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8E72A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</w:t>
      </w:r>
    </w:p>
    <w:p w14:paraId="1C65E25B">
      <w:pP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eastAsia="仿宋_GB2312" w:cs="Times New Roman"/>
          <w:sz w:val="24"/>
          <w:szCs w:val="24"/>
        </w:rPr>
        <w:t>盖章)</w:t>
      </w:r>
      <w:r>
        <w:rPr>
          <w:rFonts w:hint="eastAsia" w:eastAsia="仿宋_GB2312" w:cs="Times New Roman"/>
          <w:sz w:val="24"/>
          <w:szCs w:val="24"/>
          <w:lang w:eastAsia="zh-CN"/>
        </w:rPr>
        <w:t>：蒸湘区医疗保障局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02B92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FE91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F765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蒸湘区医疗保障局</w:t>
            </w:r>
          </w:p>
        </w:tc>
      </w:tr>
      <w:tr w14:paraId="5349F1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E318E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62619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.贯彻执行国家、省、市医疗保险、生育保险、医疗救助等医疗保障制度的法律法规规章政策，制定全区医疗保障相关规划、标准、办法并组织实施。2.组织制定并实施全区医疗保障基金监督管理办法，监督管理相关医疗保障基金，建立健全医疗保障基金安全防控机制，推进医疗保障基金支付方式改革。3.全面落实市委、区委关于医保工作的部署要求。</w:t>
            </w:r>
          </w:p>
        </w:tc>
      </w:tr>
      <w:tr w14:paraId="22F42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14FB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06947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1.强化责任担当，全力做好全民参保工作。2落实待遇保障，积极推进医保民生工程。3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健全监管机制，保障基金安全运行。持续开展打击欺诈骗保专项治理行动。4.加强经办服务标准化建设。</w:t>
            </w:r>
          </w:p>
        </w:tc>
      </w:tr>
      <w:tr w14:paraId="15C86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8EFC0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E8978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20662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66A5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69A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55FC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F3DD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7E5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A7D5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3D479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4C86E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5DF8DE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3818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7C06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预算执行率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6954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B6D4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预算执行率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C753A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预算执行率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100%，得分20分。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F927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9D56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4C7E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617E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E6A7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2490A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DF8C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91CBD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32E45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7122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ACF5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53E5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349D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C144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A0F6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A126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DDF9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3975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FE9D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1AA4C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84F0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580B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0A81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E463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D768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2F600C7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578D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87FC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参保人数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1522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15.9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5B5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参保人数达到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15.9万人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7A20D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完成参保人数，得分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1EEE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万人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A31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FB3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A31E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A086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72DC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F5F2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医保标准化水平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3D68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逐年提升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35F83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医保标准化水平逐年提升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D943F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医保标准化水平逐年提升，得分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2975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4771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FC7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7E6300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E85F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D3DA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5B3F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医保待遇及时发放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C790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AE2E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在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30个工作日内享受医保待遇报销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AFA96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在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30个工作日内享受医保待遇报销，得分10分。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A04A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个工作日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F7643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E30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0CEF3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C77B0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11E3AC4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9E638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4B0A4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医保基金累计可支付月数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7B5EC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0FBCA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基本医疗保险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基金累计可支付月数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6个月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9AC1E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基本医疗保险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基金累计可支付月数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6个月，得分10分。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6F0C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个月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41C1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C922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A0BF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6568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DE61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53D49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医保经办服务能力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771B3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逐年提升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E66A6">
            <w:pPr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医保经办服务能力逐年提升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BDCC0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医保经办服务能力逐年提升，得分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7CB6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67A8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4298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8D86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601F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1D34E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A4625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医保管理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生态效益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CB2A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逐年提升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637B3">
            <w:pPr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医保管理生态效益逐年提升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DB204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医保管理生态效益逐年提升，得分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5分。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F6D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C54F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820F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1DEDC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8FB1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6305B41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62B4A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BA892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参保群众满意度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A3B4F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2D96C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参保群众满意度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3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F8C0C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参保群众满意度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90%，得分10分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1CA7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E6D6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CC79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4F85ACC"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7483AFF5"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</w:t>
      </w:r>
    </w:p>
    <w:p w14:paraId="6C4A23A3">
      <w:pP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</w:t>
      </w:r>
      <w:r>
        <w:rPr>
          <w:rFonts w:hint="eastAsia" w:eastAsia="仿宋_GB2312" w:cs="Times New Roman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eastAsia="仿宋_GB2312" w:cs="Times New Roman"/>
          <w:sz w:val="24"/>
          <w:szCs w:val="24"/>
        </w:rPr>
        <w:t>盖章)</w:t>
      </w:r>
      <w:r>
        <w:rPr>
          <w:rFonts w:hint="eastAsia" w:eastAsia="仿宋_GB2312" w:cs="Times New Roman"/>
          <w:sz w:val="24"/>
          <w:szCs w:val="24"/>
          <w:lang w:eastAsia="zh-CN"/>
        </w:rPr>
        <w:t>：蒸湘区医疗保障局</w:t>
      </w:r>
    </w:p>
    <w:tbl>
      <w:tblPr>
        <w:tblStyle w:val="4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 w14:paraId="24ABE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BD85C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983E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城乡居民基本医疗保险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区级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补助资金</w:t>
            </w:r>
          </w:p>
        </w:tc>
      </w:tr>
      <w:tr w14:paraId="202621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68E42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2554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巩固参保率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；稳定住院待遇，稳步提高门诊待遇；保证基金收支平衡、略有结余。</w:t>
            </w:r>
          </w:p>
        </w:tc>
      </w:tr>
      <w:tr w14:paraId="502D0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01879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DC679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02B97"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F772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9BDA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6B1B8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8D60C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7DFA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E467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14:paraId="0E5D9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137B7"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 w14:paraId="239F13D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5A3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BA718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本级财政补助到位率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128F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62E62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本级财政补助到位率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ECC5D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本级财政补助到位率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100%，得分20分。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3752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B4DD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831C2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6519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F0DD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404B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AF6F1">
            <w:pPr>
              <w:widowControl/>
              <w:spacing w:line="320" w:lineRule="exact"/>
              <w:jc w:val="center"/>
              <w:rPr>
                <w:rFonts w:hint="default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762A3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609B1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40AF5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8EB43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C5634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CD37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FEFC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2BAF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76B0C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A9589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DFC68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95781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15640">
            <w:pPr>
              <w:widowControl/>
              <w:spacing w:line="320" w:lineRule="exact"/>
              <w:jc w:val="left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EF2E6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755D4">
            <w:pPr>
              <w:widowControl/>
              <w:spacing w:line="320" w:lineRule="exact"/>
              <w:jc w:val="center"/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FFAF4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6B240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931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 w14:paraId="6538B86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C10DB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58EB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参保人数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C08A1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15.9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8763D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参保人数达到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.9万人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D4D0B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完成参保人数，得分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20分。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7751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万人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DA69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3DF27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 w14:paraId="462FA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E58C3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B3F57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B3679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医保标准化水平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60A9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逐年提升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9A9A8">
            <w:pPr>
              <w:widowControl/>
              <w:spacing w:line="32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医保标准化水平逐年提升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30410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医保标准化水平逐年提升，得分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2BD42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AC3A6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A8165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7E02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4335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DEBDA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7CCAD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在规定时间内完成区级配套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54A2D"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按时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6298"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在规定时间内完成区级配套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96D4D"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在规定时间内完成区级配套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，得分10分。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C7D67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在规定时间内完成区级配套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983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DCB4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571524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FA2B3"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 w14:paraId="6A5AC5BE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E11D7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4D5DE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医保基金累计可支付月数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171B2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0F5AA">
            <w:pPr>
              <w:widowControl/>
              <w:spacing w:line="28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城乡居民基本医疗保险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基金累计可支付月数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6个月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B7318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城乡居民基本医疗保险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基金累计可支付月数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6个月，得分10分。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ADA05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个月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EE2A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定量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9703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3B4EE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83D51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92283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E15F7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医保经办服务能力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D4E21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逐年提升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458CE">
            <w:pPr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医保经办服务能力逐年提升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9520F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医保经办服务能力逐年提升，得分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D1A4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12FC4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A8E5F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25757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D087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AD81D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2A204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医保管理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生态效益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DE446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逐年提升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B217">
            <w:pPr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医保管理生态效益逐年提升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403EB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医保管理生态效益逐年提升，得分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5分。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57FCE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88D1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A9F29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14:paraId="4B452E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D889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 w14:paraId="22104B40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F0CD5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72491"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参保群众满意度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456CF">
            <w:pPr>
              <w:widowControl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6E941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参保群众满意度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74909"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参保群众满意度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90%，得分10分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94340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2339F"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eastAsia="zh-CN"/>
              </w:rPr>
              <w:t>定性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B4D06"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59E5806">
      <w:pPr>
        <w:tabs>
          <w:tab w:val="left" w:pos="605"/>
        </w:tabs>
        <w:rPr>
          <w:rFonts w:hint="eastAsia" w:eastAsia="宋体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D2E1A"/>
    <w:rsid w:val="0EBD2E1A"/>
    <w:rsid w:val="330C15DF"/>
    <w:rsid w:val="7291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1346</Words>
  <Characters>1419</Characters>
  <Lines>0</Lines>
  <Paragraphs>0</Paragraphs>
  <TotalTime>16</TotalTime>
  <ScaleCrop>false</ScaleCrop>
  <LinksUpToDate>false</LinksUpToDate>
  <CharactersWithSpaces>1421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2025-04-08T01:05:00Z</dcterms:created>
  <dc:creator>WPS_1609933280</dc:creator>
  <cp:lastModifiedBy>WPS_1609933280</cp:lastModifiedBy>
  <cp:lastPrinted>2025-04-08T02:16:00Z</cp:lastPrinted>
  <dcterms:modified xsi:type="dcterms:W3CDTF">2025-04-08T03:01:07Z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2CA83C032FE74774A1489FAC6CC9FDCE_11</vt:lpwstr>
  </property>
  <property fmtid="{D5CDD505-2E9C-101B-9397-08002B2CF9AE}" pid="4" name="KSOTemplateDocerSaveRecord">
    <vt:lpwstr>eyJoZGlkIjoiNTY0YzgzNjg3MjhmM2QyZWY3OGY3MjU0OTllNThiZGEiLCJ1c2VySWQiOiIxMTU3NDIyMzIxIn0=</vt:lpwstr>
  </property>
</Properties>
</file>