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0EA5E8C">
      <w:pPr>
        <w:rPr>
          <w:rFonts w:ascii="仿宋_GB2312" w:hAnsi="仿宋_GB2312" w:eastAsia="仿宋_GB2312" w:cs="仿宋_GB2312"/>
          <w:color w:val="FF0000"/>
          <w:sz w:val="36"/>
          <w:szCs w:val="36"/>
        </w:rPr>
      </w:pPr>
      <w:bookmarkStart w:id="27" w:name="_GoBack"/>
      <w:bookmarkEnd w:id="27"/>
      <w:r>
        <w:rPr>
          <w:sz w:val="36"/>
        </w:rPr>
        <mc:AlternateContent>
          <mc:Choice Requires="wps">
            <w:drawing>
              <wp:anchor distT="0" distB="0" distL="114300" distR="114300" simplePos="0" relativeHeight="251659264" behindDoc="0" locked="0" layoutInCell="1" allowOverlap="1">
                <wp:simplePos x="0" y="0"/>
                <wp:positionH relativeFrom="column">
                  <wp:posOffset>-3069590</wp:posOffset>
                </wp:positionH>
                <wp:positionV relativeFrom="paragraph">
                  <wp:posOffset>-1259840</wp:posOffset>
                </wp:positionV>
                <wp:extent cx="914400" cy="914400"/>
                <wp:effectExtent l="4445" t="4445" r="14605" b="14605"/>
                <wp:wrapNone/>
                <wp:docPr id="1" name="文本框 842"/>
                <wp:cNvGraphicFramePr/>
                <a:graphic xmlns:a="http://schemas.openxmlformats.org/drawingml/2006/main">
                  <a:graphicData uri="http://schemas.microsoft.com/office/word/2010/wordprocessingShape">
                    <wps:wsp>
                      <wps:cNvSpPr txBox="1"/>
                      <wps:spPr>
                        <a:xfrm>
                          <a:off x="0" y="0"/>
                          <a:ext cx="914400" cy="9144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7E4A91D0"/>
                        </w:txbxContent>
                      </wps:txbx>
                      <wps:bodyPr vert="horz" wrap="square" anchor="t" anchorCtr="0" upright="1"/>
                    </wps:wsp>
                  </a:graphicData>
                </a:graphic>
              </wp:anchor>
            </w:drawing>
          </mc:Choice>
          <mc:Fallback>
            <w:pict>
              <v:shape id="文本框 842" o:spid="_x0000_s1026" o:spt="202" type="#_x0000_t202" style="position:absolute;left:0pt;margin-left:-241.7pt;margin-top:-99.2pt;height:72pt;width:72pt;z-index:251659264;mso-width-relative:page;mso-height-relative:page;" fillcolor="#FFFFFF" filled="t" stroked="t" coordsize="21600,21600" o:gfxdata="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n4GXHtsAAAAOAQAADwAAAAAAAAABACAAAAAiAAAAZHJzL2Rvd25yZXYueG1sUEsB&#10;AhQAFAAAAAgAh07iQHnjn7QrAgAAeAQAAA4AAAAAAAAAAQAgAAAAKgEAAGRycy9lMm9Eb2MueG1s&#10;UEsFBgAAAAAGAAYAWQEAAMcFAAAAAA==&#10;">
                <v:fill on="t" focussize="0,0"/>
                <v:stroke color="#000000" joinstyle="miter"/>
                <v:imagedata o:title=""/>
                <o:lock v:ext="edit" aspectratio="f"/>
                <v:textbox>
                  <w:txbxContent>
                    <w:p w14:paraId="7E4A91D0"/>
                  </w:txbxContent>
                </v:textbox>
              </v:shape>
            </w:pict>
          </mc:Fallback>
        </mc:AlternateContent>
      </w:r>
    </w:p>
    <w:p w14:paraId="2BA1B8BE">
      <w:pPr>
        <w:rPr>
          <w:rFonts w:ascii="仿宋_GB2312" w:hAnsi="仿宋_GB2312" w:eastAsia="仿宋_GB2312" w:cs="仿宋_GB2312"/>
          <w:color w:val="FF0000"/>
          <w:sz w:val="36"/>
          <w:szCs w:val="36"/>
        </w:rPr>
      </w:pPr>
    </w:p>
    <w:p w14:paraId="40EE2F39">
      <w:pPr>
        <w:rPr>
          <w:rFonts w:ascii="仿宋_GB2312" w:hAnsi="仿宋_GB2312" w:eastAsia="仿宋_GB2312" w:cs="仿宋_GB2312"/>
          <w:color w:val="FF0000"/>
          <w:sz w:val="36"/>
          <w:szCs w:val="36"/>
        </w:rPr>
      </w:pPr>
    </w:p>
    <w:p w14:paraId="23269C2B">
      <w:pPr>
        <w:adjustRightInd w:val="0"/>
        <w:snapToGrid w:val="0"/>
        <w:jc w:val="center"/>
        <w:outlineLvl w:val="0"/>
        <w:rPr>
          <w:rFonts w:ascii="仿宋" w:hAnsi="仿宋" w:eastAsia="仿宋"/>
          <w:b/>
          <w:sz w:val="72"/>
          <w:szCs w:val="72"/>
        </w:rPr>
      </w:pPr>
      <w:bookmarkStart w:id="0" w:name="_Toc12443"/>
      <w:bookmarkStart w:id="1" w:name="_Toc470"/>
      <w:r>
        <w:rPr>
          <w:rFonts w:hint="eastAsia" w:ascii="仿宋" w:hAnsi="仿宋" w:eastAsia="仿宋"/>
          <w:b/>
          <w:sz w:val="72"/>
          <w:szCs w:val="72"/>
        </w:rPr>
        <w:t>建设项目环境影响报告表</w:t>
      </w:r>
      <w:bookmarkEnd w:id="0"/>
      <w:bookmarkEnd w:id="1"/>
    </w:p>
    <w:p w14:paraId="1C0FB702">
      <w:pPr>
        <w:adjustRightInd w:val="0"/>
        <w:snapToGrid w:val="0"/>
        <w:spacing w:beforeLines="80"/>
        <w:jc w:val="center"/>
        <w:rPr>
          <w:rFonts w:ascii="仿宋" w:hAnsi="仿宋" w:eastAsia="仿宋"/>
          <w:b/>
          <w:sz w:val="48"/>
          <w:szCs w:val="48"/>
        </w:rPr>
      </w:pPr>
      <w:r>
        <w:rPr>
          <w:rFonts w:hint="eastAsia" w:ascii="仿宋" w:hAnsi="仿宋" w:eastAsia="仿宋"/>
          <w:b/>
          <w:sz w:val="48"/>
          <w:szCs w:val="48"/>
        </w:rPr>
        <w:t>（污染影响类）</w:t>
      </w:r>
    </w:p>
    <w:p w14:paraId="25FF34A6">
      <w:pPr>
        <w:adjustRightInd w:val="0"/>
        <w:snapToGrid w:val="0"/>
        <w:spacing w:beforeLines="80"/>
        <w:jc w:val="center"/>
        <w:rPr>
          <w:rFonts w:ascii="华文仿宋" w:hAnsi="华文仿宋" w:eastAsia="华文仿宋" w:cs="华文仿宋"/>
          <w:kern w:val="44"/>
          <w:sz w:val="44"/>
          <w:szCs w:val="44"/>
        </w:rPr>
      </w:pPr>
    </w:p>
    <w:p w14:paraId="03A0E866">
      <w:pPr>
        <w:jc w:val="center"/>
        <w:rPr>
          <w:rFonts w:eastAsia="仿宋"/>
          <w:sz w:val="52"/>
          <w:szCs w:val="52"/>
        </w:rPr>
      </w:pPr>
    </w:p>
    <w:p w14:paraId="745EBC46">
      <w:pPr>
        <w:ind w:firstLine="1040"/>
        <w:rPr>
          <w:rFonts w:eastAsia="仿宋"/>
          <w:sz w:val="44"/>
          <w:szCs w:val="44"/>
        </w:rPr>
      </w:pPr>
    </w:p>
    <w:p w14:paraId="3D10AFB5">
      <w:pPr>
        <w:ind w:firstLine="1040"/>
        <w:rPr>
          <w:rFonts w:eastAsia="仿宋"/>
          <w:sz w:val="44"/>
          <w:szCs w:val="44"/>
        </w:rPr>
      </w:pPr>
    </w:p>
    <w:p w14:paraId="144015F3">
      <w:pPr>
        <w:ind w:firstLine="1040"/>
        <w:rPr>
          <w:rFonts w:eastAsia="仿宋"/>
          <w:sz w:val="44"/>
          <w:szCs w:val="44"/>
        </w:rPr>
      </w:pPr>
    </w:p>
    <w:p w14:paraId="5499DDB2">
      <w:pPr>
        <w:ind w:firstLine="1040"/>
        <w:rPr>
          <w:rFonts w:eastAsia="仿宋"/>
          <w:sz w:val="44"/>
          <w:szCs w:val="44"/>
        </w:rPr>
      </w:pPr>
    </w:p>
    <w:p w14:paraId="794CCDFD">
      <w:pPr>
        <w:adjustRightInd w:val="0"/>
        <w:snapToGrid w:val="0"/>
        <w:spacing w:line="360" w:lineRule="auto"/>
        <w:ind w:left="2227" w:leftChars="200" w:hanging="1807" w:hangingChars="500"/>
        <w:rPr>
          <w:rFonts w:eastAsia="仿宋_GB2312"/>
          <w:b/>
          <w:bCs/>
          <w:sz w:val="36"/>
          <w:szCs w:val="36"/>
        </w:rPr>
      </w:pPr>
      <w:bookmarkStart w:id="2" w:name="_Hlk57884087"/>
    </w:p>
    <w:p w14:paraId="3ABE847E">
      <w:pPr>
        <w:adjustRightInd w:val="0"/>
        <w:snapToGrid w:val="0"/>
        <w:spacing w:line="360" w:lineRule="auto"/>
        <w:ind w:left="2227" w:leftChars="200" w:hanging="1807" w:hangingChars="500"/>
        <w:rPr>
          <w:rFonts w:eastAsia="仿宋_GB2312"/>
          <w:b/>
          <w:bCs/>
          <w:sz w:val="36"/>
          <w:szCs w:val="36"/>
        </w:rPr>
      </w:pPr>
    </w:p>
    <w:p w14:paraId="6BBE013F">
      <w:pPr>
        <w:adjustRightInd w:val="0"/>
        <w:snapToGrid w:val="0"/>
        <w:spacing w:line="360" w:lineRule="auto"/>
        <w:ind w:left="2227" w:leftChars="200" w:hanging="1807" w:hangingChars="500"/>
        <w:rPr>
          <w:rFonts w:eastAsia="仿宋_GB2312"/>
          <w:b/>
          <w:bCs/>
          <w:sz w:val="36"/>
          <w:szCs w:val="36"/>
          <w:u w:val="single"/>
        </w:rPr>
      </w:pPr>
      <w:r>
        <w:rPr>
          <w:rFonts w:eastAsia="仿宋_GB2312"/>
          <w:b/>
          <w:bCs/>
          <w:sz w:val="36"/>
          <w:szCs w:val="36"/>
        </w:rPr>
        <w:t>项目名称：</w:t>
      </w:r>
      <w:r>
        <w:rPr>
          <w:rFonts w:hint="eastAsia" w:eastAsia="仿宋_GB2312"/>
          <w:b/>
          <w:bCs/>
          <w:sz w:val="36"/>
          <w:szCs w:val="36"/>
          <w:u w:val="single"/>
          <w:lang w:eastAsia="zh-CN"/>
        </w:rPr>
        <w:t xml:space="preserve">年产80万套螺纹保护器改建项目 </w:t>
      </w:r>
      <w:r>
        <w:rPr>
          <w:rFonts w:hint="eastAsia" w:eastAsia="仿宋_GB2312"/>
          <w:b/>
          <w:bCs/>
          <w:sz w:val="36"/>
          <w:szCs w:val="36"/>
          <w:u w:val="single"/>
        </w:rPr>
        <w:t xml:space="preserve">             </w:t>
      </w:r>
    </w:p>
    <w:p w14:paraId="2EFC24B0">
      <w:pPr>
        <w:adjustRightInd w:val="0"/>
        <w:snapToGrid w:val="0"/>
        <w:spacing w:line="360" w:lineRule="auto"/>
        <w:ind w:left="420" w:leftChars="200"/>
        <w:rPr>
          <w:rFonts w:eastAsia="仿宋_GB2312"/>
          <w:b/>
          <w:bCs/>
          <w:sz w:val="36"/>
          <w:szCs w:val="36"/>
          <w:u w:val="single"/>
        </w:rPr>
      </w:pPr>
      <w:r>
        <w:rPr>
          <w:rFonts w:eastAsia="仿宋_GB2312"/>
          <w:b/>
          <w:bCs/>
          <w:sz w:val="36"/>
          <w:szCs w:val="36"/>
        </w:rPr>
        <w:t>建设单位（盖章）：</w:t>
      </w:r>
      <w:r>
        <w:rPr>
          <w:rFonts w:hint="eastAsia" w:eastAsia="仿宋_GB2312"/>
          <w:b/>
          <w:bCs/>
          <w:sz w:val="36"/>
          <w:szCs w:val="36"/>
          <w:u w:val="single"/>
        </w:rPr>
        <w:t xml:space="preserve">衡阳鸿铭科技股份有限公司  </w:t>
      </w:r>
      <w:r>
        <w:rPr>
          <w:rFonts w:eastAsia="仿宋_GB2312"/>
          <w:b/>
          <w:bCs/>
          <w:sz w:val="36"/>
          <w:szCs w:val="36"/>
          <w:u w:val="single"/>
        </w:rPr>
        <w:t xml:space="preserve"> </w:t>
      </w:r>
    </w:p>
    <w:p w14:paraId="1F96F558">
      <w:pPr>
        <w:adjustRightInd w:val="0"/>
        <w:snapToGrid w:val="0"/>
        <w:spacing w:line="360" w:lineRule="auto"/>
        <w:ind w:left="420" w:leftChars="200"/>
        <w:rPr>
          <w:rFonts w:ascii="仿宋_GB2312" w:eastAsia="仿宋_GB2312"/>
          <w:b/>
          <w:bCs/>
          <w:sz w:val="36"/>
          <w:szCs w:val="36"/>
        </w:rPr>
        <w:sectPr>
          <w:pgSz w:w="11906" w:h="16838"/>
          <w:pgMar w:top="1701" w:right="1531" w:bottom="1701" w:left="1531" w:header="851" w:footer="1077" w:gutter="0"/>
          <w:pgNumType w:start="1"/>
          <w:cols w:space="720" w:num="1"/>
          <w:docGrid w:linePitch="312" w:charSpace="0"/>
        </w:sectPr>
      </w:pPr>
      <w:r>
        <w:rPr>
          <w:rFonts w:eastAsia="仿宋_GB2312"/>
          <w:b/>
          <w:bCs/>
          <w:sz w:val="36"/>
          <w:szCs w:val="36"/>
        </w:rPr>
        <w:t>编制日期：</w:t>
      </w:r>
      <w:r>
        <w:rPr>
          <w:rFonts w:eastAsia="仿宋_GB2312"/>
          <w:b/>
          <w:bCs/>
          <w:sz w:val="36"/>
          <w:szCs w:val="36"/>
          <w:u w:val="single"/>
        </w:rPr>
        <w:t xml:space="preserve">   </w:t>
      </w:r>
      <w:r>
        <w:rPr>
          <w:rFonts w:hint="eastAsia" w:eastAsia="仿宋_GB2312"/>
          <w:b/>
          <w:bCs/>
          <w:sz w:val="36"/>
          <w:szCs w:val="36"/>
          <w:u w:val="single"/>
        </w:rPr>
        <w:t>2026</w:t>
      </w:r>
      <w:r>
        <w:rPr>
          <w:rFonts w:eastAsia="仿宋_GB2312"/>
          <w:b/>
          <w:bCs/>
          <w:sz w:val="36"/>
          <w:szCs w:val="36"/>
          <w:u w:val="single"/>
        </w:rPr>
        <w:t>年</w:t>
      </w:r>
      <w:r>
        <w:rPr>
          <w:rFonts w:hint="eastAsia" w:eastAsia="仿宋_GB2312"/>
          <w:b/>
          <w:bCs/>
          <w:sz w:val="36"/>
          <w:szCs w:val="36"/>
          <w:u w:val="single"/>
        </w:rPr>
        <w:t>1月</w:t>
      </w:r>
      <w:r>
        <w:rPr>
          <w:rFonts w:eastAsia="仿宋_GB2312"/>
          <w:b/>
          <w:bCs/>
          <w:sz w:val="36"/>
          <w:szCs w:val="36"/>
          <w:u w:val="single"/>
        </w:rPr>
        <w:t xml:space="preserve">             </w:t>
      </w:r>
      <w:r>
        <w:rPr>
          <w:rFonts w:hint="eastAsia" w:ascii="仿宋_GB2312" w:eastAsia="仿宋_GB2312"/>
          <w:b/>
          <w:bCs/>
          <w:sz w:val="36"/>
          <w:szCs w:val="36"/>
          <w:u w:val="single"/>
        </w:rPr>
        <w:t xml:space="preserve">         </w:t>
      </w:r>
      <w:r>
        <w:rPr>
          <w:rFonts w:hint="eastAsia" w:ascii="仿宋_GB2312" w:eastAsia="仿宋_GB2312"/>
          <w:b/>
          <w:bCs/>
          <w:sz w:val="36"/>
          <w:szCs w:val="36"/>
        </w:rPr>
        <w:t xml:space="preserve"> </w:t>
      </w:r>
    </w:p>
    <w:p w14:paraId="55CF6D11">
      <w:pPr>
        <w:pStyle w:val="2"/>
        <w:ind w:firstLine="0" w:firstLineChars="0"/>
      </w:pPr>
      <w:r>
        <w:drawing>
          <wp:inline distT="0" distB="0" distL="114300" distR="114300">
            <wp:extent cx="5772150" cy="7844155"/>
            <wp:effectExtent l="0" t="0" r="0" b="4445"/>
            <wp:docPr id="2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8"/>
                    <pic:cNvPicPr>
                      <a:picLocks noChangeAspect="1"/>
                    </pic:cNvPicPr>
                  </pic:nvPicPr>
                  <pic:blipFill>
                    <a:blip r:embed="rId6"/>
                    <a:stretch>
                      <a:fillRect/>
                    </a:stretch>
                  </pic:blipFill>
                  <pic:spPr>
                    <a:xfrm>
                      <a:off x="0" y="0"/>
                      <a:ext cx="5772150" cy="7844155"/>
                    </a:xfrm>
                    <a:prstGeom prst="rect">
                      <a:avLst/>
                    </a:prstGeom>
                    <a:noFill/>
                    <a:ln>
                      <a:noFill/>
                    </a:ln>
                  </pic:spPr>
                </pic:pic>
              </a:graphicData>
            </a:graphic>
          </wp:inline>
        </w:drawing>
      </w:r>
    </w:p>
    <w:bookmarkEnd w:id="2"/>
    <w:p w14:paraId="4476E6EF">
      <w:pPr>
        <w:spacing w:line="480" w:lineRule="auto"/>
        <w:jc w:val="center"/>
        <w:rPr>
          <w:rFonts w:ascii="宋体" w:hAnsi="宋体"/>
          <w:b/>
          <w:bCs/>
          <w:sz w:val="28"/>
          <w:szCs w:val="28"/>
        </w:rPr>
        <w:sectPr>
          <w:footerReference r:id="rId3" w:type="default"/>
          <w:pgSz w:w="11906" w:h="16838"/>
          <w:pgMar w:top="1701" w:right="1531" w:bottom="1701" w:left="1531" w:header="851" w:footer="1077" w:gutter="0"/>
          <w:pgNumType w:start="1"/>
          <w:cols w:space="720" w:num="1"/>
          <w:docGrid w:linePitch="312" w:charSpace="0"/>
        </w:sectPr>
      </w:pPr>
      <w:r>
        <w:drawing>
          <wp:inline distT="0" distB="0" distL="114300" distR="114300">
            <wp:extent cx="5517515" cy="7700645"/>
            <wp:effectExtent l="0" t="0" r="6985" b="14605"/>
            <wp:docPr id="2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9"/>
                    <pic:cNvPicPr>
                      <a:picLocks noChangeAspect="1"/>
                    </pic:cNvPicPr>
                  </pic:nvPicPr>
                  <pic:blipFill>
                    <a:blip r:embed="rId7"/>
                    <a:stretch>
                      <a:fillRect/>
                    </a:stretch>
                  </pic:blipFill>
                  <pic:spPr>
                    <a:xfrm>
                      <a:off x="0" y="0"/>
                      <a:ext cx="5517515" cy="7700645"/>
                    </a:xfrm>
                    <a:prstGeom prst="rect">
                      <a:avLst/>
                    </a:prstGeom>
                    <a:noFill/>
                    <a:ln>
                      <a:noFill/>
                    </a:ln>
                  </pic:spPr>
                </pic:pic>
              </a:graphicData>
            </a:graphic>
          </wp:inline>
        </w:drawing>
      </w:r>
      <w:r>
        <w:drawing>
          <wp:inline distT="0" distB="0" distL="114300" distR="114300">
            <wp:extent cx="5613400" cy="7897495"/>
            <wp:effectExtent l="0" t="0" r="6350" b="8255"/>
            <wp:docPr id="3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0"/>
                    <pic:cNvPicPr>
                      <a:picLocks noChangeAspect="1"/>
                    </pic:cNvPicPr>
                  </pic:nvPicPr>
                  <pic:blipFill>
                    <a:blip r:embed="rId8"/>
                    <a:stretch>
                      <a:fillRect/>
                    </a:stretch>
                  </pic:blipFill>
                  <pic:spPr>
                    <a:xfrm>
                      <a:off x="0" y="0"/>
                      <a:ext cx="5613400" cy="7897495"/>
                    </a:xfrm>
                    <a:prstGeom prst="rect">
                      <a:avLst/>
                    </a:prstGeom>
                    <a:noFill/>
                    <a:ln>
                      <a:noFill/>
                    </a:ln>
                  </pic:spPr>
                </pic:pic>
              </a:graphicData>
            </a:graphic>
          </wp:inline>
        </w:drawing>
      </w:r>
      <w:r>
        <w:drawing>
          <wp:inline distT="0" distB="0" distL="114300" distR="114300">
            <wp:extent cx="5645150" cy="7713980"/>
            <wp:effectExtent l="0" t="0" r="12700" b="1270"/>
            <wp:docPr id="3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1"/>
                    <pic:cNvPicPr>
                      <a:picLocks noChangeAspect="1"/>
                    </pic:cNvPicPr>
                  </pic:nvPicPr>
                  <pic:blipFill>
                    <a:blip r:embed="rId9"/>
                    <a:stretch>
                      <a:fillRect/>
                    </a:stretch>
                  </pic:blipFill>
                  <pic:spPr>
                    <a:xfrm>
                      <a:off x="0" y="0"/>
                      <a:ext cx="5645150" cy="7713980"/>
                    </a:xfrm>
                    <a:prstGeom prst="rect">
                      <a:avLst/>
                    </a:prstGeom>
                    <a:noFill/>
                    <a:ln>
                      <a:noFill/>
                    </a:ln>
                  </pic:spPr>
                </pic:pic>
              </a:graphicData>
            </a:graphic>
          </wp:inline>
        </w:drawing>
      </w:r>
      <w:r>
        <w:drawing>
          <wp:inline distT="0" distB="0" distL="114300" distR="114300">
            <wp:extent cx="5804535" cy="8166100"/>
            <wp:effectExtent l="0" t="0" r="5715" b="6350"/>
            <wp:docPr id="3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2"/>
                    <pic:cNvPicPr>
                      <a:picLocks noChangeAspect="1"/>
                    </pic:cNvPicPr>
                  </pic:nvPicPr>
                  <pic:blipFill>
                    <a:blip r:embed="rId10"/>
                    <a:stretch>
                      <a:fillRect/>
                    </a:stretch>
                  </pic:blipFill>
                  <pic:spPr>
                    <a:xfrm>
                      <a:off x="0" y="0"/>
                      <a:ext cx="5804535" cy="8166100"/>
                    </a:xfrm>
                    <a:prstGeom prst="rect">
                      <a:avLst/>
                    </a:prstGeom>
                    <a:noFill/>
                    <a:ln>
                      <a:noFill/>
                    </a:ln>
                  </pic:spPr>
                </pic:pic>
              </a:graphicData>
            </a:graphic>
          </wp:inline>
        </w:drawing>
      </w:r>
      <w:r>
        <w:drawing>
          <wp:inline distT="0" distB="0" distL="114300" distR="114300">
            <wp:extent cx="5596255" cy="7877810"/>
            <wp:effectExtent l="0" t="0" r="4445" b="8890"/>
            <wp:docPr id="3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3"/>
                    <pic:cNvPicPr>
                      <a:picLocks noChangeAspect="1"/>
                    </pic:cNvPicPr>
                  </pic:nvPicPr>
                  <pic:blipFill>
                    <a:blip r:embed="rId11"/>
                    <a:stretch>
                      <a:fillRect/>
                    </a:stretch>
                  </pic:blipFill>
                  <pic:spPr>
                    <a:xfrm>
                      <a:off x="0" y="0"/>
                      <a:ext cx="5596255" cy="7877810"/>
                    </a:xfrm>
                    <a:prstGeom prst="rect">
                      <a:avLst/>
                    </a:prstGeom>
                    <a:noFill/>
                    <a:ln>
                      <a:noFill/>
                    </a:ln>
                  </pic:spPr>
                </pic:pic>
              </a:graphicData>
            </a:graphic>
          </wp:inline>
        </w:drawing>
      </w:r>
      <w:r>
        <w:drawing>
          <wp:inline distT="0" distB="0" distL="114300" distR="114300">
            <wp:extent cx="5568950" cy="7845425"/>
            <wp:effectExtent l="0" t="0" r="12700" b="3175"/>
            <wp:docPr id="3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4"/>
                    <pic:cNvPicPr>
                      <a:picLocks noChangeAspect="1"/>
                    </pic:cNvPicPr>
                  </pic:nvPicPr>
                  <pic:blipFill>
                    <a:blip r:embed="rId12"/>
                    <a:stretch>
                      <a:fillRect/>
                    </a:stretch>
                  </pic:blipFill>
                  <pic:spPr>
                    <a:xfrm>
                      <a:off x="0" y="0"/>
                      <a:ext cx="5568950" cy="7845425"/>
                    </a:xfrm>
                    <a:prstGeom prst="rect">
                      <a:avLst/>
                    </a:prstGeom>
                    <a:noFill/>
                    <a:ln>
                      <a:noFill/>
                    </a:ln>
                  </pic:spPr>
                </pic:pic>
              </a:graphicData>
            </a:graphic>
          </wp:inline>
        </w:drawing>
      </w:r>
      <w:r>
        <w:drawing>
          <wp:inline distT="0" distB="0" distL="114300" distR="114300">
            <wp:extent cx="5668645" cy="7964805"/>
            <wp:effectExtent l="0" t="0" r="8255" b="17145"/>
            <wp:docPr id="3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5"/>
                    <pic:cNvPicPr>
                      <a:picLocks noChangeAspect="1"/>
                    </pic:cNvPicPr>
                  </pic:nvPicPr>
                  <pic:blipFill>
                    <a:blip r:embed="rId13"/>
                    <a:stretch>
                      <a:fillRect/>
                    </a:stretch>
                  </pic:blipFill>
                  <pic:spPr>
                    <a:xfrm>
                      <a:off x="0" y="0"/>
                      <a:ext cx="5668645" cy="7964805"/>
                    </a:xfrm>
                    <a:prstGeom prst="rect">
                      <a:avLst/>
                    </a:prstGeom>
                    <a:noFill/>
                    <a:ln>
                      <a:noFill/>
                    </a:ln>
                  </pic:spPr>
                </pic:pic>
              </a:graphicData>
            </a:graphic>
          </wp:inline>
        </w:drawing>
      </w:r>
    </w:p>
    <w:p w14:paraId="155A1126">
      <w:pPr>
        <w:spacing w:line="480" w:lineRule="auto"/>
        <w:jc w:val="center"/>
      </w:pPr>
      <w:r>
        <w:rPr>
          <w:rFonts w:ascii="宋体" w:hAnsi="宋体"/>
          <w:b/>
          <w:bCs/>
          <w:sz w:val="28"/>
          <w:szCs w:val="28"/>
        </w:rPr>
        <w:t>目</w:t>
      </w:r>
      <w:r>
        <w:rPr>
          <w:rFonts w:hint="eastAsia" w:ascii="宋体" w:hAnsi="宋体"/>
          <w:b/>
          <w:bCs/>
          <w:sz w:val="28"/>
          <w:szCs w:val="28"/>
        </w:rPr>
        <w:t xml:space="preserve">    </w:t>
      </w:r>
      <w:r>
        <w:rPr>
          <w:rFonts w:ascii="宋体" w:hAnsi="宋体"/>
          <w:b/>
          <w:bCs/>
          <w:sz w:val="28"/>
          <w:szCs w:val="28"/>
        </w:rPr>
        <w:t>录</w:t>
      </w:r>
      <w:r>
        <w:rPr>
          <w:sz w:val="24"/>
        </w:rPr>
        <w:fldChar w:fldCharType="begin"/>
      </w:r>
      <w:r>
        <w:rPr>
          <w:sz w:val="24"/>
        </w:rPr>
        <w:instrText xml:space="preserve">TOC \o "1-1" \h \u </w:instrText>
      </w:r>
      <w:r>
        <w:rPr>
          <w:sz w:val="24"/>
        </w:rPr>
        <w:fldChar w:fldCharType="separate"/>
      </w:r>
    </w:p>
    <w:p w14:paraId="4C29E4F8">
      <w:pPr>
        <w:pStyle w:val="27"/>
        <w:tabs>
          <w:tab w:val="right" w:leader="dot" w:pos="8844"/>
          <w:tab w:val="clear" w:pos="8296"/>
        </w:tabs>
        <w:spacing w:after="120" w:line="480" w:lineRule="auto"/>
        <w:jc w:val="center"/>
      </w:pPr>
      <w:r>
        <w:fldChar w:fldCharType="begin"/>
      </w:r>
      <w:r>
        <w:instrText xml:space="preserve"> HYPERLINK \l "_Toc16467" </w:instrText>
      </w:r>
      <w:r>
        <w:fldChar w:fldCharType="separate"/>
      </w:r>
      <w:r>
        <w:rPr>
          <w:rFonts w:hint="eastAsia" w:ascii="黑体" w:hAnsi="黑体"/>
          <w:snapToGrid w:val="0"/>
          <w:szCs w:val="30"/>
        </w:rPr>
        <w:t>一、建设项目基本情况</w:t>
      </w:r>
      <w:r>
        <w:tab/>
      </w:r>
      <w:r>
        <w:fldChar w:fldCharType="begin"/>
      </w:r>
      <w:r>
        <w:instrText xml:space="preserve"> PAGEREF _Toc16467 \h </w:instrText>
      </w:r>
      <w:r>
        <w:fldChar w:fldCharType="separate"/>
      </w:r>
      <w:r>
        <w:t>1</w:t>
      </w:r>
      <w:r>
        <w:fldChar w:fldCharType="end"/>
      </w:r>
      <w:r>
        <w:fldChar w:fldCharType="end"/>
      </w:r>
    </w:p>
    <w:p w14:paraId="52913709">
      <w:pPr>
        <w:pStyle w:val="27"/>
        <w:tabs>
          <w:tab w:val="right" w:leader="dot" w:pos="8844"/>
          <w:tab w:val="clear" w:pos="8296"/>
        </w:tabs>
        <w:spacing w:after="120" w:line="480" w:lineRule="auto"/>
        <w:jc w:val="center"/>
      </w:pPr>
      <w:r>
        <w:fldChar w:fldCharType="begin"/>
      </w:r>
      <w:r>
        <w:instrText xml:space="preserve"> HYPERLINK \l "_Toc19842" </w:instrText>
      </w:r>
      <w:r>
        <w:fldChar w:fldCharType="separate"/>
      </w:r>
      <w:r>
        <w:rPr>
          <w:rFonts w:hint="eastAsia" w:ascii="黑体" w:hAnsi="黑体"/>
          <w:snapToGrid w:val="0"/>
          <w:szCs w:val="30"/>
        </w:rPr>
        <w:t>二、建设项目工程分析</w:t>
      </w:r>
      <w:r>
        <w:tab/>
      </w:r>
      <w:r>
        <w:fldChar w:fldCharType="begin"/>
      </w:r>
      <w:r>
        <w:instrText xml:space="preserve"> PAGEREF _Toc19842 \h </w:instrText>
      </w:r>
      <w:r>
        <w:fldChar w:fldCharType="separate"/>
      </w:r>
      <w:r>
        <w:t>21</w:t>
      </w:r>
      <w:r>
        <w:fldChar w:fldCharType="end"/>
      </w:r>
      <w:r>
        <w:fldChar w:fldCharType="end"/>
      </w:r>
    </w:p>
    <w:p w14:paraId="02B8BE4B">
      <w:pPr>
        <w:pStyle w:val="27"/>
        <w:tabs>
          <w:tab w:val="right" w:leader="dot" w:pos="8844"/>
          <w:tab w:val="clear" w:pos="8296"/>
        </w:tabs>
        <w:spacing w:after="120" w:line="480" w:lineRule="auto"/>
        <w:jc w:val="center"/>
      </w:pPr>
      <w:r>
        <w:fldChar w:fldCharType="begin"/>
      </w:r>
      <w:r>
        <w:instrText xml:space="preserve"> HYPERLINK \l "_Toc17318" </w:instrText>
      </w:r>
      <w:r>
        <w:fldChar w:fldCharType="separate"/>
      </w:r>
      <w:r>
        <w:rPr>
          <w:rFonts w:hint="eastAsia" w:ascii="黑体" w:hAnsi="黑体"/>
          <w:snapToGrid w:val="0"/>
          <w:szCs w:val="30"/>
        </w:rPr>
        <w:t>三、区域环境质量现状、环境保护目标及评价标准</w:t>
      </w:r>
      <w:r>
        <w:tab/>
      </w:r>
      <w:r>
        <w:fldChar w:fldCharType="begin"/>
      </w:r>
      <w:r>
        <w:instrText xml:space="preserve"> PAGEREF _Toc17318 \h </w:instrText>
      </w:r>
      <w:r>
        <w:fldChar w:fldCharType="separate"/>
      </w:r>
      <w:r>
        <w:t>38</w:t>
      </w:r>
      <w:r>
        <w:fldChar w:fldCharType="end"/>
      </w:r>
      <w:r>
        <w:fldChar w:fldCharType="end"/>
      </w:r>
    </w:p>
    <w:p w14:paraId="0F8618BB">
      <w:pPr>
        <w:pStyle w:val="27"/>
        <w:tabs>
          <w:tab w:val="right" w:leader="dot" w:pos="8844"/>
          <w:tab w:val="clear" w:pos="8296"/>
        </w:tabs>
        <w:spacing w:after="120" w:line="480" w:lineRule="auto"/>
        <w:jc w:val="center"/>
      </w:pPr>
      <w:r>
        <w:fldChar w:fldCharType="begin"/>
      </w:r>
      <w:r>
        <w:instrText xml:space="preserve"> HYPERLINK \l "_Toc20501" </w:instrText>
      </w:r>
      <w:r>
        <w:fldChar w:fldCharType="separate"/>
      </w:r>
      <w:r>
        <w:rPr>
          <w:rFonts w:hint="eastAsia" w:ascii="黑体" w:hAnsi="黑体"/>
          <w:snapToGrid w:val="0"/>
          <w:szCs w:val="30"/>
        </w:rPr>
        <w:t>四、主要环境影响和保护措施</w:t>
      </w:r>
      <w:r>
        <w:tab/>
      </w:r>
      <w:r>
        <w:fldChar w:fldCharType="begin"/>
      </w:r>
      <w:r>
        <w:instrText xml:space="preserve"> PAGEREF _Toc20501 \h </w:instrText>
      </w:r>
      <w:r>
        <w:fldChar w:fldCharType="separate"/>
      </w:r>
      <w:r>
        <w:t>46</w:t>
      </w:r>
      <w:r>
        <w:fldChar w:fldCharType="end"/>
      </w:r>
      <w:r>
        <w:fldChar w:fldCharType="end"/>
      </w:r>
    </w:p>
    <w:p w14:paraId="33678727">
      <w:pPr>
        <w:pStyle w:val="27"/>
        <w:tabs>
          <w:tab w:val="right" w:leader="dot" w:pos="8844"/>
          <w:tab w:val="clear" w:pos="8296"/>
        </w:tabs>
        <w:spacing w:after="120" w:line="480" w:lineRule="auto"/>
        <w:jc w:val="center"/>
      </w:pPr>
      <w:r>
        <w:fldChar w:fldCharType="begin"/>
      </w:r>
      <w:r>
        <w:instrText xml:space="preserve"> HYPERLINK \l "_Toc18020" </w:instrText>
      </w:r>
      <w:r>
        <w:fldChar w:fldCharType="separate"/>
      </w:r>
      <w:r>
        <w:rPr>
          <w:rFonts w:hint="eastAsia" w:ascii="黑体" w:hAnsi="黑体"/>
          <w:snapToGrid w:val="0"/>
          <w:szCs w:val="24"/>
        </w:rPr>
        <w:t>五、环境保护措施监督检查清单</w:t>
      </w:r>
      <w:r>
        <w:tab/>
      </w:r>
      <w:r>
        <w:fldChar w:fldCharType="begin"/>
      </w:r>
      <w:r>
        <w:instrText xml:space="preserve"> PAGEREF _Toc18020 \h </w:instrText>
      </w:r>
      <w:r>
        <w:fldChar w:fldCharType="separate"/>
      </w:r>
      <w:r>
        <w:t>76</w:t>
      </w:r>
      <w:r>
        <w:fldChar w:fldCharType="end"/>
      </w:r>
      <w:r>
        <w:fldChar w:fldCharType="end"/>
      </w:r>
    </w:p>
    <w:p w14:paraId="68ED3673">
      <w:pPr>
        <w:pStyle w:val="27"/>
        <w:tabs>
          <w:tab w:val="right" w:leader="dot" w:pos="8844"/>
          <w:tab w:val="clear" w:pos="8296"/>
        </w:tabs>
        <w:spacing w:after="120" w:line="480" w:lineRule="auto"/>
        <w:jc w:val="center"/>
      </w:pPr>
      <w:r>
        <w:fldChar w:fldCharType="begin"/>
      </w:r>
      <w:r>
        <w:instrText xml:space="preserve"> HYPERLINK \l "_Toc6165" </w:instrText>
      </w:r>
      <w:r>
        <w:fldChar w:fldCharType="separate"/>
      </w:r>
      <w:r>
        <w:rPr>
          <w:rFonts w:hint="eastAsia" w:ascii="黑体" w:hAnsi="黑体"/>
          <w:snapToGrid w:val="0"/>
          <w:szCs w:val="30"/>
        </w:rPr>
        <w:t>六、结论</w:t>
      </w:r>
      <w:r>
        <w:tab/>
      </w:r>
      <w:r>
        <w:fldChar w:fldCharType="begin"/>
      </w:r>
      <w:r>
        <w:instrText xml:space="preserve"> PAGEREF _Toc6165 \h </w:instrText>
      </w:r>
      <w:r>
        <w:fldChar w:fldCharType="separate"/>
      </w:r>
      <w:r>
        <w:t>78</w:t>
      </w:r>
      <w:r>
        <w:fldChar w:fldCharType="end"/>
      </w:r>
      <w:r>
        <w:fldChar w:fldCharType="end"/>
      </w:r>
    </w:p>
    <w:p w14:paraId="37EC4FED">
      <w:pPr>
        <w:pStyle w:val="27"/>
        <w:tabs>
          <w:tab w:val="right" w:leader="dot" w:pos="8844"/>
          <w:tab w:val="clear" w:pos="8296"/>
        </w:tabs>
        <w:spacing w:after="120" w:line="480" w:lineRule="auto"/>
        <w:jc w:val="center"/>
      </w:pPr>
      <w:r>
        <w:fldChar w:fldCharType="begin"/>
      </w:r>
      <w:r>
        <w:instrText xml:space="preserve"> HYPERLINK \l "_Toc11991" </w:instrText>
      </w:r>
      <w:r>
        <w:fldChar w:fldCharType="separate"/>
      </w:r>
      <w:r>
        <w:rPr>
          <w:rFonts w:hint="eastAsia" w:ascii="黑体" w:hAnsi="黑体"/>
          <w:snapToGrid w:val="0"/>
          <w:szCs w:val="32"/>
        </w:rPr>
        <w:t>附表</w:t>
      </w:r>
      <w:r>
        <w:tab/>
      </w:r>
      <w:r>
        <w:fldChar w:fldCharType="begin"/>
      </w:r>
      <w:r>
        <w:instrText xml:space="preserve"> PAGEREF _Toc11991 \h </w:instrText>
      </w:r>
      <w:r>
        <w:fldChar w:fldCharType="separate"/>
      </w:r>
      <w:r>
        <w:t>79</w:t>
      </w:r>
      <w:r>
        <w:fldChar w:fldCharType="end"/>
      </w:r>
      <w:r>
        <w:fldChar w:fldCharType="end"/>
      </w:r>
    </w:p>
    <w:p w14:paraId="3AE742D9">
      <w:pPr>
        <w:pStyle w:val="27"/>
        <w:tabs>
          <w:tab w:val="right" w:leader="dot" w:pos="8844"/>
          <w:tab w:val="clear" w:pos="8296"/>
        </w:tabs>
        <w:spacing w:after="120" w:line="480" w:lineRule="auto"/>
        <w:jc w:val="center"/>
      </w:pPr>
      <w:r>
        <w:fldChar w:fldCharType="begin"/>
      </w:r>
      <w:r>
        <w:instrText xml:space="preserve"> HYPERLINK \l "_Toc2564" </w:instrText>
      </w:r>
      <w:r>
        <w:fldChar w:fldCharType="separate"/>
      </w:r>
      <w:r>
        <w:rPr>
          <w:rFonts w:hint="eastAsia" w:ascii="方正小标宋_GBK" w:hAnsi="黑体" w:eastAsia="方正小标宋_GBK"/>
          <w:snapToGrid w:val="0"/>
          <w:szCs w:val="38"/>
        </w:rPr>
        <w:t>建设项目污染物排放量汇总表</w:t>
      </w:r>
      <w:r>
        <w:tab/>
      </w:r>
      <w:r>
        <w:fldChar w:fldCharType="begin"/>
      </w:r>
      <w:r>
        <w:instrText xml:space="preserve"> PAGEREF _Toc2564 \h </w:instrText>
      </w:r>
      <w:r>
        <w:fldChar w:fldCharType="separate"/>
      </w:r>
      <w:r>
        <w:t>79</w:t>
      </w:r>
      <w:r>
        <w:fldChar w:fldCharType="end"/>
      </w:r>
      <w:r>
        <w:fldChar w:fldCharType="end"/>
      </w:r>
    </w:p>
    <w:p w14:paraId="20B723D0">
      <w:pPr>
        <w:spacing w:line="360" w:lineRule="auto"/>
        <w:rPr>
          <w:b/>
          <w:bCs/>
          <w:szCs w:val="21"/>
        </w:rPr>
      </w:pPr>
      <w:r>
        <w:rPr>
          <w:sz w:val="24"/>
        </w:rPr>
        <w:fldChar w:fldCharType="end"/>
      </w:r>
      <w:r>
        <w:rPr>
          <w:rFonts w:hint="eastAsia"/>
          <w:sz w:val="24"/>
        </w:rPr>
        <w:t xml:space="preserve">   </w:t>
      </w:r>
      <w:r>
        <w:rPr>
          <w:rFonts w:hint="eastAsia"/>
          <w:b/>
          <w:bCs/>
          <w:sz w:val="24"/>
        </w:rPr>
        <w:t>附图附件</w:t>
      </w:r>
    </w:p>
    <w:p w14:paraId="4D2B40A1">
      <w:pPr>
        <w:spacing w:line="360" w:lineRule="auto"/>
        <w:ind w:firstLine="422" w:firstLineChars="200"/>
        <w:rPr>
          <w:b/>
          <w:bCs/>
          <w:szCs w:val="21"/>
        </w:rPr>
      </w:pPr>
      <w:r>
        <w:rPr>
          <w:rFonts w:hint="eastAsia"/>
          <w:b/>
          <w:bCs/>
          <w:szCs w:val="21"/>
        </w:rPr>
        <w:t>附图1地理位置图</w:t>
      </w:r>
    </w:p>
    <w:p w14:paraId="041808AA">
      <w:pPr>
        <w:spacing w:line="360" w:lineRule="auto"/>
        <w:ind w:firstLine="422" w:firstLineChars="200"/>
        <w:rPr>
          <w:b/>
          <w:bCs/>
          <w:szCs w:val="21"/>
        </w:rPr>
      </w:pPr>
      <w:r>
        <w:rPr>
          <w:rFonts w:hint="eastAsia"/>
          <w:b/>
          <w:bCs/>
          <w:szCs w:val="21"/>
        </w:rPr>
        <w:t>附图2平面布置图</w:t>
      </w:r>
    </w:p>
    <w:p w14:paraId="491BEA40">
      <w:pPr>
        <w:spacing w:line="360" w:lineRule="auto"/>
        <w:ind w:firstLine="422" w:firstLineChars="200"/>
        <w:rPr>
          <w:b/>
          <w:bCs/>
          <w:szCs w:val="21"/>
        </w:rPr>
      </w:pPr>
      <w:r>
        <w:rPr>
          <w:rFonts w:hint="eastAsia"/>
          <w:b/>
          <w:bCs/>
          <w:szCs w:val="21"/>
        </w:rPr>
        <w:t>附图3环境保护目标图</w:t>
      </w:r>
    </w:p>
    <w:p w14:paraId="2D3E9F12">
      <w:pPr>
        <w:spacing w:line="360" w:lineRule="auto"/>
        <w:ind w:firstLine="422" w:firstLineChars="200"/>
        <w:rPr>
          <w:rFonts w:hint="eastAsia"/>
          <w:b/>
          <w:bCs/>
          <w:szCs w:val="21"/>
        </w:rPr>
      </w:pPr>
      <w:r>
        <w:rPr>
          <w:rFonts w:hint="eastAsia"/>
          <w:b/>
          <w:bCs/>
          <w:szCs w:val="21"/>
        </w:rPr>
        <w:t>附图4引用数据点位图</w:t>
      </w:r>
    </w:p>
    <w:p w14:paraId="52E837E8">
      <w:pPr>
        <w:spacing w:line="360" w:lineRule="auto"/>
        <w:ind w:firstLine="422" w:firstLineChars="200"/>
        <w:rPr>
          <w:rFonts w:hint="default"/>
          <w:b/>
          <w:bCs/>
          <w:szCs w:val="21"/>
          <w:lang w:val="en-US" w:eastAsia="zh-CN"/>
        </w:rPr>
      </w:pPr>
      <w:r>
        <w:rPr>
          <w:rFonts w:hint="eastAsia"/>
          <w:b/>
          <w:bCs/>
          <w:szCs w:val="21"/>
          <w:lang w:val="en-US" w:eastAsia="zh-CN"/>
        </w:rPr>
        <w:t>附图5污水排放路径图</w:t>
      </w:r>
    </w:p>
    <w:p w14:paraId="12EF4C2A">
      <w:pPr>
        <w:spacing w:line="360" w:lineRule="auto"/>
        <w:ind w:firstLine="422" w:firstLineChars="200"/>
        <w:rPr>
          <w:b/>
          <w:bCs/>
          <w:szCs w:val="21"/>
        </w:rPr>
      </w:pPr>
      <w:r>
        <w:rPr>
          <w:rFonts w:hint="eastAsia"/>
          <w:b/>
          <w:bCs/>
          <w:szCs w:val="21"/>
        </w:rPr>
        <w:t>附件1环评委托书</w:t>
      </w:r>
    </w:p>
    <w:p w14:paraId="6D31DAFF">
      <w:pPr>
        <w:spacing w:line="360" w:lineRule="auto"/>
        <w:ind w:firstLine="422" w:firstLineChars="200"/>
        <w:rPr>
          <w:b/>
          <w:bCs/>
          <w:szCs w:val="21"/>
        </w:rPr>
      </w:pPr>
      <w:r>
        <w:rPr>
          <w:rFonts w:hint="eastAsia"/>
          <w:b/>
          <w:bCs/>
          <w:szCs w:val="21"/>
        </w:rPr>
        <w:t>附件2营业执照</w:t>
      </w:r>
    </w:p>
    <w:p w14:paraId="616BFFDD">
      <w:pPr>
        <w:spacing w:line="360" w:lineRule="auto"/>
        <w:ind w:firstLine="422" w:firstLineChars="200"/>
        <w:rPr>
          <w:b/>
          <w:bCs/>
          <w:szCs w:val="21"/>
        </w:rPr>
      </w:pPr>
      <w:r>
        <w:rPr>
          <w:rFonts w:hint="eastAsia"/>
          <w:b/>
          <w:bCs/>
          <w:szCs w:val="21"/>
        </w:rPr>
        <w:t>附件3环评批复</w:t>
      </w:r>
    </w:p>
    <w:p w14:paraId="594AA8F1">
      <w:pPr>
        <w:spacing w:line="360" w:lineRule="auto"/>
        <w:ind w:firstLine="422" w:firstLineChars="200"/>
        <w:rPr>
          <w:b/>
          <w:bCs/>
          <w:szCs w:val="21"/>
        </w:rPr>
      </w:pPr>
      <w:r>
        <w:rPr>
          <w:rFonts w:hint="eastAsia"/>
          <w:b/>
          <w:bCs/>
          <w:szCs w:val="21"/>
        </w:rPr>
        <w:t>附件4验收意见</w:t>
      </w:r>
    </w:p>
    <w:p w14:paraId="665F6089">
      <w:pPr>
        <w:spacing w:line="360" w:lineRule="auto"/>
        <w:ind w:firstLine="422" w:firstLineChars="200"/>
        <w:rPr>
          <w:b/>
          <w:bCs/>
          <w:szCs w:val="21"/>
        </w:rPr>
      </w:pPr>
      <w:r>
        <w:rPr>
          <w:rFonts w:hint="eastAsia"/>
          <w:b/>
          <w:bCs/>
          <w:szCs w:val="21"/>
        </w:rPr>
        <w:t>附件5厂房租赁合同</w:t>
      </w:r>
    </w:p>
    <w:p w14:paraId="71D46B94">
      <w:pPr>
        <w:spacing w:line="360" w:lineRule="auto"/>
        <w:ind w:firstLine="422" w:firstLineChars="200"/>
        <w:rPr>
          <w:b/>
          <w:bCs/>
          <w:szCs w:val="21"/>
        </w:rPr>
      </w:pPr>
      <w:r>
        <w:rPr>
          <w:rFonts w:hint="eastAsia"/>
          <w:b/>
          <w:bCs/>
          <w:szCs w:val="21"/>
        </w:rPr>
        <w:t>附件6塑粉检测报告</w:t>
      </w:r>
      <w:bookmarkStart w:id="3" w:name="_Toc16467"/>
    </w:p>
    <w:p w14:paraId="74A50C6B">
      <w:pPr>
        <w:spacing w:line="360" w:lineRule="auto"/>
        <w:ind w:firstLine="422" w:firstLineChars="200"/>
        <w:rPr>
          <w:b/>
          <w:bCs/>
          <w:szCs w:val="21"/>
        </w:rPr>
        <w:sectPr>
          <w:pgSz w:w="11906" w:h="16838"/>
          <w:pgMar w:top="1701" w:right="1531" w:bottom="1701" w:left="1531" w:header="851" w:footer="1077" w:gutter="0"/>
          <w:pgNumType w:start="1"/>
          <w:cols w:space="720" w:num="1"/>
          <w:docGrid w:linePitch="312" w:charSpace="0"/>
        </w:sectPr>
      </w:pPr>
      <w:r>
        <w:rPr>
          <w:rFonts w:hint="eastAsia"/>
          <w:b/>
          <w:bCs/>
          <w:szCs w:val="21"/>
        </w:rPr>
        <w:t>附件7排污许可证</w:t>
      </w:r>
    </w:p>
    <w:p w14:paraId="2496D2F1">
      <w:pPr>
        <w:pStyle w:val="32"/>
        <w:spacing w:before="0" w:beforeAutospacing="0" w:after="0" w:afterAutospacing="0"/>
        <w:outlineLvl w:val="0"/>
        <w:rPr>
          <w:rFonts w:ascii="黑体" w:hAnsi="黑体" w:eastAsia="黑体"/>
          <w:snapToGrid w:val="0"/>
          <w:sz w:val="30"/>
          <w:szCs w:val="30"/>
        </w:rPr>
      </w:pPr>
      <w:r>
        <w:rPr>
          <w:rFonts w:hint="eastAsia" w:ascii="黑体" w:hAnsi="黑体" w:eastAsia="黑体"/>
          <w:snapToGrid w:val="0"/>
          <w:sz w:val="30"/>
          <w:szCs w:val="30"/>
        </w:rPr>
        <w:t>一、建设项目基本情况</w:t>
      </w:r>
      <w:bookmarkEnd w:id="3"/>
    </w:p>
    <w:tbl>
      <w:tblPr>
        <w:tblStyle w:val="36"/>
        <w:tblW w:w="906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1584"/>
        <w:gridCol w:w="1935"/>
        <w:gridCol w:w="1325"/>
        <w:gridCol w:w="4218"/>
      </w:tblGrid>
      <w:tr w14:paraId="4578093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78" w:hRule="atLeast"/>
          <w:jc w:val="center"/>
        </w:trPr>
        <w:tc>
          <w:tcPr>
            <w:tcW w:w="1584" w:type="dxa"/>
            <w:tcMar>
              <w:top w:w="16" w:type="dxa"/>
              <w:left w:w="16" w:type="dxa"/>
              <w:right w:w="16" w:type="dxa"/>
            </w:tcMar>
            <w:vAlign w:val="center"/>
          </w:tcPr>
          <w:p w14:paraId="6E55B894">
            <w:pPr>
              <w:adjustRightInd w:val="0"/>
              <w:snapToGrid w:val="0"/>
              <w:jc w:val="center"/>
              <w:rPr>
                <w:szCs w:val="21"/>
              </w:rPr>
            </w:pPr>
            <w:r>
              <w:rPr>
                <w:szCs w:val="21"/>
              </w:rPr>
              <w:t>建设项目名称</w:t>
            </w:r>
          </w:p>
        </w:tc>
        <w:tc>
          <w:tcPr>
            <w:tcW w:w="7478" w:type="dxa"/>
            <w:gridSpan w:val="3"/>
            <w:vAlign w:val="center"/>
          </w:tcPr>
          <w:p w14:paraId="03AB0B9B">
            <w:pPr>
              <w:adjustRightInd w:val="0"/>
              <w:snapToGrid w:val="0"/>
              <w:jc w:val="center"/>
              <w:rPr>
                <w:rFonts w:hint="eastAsia" w:eastAsia="宋体"/>
                <w:szCs w:val="21"/>
                <w:lang w:eastAsia="zh-CN"/>
              </w:rPr>
            </w:pPr>
            <w:r>
              <w:rPr>
                <w:rFonts w:hint="eastAsia"/>
                <w:szCs w:val="21"/>
                <w:lang w:eastAsia="zh-CN"/>
              </w:rPr>
              <w:t xml:space="preserve">年产80万套螺纹保护器改建项目 </w:t>
            </w:r>
          </w:p>
        </w:tc>
      </w:tr>
      <w:tr w14:paraId="730C487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24" w:hRule="atLeast"/>
          <w:jc w:val="center"/>
        </w:trPr>
        <w:tc>
          <w:tcPr>
            <w:tcW w:w="1584" w:type="dxa"/>
            <w:tcMar>
              <w:top w:w="16" w:type="dxa"/>
              <w:left w:w="16" w:type="dxa"/>
              <w:right w:w="16" w:type="dxa"/>
            </w:tcMar>
            <w:vAlign w:val="center"/>
          </w:tcPr>
          <w:p w14:paraId="04F49CC4">
            <w:pPr>
              <w:adjustRightInd w:val="0"/>
              <w:snapToGrid w:val="0"/>
              <w:jc w:val="center"/>
              <w:rPr>
                <w:szCs w:val="21"/>
              </w:rPr>
            </w:pPr>
            <w:r>
              <w:rPr>
                <w:szCs w:val="21"/>
              </w:rPr>
              <w:t>项目代码</w:t>
            </w:r>
          </w:p>
        </w:tc>
        <w:tc>
          <w:tcPr>
            <w:tcW w:w="7478" w:type="dxa"/>
            <w:gridSpan w:val="3"/>
            <w:vAlign w:val="center"/>
          </w:tcPr>
          <w:p w14:paraId="378D3AE5">
            <w:pPr>
              <w:adjustRightInd w:val="0"/>
              <w:snapToGrid w:val="0"/>
              <w:jc w:val="center"/>
              <w:rPr>
                <w:szCs w:val="21"/>
              </w:rPr>
            </w:pPr>
            <w:r>
              <w:rPr>
                <w:rFonts w:hint="eastAsia"/>
                <w:szCs w:val="21"/>
              </w:rPr>
              <w:t>/</w:t>
            </w:r>
          </w:p>
        </w:tc>
      </w:tr>
      <w:tr w14:paraId="25049C9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83" w:hRule="atLeast"/>
          <w:jc w:val="center"/>
        </w:trPr>
        <w:tc>
          <w:tcPr>
            <w:tcW w:w="1584" w:type="dxa"/>
            <w:tcMar>
              <w:top w:w="16" w:type="dxa"/>
              <w:left w:w="16" w:type="dxa"/>
              <w:right w:w="16" w:type="dxa"/>
            </w:tcMar>
            <w:vAlign w:val="center"/>
          </w:tcPr>
          <w:p w14:paraId="1537E8B3">
            <w:pPr>
              <w:adjustRightInd w:val="0"/>
              <w:snapToGrid w:val="0"/>
              <w:jc w:val="center"/>
              <w:rPr>
                <w:szCs w:val="21"/>
              </w:rPr>
            </w:pPr>
            <w:r>
              <w:rPr>
                <w:szCs w:val="21"/>
              </w:rPr>
              <w:t>建设单位联系人</w:t>
            </w:r>
          </w:p>
        </w:tc>
        <w:tc>
          <w:tcPr>
            <w:tcW w:w="1935" w:type="dxa"/>
            <w:vAlign w:val="center"/>
          </w:tcPr>
          <w:p w14:paraId="7FEE3FF1">
            <w:pPr>
              <w:adjustRightInd w:val="0"/>
              <w:snapToGrid w:val="0"/>
              <w:jc w:val="center"/>
              <w:rPr>
                <w:szCs w:val="21"/>
              </w:rPr>
            </w:pPr>
            <w:r>
              <w:rPr>
                <w:rFonts w:hint="eastAsia"/>
                <w:szCs w:val="21"/>
              </w:rPr>
              <w:t>陈萍</w:t>
            </w:r>
          </w:p>
        </w:tc>
        <w:tc>
          <w:tcPr>
            <w:tcW w:w="1325" w:type="dxa"/>
            <w:vAlign w:val="center"/>
          </w:tcPr>
          <w:p w14:paraId="38B277E8">
            <w:pPr>
              <w:adjustRightInd w:val="0"/>
              <w:snapToGrid w:val="0"/>
              <w:jc w:val="center"/>
              <w:rPr>
                <w:szCs w:val="21"/>
              </w:rPr>
            </w:pPr>
            <w:r>
              <w:rPr>
                <w:szCs w:val="21"/>
              </w:rPr>
              <w:t>联系方式</w:t>
            </w:r>
          </w:p>
        </w:tc>
        <w:tc>
          <w:tcPr>
            <w:tcW w:w="4218" w:type="dxa"/>
            <w:vAlign w:val="center"/>
          </w:tcPr>
          <w:p w14:paraId="39AF053F">
            <w:pPr>
              <w:adjustRightInd w:val="0"/>
              <w:snapToGrid w:val="0"/>
              <w:jc w:val="center"/>
              <w:rPr>
                <w:szCs w:val="21"/>
              </w:rPr>
            </w:pPr>
            <w:r>
              <w:rPr>
                <w:rFonts w:hint="eastAsia"/>
                <w:szCs w:val="21"/>
              </w:rPr>
              <w:t>13875747066</w:t>
            </w:r>
          </w:p>
        </w:tc>
      </w:tr>
      <w:tr w14:paraId="086C117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7" w:hRule="atLeast"/>
          <w:jc w:val="center"/>
        </w:trPr>
        <w:tc>
          <w:tcPr>
            <w:tcW w:w="1584" w:type="dxa"/>
            <w:tcMar>
              <w:top w:w="16" w:type="dxa"/>
              <w:left w:w="16" w:type="dxa"/>
              <w:right w:w="16" w:type="dxa"/>
            </w:tcMar>
            <w:vAlign w:val="center"/>
          </w:tcPr>
          <w:p w14:paraId="613FB80A">
            <w:pPr>
              <w:adjustRightInd w:val="0"/>
              <w:snapToGrid w:val="0"/>
              <w:jc w:val="center"/>
              <w:rPr>
                <w:szCs w:val="21"/>
              </w:rPr>
            </w:pPr>
            <w:r>
              <w:rPr>
                <w:szCs w:val="21"/>
              </w:rPr>
              <w:t>建设地点</w:t>
            </w:r>
          </w:p>
        </w:tc>
        <w:tc>
          <w:tcPr>
            <w:tcW w:w="7478" w:type="dxa"/>
            <w:gridSpan w:val="3"/>
            <w:vAlign w:val="center"/>
          </w:tcPr>
          <w:p w14:paraId="19E51F67">
            <w:pPr>
              <w:adjustRightInd w:val="0"/>
              <w:snapToGrid w:val="0"/>
              <w:jc w:val="center"/>
              <w:rPr>
                <w:szCs w:val="21"/>
              </w:rPr>
            </w:pPr>
            <w:r>
              <w:rPr>
                <w:rFonts w:hint="eastAsia"/>
                <w:szCs w:val="21"/>
              </w:rPr>
              <w:t>衡阳市蒸湘区衡阳钢管深加工产业聚集区</w:t>
            </w:r>
          </w:p>
        </w:tc>
      </w:tr>
      <w:tr w14:paraId="6B560EB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584" w:type="dxa"/>
            <w:tcMar>
              <w:top w:w="16" w:type="dxa"/>
              <w:left w:w="16" w:type="dxa"/>
              <w:right w:w="16" w:type="dxa"/>
            </w:tcMar>
            <w:vAlign w:val="center"/>
          </w:tcPr>
          <w:p w14:paraId="5F86E9F0">
            <w:pPr>
              <w:adjustRightInd w:val="0"/>
              <w:snapToGrid w:val="0"/>
              <w:jc w:val="center"/>
              <w:rPr>
                <w:szCs w:val="21"/>
              </w:rPr>
            </w:pPr>
            <w:r>
              <w:rPr>
                <w:szCs w:val="21"/>
              </w:rPr>
              <w:t>地理坐标</w:t>
            </w:r>
          </w:p>
        </w:tc>
        <w:tc>
          <w:tcPr>
            <w:tcW w:w="7478" w:type="dxa"/>
            <w:gridSpan w:val="3"/>
            <w:vAlign w:val="center"/>
          </w:tcPr>
          <w:p w14:paraId="58B49F0A">
            <w:pPr>
              <w:adjustRightInd w:val="0"/>
              <w:snapToGrid w:val="0"/>
              <w:jc w:val="center"/>
              <w:rPr>
                <w:szCs w:val="21"/>
              </w:rPr>
            </w:pPr>
            <w:r>
              <w:rPr>
                <w:szCs w:val="21"/>
                <w:lang w:val="de-DE"/>
              </w:rPr>
              <w:t>东经：</w:t>
            </w:r>
            <w:r>
              <w:rPr>
                <w:szCs w:val="21"/>
              </w:rPr>
              <w:t>112.</w:t>
            </w:r>
            <w:r>
              <w:rPr>
                <w:rFonts w:hint="eastAsia"/>
                <w:szCs w:val="21"/>
              </w:rPr>
              <w:t>571668</w:t>
            </w:r>
            <w:r>
              <w:rPr>
                <w:szCs w:val="21"/>
              </w:rPr>
              <w:t>°</w:t>
            </w:r>
            <w:r>
              <w:rPr>
                <w:szCs w:val="21"/>
                <w:lang w:val="de-DE"/>
              </w:rPr>
              <w:t>；北纬：</w:t>
            </w:r>
            <w:r>
              <w:rPr>
                <w:szCs w:val="21"/>
              </w:rPr>
              <w:t>26.85</w:t>
            </w:r>
            <w:r>
              <w:rPr>
                <w:rFonts w:hint="eastAsia"/>
                <w:szCs w:val="21"/>
              </w:rPr>
              <w:t>5352</w:t>
            </w:r>
            <w:r>
              <w:rPr>
                <w:szCs w:val="21"/>
              </w:rPr>
              <w:t>°</w:t>
            </w:r>
          </w:p>
        </w:tc>
      </w:tr>
      <w:tr w14:paraId="31F13D9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615" w:hRule="atLeast"/>
          <w:jc w:val="center"/>
        </w:trPr>
        <w:tc>
          <w:tcPr>
            <w:tcW w:w="1584" w:type="dxa"/>
            <w:tcMar>
              <w:top w:w="16" w:type="dxa"/>
              <w:left w:w="16" w:type="dxa"/>
              <w:right w:w="16" w:type="dxa"/>
            </w:tcMar>
            <w:vAlign w:val="center"/>
          </w:tcPr>
          <w:p w14:paraId="338D62A7">
            <w:pPr>
              <w:adjustRightInd w:val="0"/>
              <w:snapToGrid w:val="0"/>
              <w:jc w:val="center"/>
              <w:rPr>
                <w:szCs w:val="21"/>
              </w:rPr>
            </w:pPr>
            <w:r>
              <w:rPr>
                <w:szCs w:val="21"/>
              </w:rPr>
              <w:t>国民经济</w:t>
            </w:r>
          </w:p>
          <w:p w14:paraId="320F2A47">
            <w:pPr>
              <w:adjustRightInd w:val="0"/>
              <w:snapToGrid w:val="0"/>
              <w:jc w:val="center"/>
              <w:rPr>
                <w:szCs w:val="21"/>
              </w:rPr>
            </w:pPr>
            <w:r>
              <w:rPr>
                <w:szCs w:val="21"/>
              </w:rPr>
              <w:t>行业类别</w:t>
            </w:r>
          </w:p>
        </w:tc>
        <w:tc>
          <w:tcPr>
            <w:tcW w:w="1935" w:type="dxa"/>
            <w:vAlign w:val="center"/>
          </w:tcPr>
          <w:p w14:paraId="752C9B58">
            <w:pPr>
              <w:adjustRightInd w:val="0"/>
              <w:snapToGrid w:val="0"/>
              <w:rPr>
                <w:rFonts w:hint="eastAsia" w:eastAsia="宋体"/>
                <w:szCs w:val="21"/>
                <w:lang w:eastAsia="zh-CN"/>
              </w:rPr>
            </w:pPr>
            <w:r>
              <w:rPr>
                <w:rFonts w:hint="eastAsia"/>
              </w:rPr>
              <w:t>C2929</w:t>
            </w:r>
            <w:r>
              <w:t>塑料零件及其他塑料制品制造</w:t>
            </w:r>
            <w:r>
              <w:rPr>
                <w:rFonts w:hint="eastAsia"/>
                <w:lang w:eastAsia="zh-CN"/>
              </w:rPr>
              <w:t>、</w:t>
            </w:r>
            <w:r>
              <w:rPr>
                <w:rFonts w:hint="eastAsia" w:cs="Times New Roman"/>
                <w:color w:val="auto"/>
                <w:sz w:val="21"/>
                <w:szCs w:val="21"/>
                <w:u w:val="none"/>
                <w:lang w:val="en-US" w:eastAsia="zh-CN"/>
              </w:rPr>
              <w:t>C3360、金属表面处理及热处理加工</w:t>
            </w:r>
          </w:p>
        </w:tc>
        <w:tc>
          <w:tcPr>
            <w:tcW w:w="1325" w:type="dxa"/>
            <w:vAlign w:val="center"/>
          </w:tcPr>
          <w:p w14:paraId="0ECCEAA0">
            <w:pPr>
              <w:adjustRightInd w:val="0"/>
              <w:snapToGrid w:val="0"/>
              <w:jc w:val="center"/>
              <w:rPr>
                <w:szCs w:val="21"/>
              </w:rPr>
            </w:pPr>
            <w:bookmarkStart w:id="4" w:name="_Hlk49843745"/>
            <w:r>
              <w:rPr>
                <w:szCs w:val="21"/>
              </w:rPr>
              <w:t>建设项目</w:t>
            </w:r>
          </w:p>
          <w:p w14:paraId="18156BDD">
            <w:pPr>
              <w:adjustRightInd w:val="0"/>
              <w:snapToGrid w:val="0"/>
              <w:jc w:val="center"/>
              <w:rPr>
                <w:szCs w:val="21"/>
              </w:rPr>
            </w:pPr>
            <w:r>
              <w:rPr>
                <w:szCs w:val="21"/>
              </w:rPr>
              <w:t>行业类别</w:t>
            </w:r>
            <w:bookmarkEnd w:id="4"/>
          </w:p>
        </w:tc>
        <w:tc>
          <w:tcPr>
            <w:tcW w:w="4218" w:type="dxa"/>
            <w:vAlign w:val="center"/>
          </w:tcPr>
          <w:p w14:paraId="181BE0A9">
            <w:pPr>
              <w:adjustRightInd w:val="0"/>
              <w:snapToGrid w:val="0"/>
              <w:jc w:val="left"/>
              <w:rPr>
                <w:rFonts w:hint="default" w:eastAsia="宋体"/>
                <w:szCs w:val="21"/>
                <w:lang w:val="en-US" w:eastAsia="zh-CN"/>
              </w:rPr>
            </w:pPr>
            <w:r>
              <w:t>二十六</w:t>
            </w:r>
            <w:r>
              <w:rPr>
                <w:rFonts w:hint="eastAsia"/>
              </w:rPr>
              <w:t>、</w:t>
            </w:r>
            <w:r>
              <w:t>橡胶和塑料制品业29</w:t>
            </w:r>
            <w:r>
              <w:rPr>
                <w:rFonts w:hint="eastAsia"/>
              </w:rPr>
              <w:t>-</w:t>
            </w:r>
            <w:r>
              <w:t>53塑料制品业</w:t>
            </w:r>
            <w:r>
              <w:rPr>
                <w:rFonts w:hint="eastAsia"/>
              </w:rPr>
              <w:t>292-其他（年用非溶剂型低 VOCs含量涂料10吨以下的除外）</w:t>
            </w:r>
            <w:r>
              <w:rPr>
                <w:rFonts w:hint="eastAsia"/>
                <w:lang w:eastAsia="zh-CN"/>
              </w:rPr>
              <w:t>、</w:t>
            </w:r>
            <w:r>
              <w:rPr>
                <w:rFonts w:hint="eastAsia" w:cs="Times New Roman"/>
                <w:color w:val="auto"/>
                <w:sz w:val="21"/>
                <w:szCs w:val="21"/>
                <w:u w:val="none"/>
                <w:lang w:val="en-US" w:eastAsia="zh-CN"/>
              </w:rPr>
              <w:t>三十、金属制品业33----67、金属表面处理及热处理加工，其他(年用非溶剂型低VOC</w:t>
            </w:r>
            <w:r>
              <w:rPr>
                <w:rFonts w:hint="eastAsia" w:cs="Times New Roman"/>
                <w:color w:val="auto"/>
                <w:sz w:val="21"/>
                <w:szCs w:val="21"/>
                <w:u w:val="none"/>
                <w:vertAlign w:val="subscript"/>
                <w:lang w:val="en-US" w:eastAsia="zh-CN"/>
              </w:rPr>
              <w:t>S</w:t>
            </w:r>
            <w:r>
              <w:rPr>
                <w:rFonts w:hint="eastAsia" w:cs="Times New Roman"/>
                <w:color w:val="auto"/>
                <w:sz w:val="21"/>
                <w:szCs w:val="21"/>
                <w:u w:val="none"/>
                <w:lang w:val="en-US" w:eastAsia="zh-CN"/>
              </w:rPr>
              <w:t>含量涂料10吨以下的除外)</w:t>
            </w:r>
          </w:p>
        </w:tc>
      </w:tr>
      <w:tr w14:paraId="798E787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219" w:hRule="atLeast"/>
          <w:jc w:val="center"/>
        </w:trPr>
        <w:tc>
          <w:tcPr>
            <w:tcW w:w="1584" w:type="dxa"/>
            <w:tcMar>
              <w:top w:w="16" w:type="dxa"/>
              <w:left w:w="16" w:type="dxa"/>
              <w:right w:w="16" w:type="dxa"/>
            </w:tcMar>
            <w:vAlign w:val="center"/>
          </w:tcPr>
          <w:p w14:paraId="017139A4">
            <w:pPr>
              <w:adjustRightInd w:val="0"/>
              <w:snapToGrid w:val="0"/>
              <w:jc w:val="center"/>
              <w:rPr>
                <w:szCs w:val="21"/>
              </w:rPr>
            </w:pPr>
            <w:r>
              <w:rPr>
                <w:szCs w:val="21"/>
              </w:rPr>
              <w:t>建设性质</w:t>
            </w:r>
          </w:p>
        </w:tc>
        <w:tc>
          <w:tcPr>
            <w:tcW w:w="1935" w:type="dxa"/>
            <w:vAlign w:val="center"/>
          </w:tcPr>
          <w:p w14:paraId="64A80660">
            <w:pPr>
              <w:jc w:val="left"/>
              <w:rPr>
                <w:szCs w:val="21"/>
              </w:rPr>
            </w:pPr>
            <w:r>
              <w:rPr>
                <w:szCs w:val="21"/>
              </w:rPr>
              <w:sym w:font="Wingdings 2" w:char="00A3"/>
            </w:r>
            <w:r>
              <w:rPr>
                <w:szCs w:val="21"/>
              </w:rPr>
              <w:t>新建</w:t>
            </w:r>
          </w:p>
          <w:p w14:paraId="535B230E">
            <w:pPr>
              <w:jc w:val="left"/>
              <w:rPr>
                <w:szCs w:val="21"/>
              </w:rPr>
            </w:pPr>
            <w:r>
              <w:rPr>
                <w:szCs w:val="21"/>
              </w:rPr>
              <w:sym w:font="Wingdings 2" w:char="0052"/>
            </w:r>
            <w:r>
              <w:rPr>
                <w:szCs w:val="21"/>
              </w:rPr>
              <w:t>改建</w:t>
            </w:r>
          </w:p>
          <w:p w14:paraId="2B03EA8F">
            <w:pPr>
              <w:jc w:val="left"/>
              <w:rPr>
                <w:szCs w:val="21"/>
              </w:rPr>
            </w:pPr>
            <w:r>
              <w:rPr>
                <w:szCs w:val="21"/>
              </w:rPr>
              <w:sym w:font="Wingdings 2" w:char="00A3"/>
            </w:r>
            <w:r>
              <w:rPr>
                <w:szCs w:val="21"/>
              </w:rPr>
              <w:t>扩建</w:t>
            </w:r>
          </w:p>
          <w:p w14:paraId="53EB1079">
            <w:pPr>
              <w:jc w:val="left"/>
              <w:rPr>
                <w:szCs w:val="21"/>
              </w:rPr>
            </w:pPr>
            <w:r>
              <w:rPr>
                <w:szCs w:val="21"/>
              </w:rPr>
              <w:sym w:font="Wingdings 2" w:char="00A3"/>
            </w:r>
            <w:r>
              <w:rPr>
                <w:szCs w:val="21"/>
              </w:rPr>
              <w:t>技术改造</w:t>
            </w:r>
          </w:p>
        </w:tc>
        <w:tc>
          <w:tcPr>
            <w:tcW w:w="1325" w:type="dxa"/>
            <w:vAlign w:val="center"/>
          </w:tcPr>
          <w:p w14:paraId="117555B4">
            <w:pPr>
              <w:adjustRightInd w:val="0"/>
              <w:snapToGrid w:val="0"/>
              <w:jc w:val="center"/>
              <w:rPr>
                <w:szCs w:val="21"/>
              </w:rPr>
            </w:pPr>
            <w:r>
              <w:rPr>
                <w:szCs w:val="21"/>
              </w:rPr>
              <w:t>建设项目</w:t>
            </w:r>
          </w:p>
          <w:p w14:paraId="558C3497">
            <w:pPr>
              <w:adjustRightInd w:val="0"/>
              <w:snapToGrid w:val="0"/>
              <w:jc w:val="center"/>
              <w:rPr>
                <w:szCs w:val="21"/>
              </w:rPr>
            </w:pPr>
            <w:r>
              <w:rPr>
                <w:szCs w:val="21"/>
              </w:rPr>
              <w:t>申报情形</w:t>
            </w:r>
          </w:p>
        </w:tc>
        <w:tc>
          <w:tcPr>
            <w:tcW w:w="4218" w:type="dxa"/>
            <w:vAlign w:val="center"/>
          </w:tcPr>
          <w:p w14:paraId="5DBEF959">
            <w:pPr>
              <w:jc w:val="left"/>
              <w:rPr>
                <w:szCs w:val="21"/>
              </w:rPr>
            </w:pPr>
            <w:r>
              <w:rPr>
                <w:szCs w:val="21"/>
              </w:rPr>
              <w:sym w:font="Wingdings 2" w:char="0052"/>
            </w:r>
            <w:r>
              <w:rPr>
                <w:szCs w:val="21"/>
              </w:rPr>
              <w:t xml:space="preserve">首次申报项目             </w:t>
            </w:r>
          </w:p>
          <w:p w14:paraId="6F729B68">
            <w:pPr>
              <w:jc w:val="left"/>
              <w:rPr>
                <w:szCs w:val="21"/>
              </w:rPr>
            </w:pPr>
            <w:r>
              <w:rPr>
                <w:szCs w:val="21"/>
              </w:rPr>
              <w:sym w:font="Wingdings 2" w:char="00A3"/>
            </w:r>
            <w:r>
              <w:rPr>
                <w:szCs w:val="21"/>
              </w:rPr>
              <w:t>不予批准后再次申报项目</w:t>
            </w:r>
          </w:p>
          <w:p w14:paraId="2E64FC62">
            <w:pPr>
              <w:jc w:val="left"/>
              <w:rPr>
                <w:szCs w:val="21"/>
              </w:rPr>
            </w:pPr>
            <w:r>
              <w:rPr>
                <w:szCs w:val="21"/>
              </w:rPr>
              <w:sym w:font="Wingdings 2" w:char="00A3"/>
            </w:r>
            <w:r>
              <w:rPr>
                <w:szCs w:val="21"/>
              </w:rPr>
              <w:t xml:space="preserve">超五年重新审核项目     </w:t>
            </w:r>
          </w:p>
          <w:p w14:paraId="320F54BE">
            <w:pPr>
              <w:jc w:val="left"/>
              <w:rPr>
                <w:szCs w:val="21"/>
              </w:rPr>
            </w:pPr>
            <w:r>
              <w:rPr>
                <w:szCs w:val="21"/>
              </w:rPr>
              <w:sym w:font="Wingdings 2" w:char="00A3"/>
            </w:r>
            <w:r>
              <w:rPr>
                <w:szCs w:val="21"/>
              </w:rPr>
              <w:t>重大变动重新报批项目</w:t>
            </w:r>
          </w:p>
        </w:tc>
      </w:tr>
      <w:tr w14:paraId="6C91A7B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660" w:hRule="atLeast"/>
          <w:jc w:val="center"/>
        </w:trPr>
        <w:tc>
          <w:tcPr>
            <w:tcW w:w="1584" w:type="dxa"/>
            <w:tcMar>
              <w:top w:w="16" w:type="dxa"/>
              <w:left w:w="16" w:type="dxa"/>
              <w:right w:w="16" w:type="dxa"/>
            </w:tcMar>
            <w:vAlign w:val="center"/>
          </w:tcPr>
          <w:p w14:paraId="72A8A775">
            <w:pPr>
              <w:adjustRightInd w:val="0"/>
              <w:snapToGrid w:val="0"/>
              <w:jc w:val="center"/>
              <w:rPr>
                <w:szCs w:val="21"/>
              </w:rPr>
            </w:pPr>
            <w:r>
              <w:rPr>
                <w:szCs w:val="21"/>
              </w:rPr>
              <w:t>项目审批（核准/</w:t>
            </w:r>
          </w:p>
          <w:p w14:paraId="59FC9969">
            <w:pPr>
              <w:adjustRightInd w:val="0"/>
              <w:snapToGrid w:val="0"/>
              <w:jc w:val="center"/>
              <w:rPr>
                <w:szCs w:val="21"/>
              </w:rPr>
            </w:pPr>
            <w:r>
              <w:rPr>
                <w:szCs w:val="21"/>
              </w:rPr>
              <w:t>备案）部门（选填）</w:t>
            </w:r>
          </w:p>
        </w:tc>
        <w:tc>
          <w:tcPr>
            <w:tcW w:w="1935" w:type="dxa"/>
            <w:vAlign w:val="center"/>
          </w:tcPr>
          <w:p w14:paraId="1EB41C9D">
            <w:pPr>
              <w:adjustRightInd w:val="0"/>
              <w:snapToGrid w:val="0"/>
              <w:jc w:val="center"/>
              <w:rPr>
                <w:szCs w:val="21"/>
              </w:rPr>
            </w:pPr>
            <w:r>
              <w:rPr>
                <w:rFonts w:hint="eastAsia"/>
                <w:szCs w:val="21"/>
              </w:rPr>
              <w:t>/</w:t>
            </w:r>
          </w:p>
        </w:tc>
        <w:tc>
          <w:tcPr>
            <w:tcW w:w="1325" w:type="dxa"/>
            <w:vAlign w:val="center"/>
          </w:tcPr>
          <w:p w14:paraId="4870453F">
            <w:pPr>
              <w:adjustRightInd w:val="0"/>
              <w:snapToGrid w:val="0"/>
              <w:jc w:val="center"/>
              <w:rPr>
                <w:szCs w:val="21"/>
              </w:rPr>
            </w:pPr>
            <w:r>
              <w:rPr>
                <w:szCs w:val="21"/>
              </w:rPr>
              <w:t>项目审批（核准/备案）文号（选填）</w:t>
            </w:r>
          </w:p>
        </w:tc>
        <w:tc>
          <w:tcPr>
            <w:tcW w:w="4218" w:type="dxa"/>
            <w:vAlign w:val="center"/>
          </w:tcPr>
          <w:p w14:paraId="12B0E107">
            <w:pPr>
              <w:adjustRightInd w:val="0"/>
              <w:snapToGrid w:val="0"/>
              <w:jc w:val="center"/>
              <w:rPr>
                <w:szCs w:val="21"/>
              </w:rPr>
            </w:pPr>
            <w:r>
              <w:rPr>
                <w:rFonts w:hint="eastAsia"/>
                <w:szCs w:val="21"/>
              </w:rPr>
              <w:t xml:space="preserve"> </w:t>
            </w:r>
            <w:r>
              <w:rPr>
                <w:szCs w:val="21"/>
              </w:rPr>
              <w:t>/</w:t>
            </w:r>
          </w:p>
        </w:tc>
      </w:tr>
      <w:tr w14:paraId="3D35ED3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584" w:type="dxa"/>
            <w:tcMar>
              <w:top w:w="16" w:type="dxa"/>
              <w:left w:w="16" w:type="dxa"/>
              <w:right w:w="16" w:type="dxa"/>
            </w:tcMar>
            <w:vAlign w:val="center"/>
          </w:tcPr>
          <w:p w14:paraId="1E07197E">
            <w:pPr>
              <w:adjustRightInd w:val="0"/>
              <w:snapToGrid w:val="0"/>
              <w:jc w:val="center"/>
              <w:rPr>
                <w:szCs w:val="21"/>
              </w:rPr>
            </w:pPr>
            <w:r>
              <w:rPr>
                <w:szCs w:val="21"/>
              </w:rPr>
              <w:t>总投资（万元）</w:t>
            </w:r>
          </w:p>
        </w:tc>
        <w:tc>
          <w:tcPr>
            <w:tcW w:w="1935" w:type="dxa"/>
            <w:vAlign w:val="center"/>
          </w:tcPr>
          <w:p w14:paraId="5765DB4C">
            <w:pPr>
              <w:adjustRightInd w:val="0"/>
              <w:snapToGrid w:val="0"/>
              <w:jc w:val="center"/>
              <w:rPr>
                <w:szCs w:val="21"/>
              </w:rPr>
            </w:pPr>
            <w:r>
              <w:rPr>
                <w:rFonts w:hint="eastAsia"/>
                <w:szCs w:val="21"/>
              </w:rPr>
              <w:t>500</w:t>
            </w:r>
          </w:p>
        </w:tc>
        <w:tc>
          <w:tcPr>
            <w:tcW w:w="1325" w:type="dxa"/>
            <w:tcMar>
              <w:top w:w="16" w:type="dxa"/>
              <w:left w:w="16" w:type="dxa"/>
              <w:right w:w="16" w:type="dxa"/>
            </w:tcMar>
            <w:vAlign w:val="center"/>
          </w:tcPr>
          <w:p w14:paraId="7103383C">
            <w:pPr>
              <w:adjustRightInd w:val="0"/>
              <w:snapToGrid w:val="0"/>
              <w:jc w:val="center"/>
              <w:rPr>
                <w:szCs w:val="21"/>
              </w:rPr>
            </w:pPr>
            <w:r>
              <w:rPr>
                <w:szCs w:val="21"/>
              </w:rPr>
              <w:t>环保投（万元）</w:t>
            </w:r>
          </w:p>
        </w:tc>
        <w:tc>
          <w:tcPr>
            <w:tcW w:w="4218" w:type="dxa"/>
            <w:vAlign w:val="center"/>
          </w:tcPr>
          <w:p w14:paraId="0034F381">
            <w:pPr>
              <w:adjustRightInd w:val="0"/>
              <w:snapToGrid w:val="0"/>
              <w:jc w:val="center"/>
              <w:rPr>
                <w:szCs w:val="21"/>
              </w:rPr>
            </w:pPr>
            <w:r>
              <w:rPr>
                <w:rFonts w:hint="eastAsia"/>
                <w:szCs w:val="21"/>
              </w:rPr>
              <w:t>50</w:t>
            </w:r>
          </w:p>
        </w:tc>
      </w:tr>
      <w:tr w14:paraId="7205FB4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584" w:type="dxa"/>
            <w:tcMar>
              <w:top w:w="16" w:type="dxa"/>
              <w:left w:w="16" w:type="dxa"/>
              <w:right w:w="16" w:type="dxa"/>
            </w:tcMar>
            <w:vAlign w:val="center"/>
          </w:tcPr>
          <w:p w14:paraId="7CF5D580">
            <w:pPr>
              <w:adjustRightInd w:val="0"/>
              <w:snapToGrid w:val="0"/>
              <w:jc w:val="center"/>
              <w:rPr>
                <w:szCs w:val="21"/>
              </w:rPr>
            </w:pPr>
            <w:r>
              <w:rPr>
                <w:szCs w:val="21"/>
              </w:rPr>
              <w:t>环保投资占比（%）</w:t>
            </w:r>
          </w:p>
        </w:tc>
        <w:tc>
          <w:tcPr>
            <w:tcW w:w="1935" w:type="dxa"/>
            <w:vAlign w:val="center"/>
          </w:tcPr>
          <w:p w14:paraId="3F627A39">
            <w:pPr>
              <w:adjustRightInd w:val="0"/>
              <w:snapToGrid w:val="0"/>
              <w:jc w:val="center"/>
              <w:rPr>
                <w:szCs w:val="21"/>
              </w:rPr>
            </w:pPr>
            <w:r>
              <w:rPr>
                <w:rFonts w:hint="eastAsia"/>
                <w:szCs w:val="21"/>
              </w:rPr>
              <w:t>10</w:t>
            </w:r>
          </w:p>
        </w:tc>
        <w:tc>
          <w:tcPr>
            <w:tcW w:w="1325" w:type="dxa"/>
            <w:tcMar>
              <w:top w:w="16" w:type="dxa"/>
              <w:left w:w="16" w:type="dxa"/>
              <w:right w:w="16" w:type="dxa"/>
            </w:tcMar>
            <w:vAlign w:val="center"/>
          </w:tcPr>
          <w:p w14:paraId="4773CA91">
            <w:pPr>
              <w:adjustRightInd w:val="0"/>
              <w:snapToGrid w:val="0"/>
              <w:jc w:val="center"/>
              <w:rPr>
                <w:szCs w:val="21"/>
              </w:rPr>
            </w:pPr>
            <w:r>
              <w:rPr>
                <w:szCs w:val="21"/>
              </w:rPr>
              <w:t>施工工期</w:t>
            </w:r>
          </w:p>
        </w:tc>
        <w:tc>
          <w:tcPr>
            <w:tcW w:w="4218" w:type="dxa"/>
            <w:vAlign w:val="center"/>
          </w:tcPr>
          <w:p w14:paraId="1629D2D0">
            <w:pPr>
              <w:adjustRightInd w:val="0"/>
              <w:snapToGrid w:val="0"/>
              <w:jc w:val="center"/>
              <w:rPr>
                <w:szCs w:val="21"/>
              </w:rPr>
            </w:pPr>
            <w:r>
              <w:rPr>
                <w:rFonts w:hint="eastAsia"/>
                <w:szCs w:val="21"/>
              </w:rPr>
              <w:t>2</w:t>
            </w:r>
            <w:r>
              <w:rPr>
                <w:szCs w:val="21"/>
              </w:rPr>
              <w:t>个月</w:t>
            </w:r>
          </w:p>
        </w:tc>
      </w:tr>
      <w:tr w14:paraId="0F70F98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70" w:hRule="atLeast"/>
          <w:jc w:val="center"/>
        </w:trPr>
        <w:tc>
          <w:tcPr>
            <w:tcW w:w="1584" w:type="dxa"/>
            <w:tcMar>
              <w:top w:w="16" w:type="dxa"/>
              <w:left w:w="16" w:type="dxa"/>
              <w:right w:w="16" w:type="dxa"/>
            </w:tcMar>
            <w:vAlign w:val="center"/>
          </w:tcPr>
          <w:p w14:paraId="434B0A76">
            <w:pPr>
              <w:adjustRightInd w:val="0"/>
              <w:snapToGrid w:val="0"/>
              <w:jc w:val="center"/>
              <w:rPr>
                <w:szCs w:val="21"/>
              </w:rPr>
            </w:pPr>
            <w:r>
              <w:rPr>
                <w:szCs w:val="21"/>
              </w:rPr>
              <w:t>是否开工建设</w:t>
            </w:r>
          </w:p>
        </w:tc>
        <w:tc>
          <w:tcPr>
            <w:tcW w:w="1935" w:type="dxa"/>
            <w:vAlign w:val="center"/>
          </w:tcPr>
          <w:p w14:paraId="45835412">
            <w:pPr>
              <w:adjustRightInd w:val="0"/>
              <w:snapToGrid w:val="0"/>
              <w:rPr>
                <w:szCs w:val="21"/>
              </w:rPr>
            </w:pPr>
            <w:r>
              <w:rPr>
                <w:szCs w:val="21"/>
              </w:rPr>
              <w:sym w:font="Wingdings 2" w:char="0052"/>
            </w:r>
            <w:r>
              <w:rPr>
                <w:szCs w:val="21"/>
              </w:rPr>
              <w:t>否</w:t>
            </w:r>
          </w:p>
          <w:p w14:paraId="41AAE25F">
            <w:pPr>
              <w:adjustRightInd w:val="0"/>
              <w:snapToGrid w:val="0"/>
              <w:rPr>
                <w:szCs w:val="21"/>
              </w:rPr>
            </w:pPr>
            <w:r>
              <w:rPr>
                <w:szCs w:val="21"/>
              </w:rPr>
              <w:sym w:font="Wingdings 2" w:char="F0A3"/>
            </w:r>
            <w:r>
              <w:rPr>
                <w:szCs w:val="21"/>
              </w:rPr>
              <w:t xml:space="preserve">是：             </w:t>
            </w:r>
          </w:p>
        </w:tc>
        <w:tc>
          <w:tcPr>
            <w:tcW w:w="1325" w:type="dxa"/>
            <w:tcMar>
              <w:top w:w="16" w:type="dxa"/>
              <w:left w:w="16" w:type="dxa"/>
              <w:right w:w="16" w:type="dxa"/>
            </w:tcMar>
            <w:vAlign w:val="center"/>
          </w:tcPr>
          <w:p w14:paraId="6768CA99">
            <w:pPr>
              <w:adjustRightInd w:val="0"/>
              <w:snapToGrid w:val="0"/>
              <w:jc w:val="center"/>
              <w:rPr>
                <w:spacing w:val="-6"/>
                <w:szCs w:val="21"/>
              </w:rPr>
            </w:pPr>
            <w:r>
              <w:rPr>
                <w:spacing w:val="-6"/>
                <w:szCs w:val="21"/>
              </w:rPr>
              <w:t>用地（用海）</w:t>
            </w:r>
          </w:p>
          <w:p w14:paraId="7880C03B">
            <w:pPr>
              <w:adjustRightInd w:val="0"/>
              <w:snapToGrid w:val="0"/>
              <w:jc w:val="center"/>
              <w:rPr>
                <w:szCs w:val="21"/>
              </w:rPr>
            </w:pPr>
            <w:r>
              <w:rPr>
                <w:spacing w:val="-6"/>
                <w:szCs w:val="21"/>
              </w:rPr>
              <w:t>面积（m</w:t>
            </w:r>
            <w:r>
              <w:rPr>
                <w:spacing w:val="-6"/>
                <w:szCs w:val="21"/>
                <w:vertAlign w:val="superscript"/>
              </w:rPr>
              <w:t>2</w:t>
            </w:r>
            <w:r>
              <w:rPr>
                <w:spacing w:val="-6"/>
                <w:szCs w:val="21"/>
              </w:rPr>
              <w:t>）</w:t>
            </w:r>
          </w:p>
        </w:tc>
        <w:tc>
          <w:tcPr>
            <w:tcW w:w="4218" w:type="dxa"/>
            <w:vAlign w:val="center"/>
          </w:tcPr>
          <w:p w14:paraId="3A104BC3">
            <w:pPr>
              <w:adjustRightInd w:val="0"/>
              <w:snapToGrid w:val="0"/>
              <w:jc w:val="center"/>
              <w:rPr>
                <w:szCs w:val="21"/>
              </w:rPr>
            </w:pPr>
            <w:r>
              <w:rPr>
                <w:rFonts w:hint="eastAsia"/>
                <w:szCs w:val="21"/>
              </w:rPr>
              <w:t>8750</w:t>
            </w:r>
          </w:p>
        </w:tc>
      </w:tr>
      <w:tr w14:paraId="4968882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04" w:hRule="atLeast"/>
          <w:jc w:val="center"/>
        </w:trPr>
        <w:tc>
          <w:tcPr>
            <w:tcW w:w="1584" w:type="dxa"/>
            <w:vAlign w:val="center"/>
          </w:tcPr>
          <w:p w14:paraId="194E3538">
            <w:pPr>
              <w:autoSpaceDE w:val="0"/>
              <w:autoSpaceDN w:val="0"/>
              <w:adjustRightInd w:val="0"/>
              <w:snapToGrid w:val="0"/>
              <w:jc w:val="center"/>
              <w:rPr>
                <w:kern w:val="0"/>
                <w:szCs w:val="21"/>
              </w:rPr>
            </w:pPr>
            <w:r>
              <w:rPr>
                <w:kern w:val="0"/>
                <w:szCs w:val="21"/>
              </w:rPr>
              <w:t>专项评价设置情况</w:t>
            </w:r>
          </w:p>
        </w:tc>
        <w:tc>
          <w:tcPr>
            <w:tcW w:w="7478" w:type="dxa"/>
            <w:gridSpan w:val="3"/>
            <w:vAlign w:val="center"/>
          </w:tcPr>
          <w:p w14:paraId="35DEFF0C">
            <w:pPr>
              <w:autoSpaceDE w:val="0"/>
              <w:autoSpaceDN w:val="0"/>
              <w:adjustRightInd w:val="0"/>
              <w:snapToGrid w:val="0"/>
              <w:spacing w:line="360" w:lineRule="auto"/>
              <w:ind w:firstLine="480" w:firstLineChars="200"/>
              <w:jc w:val="left"/>
              <w:rPr>
                <w:kern w:val="0"/>
                <w:sz w:val="24"/>
              </w:rPr>
            </w:pPr>
            <w:r>
              <w:rPr>
                <w:kern w:val="0"/>
                <w:sz w:val="24"/>
              </w:rPr>
              <w:t>根据《建设项目环境影响报告表编制技术指南（污染类）（试行）》，土壤、声环境不开展专项评价，地下水原则上不开展专项评价。项目工程专项评价设置情况参照表1专项评价设置原则表，具体见表</w:t>
            </w:r>
            <w:r>
              <w:rPr>
                <w:rFonts w:hint="eastAsia"/>
                <w:kern w:val="0"/>
                <w:sz w:val="24"/>
              </w:rPr>
              <w:t>1-1</w:t>
            </w:r>
            <w:r>
              <w:rPr>
                <w:kern w:val="0"/>
                <w:sz w:val="24"/>
              </w:rPr>
              <w:t>。</w:t>
            </w:r>
          </w:p>
          <w:p w14:paraId="131FE411">
            <w:pPr>
              <w:autoSpaceDE w:val="0"/>
              <w:autoSpaceDN w:val="0"/>
              <w:adjustRightInd w:val="0"/>
              <w:snapToGrid w:val="0"/>
              <w:spacing w:line="360" w:lineRule="auto"/>
              <w:ind w:firstLine="480" w:firstLineChars="200"/>
              <w:jc w:val="left"/>
              <w:rPr>
                <w:kern w:val="0"/>
                <w:sz w:val="24"/>
              </w:rPr>
            </w:pPr>
            <w:r>
              <w:rPr>
                <w:kern w:val="0"/>
                <w:sz w:val="24"/>
              </w:rPr>
              <w:t>对照专项评价设置原则表，具体如下表：</w:t>
            </w:r>
          </w:p>
          <w:p w14:paraId="52E8F892">
            <w:pPr>
              <w:pStyle w:val="15"/>
              <w:spacing w:before="0" w:after="0" w:line="240" w:lineRule="auto"/>
              <w:ind w:right="0"/>
              <w:jc w:val="center"/>
              <w:rPr>
                <w:b/>
                <w:bCs/>
                <w:sz w:val="21"/>
                <w:szCs w:val="21"/>
              </w:rPr>
            </w:pPr>
            <w:r>
              <w:rPr>
                <w:b/>
                <w:bCs/>
                <w:sz w:val="21"/>
                <w:szCs w:val="21"/>
              </w:rPr>
              <w:t>表1-1  专项评价设置对照一览表</w:t>
            </w:r>
          </w:p>
          <w:tbl>
            <w:tblPr>
              <w:tblStyle w:val="36"/>
              <w:tblW w:w="7231"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28" w:type="dxa"/>
                <w:left w:w="57" w:type="dxa"/>
                <w:bottom w:w="28" w:type="dxa"/>
                <w:right w:w="57" w:type="dxa"/>
              </w:tblCellMar>
            </w:tblPr>
            <w:tblGrid>
              <w:gridCol w:w="772"/>
              <w:gridCol w:w="3166"/>
              <w:gridCol w:w="3293"/>
            </w:tblGrid>
            <w:tr w14:paraId="407EF0A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57" w:type="dxa"/>
                  <w:bottom w:w="28" w:type="dxa"/>
                  <w:right w:w="57" w:type="dxa"/>
                </w:tblCellMar>
              </w:tblPrEx>
              <w:tc>
                <w:tcPr>
                  <w:tcW w:w="772" w:type="dxa"/>
                  <w:vAlign w:val="center"/>
                </w:tcPr>
                <w:p w14:paraId="1983D4F4">
                  <w:pPr>
                    <w:autoSpaceDE w:val="0"/>
                    <w:autoSpaceDN w:val="0"/>
                    <w:adjustRightInd w:val="0"/>
                    <w:snapToGrid w:val="0"/>
                    <w:jc w:val="center"/>
                    <w:rPr>
                      <w:b/>
                      <w:bCs/>
                      <w:kern w:val="0"/>
                      <w:szCs w:val="21"/>
                    </w:rPr>
                  </w:pPr>
                  <w:r>
                    <w:rPr>
                      <w:b/>
                      <w:bCs/>
                      <w:kern w:val="0"/>
                      <w:szCs w:val="21"/>
                    </w:rPr>
                    <w:t>类别</w:t>
                  </w:r>
                </w:p>
              </w:tc>
              <w:tc>
                <w:tcPr>
                  <w:tcW w:w="3166" w:type="dxa"/>
                  <w:vAlign w:val="center"/>
                </w:tcPr>
                <w:p w14:paraId="0E5E5FD1">
                  <w:pPr>
                    <w:autoSpaceDE w:val="0"/>
                    <w:autoSpaceDN w:val="0"/>
                    <w:adjustRightInd w:val="0"/>
                    <w:snapToGrid w:val="0"/>
                    <w:jc w:val="center"/>
                    <w:rPr>
                      <w:b/>
                      <w:bCs/>
                      <w:kern w:val="0"/>
                      <w:szCs w:val="21"/>
                    </w:rPr>
                  </w:pPr>
                  <w:r>
                    <w:rPr>
                      <w:b/>
                      <w:bCs/>
                      <w:kern w:val="0"/>
                      <w:szCs w:val="21"/>
                    </w:rPr>
                    <w:t>涉及项目类别</w:t>
                  </w:r>
                </w:p>
              </w:tc>
              <w:tc>
                <w:tcPr>
                  <w:tcW w:w="3293" w:type="dxa"/>
                  <w:vAlign w:val="center"/>
                </w:tcPr>
                <w:p w14:paraId="041C45C2">
                  <w:pPr>
                    <w:autoSpaceDE w:val="0"/>
                    <w:autoSpaceDN w:val="0"/>
                    <w:adjustRightInd w:val="0"/>
                    <w:snapToGrid w:val="0"/>
                    <w:jc w:val="center"/>
                    <w:rPr>
                      <w:b/>
                      <w:bCs/>
                      <w:kern w:val="0"/>
                      <w:szCs w:val="21"/>
                    </w:rPr>
                  </w:pPr>
                  <w:r>
                    <w:rPr>
                      <w:b/>
                      <w:bCs/>
                      <w:kern w:val="0"/>
                      <w:szCs w:val="21"/>
                    </w:rPr>
                    <w:t>本项目</w:t>
                  </w:r>
                </w:p>
              </w:tc>
            </w:tr>
            <w:tr w14:paraId="38578A6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57" w:type="dxa"/>
                  <w:bottom w:w="28" w:type="dxa"/>
                  <w:right w:w="57" w:type="dxa"/>
                </w:tblCellMar>
              </w:tblPrEx>
              <w:tc>
                <w:tcPr>
                  <w:tcW w:w="772" w:type="dxa"/>
                  <w:vAlign w:val="center"/>
                </w:tcPr>
                <w:p w14:paraId="51912AD5">
                  <w:pPr>
                    <w:autoSpaceDE w:val="0"/>
                    <w:autoSpaceDN w:val="0"/>
                    <w:adjustRightInd w:val="0"/>
                    <w:snapToGrid w:val="0"/>
                    <w:jc w:val="center"/>
                    <w:rPr>
                      <w:kern w:val="0"/>
                      <w:szCs w:val="21"/>
                    </w:rPr>
                  </w:pPr>
                  <w:r>
                    <w:rPr>
                      <w:kern w:val="0"/>
                      <w:szCs w:val="21"/>
                    </w:rPr>
                    <w:t>大气</w:t>
                  </w:r>
                </w:p>
              </w:tc>
              <w:tc>
                <w:tcPr>
                  <w:tcW w:w="3166" w:type="dxa"/>
                  <w:vAlign w:val="center"/>
                </w:tcPr>
                <w:p w14:paraId="4E7A14BD">
                  <w:pPr>
                    <w:autoSpaceDE w:val="0"/>
                    <w:autoSpaceDN w:val="0"/>
                    <w:adjustRightInd w:val="0"/>
                    <w:snapToGrid w:val="0"/>
                    <w:jc w:val="center"/>
                    <w:rPr>
                      <w:kern w:val="0"/>
                      <w:szCs w:val="21"/>
                    </w:rPr>
                  </w:pPr>
                  <w:r>
                    <w:rPr>
                      <w:kern w:val="0"/>
                      <w:szCs w:val="21"/>
                    </w:rPr>
                    <w:t>排放废气含有毒有害污染物、二噁英、苯并[a]芘、氰化物、氯气且厂界外500米范围内有环境空气保护目标的建设项目</w:t>
                  </w:r>
                </w:p>
              </w:tc>
              <w:tc>
                <w:tcPr>
                  <w:tcW w:w="3293" w:type="dxa"/>
                  <w:vAlign w:val="center"/>
                </w:tcPr>
                <w:p w14:paraId="057DA5B7">
                  <w:pPr>
                    <w:autoSpaceDE w:val="0"/>
                    <w:autoSpaceDN w:val="0"/>
                    <w:adjustRightInd w:val="0"/>
                    <w:snapToGrid w:val="0"/>
                    <w:jc w:val="left"/>
                    <w:rPr>
                      <w:kern w:val="0"/>
                      <w:szCs w:val="21"/>
                    </w:rPr>
                  </w:pPr>
                  <w:r>
                    <w:rPr>
                      <w:rFonts w:hint="eastAsia"/>
                      <w:kern w:val="0"/>
                      <w:szCs w:val="21"/>
                    </w:rPr>
                    <w:t>本项目排放废气不涉及有毒有害污染物、二噁英、苯并[a]芘、氰化物、氯气。</w:t>
                  </w:r>
                </w:p>
              </w:tc>
            </w:tr>
            <w:tr w14:paraId="3CD82B1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57" w:type="dxa"/>
                  <w:bottom w:w="28" w:type="dxa"/>
                  <w:right w:w="57" w:type="dxa"/>
                </w:tblCellMar>
              </w:tblPrEx>
              <w:tc>
                <w:tcPr>
                  <w:tcW w:w="772" w:type="dxa"/>
                  <w:vAlign w:val="center"/>
                </w:tcPr>
                <w:p w14:paraId="5E9F42B4">
                  <w:pPr>
                    <w:autoSpaceDE w:val="0"/>
                    <w:autoSpaceDN w:val="0"/>
                    <w:adjustRightInd w:val="0"/>
                    <w:snapToGrid w:val="0"/>
                    <w:jc w:val="center"/>
                    <w:rPr>
                      <w:kern w:val="0"/>
                      <w:szCs w:val="21"/>
                    </w:rPr>
                  </w:pPr>
                  <w:r>
                    <w:rPr>
                      <w:kern w:val="0"/>
                      <w:szCs w:val="21"/>
                    </w:rPr>
                    <w:t>地表水</w:t>
                  </w:r>
                </w:p>
              </w:tc>
              <w:tc>
                <w:tcPr>
                  <w:tcW w:w="3166" w:type="dxa"/>
                  <w:vAlign w:val="center"/>
                </w:tcPr>
                <w:p w14:paraId="0E831887">
                  <w:pPr>
                    <w:autoSpaceDE w:val="0"/>
                    <w:autoSpaceDN w:val="0"/>
                    <w:adjustRightInd w:val="0"/>
                    <w:snapToGrid w:val="0"/>
                    <w:jc w:val="center"/>
                    <w:rPr>
                      <w:kern w:val="0"/>
                      <w:szCs w:val="21"/>
                    </w:rPr>
                  </w:pPr>
                  <w:r>
                    <w:rPr>
                      <w:kern w:val="0"/>
                      <w:szCs w:val="21"/>
                    </w:rPr>
                    <w:t>新增工业废水直排建设项目（槽罐车外送污水处理厂的除外）；新增废水直排的污水集中处理厂</w:t>
                  </w:r>
                </w:p>
              </w:tc>
              <w:tc>
                <w:tcPr>
                  <w:tcW w:w="3293" w:type="dxa"/>
                  <w:vAlign w:val="center"/>
                </w:tcPr>
                <w:p w14:paraId="7A7DCA3F">
                  <w:pPr>
                    <w:autoSpaceDE w:val="0"/>
                    <w:autoSpaceDN w:val="0"/>
                    <w:adjustRightInd w:val="0"/>
                    <w:snapToGrid w:val="0"/>
                    <w:jc w:val="left"/>
                    <w:rPr>
                      <w:kern w:val="0"/>
                      <w:szCs w:val="21"/>
                    </w:rPr>
                  </w:pPr>
                  <w:r>
                    <w:rPr>
                      <w:rFonts w:hint="eastAsia"/>
                      <w:szCs w:val="21"/>
                    </w:rPr>
                    <w:t>本项目无生产废水外排；生活污水间接排放，</w:t>
                  </w:r>
                  <w:r>
                    <w:rPr>
                      <w:kern w:val="0"/>
                      <w:szCs w:val="21"/>
                    </w:rPr>
                    <w:t>不属于</w:t>
                  </w:r>
                  <w:r>
                    <w:rPr>
                      <w:rFonts w:hint="eastAsia"/>
                      <w:kern w:val="0"/>
                      <w:szCs w:val="21"/>
                    </w:rPr>
                    <w:t>废水</w:t>
                  </w:r>
                  <w:r>
                    <w:rPr>
                      <w:kern w:val="0"/>
                      <w:szCs w:val="21"/>
                    </w:rPr>
                    <w:t>直排项目。</w:t>
                  </w:r>
                </w:p>
              </w:tc>
            </w:tr>
            <w:tr w14:paraId="1881478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57" w:type="dxa"/>
                  <w:bottom w:w="28" w:type="dxa"/>
                  <w:right w:w="57" w:type="dxa"/>
                </w:tblCellMar>
              </w:tblPrEx>
              <w:tc>
                <w:tcPr>
                  <w:tcW w:w="772" w:type="dxa"/>
                  <w:vAlign w:val="center"/>
                </w:tcPr>
                <w:p w14:paraId="12AFD764">
                  <w:pPr>
                    <w:autoSpaceDE w:val="0"/>
                    <w:autoSpaceDN w:val="0"/>
                    <w:adjustRightInd w:val="0"/>
                    <w:snapToGrid w:val="0"/>
                    <w:jc w:val="center"/>
                    <w:rPr>
                      <w:kern w:val="0"/>
                      <w:szCs w:val="21"/>
                    </w:rPr>
                  </w:pPr>
                  <w:r>
                    <w:rPr>
                      <w:kern w:val="0"/>
                      <w:szCs w:val="21"/>
                    </w:rPr>
                    <w:t>环境风险</w:t>
                  </w:r>
                </w:p>
              </w:tc>
              <w:tc>
                <w:tcPr>
                  <w:tcW w:w="3166" w:type="dxa"/>
                  <w:vAlign w:val="center"/>
                </w:tcPr>
                <w:p w14:paraId="393EA45D">
                  <w:pPr>
                    <w:autoSpaceDE w:val="0"/>
                    <w:autoSpaceDN w:val="0"/>
                    <w:adjustRightInd w:val="0"/>
                    <w:snapToGrid w:val="0"/>
                    <w:jc w:val="center"/>
                    <w:rPr>
                      <w:kern w:val="0"/>
                      <w:szCs w:val="21"/>
                    </w:rPr>
                  </w:pPr>
                  <w:r>
                    <w:rPr>
                      <w:kern w:val="0"/>
                      <w:szCs w:val="21"/>
                    </w:rPr>
                    <w:t>有毒有害和易燃易爆危险物质存储量超过临界量的建设项目</w:t>
                  </w:r>
                </w:p>
              </w:tc>
              <w:tc>
                <w:tcPr>
                  <w:tcW w:w="3293" w:type="dxa"/>
                  <w:vAlign w:val="center"/>
                </w:tcPr>
                <w:p w14:paraId="4DC83482">
                  <w:pPr>
                    <w:autoSpaceDE w:val="0"/>
                    <w:autoSpaceDN w:val="0"/>
                    <w:adjustRightInd w:val="0"/>
                    <w:snapToGrid w:val="0"/>
                    <w:jc w:val="center"/>
                    <w:rPr>
                      <w:kern w:val="0"/>
                      <w:szCs w:val="21"/>
                    </w:rPr>
                  </w:pPr>
                  <w:r>
                    <w:rPr>
                      <w:kern w:val="0"/>
                      <w:szCs w:val="21"/>
                    </w:rPr>
                    <w:t>根据本项目风险评价章节的Q值核算结果：Q＜1，故本项目不需开展环境风险专项评价工作</w:t>
                  </w:r>
                </w:p>
              </w:tc>
            </w:tr>
            <w:tr w14:paraId="68009F9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57" w:type="dxa"/>
                  <w:bottom w:w="28" w:type="dxa"/>
                  <w:right w:w="57" w:type="dxa"/>
                </w:tblCellMar>
              </w:tblPrEx>
              <w:tc>
                <w:tcPr>
                  <w:tcW w:w="772" w:type="dxa"/>
                  <w:vAlign w:val="center"/>
                </w:tcPr>
                <w:p w14:paraId="1C87CBF8">
                  <w:pPr>
                    <w:autoSpaceDE w:val="0"/>
                    <w:autoSpaceDN w:val="0"/>
                    <w:adjustRightInd w:val="0"/>
                    <w:snapToGrid w:val="0"/>
                    <w:jc w:val="center"/>
                    <w:rPr>
                      <w:kern w:val="0"/>
                      <w:szCs w:val="21"/>
                    </w:rPr>
                  </w:pPr>
                  <w:r>
                    <w:rPr>
                      <w:kern w:val="0"/>
                      <w:szCs w:val="21"/>
                    </w:rPr>
                    <w:t>生态</w:t>
                  </w:r>
                </w:p>
              </w:tc>
              <w:tc>
                <w:tcPr>
                  <w:tcW w:w="3166" w:type="dxa"/>
                  <w:vAlign w:val="center"/>
                </w:tcPr>
                <w:p w14:paraId="65FF0BF7">
                  <w:pPr>
                    <w:autoSpaceDE w:val="0"/>
                    <w:autoSpaceDN w:val="0"/>
                    <w:adjustRightInd w:val="0"/>
                    <w:snapToGrid w:val="0"/>
                    <w:jc w:val="center"/>
                    <w:rPr>
                      <w:kern w:val="0"/>
                      <w:szCs w:val="21"/>
                    </w:rPr>
                  </w:pPr>
                  <w:r>
                    <w:rPr>
                      <w:kern w:val="0"/>
                      <w:szCs w:val="21"/>
                    </w:rPr>
                    <w:t>取水口下游500米范围内有重要水生生物的自然产卵场、索饵场、越冬场和洄游通道的新增河道取水的污染类建设项目</w:t>
                  </w:r>
                </w:p>
              </w:tc>
              <w:tc>
                <w:tcPr>
                  <w:tcW w:w="3293" w:type="dxa"/>
                  <w:vAlign w:val="center"/>
                </w:tcPr>
                <w:p w14:paraId="159E5954">
                  <w:pPr>
                    <w:autoSpaceDE w:val="0"/>
                    <w:autoSpaceDN w:val="0"/>
                    <w:adjustRightInd w:val="0"/>
                    <w:snapToGrid w:val="0"/>
                    <w:jc w:val="center"/>
                    <w:rPr>
                      <w:kern w:val="0"/>
                      <w:szCs w:val="21"/>
                    </w:rPr>
                  </w:pPr>
                  <w:r>
                    <w:rPr>
                      <w:kern w:val="0"/>
                      <w:szCs w:val="21"/>
                    </w:rPr>
                    <w:t>本项目</w:t>
                  </w:r>
                  <w:r>
                    <w:rPr>
                      <w:rFonts w:hint="eastAsia"/>
                      <w:kern w:val="0"/>
                      <w:szCs w:val="21"/>
                    </w:rPr>
                    <w:t>不涉及。</w:t>
                  </w:r>
                </w:p>
              </w:tc>
            </w:tr>
            <w:tr w14:paraId="1B6F1FB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57" w:type="dxa"/>
                  <w:bottom w:w="28" w:type="dxa"/>
                  <w:right w:w="57" w:type="dxa"/>
                </w:tblCellMar>
              </w:tblPrEx>
              <w:tc>
                <w:tcPr>
                  <w:tcW w:w="772" w:type="dxa"/>
                  <w:vAlign w:val="center"/>
                </w:tcPr>
                <w:p w14:paraId="73A5A55B">
                  <w:pPr>
                    <w:autoSpaceDE w:val="0"/>
                    <w:autoSpaceDN w:val="0"/>
                    <w:adjustRightInd w:val="0"/>
                    <w:snapToGrid w:val="0"/>
                    <w:jc w:val="center"/>
                    <w:rPr>
                      <w:kern w:val="0"/>
                      <w:szCs w:val="21"/>
                    </w:rPr>
                  </w:pPr>
                  <w:r>
                    <w:rPr>
                      <w:kern w:val="0"/>
                      <w:szCs w:val="21"/>
                    </w:rPr>
                    <w:t>海洋</w:t>
                  </w:r>
                </w:p>
              </w:tc>
              <w:tc>
                <w:tcPr>
                  <w:tcW w:w="3166" w:type="dxa"/>
                  <w:vAlign w:val="center"/>
                </w:tcPr>
                <w:p w14:paraId="01807C0A">
                  <w:pPr>
                    <w:autoSpaceDE w:val="0"/>
                    <w:autoSpaceDN w:val="0"/>
                    <w:adjustRightInd w:val="0"/>
                    <w:snapToGrid w:val="0"/>
                    <w:jc w:val="center"/>
                    <w:rPr>
                      <w:kern w:val="0"/>
                      <w:szCs w:val="21"/>
                    </w:rPr>
                  </w:pPr>
                  <w:r>
                    <w:rPr>
                      <w:kern w:val="0"/>
                      <w:szCs w:val="21"/>
                    </w:rPr>
                    <w:t>直接向海排放污染物的海洋工程建设项目</w:t>
                  </w:r>
                </w:p>
              </w:tc>
              <w:tc>
                <w:tcPr>
                  <w:tcW w:w="3293" w:type="dxa"/>
                  <w:vAlign w:val="center"/>
                </w:tcPr>
                <w:p w14:paraId="3FB08339">
                  <w:pPr>
                    <w:autoSpaceDE w:val="0"/>
                    <w:autoSpaceDN w:val="0"/>
                    <w:adjustRightInd w:val="0"/>
                    <w:snapToGrid w:val="0"/>
                    <w:jc w:val="center"/>
                    <w:rPr>
                      <w:kern w:val="0"/>
                      <w:szCs w:val="21"/>
                    </w:rPr>
                  </w:pPr>
                  <w:r>
                    <w:rPr>
                      <w:rFonts w:hint="eastAsia"/>
                      <w:szCs w:val="21"/>
                    </w:rPr>
                    <w:t>本项目不涉及。</w:t>
                  </w:r>
                </w:p>
              </w:tc>
            </w:tr>
            <w:tr w14:paraId="3B48ADE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57" w:type="dxa"/>
                  <w:bottom w:w="28" w:type="dxa"/>
                  <w:right w:w="57" w:type="dxa"/>
                </w:tblCellMar>
              </w:tblPrEx>
              <w:tc>
                <w:tcPr>
                  <w:tcW w:w="7231" w:type="dxa"/>
                  <w:gridSpan w:val="3"/>
                  <w:vAlign w:val="center"/>
                </w:tcPr>
                <w:p w14:paraId="463CB1D1">
                  <w:pPr>
                    <w:autoSpaceDE w:val="0"/>
                    <w:autoSpaceDN w:val="0"/>
                    <w:adjustRightInd w:val="0"/>
                    <w:snapToGrid w:val="0"/>
                    <w:jc w:val="left"/>
                    <w:rPr>
                      <w:kern w:val="0"/>
                      <w:szCs w:val="21"/>
                    </w:rPr>
                  </w:pPr>
                  <w:r>
                    <w:rPr>
                      <w:kern w:val="0"/>
                      <w:szCs w:val="21"/>
                    </w:rPr>
                    <w:t>注：1.废气中有毒有害污染物指纳入《有毒有害大气污染物名录》的污染物（不包括无排放标准的污染物）。</w:t>
                  </w:r>
                </w:p>
                <w:p w14:paraId="6C646558">
                  <w:pPr>
                    <w:autoSpaceDE w:val="0"/>
                    <w:autoSpaceDN w:val="0"/>
                    <w:adjustRightInd w:val="0"/>
                    <w:snapToGrid w:val="0"/>
                    <w:jc w:val="left"/>
                    <w:rPr>
                      <w:kern w:val="0"/>
                      <w:szCs w:val="21"/>
                    </w:rPr>
                  </w:pPr>
                  <w:r>
                    <w:rPr>
                      <w:kern w:val="0"/>
                      <w:szCs w:val="21"/>
                    </w:rPr>
                    <w:t>2.环境空气保护目标指自然保护区、风景名胜区、居住区、文化区和农村地区中人群较集中的区域。</w:t>
                  </w:r>
                </w:p>
                <w:p w14:paraId="2B7AEA3C">
                  <w:pPr>
                    <w:autoSpaceDE w:val="0"/>
                    <w:autoSpaceDN w:val="0"/>
                    <w:adjustRightInd w:val="0"/>
                    <w:snapToGrid w:val="0"/>
                    <w:jc w:val="left"/>
                    <w:rPr>
                      <w:kern w:val="0"/>
                      <w:szCs w:val="21"/>
                    </w:rPr>
                  </w:pPr>
                  <w:r>
                    <w:rPr>
                      <w:kern w:val="0"/>
                      <w:szCs w:val="21"/>
                    </w:rPr>
                    <w:t>3.临界量及其计算方法可参考《建设项目环境风险评价技术导则》（HJ169）附录B、附录C。</w:t>
                  </w:r>
                </w:p>
              </w:tc>
            </w:tr>
          </w:tbl>
          <w:p w14:paraId="4CF135E2">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pPr>
            <w:r>
              <w:rPr>
                <w:rFonts w:hint="eastAsia"/>
              </w:rPr>
              <w:t>根据上表分析，本项目不涉及上表中专项评价设置原则要求，故无需设置专项评价。</w:t>
            </w:r>
          </w:p>
        </w:tc>
      </w:tr>
      <w:tr w14:paraId="5F92C5C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1584" w:type="dxa"/>
            <w:vAlign w:val="center"/>
          </w:tcPr>
          <w:p w14:paraId="46BD9152">
            <w:pPr>
              <w:autoSpaceDE w:val="0"/>
              <w:autoSpaceDN w:val="0"/>
              <w:adjustRightInd w:val="0"/>
              <w:snapToGrid w:val="0"/>
              <w:jc w:val="center"/>
              <w:rPr>
                <w:rFonts w:ascii="宋体" w:hAnsi="宋体" w:cs="宋体"/>
                <w:kern w:val="0"/>
                <w:szCs w:val="21"/>
              </w:rPr>
            </w:pPr>
            <w:r>
              <w:rPr>
                <w:rFonts w:hint="eastAsia" w:ascii="宋体" w:hAnsi="宋体" w:cs="宋体"/>
                <w:szCs w:val="21"/>
              </w:rPr>
              <w:t>规划情况</w:t>
            </w:r>
          </w:p>
        </w:tc>
        <w:tc>
          <w:tcPr>
            <w:tcW w:w="7478" w:type="dxa"/>
            <w:gridSpan w:val="3"/>
            <w:vAlign w:val="center"/>
          </w:tcPr>
          <w:p w14:paraId="72133F81">
            <w:pPr>
              <w:autoSpaceDE w:val="0"/>
              <w:autoSpaceDN w:val="0"/>
              <w:adjustRightInd w:val="0"/>
              <w:snapToGrid w:val="0"/>
              <w:spacing w:line="360" w:lineRule="auto"/>
              <w:ind w:firstLine="420" w:firstLineChars="200"/>
              <w:jc w:val="center"/>
              <w:rPr>
                <w:rFonts w:hint="eastAsia" w:eastAsia="宋体"/>
                <w:lang w:val="en-US" w:eastAsia="zh-CN"/>
              </w:rPr>
            </w:pPr>
            <w:r>
              <w:rPr>
                <w:rFonts w:hint="eastAsia"/>
                <w:lang w:val="en-US" w:eastAsia="zh-CN"/>
              </w:rPr>
              <w:t>无</w:t>
            </w:r>
          </w:p>
        </w:tc>
      </w:tr>
      <w:tr w14:paraId="3877EDD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584" w:type="dxa"/>
            <w:vAlign w:val="center"/>
          </w:tcPr>
          <w:p w14:paraId="76B5F516">
            <w:pPr>
              <w:adjustRightInd w:val="0"/>
              <w:snapToGrid w:val="0"/>
              <w:jc w:val="center"/>
              <w:rPr>
                <w:rFonts w:ascii="宋体" w:hAnsi="宋体" w:cs="宋体"/>
                <w:kern w:val="0"/>
                <w:szCs w:val="21"/>
              </w:rPr>
            </w:pPr>
            <w:r>
              <w:rPr>
                <w:rFonts w:hint="eastAsia" w:ascii="宋体" w:hAnsi="宋体" w:cs="宋体"/>
                <w:szCs w:val="21"/>
              </w:rPr>
              <w:t>规划环境影响评价情况</w:t>
            </w:r>
          </w:p>
        </w:tc>
        <w:tc>
          <w:tcPr>
            <w:tcW w:w="7478" w:type="dxa"/>
            <w:gridSpan w:val="3"/>
            <w:vAlign w:val="center"/>
          </w:tcPr>
          <w:p w14:paraId="4391615C">
            <w:pPr>
              <w:autoSpaceDE w:val="0"/>
              <w:autoSpaceDN w:val="0"/>
              <w:adjustRightInd w:val="0"/>
              <w:snapToGrid w:val="0"/>
              <w:spacing w:line="360" w:lineRule="auto"/>
              <w:ind w:firstLine="420" w:firstLineChars="200"/>
              <w:jc w:val="center"/>
              <w:rPr>
                <w:rFonts w:hint="eastAsia" w:eastAsia="宋体"/>
                <w:lang w:val="en-US" w:eastAsia="zh-CN"/>
              </w:rPr>
            </w:pPr>
            <w:r>
              <w:rPr>
                <w:rFonts w:hint="eastAsia"/>
                <w:lang w:val="en-US" w:eastAsia="zh-CN"/>
              </w:rPr>
              <w:t>无</w:t>
            </w:r>
          </w:p>
        </w:tc>
      </w:tr>
      <w:tr w14:paraId="5329A10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74" w:hRule="atLeast"/>
          <w:jc w:val="center"/>
        </w:trPr>
        <w:tc>
          <w:tcPr>
            <w:tcW w:w="1584" w:type="dxa"/>
            <w:vAlign w:val="center"/>
          </w:tcPr>
          <w:p w14:paraId="6D2AC444">
            <w:pPr>
              <w:autoSpaceDE w:val="0"/>
              <w:autoSpaceDN w:val="0"/>
              <w:adjustRightInd w:val="0"/>
              <w:snapToGrid w:val="0"/>
              <w:jc w:val="center"/>
              <w:rPr>
                <w:rFonts w:ascii="宋体" w:hAnsi="宋体" w:cs="宋体"/>
                <w:color w:val="FF0000"/>
                <w:kern w:val="0"/>
                <w:szCs w:val="21"/>
              </w:rPr>
            </w:pPr>
            <w:r>
              <w:rPr>
                <w:rFonts w:hint="eastAsia" w:ascii="宋体" w:hAnsi="宋体" w:cs="宋体"/>
                <w:kern w:val="0"/>
                <w:szCs w:val="21"/>
              </w:rPr>
              <w:t>规划及规划环境影响评价符合性分析</w:t>
            </w:r>
          </w:p>
        </w:tc>
        <w:tc>
          <w:tcPr>
            <w:tcW w:w="7478" w:type="dxa"/>
            <w:gridSpan w:val="3"/>
            <w:vAlign w:val="center"/>
          </w:tcPr>
          <w:p w14:paraId="1E8C0D1D">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center"/>
              <w:textAlignment w:val="auto"/>
              <w:rPr>
                <w:rFonts w:hint="eastAsia" w:eastAsia="宋体"/>
                <w:lang w:val="en-US" w:eastAsia="zh-CN"/>
              </w:rPr>
            </w:pPr>
            <w:r>
              <w:rPr>
                <w:rFonts w:hint="eastAsia"/>
                <w:lang w:val="en-US" w:eastAsia="zh-CN"/>
              </w:rPr>
              <w:t>无</w:t>
            </w:r>
          </w:p>
        </w:tc>
      </w:tr>
      <w:tr w14:paraId="691D715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8" w:hRule="atLeast"/>
          <w:jc w:val="center"/>
        </w:trPr>
        <w:tc>
          <w:tcPr>
            <w:tcW w:w="1584" w:type="dxa"/>
            <w:vAlign w:val="center"/>
          </w:tcPr>
          <w:p w14:paraId="45DD00DF">
            <w:pPr>
              <w:autoSpaceDE w:val="0"/>
              <w:autoSpaceDN w:val="0"/>
              <w:adjustRightInd w:val="0"/>
              <w:snapToGrid w:val="0"/>
              <w:jc w:val="center"/>
              <w:rPr>
                <w:rFonts w:ascii="宋体" w:hAnsi="宋体" w:cs="宋体"/>
                <w:kern w:val="0"/>
                <w:szCs w:val="21"/>
              </w:rPr>
            </w:pPr>
            <w:r>
              <w:rPr>
                <w:rFonts w:hint="eastAsia" w:ascii="宋体" w:hAnsi="宋体" w:cs="宋体"/>
                <w:kern w:val="0"/>
                <w:sz w:val="24"/>
              </w:rPr>
              <w:t>其他符合性分析</w:t>
            </w:r>
          </w:p>
        </w:tc>
        <w:tc>
          <w:tcPr>
            <w:tcW w:w="7478" w:type="dxa"/>
            <w:gridSpan w:val="3"/>
            <w:vAlign w:val="center"/>
          </w:tcPr>
          <w:p w14:paraId="5427C89E">
            <w:pPr>
              <w:pStyle w:val="57"/>
              <w:ind w:firstLine="482"/>
              <w:rPr>
                <w:rFonts w:hint="default" w:ascii="Times New Roman" w:hAnsi="Times New Roman" w:cs="Times New Roman"/>
                <w:b/>
                <w:bCs/>
              </w:rPr>
            </w:pPr>
            <w:r>
              <w:rPr>
                <w:rFonts w:hint="default" w:ascii="Times New Roman" w:hAnsi="Times New Roman" w:cs="Times New Roman"/>
                <w:b/>
                <w:bCs/>
              </w:rPr>
              <w:t>1、产业政策符合性分析</w:t>
            </w:r>
          </w:p>
          <w:p w14:paraId="55522F6F">
            <w:pPr>
              <w:pStyle w:val="57"/>
              <w:ind w:firstLine="480"/>
              <w:rPr>
                <w:rFonts w:hint="default" w:ascii="Times New Roman" w:hAnsi="Times New Roman" w:cs="Times New Roman"/>
              </w:rPr>
            </w:pPr>
            <w:r>
              <w:rPr>
                <w:rFonts w:hint="default" w:ascii="Times New Roman" w:hAnsi="Times New Roman" w:cs="Times New Roman"/>
              </w:rPr>
              <w:t>根据《国民经济行业分类》（GB/T4754-2017）关于国民经济行业的分类，本项目属于“二十六、橡胶和塑料制品业中、C2926塑料零件及其他塑料制品制造</w:t>
            </w:r>
            <w:r>
              <w:rPr>
                <w:rFonts w:hint="default" w:ascii="Times New Roman" w:hAnsi="Times New Roman" w:cs="Times New Roman"/>
                <w:lang w:val="en-US" w:eastAsia="zh-CN"/>
              </w:rPr>
              <w:t>和三十、金属制品业中、C3360金属表面处理及热处理加工</w:t>
            </w:r>
            <w:r>
              <w:rPr>
                <w:rFonts w:hint="default" w:ascii="Times New Roman" w:hAnsi="Times New Roman" w:cs="Times New Roman"/>
                <w:bCs/>
                <w:color w:val="000000"/>
              </w:rPr>
              <w:t>”建设项目</w:t>
            </w:r>
            <w:r>
              <w:rPr>
                <w:rFonts w:hint="default" w:ascii="Times New Roman" w:hAnsi="Times New Roman" w:cs="Times New Roman"/>
              </w:rPr>
              <w:t>，对照中华人民共和国发展改革委员会发布的《产业结构调整指导目录》（2024年本），本项目不属于“鼓励类”、“限制类”和“淘汰类”。依据国务院关于发布实施《促进产业结构调整暂行规定》的决定（国发（2005）40号）第十三条《产业结构调整指导目录》由鼓励、限制和淘汰三类目录组成，不属于鼓励类、限制类和淘汰类但符合国家有关法律、法规和政策规定的可视为允许类。故本项目属于允许类。根据《部分工业行业淘汰落后生产工艺装备和产品指导目录》 （2010年本），本项目所选设备不属于工业行业淘汰落后生产工艺装备。</w:t>
            </w:r>
          </w:p>
          <w:p w14:paraId="2D84CE60">
            <w:pPr>
              <w:pStyle w:val="57"/>
              <w:ind w:firstLine="480"/>
              <w:rPr>
                <w:rFonts w:hint="default" w:ascii="Times New Roman" w:hAnsi="Times New Roman" w:cs="Times New Roman"/>
              </w:rPr>
            </w:pPr>
            <w:r>
              <w:rPr>
                <w:rFonts w:hint="default" w:ascii="Times New Roman" w:hAnsi="Times New Roman" w:cs="Times New Roman"/>
              </w:rPr>
              <w:t>综上所述，本项目符合国家现行相关产业政策。</w:t>
            </w:r>
          </w:p>
          <w:p w14:paraId="45B94108">
            <w:pPr>
              <w:autoSpaceDE w:val="0"/>
              <w:autoSpaceDN w:val="0"/>
              <w:spacing w:line="360" w:lineRule="auto"/>
              <w:ind w:firstLine="482" w:firstLineChars="200"/>
              <w:jc w:val="left"/>
              <w:rPr>
                <w:rFonts w:hint="default" w:ascii="Times New Roman" w:hAnsi="Times New Roman" w:cs="Times New Roman"/>
                <w:b/>
                <w:bCs/>
                <w:sz w:val="24"/>
              </w:rPr>
            </w:pPr>
            <w:r>
              <w:rPr>
                <w:rFonts w:hint="default" w:ascii="Times New Roman" w:hAnsi="Times New Roman" w:cs="Times New Roman"/>
                <w:b/>
                <w:bCs/>
                <w:sz w:val="24"/>
              </w:rPr>
              <w:t>2、选址合理性分析</w:t>
            </w:r>
          </w:p>
          <w:p w14:paraId="1F22B8C9">
            <w:pPr>
              <w:tabs>
                <w:tab w:val="left" w:pos="3990"/>
              </w:tabs>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本项目位于衡阳市蒸湘区衡阳钢管深加工产业聚集区，项目东</w:t>
            </w:r>
            <w:r>
              <w:rPr>
                <w:rFonts w:hint="default" w:ascii="Times New Roman" w:hAnsi="Times New Roman" w:cs="Times New Roman"/>
                <w:sz w:val="24"/>
                <w:lang w:val="en-US" w:eastAsia="zh-CN"/>
              </w:rPr>
              <w:t>面为林地</w:t>
            </w:r>
            <w:r>
              <w:rPr>
                <w:rFonts w:hint="default" w:ascii="Times New Roman" w:hAnsi="Times New Roman" w:cs="Times New Roman"/>
                <w:sz w:val="24"/>
                <w:lang w:eastAsia="zh-CN"/>
              </w:rPr>
              <w:t>，</w:t>
            </w:r>
            <w:r>
              <w:rPr>
                <w:rFonts w:hint="default" w:ascii="Times New Roman" w:hAnsi="Times New Roman" w:cs="Times New Roman"/>
                <w:sz w:val="24"/>
              </w:rPr>
              <w:t>南</w:t>
            </w:r>
            <w:r>
              <w:rPr>
                <w:rFonts w:hint="default" w:ascii="Times New Roman" w:hAnsi="Times New Roman" w:cs="Times New Roman"/>
                <w:sz w:val="24"/>
                <w:lang w:val="en-US" w:eastAsia="zh-CN"/>
              </w:rPr>
              <w:t>面为衡阳鸿宇机械制造有限公司</w:t>
            </w:r>
            <w:r>
              <w:rPr>
                <w:rFonts w:hint="default" w:ascii="Times New Roman" w:hAnsi="Times New Roman" w:cs="Times New Roman"/>
                <w:sz w:val="24"/>
              </w:rPr>
              <w:t>、</w:t>
            </w:r>
            <w:r>
              <w:rPr>
                <w:rFonts w:hint="default" w:ascii="Times New Roman" w:hAnsi="Times New Roman" w:cs="Times New Roman"/>
                <w:sz w:val="24"/>
                <w:lang w:val="en-US" w:eastAsia="zh-CN"/>
              </w:rPr>
              <w:t>西南面为衡阳衡钢鸿华物流有限公司，西北面为衡阳鸿锦石油钻具有限公司，</w:t>
            </w:r>
            <w:r>
              <w:rPr>
                <w:rFonts w:hint="default" w:ascii="Times New Roman" w:hAnsi="Times New Roman" w:cs="Times New Roman"/>
                <w:sz w:val="24"/>
              </w:rPr>
              <w:t>北面为</w:t>
            </w:r>
            <w:r>
              <w:rPr>
                <w:rFonts w:hint="default" w:ascii="Times New Roman" w:hAnsi="Times New Roman" w:cs="Times New Roman"/>
                <w:sz w:val="24"/>
                <w:lang w:val="en-US" w:eastAsia="zh-CN"/>
              </w:rPr>
              <w:t>衡阳鸿宇机械制造有限公司</w:t>
            </w:r>
            <w:r>
              <w:rPr>
                <w:rFonts w:hint="default" w:ascii="Times New Roman" w:hAnsi="Times New Roman" w:cs="Times New Roman"/>
                <w:sz w:val="24"/>
              </w:rPr>
              <w:t>，西面城市道路，项目用地属二类工业用地。项目选址不在饮用水源保护区、自然保护区等生态敏感区域，与城市土地利用规划不冲突，符合城市土地利用的总体规划，不涉及占用永久基本农田和生态公益林，本项目在采取必要的环保措施后，其建设运营对周边环境影响不大，同时对照《自然资源要素支撑产业高质量发展指导目录（2024年本）》，项目不属于其中的限制、禁止用地项目范围。综上，本项目选址符合用地规划，选址合理。</w:t>
            </w:r>
          </w:p>
          <w:p w14:paraId="4BCE4242">
            <w:pPr>
              <w:pStyle w:val="109"/>
              <w:ind w:firstLine="482"/>
              <w:rPr>
                <w:rFonts w:hint="default" w:ascii="Times New Roman" w:hAnsi="Times New Roman" w:cs="Times New Roman"/>
                <w:b/>
                <w:bCs/>
              </w:rPr>
            </w:pPr>
            <w:r>
              <w:rPr>
                <w:rFonts w:hint="default" w:ascii="Times New Roman" w:hAnsi="Times New Roman" w:cs="Times New Roman"/>
                <w:b/>
                <w:bCs/>
              </w:rPr>
              <w:t>3、生态环境分区管控符合性分析</w:t>
            </w:r>
          </w:p>
          <w:p w14:paraId="6EE49477">
            <w:pPr>
              <w:spacing w:after="2" w:line="360" w:lineRule="auto"/>
              <w:ind w:firstLine="480" w:firstLineChars="200"/>
              <w:rPr>
                <w:rFonts w:hint="default" w:ascii="Times New Roman" w:hAnsi="Times New Roman" w:cs="Times New Roman"/>
                <w:color w:val="auto"/>
                <w:sz w:val="24"/>
                <w:szCs w:val="22"/>
              </w:rPr>
            </w:pPr>
            <w:r>
              <w:rPr>
                <w:rFonts w:hint="default" w:ascii="Times New Roman" w:hAnsi="Times New Roman" w:cs="Times New Roman"/>
                <w:color w:val="auto"/>
                <w:sz w:val="24"/>
                <w:szCs w:val="22"/>
              </w:rPr>
              <w:t>本项目位于衡阳市蒸湘区衡阳钢管深加工产业聚集区，</w:t>
            </w:r>
            <w:r>
              <w:rPr>
                <w:rFonts w:hint="default" w:ascii="Times New Roman" w:hAnsi="Times New Roman" w:cs="Times New Roman"/>
                <w:color w:val="auto"/>
                <w:sz w:val="24"/>
              </w:rPr>
              <w:t>根据2024年12月衡阳市生态环境局发布《关于发布衡阳市生态环境分区管控更新成果（2023年版）的通知》（衡环发〔2024〕194号），提出了空间布局、污染物排放、环境风险、资源开发利用等方面禁止和限制的环境准入要求。项目位于衡阳蒸湘区内，属于重点管控单元，</w:t>
            </w:r>
            <w:r>
              <w:rPr>
                <w:rFonts w:hint="default" w:ascii="Times New Roman" w:hAnsi="Times New Roman" w:cs="Times New Roman"/>
                <w:color w:val="auto"/>
                <w:sz w:val="24"/>
                <w:szCs w:val="22"/>
              </w:rPr>
              <w:t>环境管控单元编码为ZH43040820002</w:t>
            </w:r>
            <w:r>
              <w:rPr>
                <w:rFonts w:hint="default" w:ascii="Times New Roman" w:hAnsi="Times New Roman" w:cs="Times New Roman"/>
                <w:color w:val="auto"/>
                <w:sz w:val="24"/>
              </w:rPr>
              <w:t>，相符性分析详见表1-2。</w:t>
            </w:r>
          </w:p>
          <w:p w14:paraId="6C32C6DC">
            <w:pPr>
              <w:spacing w:beforeLines="50"/>
              <w:jc w:val="center"/>
              <w:rPr>
                <w:rFonts w:hint="default" w:ascii="Times New Roman" w:hAnsi="Times New Roman" w:cs="Times New Roman"/>
                <w:b/>
                <w:color w:val="auto"/>
                <w:szCs w:val="22"/>
              </w:rPr>
            </w:pPr>
            <w:r>
              <w:rPr>
                <w:rFonts w:hint="default" w:ascii="Times New Roman" w:hAnsi="Times New Roman" w:cs="Times New Roman"/>
                <w:b/>
                <w:color w:val="auto"/>
                <w:szCs w:val="22"/>
              </w:rPr>
              <w:t>表1-2    衡阳蒸湘区生态环境分区管控基本内容情况</w:t>
            </w:r>
          </w:p>
          <w:tbl>
            <w:tblPr>
              <w:tblStyle w:val="37"/>
              <w:tblW w:w="7437"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74"/>
              <w:gridCol w:w="1740"/>
              <w:gridCol w:w="5023"/>
            </w:tblGrid>
            <w:tr w14:paraId="34820EE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414" w:type="dxa"/>
                  <w:gridSpan w:val="2"/>
                  <w:tcBorders>
                    <w:tl2br w:val="nil"/>
                    <w:tr2bl w:val="nil"/>
                  </w:tcBorders>
                  <w:vAlign w:val="center"/>
                </w:tcPr>
                <w:p w14:paraId="03D6D269">
                  <w:pPr>
                    <w:jc w:val="center"/>
                    <w:rPr>
                      <w:rFonts w:hint="default" w:ascii="Times New Roman" w:hAnsi="Times New Roman" w:cs="Times New Roman"/>
                      <w:color w:val="auto"/>
                    </w:rPr>
                  </w:pPr>
                  <w:r>
                    <w:rPr>
                      <w:rFonts w:hint="default" w:ascii="Times New Roman" w:hAnsi="Times New Roman" w:cs="Times New Roman"/>
                      <w:color w:val="auto"/>
                    </w:rPr>
                    <w:t>环境管控单元编码</w:t>
                  </w:r>
                </w:p>
              </w:tc>
              <w:tc>
                <w:tcPr>
                  <w:tcW w:w="5023" w:type="dxa"/>
                  <w:tcBorders>
                    <w:tl2br w:val="nil"/>
                    <w:tr2bl w:val="nil"/>
                  </w:tcBorders>
                  <w:vAlign w:val="center"/>
                </w:tcPr>
                <w:p w14:paraId="23665BCA">
                  <w:pPr>
                    <w:jc w:val="center"/>
                    <w:rPr>
                      <w:rFonts w:hint="default" w:ascii="Times New Roman" w:hAnsi="Times New Roman" w:cs="Times New Roman"/>
                      <w:color w:val="auto"/>
                    </w:rPr>
                  </w:pPr>
                  <w:r>
                    <w:rPr>
                      <w:rFonts w:hint="default" w:ascii="Times New Roman" w:hAnsi="Times New Roman" w:cs="Times New Roman"/>
                      <w:color w:val="auto"/>
                    </w:rPr>
                    <w:t>ZH43040820002</w:t>
                  </w:r>
                </w:p>
              </w:tc>
            </w:tr>
            <w:tr w14:paraId="21CF920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vMerge w:val="restart"/>
                  <w:tcBorders>
                    <w:tl2br w:val="nil"/>
                    <w:tr2bl w:val="nil"/>
                  </w:tcBorders>
                  <w:vAlign w:val="center"/>
                </w:tcPr>
                <w:p w14:paraId="48AB40C3">
                  <w:pPr>
                    <w:jc w:val="center"/>
                    <w:rPr>
                      <w:rFonts w:hint="default" w:ascii="Times New Roman" w:hAnsi="Times New Roman" w:cs="Times New Roman"/>
                      <w:color w:val="auto"/>
                    </w:rPr>
                  </w:pPr>
                  <w:r>
                    <w:rPr>
                      <w:rFonts w:hint="default" w:ascii="Times New Roman" w:hAnsi="Times New Roman" w:cs="Times New Roman"/>
                      <w:color w:val="auto"/>
                    </w:rPr>
                    <w:t>行政区划</w:t>
                  </w:r>
                </w:p>
              </w:tc>
              <w:tc>
                <w:tcPr>
                  <w:tcW w:w="1740" w:type="dxa"/>
                  <w:tcBorders>
                    <w:tl2br w:val="nil"/>
                    <w:tr2bl w:val="nil"/>
                  </w:tcBorders>
                  <w:vAlign w:val="center"/>
                </w:tcPr>
                <w:p w14:paraId="77C8030D">
                  <w:pPr>
                    <w:jc w:val="center"/>
                    <w:rPr>
                      <w:rFonts w:hint="default" w:ascii="Times New Roman" w:hAnsi="Times New Roman" w:cs="Times New Roman"/>
                      <w:color w:val="auto"/>
                    </w:rPr>
                  </w:pPr>
                  <w:r>
                    <w:rPr>
                      <w:rFonts w:hint="default" w:ascii="Times New Roman" w:hAnsi="Times New Roman" w:cs="Times New Roman"/>
                      <w:color w:val="auto"/>
                    </w:rPr>
                    <w:t>省</w:t>
                  </w:r>
                </w:p>
              </w:tc>
              <w:tc>
                <w:tcPr>
                  <w:tcW w:w="5023" w:type="dxa"/>
                  <w:tcBorders>
                    <w:tl2br w:val="nil"/>
                    <w:tr2bl w:val="nil"/>
                  </w:tcBorders>
                  <w:vAlign w:val="center"/>
                </w:tcPr>
                <w:p w14:paraId="5DF9D8D2">
                  <w:pPr>
                    <w:jc w:val="center"/>
                    <w:rPr>
                      <w:rFonts w:hint="default" w:ascii="Times New Roman" w:hAnsi="Times New Roman" w:cs="Times New Roman"/>
                      <w:color w:val="auto"/>
                    </w:rPr>
                  </w:pPr>
                  <w:r>
                    <w:rPr>
                      <w:rFonts w:hint="default" w:ascii="Times New Roman" w:hAnsi="Times New Roman" w:cs="Times New Roman"/>
                      <w:color w:val="auto"/>
                    </w:rPr>
                    <w:t>湖南省</w:t>
                  </w:r>
                </w:p>
              </w:tc>
            </w:tr>
            <w:tr w14:paraId="251E2FA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vMerge w:val="continue"/>
                  <w:tcBorders>
                    <w:tl2br w:val="nil"/>
                    <w:tr2bl w:val="nil"/>
                  </w:tcBorders>
                  <w:vAlign w:val="center"/>
                </w:tcPr>
                <w:p w14:paraId="0BF0C735">
                  <w:pPr>
                    <w:jc w:val="center"/>
                    <w:rPr>
                      <w:rFonts w:hint="default" w:ascii="Times New Roman" w:hAnsi="Times New Roman" w:cs="Times New Roman"/>
                      <w:color w:val="auto"/>
                    </w:rPr>
                  </w:pPr>
                </w:p>
              </w:tc>
              <w:tc>
                <w:tcPr>
                  <w:tcW w:w="1740" w:type="dxa"/>
                  <w:tcBorders>
                    <w:tl2br w:val="nil"/>
                    <w:tr2bl w:val="nil"/>
                  </w:tcBorders>
                  <w:vAlign w:val="center"/>
                </w:tcPr>
                <w:p w14:paraId="1E03B3D5">
                  <w:pPr>
                    <w:jc w:val="center"/>
                    <w:rPr>
                      <w:rFonts w:hint="default" w:ascii="Times New Roman" w:hAnsi="Times New Roman" w:cs="Times New Roman"/>
                      <w:color w:val="auto"/>
                    </w:rPr>
                  </w:pPr>
                  <w:r>
                    <w:rPr>
                      <w:rFonts w:hint="default" w:ascii="Times New Roman" w:hAnsi="Times New Roman" w:cs="Times New Roman"/>
                      <w:color w:val="auto"/>
                    </w:rPr>
                    <w:t>市</w:t>
                  </w:r>
                </w:p>
              </w:tc>
              <w:tc>
                <w:tcPr>
                  <w:tcW w:w="5023" w:type="dxa"/>
                  <w:tcBorders>
                    <w:tl2br w:val="nil"/>
                    <w:tr2bl w:val="nil"/>
                  </w:tcBorders>
                  <w:vAlign w:val="center"/>
                </w:tcPr>
                <w:p w14:paraId="26667248">
                  <w:pPr>
                    <w:jc w:val="center"/>
                    <w:rPr>
                      <w:rFonts w:hint="default" w:ascii="Times New Roman" w:hAnsi="Times New Roman" w:cs="Times New Roman"/>
                      <w:color w:val="auto"/>
                    </w:rPr>
                  </w:pPr>
                  <w:r>
                    <w:rPr>
                      <w:rFonts w:hint="default" w:ascii="Times New Roman" w:hAnsi="Times New Roman" w:cs="Times New Roman"/>
                      <w:color w:val="auto"/>
                    </w:rPr>
                    <w:t>衡阳市</w:t>
                  </w:r>
                </w:p>
              </w:tc>
            </w:tr>
            <w:tr w14:paraId="347D196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vMerge w:val="continue"/>
                  <w:tcBorders>
                    <w:tl2br w:val="nil"/>
                    <w:tr2bl w:val="nil"/>
                  </w:tcBorders>
                  <w:vAlign w:val="center"/>
                </w:tcPr>
                <w:p w14:paraId="138873F3">
                  <w:pPr>
                    <w:jc w:val="center"/>
                    <w:rPr>
                      <w:rFonts w:hint="default" w:ascii="Times New Roman" w:hAnsi="Times New Roman" w:cs="Times New Roman"/>
                      <w:color w:val="auto"/>
                    </w:rPr>
                  </w:pPr>
                </w:p>
              </w:tc>
              <w:tc>
                <w:tcPr>
                  <w:tcW w:w="1740" w:type="dxa"/>
                  <w:tcBorders>
                    <w:tl2br w:val="nil"/>
                    <w:tr2bl w:val="nil"/>
                  </w:tcBorders>
                  <w:vAlign w:val="center"/>
                </w:tcPr>
                <w:p w14:paraId="6429CE59">
                  <w:pPr>
                    <w:jc w:val="center"/>
                    <w:rPr>
                      <w:rFonts w:hint="default" w:ascii="Times New Roman" w:hAnsi="Times New Roman" w:cs="Times New Roman"/>
                      <w:color w:val="auto"/>
                    </w:rPr>
                  </w:pPr>
                  <w:r>
                    <w:rPr>
                      <w:rFonts w:hint="default" w:ascii="Times New Roman" w:hAnsi="Times New Roman" w:cs="Times New Roman"/>
                      <w:color w:val="auto"/>
                    </w:rPr>
                    <w:t>县</w:t>
                  </w:r>
                </w:p>
              </w:tc>
              <w:tc>
                <w:tcPr>
                  <w:tcW w:w="5023" w:type="dxa"/>
                  <w:tcBorders>
                    <w:tl2br w:val="nil"/>
                    <w:tr2bl w:val="nil"/>
                  </w:tcBorders>
                  <w:vAlign w:val="center"/>
                </w:tcPr>
                <w:p w14:paraId="1A208003">
                  <w:pPr>
                    <w:jc w:val="center"/>
                    <w:rPr>
                      <w:rFonts w:hint="default" w:ascii="Times New Roman" w:hAnsi="Times New Roman" w:cs="Times New Roman"/>
                      <w:color w:val="auto"/>
                    </w:rPr>
                  </w:pPr>
                  <w:r>
                    <w:rPr>
                      <w:rFonts w:hint="default" w:ascii="Times New Roman" w:hAnsi="Times New Roman" w:cs="Times New Roman"/>
                      <w:color w:val="auto"/>
                      <w:kern w:val="0"/>
                      <w:szCs w:val="21"/>
                    </w:rPr>
                    <w:t>蒸湘区</w:t>
                  </w:r>
                </w:p>
              </w:tc>
            </w:tr>
            <w:tr w14:paraId="6FBAD6A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414" w:type="dxa"/>
                  <w:gridSpan w:val="2"/>
                  <w:tcBorders>
                    <w:tl2br w:val="nil"/>
                    <w:tr2bl w:val="nil"/>
                  </w:tcBorders>
                  <w:vAlign w:val="center"/>
                </w:tcPr>
                <w:p w14:paraId="227F404D">
                  <w:pPr>
                    <w:jc w:val="center"/>
                    <w:rPr>
                      <w:rFonts w:hint="default" w:ascii="Times New Roman" w:hAnsi="Times New Roman" w:cs="Times New Roman"/>
                      <w:color w:val="auto"/>
                    </w:rPr>
                  </w:pPr>
                  <w:r>
                    <w:rPr>
                      <w:rFonts w:hint="default" w:ascii="Times New Roman" w:hAnsi="Times New Roman" w:cs="Times New Roman"/>
                      <w:color w:val="auto"/>
                    </w:rPr>
                    <w:t>单元分类</w:t>
                  </w:r>
                </w:p>
              </w:tc>
              <w:tc>
                <w:tcPr>
                  <w:tcW w:w="5023" w:type="dxa"/>
                  <w:tcBorders>
                    <w:tl2br w:val="nil"/>
                    <w:tr2bl w:val="nil"/>
                  </w:tcBorders>
                  <w:vAlign w:val="center"/>
                </w:tcPr>
                <w:p w14:paraId="627E4915">
                  <w:pPr>
                    <w:jc w:val="center"/>
                    <w:rPr>
                      <w:rFonts w:hint="default" w:ascii="Times New Roman" w:hAnsi="Times New Roman" w:cs="Times New Roman"/>
                      <w:color w:val="auto"/>
                    </w:rPr>
                  </w:pPr>
                  <w:r>
                    <w:rPr>
                      <w:rFonts w:hint="default" w:ascii="Times New Roman" w:hAnsi="Times New Roman" w:cs="Times New Roman"/>
                      <w:color w:val="auto"/>
                    </w:rPr>
                    <w:t>重点管控单元</w:t>
                  </w:r>
                </w:p>
              </w:tc>
            </w:tr>
            <w:tr w14:paraId="4B77C05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414" w:type="dxa"/>
                  <w:gridSpan w:val="2"/>
                  <w:tcBorders>
                    <w:tl2br w:val="nil"/>
                    <w:tr2bl w:val="nil"/>
                  </w:tcBorders>
                  <w:vAlign w:val="center"/>
                </w:tcPr>
                <w:p w14:paraId="4934F3D5">
                  <w:pPr>
                    <w:jc w:val="center"/>
                    <w:rPr>
                      <w:rFonts w:hint="default" w:ascii="Times New Roman" w:hAnsi="Times New Roman" w:cs="Times New Roman"/>
                      <w:color w:val="auto"/>
                    </w:rPr>
                  </w:pPr>
                  <w:r>
                    <w:rPr>
                      <w:rFonts w:hint="default" w:ascii="Times New Roman" w:hAnsi="Times New Roman" w:cs="Times New Roman"/>
                      <w:color w:val="auto"/>
                    </w:rPr>
                    <w:t>单元面积（km</w:t>
                  </w:r>
                  <w:r>
                    <w:rPr>
                      <w:rFonts w:hint="default" w:ascii="Times New Roman" w:hAnsi="Times New Roman" w:cs="Times New Roman"/>
                      <w:color w:val="auto"/>
                      <w:vertAlign w:val="superscript"/>
                    </w:rPr>
                    <w:t>2</w:t>
                  </w:r>
                  <w:r>
                    <w:rPr>
                      <w:rFonts w:hint="default" w:ascii="Times New Roman" w:hAnsi="Times New Roman" w:cs="Times New Roman"/>
                      <w:color w:val="auto"/>
                    </w:rPr>
                    <w:t>）</w:t>
                  </w:r>
                </w:p>
              </w:tc>
              <w:tc>
                <w:tcPr>
                  <w:tcW w:w="5023" w:type="dxa"/>
                  <w:tcBorders>
                    <w:tl2br w:val="nil"/>
                    <w:tr2bl w:val="nil"/>
                  </w:tcBorders>
                  <w:vAlign w:val="center"/>
                </w:tcPr>
                <w:p w14:paraId="412F8B4A">
                  <w:pPr>
                    <w:jc w:val="center"/>
                    <w:rPr>
                      <w:rFonts w:hint="default" w:ascii="Times New Roman" w:hAnsi="Times New Roman" w:cs="Times New Roman"/>
                      <w:color w:val="auto"/>
                    </w:rPr>
                  </w:pPr>
                  <w:r>
                    <w:rPr>
                      <w:rFonts w:hint="default" w:ascii="Times New Roman" w:hAnsi="Times New Roman" w:cs="Times New Roman"/>
                      <w:color w:val="auto"/>
                      <w:kern w:val="0"/>
                      <w:szCs w:val="21"/>
                    </w:rPr>
                    <w:t>58.19</w:t>
                  </w:r>
                </w:p>
              </w:tc>
            </w:tr>
            <w:tr w14:paraId="25E046A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414" w:type="dxa"/>
                  <w:gridSpan w:val="2"/>
                  <w:tcBorders>
                    <w:tl2br w:val="nil"/>
                    <w:tr2bl w:val="nil"/>
                  </w:tcBorders>
                  <w:vAlign w:val="center"/>
                </w:tcPr>
                <w:p w14:paraId="4704CB30">
                  <w:pPr>
                    <w:jc w:val="center"/>
                    <w:rPr>
                      <w:rFonts w:hint="default" w:ascii="Times New Roman" w:hAnsi="Times New Roman" w:cs="Times New Roman"/>
                      <w:color w:val="auto"/>
                    </w:rPr>
                  </w:pPr>
                  <w:r>
                    <w:rPr>
                      <w:rFonts w:hint="default" w:ascii="Times New Roman" w:hAnsi="Times New Roman" w:cs="Times New Roman"/>
                      <w:color w:val="auto"/>
                    </w:rPr>
                    <w:t>涉及乡镇（街道）</w:t>
                  </w:r>
                </w:p>
              </w:tc>
              <w:tc>
                <w:tcPr>
                  <w:tcW w:w="5023" w:type="dxa"/>
                  <w:tcBorders>
                    <w:tl2br w:val="nil"/>
                    <w:tr2bl w:val="nil"/>
                  </w:tcBorders>
                  <w:vAlign w:val="center"/>
                </w:tcPr>
                <w:p w14:paraId="421BC02B">
                  <w:pPr>
                    <w:jc w:val="center"/>
                    <w:rPr>
                      <w:rFonts w:hint="default" w:ascii="Times New Roman" w:hAnsi="Times New Roman" w:cs="Times New Roman"/>
                      <w:color w:val="auto"/>
                    </w:rPr>
                  </w:pPr>
                  <w:r>
                    <w:rPr>
                      <w:rFonts w:hint="default" w:ascii="Times New Roman" w:hAnsi="Times New Roman" w:cs="Times New Roman"/>
                      <w:color w:val="auto"/>
                      <w:kern w:val="0"/>
                      <w:szCs w:val="21"/>
                    </w:rPr>
                    <w:t>蒸湘街道/红湘街道/华兴街道/联合街道/呆鹰岭镇</w:t>
                  </w:r>
                </w:p>
              </w:tc>
            </w:tr>
            <w:tr w14:paraId="593EDD1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414" w:type="dxa"/>
                  <w:gridSpan w:val="2"/>
                  <w:tcBorders>
                    <w:tl2br w:val="nil"/>
                    <w:tr2bl w:val="nil"/>
                  </w:tcBorders>
                  <w:vAlign w:val="center"/>
                </w:tcPr>
                <w:p w14:paraId="235EEAF9">
                  <w:pPr>
                    <w:jc w:val="center"/>
                    <w:rPr>
                      <w:rFonts w:hint="default" w:ascii="Times New Roman" w:hAnsi="Times New Roman" w:cs="Times New Roman"/>
                      <w:color w:val="auto"/>
                    </w:rPr>
                  </w:pPr>
                  <w:r>
                    <w:rPr>
                      <w:rFonts w:hint="default" w:ascii="Times New Roman" w:hAnsi="Times New Roman" w:cs="Times New Roman"/>
                      <w:color w:val="auto"/>
                    </w:rPr>
                    <w:t>区域主体功能定位</w:t>
                  </w:r>
                </w:p>
              </w:tc>
              <w:tc>
                <w:tcPr>
                  <w:tcW w:w="5023" w:type="dxa"/>
                  <w:tcBorders>
                    <w:tl2br w:val="nil"/>
                    <w:tr2bl w:val="nil"/>
                  </w:tcBorders>
                  <w:vAlign w:val="center"/>
                </w:tcPr>
                <w:p w14:paraId="1D2C526E">
                  <w:pPr>
                    <w:jc w:val="center"/>
                    <w:rPr>
                      <w:rFonts w:hint="default" w:ascii="Times New Roman" w:hAnsi="Times New Roman" w:cs="Times New Roman"/>
                      <w:color w:val="auto"/>
                    </w:rPr>
                  </w:pPr>
                  <w:r>
                    <w:rPr>
                      <w:rFonts w:hint="default" w:ascii="Times New Roman" w:hAnsi="Times New Roman" w:cs="Times New Roman"/>
                      <w:color w:val="auto"/>
                    </w:rPr>
                    <w:t>城市化地区</w:t>
                  </w:r>
                </w:p>
              </w:tc>
            </w:tr>
            <w:tr w14:paraId="5CACCA9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414" w:type="dxa"/>
                  <w:gridSpan w:val="2"/>
                  <w:tcBorders>
                    <w:tl2br w:val="nil"/>
                    <w:tr2bl w:val="nil"/>
                  </w:tcBorders>
                  <w:vAlign w:val="center"/>
                </w:tcPr>
                <w:p w14:paraId="470103D7">
                  <w:pPr>
                    <w:jc w:val="center"/>
                    <w:rPr>
                      <w:rFonts w:hint="default" w:ascii="Times New Roman" w:hAnsi="Times New Roman" w:cs="Times New Roman"/>
                      <w:color w:val="auto"/>
                    </w:rPr>
                  </w:pPr>
                  <w:r>
                    <w:rPr>
                      <w:rFonts w:hint="default" w:ascii="Times New Roman" w:hAnsi="Times New Roman" w:cs="Times New Roman"/>
                      <w:color w:val="auto"/>
                    </w:rPr>
                    <w:t>主导产业</w:t>
                  </w:r>
                </w:p>
              </w:tc>
              <w:tc>
                <w:tcPr>
                  <w:tcW w:w="5023" w:type="dxa"/>
                  <w:tcBorders>
                    <w:tl2br w:val="nil"/>
                    <w:tr2bl w:val="nil"/>
                  </w:tcBorders>
                </w:tcPr>
                <w:p w14:paraId="4F218566">
                  <w:pPr>
                    <w:rPr>
                      <w:rFonts w:hint="default" w:ascii="Times New Roman" w:hAnsi="Times New Roman" w:cs="Times New Roman"/>
                      <w:color w:val="auto"/>
                    </w:rPr>
                  </w:pPr>
                  <w:r>
                    <w:rPr>
                      <w:rFonts w:hint="default" w:ascii="Times New Roman" w:hAnsi="Times New Roman" w:cs="Times New Roman"/>
                      <w:color w:val="auto"/>
                      <w:kern w:val="0"/>
                      <w:szCs w:val="21"/>
                    </w:rPr>
                    <w:t>商业、金融、生态农业、生态旅游、制造、畜禽养殖等。</w:t>
                  </w:r>
                </w:p>
              </w:tc>
            </w:tr>
            <w:tr w14:paraId="1D5AFC0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414" w:type="dxa"/>
                  <w:gridSpan w:val="2"/>
                  <w:tcBorders>
                    <w:tl2br w:val="nil"/>
                    <w:tr2bl w:val="nil"/>
                  </w:tcBorders>
                  <w:vAlign w:val="center"/>
                </w:tcPr>
                <w:p w14:paraId="303F6C76">
                  <w:pPr>
                    <w:jc w:val="center"/>
                    <w:rPr>
                      <w:rFonts w:hint="default" w:ascii="Times New Roman" w:hAnsi="Times New Roman" w:cs="Times New Roman"/>
                      <w:color w:val="auto"/>
                    </w:rPr>
                  </w:pPr>
                  <w:r>
                    <w:rPr>
                      <w:rFonts w:hint="default" w:ascii="Times New Roman" w:hAnsi="Times New Roman" w:cs="Times New Roman"/>
                      <w:color w:val="auto"/>
                    </w:rPr>
                    <w:t>主要环境问题和重要敏感目标</w:t>
                  </w:r>
                </w:p>
              </w:tc>
              <w:tc>
                <w:tcPr>
                  <w:tcW w:w="5023" w:type="dxa"/>
                  <w:tcBorders>
                    <w:tl2br w:val="nil"/>
                    <w:tr2bl w:val="nil"/>
                  </w:tcBorders>
                </w:tcPr>
                <w:p w14:paraId="758B0FDC">
                  <w:pPr>
                    <w:widowControl/>
                    <w:numPr>
                      <w:ilvl w:val="0"/>
                      <w:numId w:val="3"/>
                    </w:numPr>
                    <w:adjustRightInd w:val="0"/>
                    <w:snapToGrid w:val="0"/>
                    <w:spacing w:line="300" w:lineRule="auto"/>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蒸湘、红湘、联合街道主要环境问题为社会噪声问题；呆鹰岭镇生活污水管网未完全建成，生活污水纳管率偏低；</w:t>
                  </w:r>
                </w:p>
                <w:p w14:paraId="79241DFA">
                  <w:pPr>
                    <w:rPr>
                      <w:rFonts w:hint="default" w:ascii="Times New Roman" w:hAnsi="Times New Roman" w:cs="Times New Roman"/>
                      <w:color w:val="auto"/>
                    </w:rPr>
                  </w:pPr>
                  <w:r>
                    <w:rPr>
                      <w:rFonts w:hint="default" w:ascii="Times New Roman" w:hAnsi="Times New Roman" w:cs="Times New Roman"/>
                      <w:color w:val="auto"/>
                    </w:rPr>
                    <w:t>2、湘江衡阳段四大家鱼国家级水产种质资源保护区。</w:t>
                  </w:r>
                </w:p>
              </w:tc>
            </w:tr>
          </w:tbl>
          <w:tbl>
            <w:tblPr>
              <w:tblStyle w:val="36"/>
              <w:tblW w:w="7437"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775"/>
              <w:gridCol w:w="3515"/>
              <w:gridCol w:w="2577"/>
              <w:gridCol w:w="570"/>
            </w:tblGrid>
            <w:tr w14:paraId="61F840C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775" w:type="dxa"/>
                  <w:tcBorders>
                    <w:top w:val="single" w:color="auto" w:sz="12" w:space="0"/>
                    <w:left w:val="nil"/>
                    <w:bottom w:val="single" w:color="auto" w:sz="4" w:space="0"/>
                    <w:right w:val="single" w:color="auto" w:sz="4" w:space="0"/>
                    <w:tl2br w:val="nil"/>
                    <w:tr2bl w:val="nil"/>
                  </w:tcBorders>
                  <w:vAlign w:val="center"/>
                </w:tcPr>
                <w:p w14:paraId="6A472889">
                  <w:pPr>
                    <w:jc w:val="center"/>
                    <w:rPr>
                      <w:rFonts w:hint="default" w:ascii="Times New Roman" w:hAnsi="Times New Roman" w:cs="Times New Roman"/>
                      <w:color w:val="auto"/>
                    </w:rPr>
                  </w:pPr>
                  <w:r>
                    <w:rPr>
                      <w:rFonts w:hint="default" w:ascii="Times New Roman" w:hAnsi="Times New Roman" w:cs="Times New Roman"/>
                      <w:color w:val="auto"/>
                    </w:rPr>
                    <w:t>内容</w:t>
                  </w:r>
                </w:p>
              </w:tc>
              <w:tc>
                <w:tcPr>
                  <w:tcW w:w="3515" w:type="dxa"/>
                  <w:tcBorders>
                    <w:top w:val="single" w:color="auto" w:sz="12" w:space="0"/>
                    <w:left w:val="single" w:color="auto" w:sz="4" w:space="0"/>
                    <w:bottom w:val="single" w:color="auto" w:sz="4" w:space="0"/>
                    <w:right w:val="single" w:color="auto" w:sz="4" w:space="0"/>
                    <w:tl2br w:val="nil"/>
                    <w:tr2bl w:val="nil"/>
                  </w:tcBorders>
                  <w:vAlign w:val="center"/>
                </w:tcPr>
                <w:p w14:paraId="31984C7A">
                  <w:pPr>
                    <w:jc w:val="center"/>
                    <w:rPr>
                      <w:rFonts w:hint="default" w:ascii="Times New Roman" w:hAnsi="Times New Roman" w:cs="Times New Roman"/>
                      <w:color w:val="auto"/>
                    </w:rPr>
                  </w:pPr>
                  <w:r>
                    <w:rPr>
                      <w:rFonts w:hint="default" w:ascii="Times New Roman" w:hAnsi="Times New Roman" w:cs="Times New Roman"/>
                      <w:color w:val="auto"/>
                    </w:rPr>
                    <w:t>管控要求</w:t>
                  </w:r>
                </w:p>
              </w:tc>
              <w:tc>
                <w:tcPr>
                  <w:tcW w:w="2577" w:type="dxa"/>
                  <w:tcBorders>
                    <w:top w:val="single" w:color="auto" w:sz="12" w:space="0"/>
                    <w:left w:val="single" w:color="auto" w:sz="4" w:space="0"/>
                    <w:bottom w:val="single" w:color="auto" w:sz="4" w:space="0"/>
                    <w:right w:val="single" w:color="auto" w:sz="4" w:space="0"/>
                    <w:tl2br w:val="nil"/>
                    <w:tr2bl w:val="nil"/>
                  </w:tcBorders>
                  <w:vAlign w:val="center"/>
                </w:tcPr>
                <w:p w14:paraId="5980138B">
                  <w:pPr>
                    <w:jc w:val="center"/>
                    <w:rPr>
                      <w:rFonts w:hint="default" w:ascii="Times New Roman" w:hAnsi="Times New Roman" w:cs="Times New Roman"/>
                      <w:color w:val="auto"/>
                    </w:rPr>
                  </w:pPr>
                  <w:r>
                    <w:rPr>
                      <w:rFonts w:hint="default" w:ascii="Times New Roman" w:hAnsi="Times New Roman" w:cs="Times New Roman"/>
                      <w:color w:val="auto"/>
                    </w:rPr>
                    <w:t>项目符合情况</w:t>
                  </w:r>
                </w:p>
              </w:tc>
              <w:tc>
                <w:tcPr>
                  <w:tcW w:w="570" w:type="dxa"/>
                  <w:tcBorders>
                    <w:top w:val="single" w:color="auto" w:sz="12" w:space="0"/>
                    <w:left w:val="single" w:color="auto" w:sz="4" w:space="0"/>
                    <w:bottom w:val="single" w:color="auto" w:sz="4" w:space="0"/>
                    <w:right w:val="nil"/>
                    <w:tl2br w:val="nil"/>
                    <w:tr2bl w:val="nil"/>
                  </w:tcBorders>
                  <w:vAlign w:val="center"/>
                </w:tcPr>
                <w:p w14:paraId="7FC48A35">
                  <w:pPr>
                    <w:jc w:val="center"/>
                    <w:rPr>
                      <w:rFonts w:hint="default" w:ascii="Times New Roman" w:hAnsi="Times New Roman" w:cs="Times New Roman"/>
                      <w:color w:val="auto"/>
                    </w:rPr>
                  </w:pPr>
                  <w:r>
                    <w:rPr>
                      <w:rFonts w:hint="default" w:ascii="Times New Roman" w:hAnsi="Times New Roman" w:cs="Times New Roman"/>
                      <w:color w:val="auto"/>
                    </w:rPr>
                    <w:t>是否符合</w:t>
                  </w:r>
                </w:p>
              </w:tc>
            </w:tr>
            <w:tr w14:paraId="2AE7EA0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775" w:type="dxa"/>
                  <w:tcBorders>
                    <w:top w:val="single" w:color="auto" w:sz="4" w:space="0"/>
                    <w:left w:val="nil"/>
                    <w:bottom w:val="single" w:color="auto" w:sz="4" w:space="0"/>
                    <w:right w:val="single" w:color="auto" w:sz="4" w:space="0"/>
                    <w:tl2br w:val="nil"/>
                    <w:tr2bl w:val="nil"/>
                  </w:tcBorders>
                  <w:vAlign w:val="center"/>
                </w:tcPr>
                <w:p w14:paraId="1400F865">
                  <w:pPr>
                    <w:jc w:val="center"/>
                    <w:rPr>
                      <w:rFonts w:hint="default" w:ascii="Times New Roman" w:hAnsi="Times New Roman" w:cs="Times New Roman"/>
                      <w:color w:val="auto"/>
                    </w:rPr>
                  </w:pPr>
                  <w:r>
                    <w:rPr>
                      <w:rFonts w:hint="default" w:ascii="Times New Roman" w:hAnsi="Times New Roman" w:cs="Times New Roman"/>
                      <w:color w:val="auto"/>
                    </w:rPr>
                    <w:t>空间布局约束</w:t>
                  </w:r>
                </w:p>
              </w:tc>
              <w:tc>
                <w:tcPr>
                  <w:tcW w:w="3515" w:type="dxa"/>
                  <w:tcBorders>
                    <w:top w:val="single" w:color="auto" w:sz="4" w:space="0"/>
                    <w:left w:val="single" w:color="auto" w:sz="4" w:space="0"/>
                    <w:bottom w:val="single" w:color="auto" w:sz="4" w:space="0"/>
                    <w:right w:val="single" w:color="auto" w:sz="4" w:space="0"/>
                    <w:tl2br w:val="nil"/>
                    <w:tr2bl w:val="nil"/>
                  </w:tcBorders>
                </w:tcPr>
                <w:p w14:paraId="7EECBEF8">
                  <w:pPr>
                    <w:rPr>
                      <w:rFonts w:hint="default" w:ascii="Times New Roman" w:hAnsi="Times New Roman" w:cs="Times New Roman"/>
                      <w:color w:val="auto"/>
                    </w:rPr>
                  </w:pPr>
                  <w:r>
                    <w:rPr>
                      <w:rFonts w:hint="default" w:ascii="Times New Roman" w:hAnsi="Times New Roman" w:cs="Times New Roman"/>
                      <w:color w:val="auto"/>
                      <w:kern w:val="0"/>
                      <w:szCs w:val="21"/>
                    </w:rPr>
                    <w:t>（1.1）水产种质资源保护区按《水产种质资源保护区管理暂行办法》（2016年修正本）要求管理。</w:t>
                  </w:r>
                </w:p>
              </w:tc>
              <w:tc>
                <w:tcPr>
                  <w:tcW w:w="2577" w:type="dxa"/>
                  <w:tcBorders>
                    <w:top w:val="single" w:color="auto" w:sz="4" w:space="0"/>
                    <w:left w:val="single" w:color="auto" w:sz="4" w:space="0"/>
                    <w:bottom w:val="single" w:color="auto" w:sz="4" w:space="0"/>
                    <w:right w:val="single" w:color="auto" w:sz="4" w:space="0"/>
                    <w:tl2br w:val="nil"/>
                    <w:tr2bl w:val="nil"/>
                  </w:tcBorders>
                  <w:vAlign w:val="center"/>
                </w:tcPr>
                <w:p w14:paraId="771A64D5">
                  <w:pPr>
                    <w:jc w:val="center"/>
                    <w:rPr>
                      <w:rFonts w:hint="default" w:ascii="Times New Roman" w:hAnsi="Times New Roman" w:cs="Times New Roman"/>
                      <w:color w:val="auto"/>
                    </w:rPr>
                  </w:pPr>
                  <w:r>
                    <w:rPr>
                      <w:rFonts w:hint="default" w:ascii="Times New Roman" w:hAnsi="Times New Roman" w:cs="Times New Roman"/>
                      <w:color w:val="auto"/>
                    </w:rPr>
                    <w:t>本项目属于C2926塑料零件及其他塑料制品制造</w:t>
                  </w:r>
                  <w:r>
                    <w:rPr>
                      <w:rFonts w:hint="default" w:ascii="Times New Roman" w:hAnsi="Times New Roman" w:cs="Times New Roman"/>
                      <w:color w:val="auto"/>
                      <w:lang w:val="en-US" w:eastAsia="zh-CN"/>
                    </w:rPr>
                    <w:t>和C3360金属表面处理及热处理加工</w:t>
                  </w:r>
                  <w:r>
                    <w:rPr>
                      <w:rFonts w:hint="default" w:ascii="Times New Roman" w:hAnsi="Times New Roman" w:cs="Times New Roman"/>
                      <w:color w:val="auto"/>
                    </w:rPr>
                    <w:t>，不属于国家明令淘汰和禁止发展的能耗物耗高、环境污染严重、不符合产业政策的建设项目；本项目位于衡阳市蒸湘区衡阳钢管深加工产业聚集区，项目周边敏感点较少，且项目不属于排放工业废气和噪声较大的企业。</w:t>
                  </w:r>
                </w:p>
              </w:tc>
              <w:tc>
                <w:tcPr>
                  <w:tcW w:w="570" w:type="dxa"/>
                  <w:tcBorders>
                    <w:top w:val="single" w:color="auto" w:sz="4" w:space="0"/>
                    <w:left w:val="single" w:color="auto" w:sz="4" w:space="0"/>
                    <w:bottom w:val="single" w:color="auto" w:sz="4" w:space="0"/>
                    <w:right w:val="nil"/>
                    <w:tl2br w:val="nil"/>
                    <w:tr2bl w:val="nil"/>
                  </w:tcBorders>
                  <w:vAlign w:val="center"/>
                </w:tcPr>
                <w:p w14:paraId="0328349A">
                  <w:pPr>
                    <w:jc w:val="center"/>
                    <w:rPr>
                      <w:rFonts w:hint="default" w:ascii="Times New Roman" w:hAnsi="Times New Roman" w:cs="Times New Roman"/>
                      <w:color w:val="auto"/>
                    </w:rPr>
                  </w:pPr>
                  <w:r>
                    <w:rPr>
                      <w:rFonts w:hint="default" w:ascii="Times New Roman" w:hAnsi="Times New Roman" w:cs="Times New Roman"/>
                      <w:color w:val="auto"/>
                    </w:rPr>
                    <w:t>符合</w:t>
                  </w:r>
                </w:p>
              </w:tc>
            </w:tr>
            <w:tr w14:paraId="72C2445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775" w:type="dxa"/>
                  <w:tcBorders>
                    <w:top w:val="single" w:color="auto" w:sz="4" w:space="0"/>
                    <w:left w:val="nil"/>
                    <w:bottom w:val="single" w:color="auto" w:sz="4" w:space="0"/>
                    <w:right w:val="single" w:color="auto" w:sz="4" w:space="0"/>
                    <w:tl2br w:val="nil"/>
                    <w:tr2bl w:val="nil"/>
                  </w:tcBorders>
                  <w:vAlign w:val="center"/>
                </w:tcPr>
                <w:p w14:paraId="55286686">
                  <w:pPr>
                    <w:jc w:val="center"/>
                    <w:rPr>
                      <w:rFonts w:hint="default" w:ascii="Times New Roman" w:hAnsi="Times New Roman" w:cs="Times New Roman"/>
                      <w:color w:val="auto"/>
                    </w:rPr>
                  </w:pPr>
                  <w:r>
                    <w:rPr>
                      <w:rFonts w:hint="default" w:ascii="Times New Roman" w:hAnsi="Times New Roman" w:cs="Times New Roman"/>
                      <w:color w:val="auto"/>
                    </w:rPr>
                    <w:t>污染物排放管控</w:t>
                  </w:r>
                </w:p>
              </w:tc>
              <w:tc>
                <w:tcPr>
                  <w:tcW w:w="3515" w:type="dxa"/>
                  <w:tcBorders>
                    <w:top w:val="single" w:color="auto" w:sz="4" w:space="0"/>
                    <w:left w:val="single" w:color="auto" w:sz="4" w:space="0"/>
                    <w:bottom w:val="single" w:color="auto" w:sz="4" w:space="0"/>
                    <w:right w:val="single" w:color="auto" w:sz="4" w:space="0"/>
                    <w:tl2br w:val="nil"/>
                    <w:tr2bl w:val="nil"/>
                  </w:tcBorders>
                </w:tcPr>
                <w:p w14:paraId="3AB32A19">
                  <w:pPr>
                    <w:rPr>
                      <w:rFonts w:hint="default" w:ascii="Times New Roman" w:hAnsi="Times New Roman" w:cs="Times New Roman"/>
                      <w:color w:val="auto"/>
                    </w:rPr>
                  </w:pPr>
                  <w:r>
                    <w:rPr>
                      <w:rFonts w:hint="default" w:ascii="Times New Roman" w:hAnsi="Times New Roman" w:cs="Times New Roman"/>
                      <w:color w:val="auto"/>
                      <w:kern w:val="0"/>
                      <w:szCs w:val="21"/>
                    </w:rPr>
                    <w:t>（2.1）按照“源头化、流域化、系统化”的治理思路，突出抓好控源截污、内源治理、生态修复、活水保质等工作，城区建成区黑臭水体控制率低于10%；加强已完成整治城区黑臭水体的日常监管，开展第二阶段“长治久清”整治效果评估工作。</w:t>
                  </w:r>
                  <w:r>
                    <w:rPr>
                      <w:rFonts w:hint="default" w:ascii="Times New Roman" w:hAnsi="Times New Roman" w:cs="Times New Roman"/>
                      <w:color w:val="auto"/>
                      <w:szCs w:val="32"/>
                    </w:rPr>
                    <w:br w:type="textWrapping"/>
                  </w:r>
                  <w:r>
                    <w:rPr>
                      <w:rFonts w:hint="default" w:ascii="Times New Roman" w:hAnsi="Times New Roman" w:cs="Times New Roman"/>
                      <w:color w:val="auto"/>
                      <w:kern w:val="0"/>
                      <w:szCs w:val="21"/>
                    </w:rPr>
                    <w:t>（2.2）加强餐饮油烟污染治理和执法监管。严格居民楼附近餐饮服务单位布局管理，加强油烟扰民源头控制。</w:t>
                  </w:r>
                </w:p>
              </w:tc>
              <w:tc>
                <w:tcPr>
                  <w:tcW w:w="2577" w:type="dxa"/>
                  <w:tcBorders>
                    <w:top w:val="single" w:color="auto" w:sz="4" w:space="0"/>
                    <w:left w:val="single" w:color="auto" w:sz="4" w:space="0"/>
                    <w:bottom w:val="single" w:color="auto" w:sz="4" w:space="0"/>
                    <w:right w:val="single" w:color="auto" w:sz="4" w:space="0"/>
                    <w:tl2br w:val="nil"/>
                    <w:tr2bl w:val="nil"/>
                  </w:tcBorders>
                  <w:vAlign w:val="center"/>
                </w:tcPr>
                <w:p w14:paraId="479D8C3C">
                  <w:pPr>
                    <w:jc w:val="center"/>
                    <w:rPr>
                      <w:rFonts w:hint="default" w:ascii="Times New Roman" w:hAnsi="Times New Roman" w:cs="Times New Roman"/>
                      <w:color w:val="auto"/>
                    </w:rPr>
                  </w:pPr>
                  <w:r>
                    <w:rPr>
                      <w:rFonts w:hint="default" w:ascii="Times New Roman" w:hAnsi="Times New Roman" w:cs="Times New Roman"/>
                      <w:color w:val="auto"/>
                    </w:rPr>
                    <w:t>本项目排水实施雨污分流，无生产废水外排，生活污水依托衡钢原有的化粪池处理后经厂区污水管网排入衡钢西区污水处理厂处理达到《污水综合排放标准》（GB8978-1996）表4中三级标准，</w:t>
                  </w:r>
                  <w:r>
                    <w:rPr>
                      <w:rFonts w:hint="eastAsia" w:cs="Times New Roman"/>
                      <w:color w:val="auto"/>
                      <w:lang w:eastAsia="zh-CN"/>
                    </w:rPr>
                    <w:t>排入幸福河</w:t>
                  </w:r>
                  <w:r>
                    <w:rPr>
                      <w:rFonts w:hint="default" w:ascii="Times New Roman" w:hAnsi="Times New Roman" w:cs="Times New Roman"/>
                      <w:color w:val="auto"/>
                    </w:rPr>
                    <w:t xml:space="preserve">，然后进入铜桥港污水处理厂进一步处理，处理后排入湘江；本项目废气按要求收集处理后达标排放；本项目运营期产生的固体废物均能得到妥善处置，不会对外部环境造成影响。 </w:t>
                  </w:r>
                </w:p>
              </w:tc>
              <w:tc>
                <w:tcPr>
                  <w:tcW w:w="570" w:type="dxa"/>
                  <w:tcBorders>
                    <w:top w:val="single" w:color="auto" w:sz="4" w:space="0"/>
                    <w:left w:val="single" w:color="auto" w:sz="4" w:space="0"/>
                    <w:bottom w:val="single" w:color="auto" w:sz="4" w:space="0"/>
                    <w:right w:val="nil"/>
                    <w:tl2br w:val="nil"/>
                    <w:tr2bl w:val="nil"/>
                  </w:tcBorders>
                  <w:vAlign w:val="center"/>
                </w:tcPr>
                <w:p w14:paraId="0D9634FB">
                  <w:pPr>
                    <w:jc w:val="center"/>
                    <w:rPr>
                      <w:rFonts w:hint="default" w:ascii="Times New Roman" w:hAnsi="Times New Roman" w:cs="Times New Roman"/>
                      <w:color w:val="auto"/>
                    </w:rPr>
                  </w:pPr>
                  <w:r>
                    <w:rPr>
                      <w:rFonts w:hint="default" w:ascii="Times New Roman" w:hAnsi="Times New Roman" w:cs="Times New Roman"/>
                      <w:color w:val="auto"/>
                    </w:rPr>
                    <w:t>符合</w:t>
                  </w:r>
                </w:p>
              </w:tc>
            </w:tr>
            <w:tr w14:paraId="0C67F76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775" w:type="dxa"/>
                  <w:tcBorders>
                    <w:top w:val="single" w:color="auto" w:sz="4" w:space="0"/>
                    <w:left w:val="nil"/>
                    <w:bottom w:val="single" w:color="auto" w:sz="4" w:space="0"/>
                    <w:right w:val="single" w:color="auto" w:sz="4" w:space="0"/>
                    <w:tl2br w:val="nil"/>
                    <w:tr2bl w:val="nil"/>
                  </w:tcBorders>
                  <w:vAlign w:val="center"/>
                </w:tcPr>
                <w:p w14:paraId="4AA361A2">
                  <w:pPr>
                    <w:jc w:val="center"/>
                    <w:rPr>
                      <w:rFonts w:hint="default" w:ascii="Times New Roman" w:hAnsi="Times New Roman" w:cs="Times New Roman"/>
                      <w:color w:val="auto"/>
                    </w:rPr>
                  </w:pPr>
                  <w:r>
                    <w:rPr>
                      <w:rFonts w:hint="default" w:ascii="Times New Roman" w:hAnsi="Times New Roman" w:cs="Times New Roman"/>
                      <w:color w:val="auto"/>
                    </w:rPr>
                    <w:t>环境风险防控</w:t>
                  </w:r>
                </w:p>
              </w:tc>
              <w:tc>
                <w:tcPr>
                  <w:tcW w:w="3515" w:type="dxa"/>
                  <w:tcBorders>
                    <w:top w:val="single" w:color="auto" w:sz="4" w:space="0"/>
                    <w:left w:val="single" w:color="auto" w:sz="4" w:space="0"/>
                    <w:bottom w:val="single" w:color="auto" w:sz="4" w:space="0"/>
                    <w:right w:val="single" w:color="auto" w:sz="4" w:space="0"/>
                    <w:tl2br w:val="nil"/>
                    <w:tr2bl w:val="nil"/>
                  </w:tcBorders>
                </w:tcPr>
                <w:p w14:paraId="3D1F440A">
                  <w:pPr>
                    <w:rPr>
                      <w:rFonts w:hint="default" w:ascii="Times New Roman" w:hAnsi="Times New Roman" w:cs="Times New Roman"/>
                      <w:color w:val="auto"/>
                    </w:rPr>
                  </w:pPr>
                  <w:r>
                    <w:rPr>
                      <w:rFonts w:hint="default" w:ascii="Times New Roman" w:hAnsi="Times New Roman" w:cs="Times New Roman"/>
                      <w:color w:val="auto"/>
                      <w:kern w:val="0"/>
                      <w:szCs w:val="21"/>
                    </w:rPr>
                    <w:t>（3.1）加强生态环境保护日常监管和线下监控，健全环境风险预警防控体系，推进重点流域、重要水源地风险防控；建立生态环境风险隐患排查制度和重大生态环境风险源数据库，实行动态跟踪监控和管理；设立生态环境风险监督员，及时核查核实群众举报、舆情反映等渠道获取的问题，建立问题清单和整改清单，消除环境风险。</w:t>
                  </w:r>
                </w:p>
              </w:tc>
              <w:tc>
                <w:tcPr>
                  <w:tcW w:w="2577" w:type="dxa"/>
                  <w:tcBorders>
                    <w:top w:val="single" w:color="auto" w:sz="4" w:space="0"/>
                    <w:left w:val="single" w:color="auto" w:sz="4" w:space="0"/>
                    <w:bottom w:val="single" w:color="auto" w:sz="4" w:space="0"/>
                    <w:right w:val="single" w:color="auto" w:sz="4" w:space="0"/>
                    <w:tl2br w:val="nil"/>
                    <w:tr2bl w:val="nil"/>
                  </w:tcBorders>
                  <w:vAlign w:val="center"/>
                </w:tcPr>
                <w:p w14:paraId="2FA8368E">
                  <w:pPr>
                    <w:jc w:val="center"/>
                    <w:rPr>
                      <w:rFonts w:hint="default" w:ascii="Times New Roman" w:hAnsi="Times New Roman" w:cs="Times New Roman"/>
                      <w:color w:val="auto"/>
                    </w:rPr>
                  </w:pPr>
                  <w:r>
                    <w:rPr>
                      <w:rFonts w:hint="default" w:ascii="Times New Roman" w:hAnsi="Times New Roman" w:cs="Times New Roman"/>
                      <w:color w:val="auto"/>
                    </w:rPr>
                    <w:t>项目建成正式投产前按要求编制突发环境事件应急预案并备案，使建设项目符合风险防控要求。</w:t>
                  </w:r>
                </w:p>
              </w:tc>
              <w:tc>
                <w:tcPr>
                  <w:tcW w:w="570" w:type="dxa"/>
                  <w:tcBorders>
                    <w:top w:val="single" w:color="auto" w:sz="4" w:space="0"/>
                    <w:left w:val="single" w:color="auto" w:sz="4" w:space="0"/>
                    <w:bottom w:val="single" w:color="auto" w:sz="4" w:space="0"/>
                    <w:right w:val="nil"/>
                    <w:tl2br w:val="nil"/>
                    <w:tr2bl w:val="nil"/>
                  </w:tcBorders>
                  <w:vAlign w:val="center"/>
                </w:tcPr>
                <w:p w14:paraId="075C2FBC">
                  <w:pPr>
                    <w:jc w:val="center"/>
                    <w:rPr>
                      <w:rFonts w:hint="default" w:ascii="Times New Roman" w:hAnsi="Times New Roman" w:cs="Times New Roman"/>
                      <w:color w:val="auto"/>
                    </w:rPr>
                  </w:pPr>
                  <w:r>
                    <w:rPr>
                      <w:rFonts w:hint="default" w:ascii="Times New Roman" w:hAnsi="Times New Roman" w:cs="Times New Roman"/>
                      <w:color w:val="auto"/>
                    </w:rPr>
                    <w:t>符合</w:t>
                  </w:r>
                </w:p>
              </w:tc>
            </w:tr>
            <w:tr w14:paraId="0C4EC91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775" w:type="dxa"/>
                  <w:tcBorders>
                    <w:top w:val="single" w:color="auto" w:sz="4" w:space="0"/>
                    <w:left w:val="nil"/>
                    <w:bottom w:val="single" w:color="auto" w:sz="12" w:space="0"/>
                    <w:right w:val="single" w:color="auto" w:sz="4" w:space="0"/>
                    <w:tl2br w:val="nil"/>
                    <w:tr2bl w:val="nil"/>
                  </w:tcBorders>
                  <w:vAlign w:val="center"/>
                </w:tcPr>
                <w:p w14:paraId="2C5D3B36">
                  <w:pPr>
                    <w:jc w:val="center"/>
                    <w:rPr>
                      <w:rFonts w:hint="default" w:ascii="Times New Roman" w:hAnsi="Times New Roman" w:cs="Times New Roman"/>
                      <w:color w:val="auto"/>
                    </w:rPr>
                  </w:pPr>
                  <w:r>
                    <w:rPr>
                      <w:rFonts w:hint="default" w:ascii="Times New Roman" w:hAnsi="Times New Roman" w:cs="Times New Roman"/>
                      <w:color w:val="auto"/>
                    </w:rPr>
                    <w:t>资源开发效率要求</w:t>
                  </w:r>
                </w:p>
              </w:tc>
              <w:tc>
                <w:tcPr>
                  <w:tcW w:w="3515" w:type="dxa"/>
                  <w:tcBorders>
                    <w:top w:val="single" w:color="auto" w:sz="4" w:space="0"/>
                    <w:left w:val="single" w:color="auto" w:sz="4" w:space="0"/>
                    <w:bottom w:val="single" w:color="auto" w:sz="12" w:space="0"/>
                    <w:right w:val="single" w:color="auto" w:sz="4" w:space="0"/>
                    <w:tl2br w:val="nil"/>
                    <w:tr2bl w:val="nil"/>
                  </w:tcBorders>
                </w:tcPr>
                <w:p w14:paraId="4DB40438">
                  <w:pPr>
                    <w:rPr>
                      <w:rFonts w:hint="default" w:ascii="Times New Roman" w:hAnsi="Times New Roman" w:cs="Times New Roman"/>
                      <w:color w:val="auto"/>
                    </w:rPr>
                  </w:pPr>
                  <w:r>
                    <w:rPr>
                      <w:rFonts w:hint="default" w:ascii="Times New Roman" w:hAnsi="Times New Roman" w:cs="Times New Roman"/>
                      <w:color w:val="auto"/>
                      <w:kern w:val="0"/>
                      <w:szCs w:val="21"/>
                    </w:rPr>
                    <w:t>（4.1）能源：鼓励企业使用清洁能源，营造全社会节能减排和保护环境的良好氛围。激发用户侧可再生能源电力需求，鼓励用户绿色出行。</w:t>
                  </w:r>
                  <w:r>
                    <w:rPr>
                      <w:rFonts w:hint="default" w:ascii="Times New Roman" w:hAnsi="Times New Roman" w:cs="Times New Roman"/>
                      <w:color w:val="auto"/>
                      <w:kern w:val="0"/>
                      <w:szCs w:val="21"/>
                    </w:rPr>
                    <w:br w:type="textWrapping"/>
                  </w:r>
                  <w:r>
                    <w:rPr>
                      <w:rFonts w:hint="default" w:ascii="Times New Roman" w:hAnsi="Times New Roman" w:cs="Times New Roman"/>
                      <w:color w:val="auto"/>
                      <w:kern w:val="0"/>
                      <w:szCs w:val="21"/>
                    </w:rPr>
                    <w:t>（4.2）水资源：落实水资源消耗总量和强度双控行动，推动经济社会发展布局与水资源承载能力相适应。到2025年，蒸湘区用水总量0.9045亿立方米，万元地区生产总值用水量比2020年下降12.01%，万元工业增加值用水量比2020年下降12.0%，农业灌溉水有效利用系数0.622。</w:t>
                  </w:r>
                </w:p>
              </w:tc>
              <w:tc>
                <w:tcPr>
                  <w:tcW w:w="2577" w:type="dxa"/>
                  <w:tcBorders>
                    <w:top w:val="single" w:color="auto" w:sz="4" w:space="0"/>
                    <w:left w:val="single" w:color="auto" w:sz="4" w:space="0"/>
                    <w:bottom w:val="single" w:color="auto" w:sz="12" w:space="0"/>
                    <w:right w:val="single" w:color="auto" w:sz="4" w:space="0"/>
                    <w:tl2br w:val="nil"/>
                    <w:tr2bl w:val="nil"/>
                  </w:tcBorders>
                  <w:vAlign w:val="center"/>
                </w:tcPr>
                <w:p w14:paraId="44EC3AFB">
                  <w:pPr>
                    <w:rPr>
                      <w:rFonts w:hint="default" w:ascii="Times New Roman" w:hAnsi="Times New Roman" w:cs="Times New Roman"/>
                      <w:color w:val="auto"/>
                    </w:rPr>
                  </w:pPr>
                  <w:r>
                    <w:rPr>
                      <w:rFonts w:hint="default" w:ascii="Times New Roman" w:hAnsi="Times New Roman" w:cs="Times New Roman"/>
                      <w:color w:val="auto"/>
                    </w:rPr>
                    <w:t xml:space="preserve">本项目运营期使用能源主要为：水、电、天然气，不使用煤、高硫、中硫原煤及重油等燃料，且项目不属于严重过剩行业、不属于高耗能产业，项目位于园区内，满足资源开发效率要求。 </w:t>
                  </w:r>
                </w:p>
              </w:tc>
              <w:tc>
                <w:tcPr>
                  <w:tcW w:w="570" w:type="dxa"/>
                  <w:tcBorders>
                    <w:top w:val="single" w:color="auto" w:sz="4" w:space="0"/>
                    <w:left w:val="single" w:color="auto" w:sz="4" w:space="0"/>
                    <w:bottom w:val="single" w:color="auto" w:sz="12" w:space="0"/>
                    <w:right w:val="nil"/>
                    <w:tl2br w:val="nil"/>
                    <w:tr2bl w:val="nil"/>
                  </w:tcBorders>
                  <w:vAlign w:val="center"/>
                </w:tcPr>
                <w:p w14:paraId="16A54A14">
                  <w:pPr>
                    <w:jc w:val="center"/>
                    <w:rPr>
                      <w:rFonts w:hint="default" w:ascii="Times New Roman" w:hAnsi="Times New Roman" w:cs="Times New Roman"/>
                      <w:color w:val="auto"/>
                    </w:rPr>
                  </w:pPr>
                  <w:r>
                    <w:rPr>
                      <w:rFonts w:hint="default" w:ascii="Times New Roman" w:hAnsi="Times New Roman" w:cs="Times New Roman"/>
                      <w:color w:val="auto"/>
                    </w:rPr>
                    <w:t>符合</w:t>
                  </w:r>
                </w:p>
              </w:tc>
            </w:tr>
          </w:tbl>
          <w:p w14:paraId="6571D247">
            <w:pPr>
              <w:spacing w:after="2" w:line="360" w:lineRule="auto"/>
              <w:ind w:firstLine="480" w:firstLineChars="200"/>
              <w:rPr>
                <w:rFonts w:hint="default" w:ascii="Times New Roman" w:hAnsi="Times New Roman" w:cs="Times New Roman"/>
                <w:color w:val="auto"/>
                <w:sz w:val="24"/>
                <w:szCs w:val="22"/>
              </w:rPr>
            </w:pPr>
            <w:r>
              <w:rPr>
                <w:rFonts w:hint="default" w:ascii="Times New Roman" w:hAnsi="Times New Roman" w:cs="Times New Roman"/>
                <w:color w:val="auto"/>
                <w:sz w:val="24"/>
                <w:szCs w:val="22"/>
              </w:rPr>
              <w:t>根据上述内容可知，本项目符合</w:t>
            </w:r>
            <w:r>
              <w:rPr>
                <w:rFonts w:hint="default" w:ascii="Times New Roman" w:hAnsi="Times New Roman" w:cs="Times New Roman"/>
                <w:color w:val="auto"/>
                <w:sz w:val="24"/>
              </w:rPr>
              <w:t>衡阳市生态环境局发布《关于发布衡阳市生态环境分区管控更</w:t>
            </w:r>
            <w:r>
              <w:rPr>
                <w:rFonts w:hint="default" w:ascii="Times New Roman" w:hAnsi="Times New Roman" w:cs="Times New Roman"/>
                <w:color w:val="auto"/>
                <w:sz w:val="24"/>
                <w:szCs w:val="22"/>
              </w:rPr>
              <w:t>新成果（2023年版）的通知》（衡环发〔2024〕194号）中衡阳蒸湘区生态环境分区管控要求。</w:t>
            </w:r>
          </w:p>
          <w:p w14:paraId="1B72E770">
            <w:pPr>
              <w:pStyle w:val="109"/>
              <w:ind w:firstLine="482"/>
              <w:rPr>
                <w:rFonts w:hint="default" w:ascii="Times New Roman" w:hAnsi="Times New Roman" w:cs="Times New Roman"/>
              </w:rPr>
            </w:pPr>
            <w:r>
              <w:rPr>
                <w:rFonts w:hint="default" w:ascii="Times New Roman" w:hAnsi="Times New Roman" w:cs="Times New Roman"/>
                <w:b/>
                <w:bCs/>
              </w:rPr>
              <w:t>4、与《湖南省长江经济带发展负面清单实施细则（试行，2022年版）》符合性分析</w:t>
            </w:r>
          </w:p>
          <w:p w14:paraId="567602DC">
            <w:pPr>
              <w:pStyle w:val="109"/>
              <w:rPr>
                <w:rFonts w:hint="default" w:ascii="Times New Roman" w:hAnsi="Times New Roman" w:cs="Times New Roman"/>
              </w:rPr>
            </w:pPr>
            <w:r>
              <w:rPr>
                <w:rFonts w:hint="default" w:ascii="Times New Roman" w:hAnsi="Times New Roman" w:cs="Times New Roman"/>
              </w:rPr>
              <w:t>本项目与《湖南省长江经济带发展负面清单实施细则（试行，2022年版）》符合性分析情况见表1-4。</w:t>
            </w:r>
          </w:p>
          <w:p w14:paraId="360DC7C5">
            <w:pPr>
              <w:pStyle w:val="173"/>
              <w:spacing w:before="120"/>
              <w:rPr>
                <w:rFonts w:hint="default" w:ascii="Times New Roman" w:hAnsi="Times New Roman" w:cs="Times New Roman"/>
              </w:rPr>
            </w:pPr>
            <w:r>
              <w:rPr>
                <w:rFonts w:hint="default" w:ascii="Times New Roman" w:hAnsi="Times New Roman" w:cs="Times New Roman"/>
              </w:rPr>
              <w:t>表1-4  项目与《湖南省长江经济带发展负面清单实施细则（试行，2022年版）》符合性分析情况</w:t>
            </w:r>
          </w:p>
          <w:tbl>
            <w:tblPr>
              <w:tblStyle w:val="36"/>
              <w:tblW w:w="7437"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33"/>
              <w:gridCol w:w="3755"/>
              <w:gridCol w:w="2352"/>
              <w:gridCol w:w="697"/>
            </w:tblGrid>
            <w:tr w14:paraId="709C2EB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33" w:type="dxa"/>
                  <w:tcBorders>
                    <w:top w:val="single" w:color="auto" w:sz="12" w:space="0"/>
                    <w:left w:val="nil"/>
                    <w:bottom w:val="single" w:color="auto" w:sz="4" w:space="0"/>
                    <w:right w:val="single" w:color="auto" w:sz="4" w:space="0"/>
                    <w:tl2br w:val="nil"/>
                    <w:tr2bl w:val="nil"/>
                  </w:tcBorders>
                  <w:vAlign w:val="center"/>
                </w:tcPr>
                <w:p w14:paraId="599DB561">
                  <w:pPr>
                    <w:pStyle w:val="146"/>
                    <w:rPr>
                      <w:rFonts w:hint="default" w:ascii="Times New Roman" w:hAnsi="Times New Roman" w:cs="Times New Roman"/>
                    </w:rPr>
                  </w:pPr>
                  <w:r>
                    <w:rPr>
                      <w:rFonts w:hint="default" w:ascii="Times New Roman" w:hAnsi="Times New Roman" w:cs="Times New Roman"/>
                    </w:rPr>
                    <w:t>序号</w:t>
                  </w:r>
                </w:p>
              </w:tc>
              <w:tc>
                <w:tcPr>
                  <w:tcW w:w="3755" w:type="dxa"/>
                  <w:tcBorders>
                    <w:top w:val="single" w:color="auto" w:sz="12" w:space="0"/>
                    <w:left w:val="single" w:color="auto" w:sz="4" w:space="0"/>
                    <w:bottom w:val="single" w:color="auto" w:sz="4" w:space="0"/>
                    <w:right w:val="single" w:color="auto" w:sz="4" w:space="0"/>
                    <w:tl2br w:val="nil"/>
                    <w:tr2bl w:val="nil"/>
                  </w:tcBorders>
                  <w:vAlign w:val="center"/>
                </w:tcPr>
                <w:p w14:paraId="142320C2">
                  <w:pPr>
                    <w:pStyle w:val="146"/>
                    <w:rPr>
                      <w:rFonts w:hint="default" w:ascii="Times New Roman" w:hAnsi="Times New Roman" w:cs="Times New Roman"/>
                    </w:rPr>
                  </w:pPr>
                  <w:r>
                    <w:rPr>
                      <w:rFonts w:hint="default" w:ascii="Times New Roman" w:hAnsi="Times New Roman" w:cs="Times New Roman"/>
                    </w:rPr>
                    <w:t>细则内容</w:t>
                  </w:r>
                </w:p>
              </w:tc>
              <w:tc>
                <w:tcPr>
                  <w:tcW w:w="2352" w:type="dxa"/>
                  <w:tcBorders>
                    <w:top w:val="single" w:color="auto" w:sz="12" w:space="0"/>
                    <w:left w:val="single" w:color="auto" w:sz="4" w:space="0"/>
                    <w:bottom w:val="single" w:color="auto" w:sz="4" w:space="0"/>
                    <w:right w:val="single" w:color="auto" w:sz="4" w:space="0"/>
                    <w:tl2br w:val="nil"/>
                    <w:tr2bl w:val="nil"/>
                  </w:tcBorders>
                  <w:vAlign w:val="center"/>
                </w:tcPr>
                <w:p w14:paraId="13D5B61F">
                  <w:pPr>
                    <w:pStyle w:val="146"/>
                    <w:rPr>
                      <w:rFonts w:hint="default" w:ascii="Times New Roman" w:hAnsi="Times New Roman" w:cs="Times New Roman"/>
                    </w:rPr>
                  </w:pPr>
                  <w:r>
                    <w:rPr>
                      <w:rFonts w:hint="default" w:ascii="Times New Roman" w:hAnsi="Times New Roman" w:cs="Times New Roman"/>
                    </w:rPr>
                    <w:t>项目实际情况</w:t>
                  </w:r>
                </w:p>
              </w:tc>
              <w:tc>
                <w:tcPr>
                  <w:tcW w:w="697" w:type="dxa"/>
                  <w:tcBorders>
                    <w:top w:val="single" w:color="auto" w:sz="12" w:space="0"/>
                    <w:left w:val="single" w:color="auto" w:sz="4" w:space="0"/>
                    <w:bottom w:val="single" w:color="auto" w:sz="4" w:space="0"/>
                    <w:right w:val="nil"/>
                    <w:tl2br w:val="nil"/>
                    <w:tr2bl w:val="nil"/>
                  </w:tcBorders>
                  <w:vAlign w:val="center"/>
                </w:tcPr>
                <w:p w14:paraId="168C7B1C">
                  <w:pPr>
                    <w:pStyle w:val="146"/>
                    <w:rPr>
                      <w:rFonts w:hint="default" w:ascii="Times New Roman" w:hAnsi="Times New Roman" w:cs="Times New Roman"/>
                    </w:rPr>
                  </w:pPr>
                  <w:r>
                    <w:rPr>
                      <w:rFonts w:hint="default" w:ascii="Times New Roman" w:hAnsi="Times New Roman" w:cs="Times New Roman"/>
                    </w:rPr>
                    <w:t>是否符合</w:t>
                  </w:r>
                </w:p>
              </w:tc>
            </w:tr>
            <w:tr w14:paraId="7BA05B1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33" w:type="dxa"/>
                  <w:tcBorders>
                    <w:top w:val="single" w:color="auto" w:sz="4" w:space="0"/>
                    <w:left w:val="nil"/>
                    <w:bottom w:val="single" w:color="auto" w:sz="4" w:space="0"/>
                    <w:right w:val="single" w:color="auto" w:sz="4" w:space="0"/>
                    <w:tl2br w:val="nil"/>
                    <w:tr2bl w:val="nil"/>
                  </w:tcBorders>
                  <w:vAlign w:val="center"/>
                </w:tcPr>
                <w:p w14:paraId="425543A8">
                  <w:pPr>
                    <w:pStyle w:val="146"/>
                    <w:rPr>
                      <w:rFonts w:hint="default" w:ascii="Times New Roman" w:hAnsi="Times New Roman" w:cs="Times New Roman"/>
                    </w:rPr>
                  </w:pPr>
                  <w:r>
                    <w:rPr>
                      <w:rFonts w:hint="default" w:ascii="Times New Roman" w:hAnsi="Times New Roman" w:cs="Times New Roman"/>
                    </w:rPr>
                    <w:t>1</w:t>
                  </w:r>
                </w:p>
              </w:tc>
              <w:tc>
                <w:tcPr>
                  <w:tcW w:w="3755" w:type="dxa"/>
                  <w:tcBorders>
                    <w:top w:val="single" w:color="auto" w:sz="4" w:space="0"/>
                    <w:left w:val="single" w:color="auto" w:sz="4" w:space="0"/>
                    <w:bottom w:val="single" w:color="auto" w:sz="4" w:space="0"/>
                    <w:right w:val="single" w:color="auto" w:sz="4" w:space="0"/>
                    <w:tl2br w:val="nil"/>
                    <w:tr2bl w:val="nil"/>
                  </w:tcBorders>
                  <w:vAlign w:val="center"/>
                </w:tcPr>
                <w:p w14:paraId="19FFE36D">
                  <w:pPr>
                    <w:pStyle w:val="146"/>
                    <w:rPr>
                      <w:rFonts w:hint="default" w:ascii="Times New Roman" w:hAnsi="Times New Roman" w:cs="Times New Roman"/>
                    </w:rPr>
                  </w:pPr>
                  <w:r>
                    <w:rPr>
                      <w:rFonts w:hint="default" w:ascii="Times New Roman" w:hAnsi="Times New Roman" w:cs="Times New Roman"/>
                    </w:rPr>
                    <w:t>第二章第三条：禁止建设不符合全国和省级港口布局规划以及港口总体规划的码头项目。</w:t>
                  </w:r>
                </w:p>
              </w:tc>
              <w:tc>
                <w:tcPr>
                  <w:tcW w:w="2352" w:type="dxa"/>
                  <w:tcBorders>
                    <w:top w:val="single" w:color="auto" w:sz="4" w:space="0"/>
                    <w:left w:val="single" w:color="auto" w:sz="4" w:space="0"/>
                    <w:bottom w:val="single" w:color="auto" w:sz="4" w:space="0"/>
                    <w:right w:val="single" w:color="auto" w:sz="4" w:space="0"/>
                    <w:tl2br w:val="nil"/>
                    <w:tr2bl w:val="nil"/>
                  </w:tcBorders>
                  <w:vAlign w:val="center"/>
                </w:tcPr>
                <w:p w14:paraId="749546F7">
                  <w:pPr>
                    <w:pStyle w:val="146"/>
                    <w:rPr>
                      <w:rFonts w:hint="default" w:ascii="Times New Roman" w:hAnsi="Times New Roman" w:cs="Times New Roman"/>
                    </w:rPr>
                  </w:pPr>
                  <w:r>
                    <w:rPr>
                      <w:rFonts w:hint="default" w:ascii="Times New Roman" w:hAnsi="Times New Roman" w:cs="Times New Roman"/>
                    </w:rPr>
                    <w:t>本项目不涉及</w:t>
                  </w:r>
                </w:p>
              </w:tc>
              <w:tc>
                <w:tcPr>
                  <w:tcW w:w="697" w:type="dxa"/>
                  <w:tcBorders>
                    <w:top w:val="single" w:color="auto" w:sz="4" w:space="0"/>
                    <w:left w:val="single" w:color="auto" w:sz="4" w:space="0"/>
                    <w:bottom w:val="single" w:color="auto" w:sz="4" w:space="0"/>
                    <w:right w:val="nil"/>
                    <w:tl2br w:val="nil"/>
                    <w:tr2bl w:val="nil"/>
                  </w:tcBorders>
                  <w:vAlign w:val="center"/>
                </w:tcPr>
                <w:p w14:paraId="06BA6B4F">
                  <w:pPr>
                    <w:pStyle w:val="146"/>
                    <w:rPr>
                      <w:rFonts w:hint="default" w:ascii="Times New Roman" w:hAnsi="Times New Roman" w:cs="Times New Roman"/>
                    </w:rPr>
                  </w:pPr>
                  <w:r>
                    <w:rPr>
                      <w:rFonts w:hint="default" w:ascii="Times New Roman" w:hAnsi="Times New Roman" w:cs="Times New Roman"/>
                    </w:rPr>
                    <w:t>符合</w:t>
                  </w:r>
                </w:p>
              </w:tc>
            </w:tr>
            <w:tr w14:paraId="615D2B9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33" w:type="dxa"/>
                  <w:tcBorders>
                    <w:top w:val="single" w:color="auto" w:sz="4" w:space="0"/>
                    <w:left w:val="nil"/>
                    <w:bottom w:val="single" w:color="auto" w:sz="4" w:space="0"/>
                    <w:right w:val="single" w:color="auto" w:sz="4" w:space="0"/>
                    <w:tl2br w:val="nil"/>
                    <w:tr2bl w:val="nil"/>
                  </w:tcBorders>
                  <w:vAlign w:val="center"/>
                </w:tcPr>
                <w:p w14:paraId="58D632D3">
                  <w:pPr>
                    <w:pStyle w:val="146"/>
                    <w:rPr>
                      <w:rFonts w:hint="default" w:ascii="Times New Roman" w:hAnsi="Times New Roman" w:cs="Times New Roman"/>
                    </w:rPr>
                  </w:pPr>
                  <w:r>
                    <w:rPr>
                      <w:rFonts w:hint="default" w:ascii="Times New Roman" w:hAnsi="Times New Roman" w:cs="Times New Roman"/>
                    </w:rPr>
                    <w:t>2</w:t>
                  </w:r>
                </w:p>
              </w:tc>
              <w:tc>
                <w:tcPr>
                  <w:tcW w:w="3755" w:type="dxa"/>
                  <w:tcBorders>
                    <w:top w:val="single" w:color="auto" w:sz="4" w:space="0"/>
                    <w:left w:val="single" w:color="auto" w:sz="4" w:space="0"/>
                    <w:bottom w:val="single" w:color="auto" w:sz="4" w:space="0"/>
                    <w:right w:val="single" w:color="auto" w:sz="4" w:space="0"/>
                    <w:tl2br w:val="nil"/>
                    <w:tr2bl w:val="nil"/>
                  </w:tcBorders>
                  <w:vAlign w:val="center"/>
                </w:tcPr>
                <w:p w14:paraId="77918AC8">
                  <w:pPr>
                    <w:pStyle w:val="146"/>
                    <w:jc w:val="left"/>
                    <w:rPr>
                      <w:rFonts w:hint="default" w:ascii="Times New Roman" w:hAnsi="Times New Roman" w:cs="Times New Roman"/>
                    </w:rPr>
                  </w:pPr>
                  <w:r>
                    <w:rPr>
                      <w:rFonts w:hint="default" w:ascii="Times New Roman" w:hAnsi="Times New Roman" w:cs="Times New Roman"/>
                    </w:rPr>
                    <w:t>第二章第四条：禁止在自然保护区核心区、缓冲区岸线建设和河段范围内建设以下旅游和生产经营项目：</w:t>
                  </w:r>
                </w:p>
                <w:p w14:paraId="3E8D4304">
                  <w:pPr>
                    <w:pStyle w:val="146"/>
                    <w:jc w:val="left"/>
                    <w:rPr>
                      <w:rFonts w:hint="default" w:ascii="Times New Roman" w:hAnsi="Times New Roman" w:cs="Times New Roman"/>
                    </w:rPr>
                  </w:pPr>
                  <w:r>
                    <w:rPr>
                      <w:rFonts w:hint="default" w:ascii="Times New Roman" w:hAnsi="Times New Roman" w:cs="Times New Roman"/>
                    </w:rPr>
                    <w:t>高尔夫球场开发、房地产开发、索道建设、会所建设等项目。</w:t>
                  </w:r>
                </w:p>
                <w:p w14:paraId="1D7397C8">
                  <w:pPr>
                    <w:pStyle w:val="146"/>
                    <w:jc w:val="left"/>
                    <w:rPr>
                      <w:rFonts w:hint="default" w:ascii="Times New Roman" w:hAnsi="Times New Roman" w:cs="Times New Roman"/>
                    </w:rPr>
                  </w:pPr>
                  <w:r>
                    <w:rPr>
                      <w:rFonts w:hint="default" w:ascii="Times New Roman" w:hAnsi="Times New Roman" w:cs="Times New Roman"/>
                    </w:rPr>
                    <w:t>（二）光伏发电、风力发电、火力发电建设项目。</w:t>
                  </w:r>
                </w:p>
                <w:p w14:paraId="1FEA513A">
                  <w:pPr>
                    <w:pStyle w:val="146"/>
                    <w:jc w:val="left"/>
                    <w:rPr>
                      <w:rFonts w:hint="default" w:ascii="Times New Roman" w:hAnsi="Times New Roman" w:cs="Times New Roman"/>
                    </w:rPr>
                  </w:pPr>
                  <w:r>
                    <w:rPr>
                      <w:rFonts w:hint="default" w:ascii="Times New Roman" w:hAnsi="Times New Roman" w:cs="Times New Roman"/>
                    </w:rPr>
                    <w:t>（三）社会资金进行商业勘探，以及不属于国家紧缺矿种资源的基础地质调查和矿产远景调查的公益性工作的设施建设。</w:t>
                  </w:r>
                </w:p>
                <w:p w14:paraId="1D590B55">
                  <w:pPr>
                    <w:pStyle w:val="146"/>
                    <w:jc w:val="left"/>
                    <w:rPr>
                      <w:rFonts w:hint="default" w:ascii="Times New Roman" w:hAnsi="Times New Roman" w:cs="Times New Roman"/>
                    </w:rPr>
                  </w:pPr>
                  <w:r>
                    <w:rPr>
                      <w:rFonts w:hint="default" w:ascii="Times New Roman" w:hAnsi="Times New Roman" w:cs="Times New Roman"/>
                    </w:rPr>
                    <w:t>（四）野生动物驯养繁殖、展览基地建设项目。</w:t>
                  </w:r>
                </w:p>
                <w:p w14:paraId="22ED973B">
                  <w:pPr>
                    <w:pStyle w:val="146"/>
                    <w:jc w:val="left"/>
                    <w:rPr>
                      <w:rFonts w:hint="default" w:ascii="Times New Roman" w:hAnsi="Times New Roman" w:cs="Times New Roman"/>
                    </w:rPr>
                  </w:pPr>
                  <w:r>
                    <w:rPr>
                      <w:rFonts w:hint="default" w:ascii="Times New Roman" w:hAnsi="Times New Roman" w:cs="Times New Roman"/>
                    </w:rPr>
                    <w:t>（五）污染环境、破坏自然资源或自然景观的建设设施。</w:t>
                  </w:r>
                </w:p>
                <w:p w14:paraId="5A5DA363">
                  <w:pPr>
                    <w:pStyle w:val="146"/>
                    <w:jc w:val="left"/>
                    <w:rPr>
                      <w:rFonts w:hint="default" w:ascii="Times New Roman" w:hAnsi="Times New Roman" w:cs="Times New Roman"/>
                    </w:rPr>
                  </w:pPr>
                  <w:r>
                    <w:rPr>
                      <w:rFonts w:hint="default" w:ascii="Times New Roman" w:hAnsi="Times New Roman" w:cs="Times New Roman"/>
                    </w:rPr>
                    <w:t>（六）对自然保护区主要保护对象 产生重大影响、改变自然生态系统完整性、原真性、破坏自然景观的设施。</w:t>
                  </w:r>
                </w:p>
                <w:p w14:paraId="2D85B1EA">
                  <w:pPr>
                    <w:pStyle w:val="146"/>
                    <w:jc w:val="left"/>
                    <w:rPr>
                      <w:rFonts w:hint="default" w:ascii="Times New Roman" w:hAnsi="Times New Roman" w:cs="Times New Roman"/>
                    </w:rPr>
                  </w:pPr>
                  <w:r>
                    <w:rPr>
                      <w:rFonts w:hint="default" w:ascii="Times New Roman" w:hAnsi="Times New Roman" w:cs="Times New Roman"/>
                    </w:rPr>
                    <w:t>（七）其他不符合自然保护区主体功能定位和国家禁止设施。</w:t>
                  </w:r>
                </w:p>
              </w:tc>
              <w:tc>
                <w:tcPr>
                  <w:tcW w:w="2352" w:type="dxa"/>
                  <w:tcBorders>
                    <w:top w:val="single" w:color="auto" w:sz="4" w:space="0"/>
                    <w:left w:val="single" w:color="auto" w:sz="4" w:space="0"/>
                    <w:bottom w:val="single" w:color="auto" w:sz="4" w:space="0"/>
                    <w:right w:val="single" w:color="auto" w:sz="4" w:space="0"/>
                    <w:tl2br w:val="nil"/>
                    <w:tr2bl w:val="nil"/>
                  </w:tcBorders>
                  <w:vAlign w:val="center"/>
                </w:tcPr>
                <w:p w14:paraId="6BE6AE0F">
                  <w:pPr>
                    <w:pStyle w:val="146"/>
                    <w:rPr>
                      <w:rFonts w:hint="default" w:ascii="Times New Roman" w:hAnsi="Times New Roman" w:cs="Times New Roman"/>
                    </w:rPr>
                  </w:pPr>
                  <w:r>
                    <w:rPr>
                      <w:rFonts w:hint="default" w:ascii="Times New Roman" w:hAnsi="Times New Roman" w:eastAsia="宋体" w:cs="Times New Roman"/>
                    </w:rPr>
                    <w:t>本项目为C2926塑料零件及其他塑料制品制造</w:t>
                  </w:r>
                  <w:r>
                    <w:rPr>
                      <w:rFonts w:hint="default" w:ascii="Times New Roman" w:hAnsi="Times New Roman" w:eastAsia="宋体" w:cs="Times New Roman"/>
                      <w:lang w:val="en-US" w:eastAsia="zh-CN"/>
                    </w:rPr>
                    <w:t>和C3360金属表面处理及热处理加工</w:t>
                  </w:r>
                  <w:r>
                    <w:rPr>
                      <w:rFonts w:hint="default" w:ascii="Times New Roman" w:hAnsi="Times New Roman" w:eastAsia="宋体" w:cs="Times New Roman"/>
                    </w:rPr>
                    <w:t>，项目用地不在自然保护区核心区、缓冲区岸线和河段范围内</w:t>
                  </w:r>
                </w:p>
              </w:tc>
              <w:tc>
                <w:tcPr>
                  <w:tcW w:w="697" w:type="dxa"/>
                  <w:tcBorders>
                    <w:top w:val="single" w:color="auto" w:sz="4" w:space="0"/>
                    <w:left w:val="single" w:color="auto" w:sz="4" w:space="0"/>
                    <w:bottom w:val="single" w:color="auto" w:sz="4" w:space="0"/>
                    <w:right w:val="nil"/>
                    <w:tl2br w:val="nil"/>
                    <w:tr2bl w:val="nil"/>
                  </w:tcBorders>
                  <w:vAlign w:val="center"/>
                </w:tcPr>
                <w:p w14:paraId="186C5885">
                  <w:pPr>
                    <w:pStyle w:val="146"/>
                    <w:rPr>
                      <w:rFonts w:hint="default" w:ascii="Times New Roman" w:hAnsi="Times New Roman" w:cs="Times New Roman"/>
                    </w:rPr>
                  </w:pPr>
                  <w:r>
                    <w:rPr>
                      <w:rFonts w:hint="default" w:ascii="Times New Roman" w:hAnsi="Times New Roman" w:cs="Times New Roman"/>
                    </w:rPr>
                    <w:t>符合</w:t>
                  </w:r>
                </w:p>
              </w:tc>
            </w:tr>
            <w:tr w14:paraId="1E51B1B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33" w:type="dxa"/>
                  <w:tcBorders>
                    <w:top w:val="single" w:color="auto" w:sz="4" w:space="0"/>
                    <w:left w:val="nil"/>
                    <w:bottom w:val="single" w:color="auto" w:sz="4" w:space="0"/>
                    <w:right w:val="single" w:color="auto" w:sz="4" w:space="0"/>
                    <w:tl2br w:val="nil"/>
                    <w:tr2bl w:val="nil"/>
                  </w:tcBorders>
                  <w:vAlign w:val="center"/>
                </w:tcPr>
                <w:p w14:paraId="63C435D0">
                  <w:pPr>
                    <w:pStyle w:val="146"/>
                    <w:rPr>
                      <w:rFonts w:hint="default" w:ascii="Times New Roman" w:hAnsi="Times New Roman" w:cs="Times New Roman"/>
                    </w:rPr>
                  </w:pPr>
                  <w:r>
                    <w:rPr>
                      <w:rFonts w:hint="default" w:ascii="Times New Roman" w:hAnsi="Times New Roman" w:cs="Times New Roman"/>
                    </w:rPr>
                    <w:t>3</w:t>
                  </w:r>
                </w:p>
              </w:tc>
              <w:tc>
                <w:tcPr>
                  <w:tcW w:w="3755" w:type="dxa"/>
                  <w:tcBorders>
                    <w:top w:val="single" w:color="auto" w:sz="4" w:space="0"/>
                    <w:left w:val="single" w:color="auto" w:sz="4" w:space="0"/>
                    <w:bottom w:val="single" w:color="auto" w:sz="4" w:space="0"/>
                    <w:right w:val="single" w:color="auto" w:sz="4" w:space="0"/>
                    <w:tl2br w:val="nil"/>
                    <w:tr2bl w:val="nil"/>
                  </w:tcBorders>
                  <w:vAlign w:val="center"/>
                </w:tcPr>
                <w:p w14:paraId="30CEA694">
                  <w:pPr>
                    <w:pStyle w:val="146"/>
                    <w:rPr>
                      <w:rFonts w:hint="default" w:ascii="Times New Roman" w:hAnsi="Times New Roman" w:cs="Times New Roman"/>
                    </w:rPr>
                  </w:pPr>
                  <w:r>
                    <w:rPr>
                      <w:rFonts w:hint="default" w:ascii="Times New Roman" w:hAnsi="Times New Roman" w:cs="Times New Roman"/>
                    </w:rPr>
                    <w:t>第二章第五条：机场、铁路、公路、水利、围堰等公益性基础设施的选址选线应多方案优化比选，尽量避让相关自然保护区域、野生动物迁徙洄游通道；无法避让的，应当采取修建野生动物通道、过鱼设施等措施，消除或者减少对野生动物的不利影响。</w:t>
                  </w:r>
                </w:p>
              </w:tc>
              <w:tc>
                <w:tcPr>
                  <w:tcW w:w="2352" w:type="dxa"/>
                  <w:tcBorders>
                    <w:top w:val="single" w:color="auto" w:sz="4" w:space="0"/>
                    <w:left w:val="single" w:color="auto" w:sz="4" w:space="0"/>
                    <w:bottom w:val="single" w:color="auto" w:sz="4" w:space="0"/>
                    <w:right w:val="single" w:color="auto" w:sz="4" w:space="0"/>
                    <w:tl2br w:val="nil"/>
                    <w:tr2bl w:val="nil"/>
                  </w:tcBorders>
                  <w:vAlign w:val="center"/>
                </w:tcPr>
                <w:p w14:paraId="542475BE">
                  <w:pPr>
                    <w:pStyle w:val="146"/>
                    <w:rPr>
                      <w:rFonts w:hint="default" w:ascii="Times New Roman" w:hAnsi="Times New Roman" w:cs="Times New Roman"/>
                    </w:rPr>
                  </w:pPr>
                  <w:r>
                    <w:rPr>
                      <w:rFonts w:hint="default" w:ascii="Times New Roman" w:hAnsi="Times New Roman" w:cs="Times New Roman"/>
                    </w:rPr>
                    <w:t>本项目为</w:t>
                  </w:r>
                  <w:r>
                    <w:rPr>
                      <w:rFonts w:hint="default" w:ascii="Times New Roman" w:hAnsi="Times New Roman" w:eastAsia="宋体" w:cs="Times New Roman"/>
                    </w:rPr>
                    <w:t>C2926塑料零件及其他塑料制品制造</w:t>
                  </w:r>
                  <w:r>
                    <w:rPr>
                      <w:rFonts w:hint="default" w:ascii="Times New Roman" w:hAnsi="Times New Roman" w:eastAsia="宋体" w:cs="Times New Roman"/>
                      <w:lang w:val="en-US" w:eastAsia="zh-CN"/>
                    </w:rPr>
                    <w:t>和C3360金属表面处理及热处理加工</w:t>
                  </w:r>
                  <w:r>
                    <w:rPr>
                      <w:rFonts w:hint="default" w:ascii="Times New Roman" w:hAnsi="Times New Roman" w:cs="Times New Roman"/>
                    </w:rPr>
                    <w:t>，不涉及机场、铁路、公路、水利、围堰等公益性基础设施。</w:t>
                  </w:r>
                </w:p>
              </w:tc>
              <w:tc>
                <w:tcPr>
                  <w:tcW w:w="697" w:type="dxa"/>
                  <w:tcBorders>
                    <w:top w:val="single" w:color="auto" w:sz="4" w:space="0"/>
                    <w:left w:val="single" w:color="auto" w:sz="4" w:space="0"/>
                    <w:bottom w:val="single" w:color="auto" w:sz="4" w:space="0"/>
                    <w:right w:val="nil"/>
                    <w:tl2br w:val="nil"/>
                    <w:tr2bl w:val="nil"/>
                  </w:tcBorders>
                  <w:vAlign w:val="center"/>
                </w:tcPr>
                <w:p w14:paraId="20FCB689">
                  <w:pPr>
                    <w:pStyle w:val="146"/>
                    <w:rPr>
                      <w:rFonts w:hint="default" w:ascii="Times New Roman" w:hAnsi="Times New Roman" w:cs="Times New Roman"/>
                    </w:rPr>
                  </w:pPr>
                  <w:r>
                    <w:rPr>
                      <w:rFonts w:hint="default" w:ascii="Times New Roman" w:hAnsi="Times New Roman" w:cs="Times New Roman"/>
                    </w:rPr>
                    <w:t>符合</w:t>
                  </w:r>
                </w:p>
              </w:tc>
            </w:tr>
            <w:tr w14:paraId="4B7017E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33" w:type="dxa"/>
                  <w:tcBorders>
                    <w:top w:val="single" w:color="auto" w:sz="4" w:space="0"/>
                    <w:left w:val="nil"/>
                    <w:bottom w:val="single" w:color="auto" w:sz="4" w:space="0"/>
                    <w:right w:val="single" w:color="auto" w:sz="4" w:space="0"/>
                    <w:tl2br w:val="nil"/>
                    <w:tr2bl w:val="nil"/>
                  </w:tcBorders>
                  <w:vAlign w:val="center"/>
                </w:tcPr>
                <w:p w14:paraId="399CFDC4">
                  <w:pPr>
                    <w:pStyle w:val="146"/>
                    <w:rPr>
                      <w:rFonts w:hint="default" w:ascii="Times New Roman" w:hAnsi="Times New Roman" w:cs="Times New Roman"/>
                    </w:rPr>
                  </w:pPr>
                  <w:r>
                    <w:rPr>
                      <w:rFonts w:hint="default" w:ascii="Times New Roman" w:hAnsi="Times New Roman" w:cs="Times New Roman"/>
                    </w:rPr>
                    <w:t>4</w:t>
                  </w:r>
                </w:p>
              </w:tc>
              <w:tc>
                <w:tcPr>
                  <w:tcW w:w="3755" w:type="dxa"/>
                  <w:tcBorders>
                    <w:top w:val="single" w:color="auto" w:sz="4" w:space="0"/>
                    <w:left w:val="single" w:color="auto" w:sz="4" w:space="0"/>
                    <w:bottom w:val="single" w:color="auto" w:sz="4" w:space="0"/>
                    <w:right w:val="single" w:color="auto" w:sz="4" w:space="0"/>
                    <w:tl2br w:val="nil"/>
                    <w:tr2bl w:val="nil"/>
                  </w:tcBorders>
                  <w:vAlign w:val="center"/>
                </w:tcPr>
                <w:p w14:paraId="61E012BF">
                  <w:pPr>
                    <w:pStyle w:val="146"/>
                    <w:rPr>
                      <w:rFonts w:hint="default" w:ascii="Times New Roman" w:hAnsi="Times New Roman" w:cs="Times New Roman"/>
                    </w:rPr>
                  </w:pPr>
                  <w:r>
                    <w:rPr>
                      <w:rFonts w:hint="default" w:ascii="Times New Roman" w:hAnsi="Times New Roman" w:cs="Times New Roman"/>
                    </w:rPr>
                    <w:t>第二章第七条：饮用水水源一级保护区内禁止新建、改建、扩建、与供水设施和保护水源无关的建设项目，以及网箱养殖、畜禽养殖、旅游等可能污染饮用水水体的投资建设项目；禁止水域排放污水，已设置排污口必须拆除；不得设置与供水无关的码头，禁止停靠船舶，禁止堆放和放置工业废渣、城市垃圾、粪便和其它废弃物；禁止设置油库；禁止使用含磷洗涤用品。</w:t>
                  </w:r>
                </w:p>
              </w:tc>
              <w:tc>
                <w:tcPr>
                  <w:tcW w:w="2352" w:type="dxa"/>
                  <w:tcBorders>
                    <w:top w:val="single" w:color="auto" w:sz="4" w:space="0"/>
                    <w:left w:val="single" w:color="auto" w:sz="4" w:space="0"/>
                    <w:bottom w:val="single" w:color="auto" w:sz="4" w:space="0"/>
                    <w:right w:val="single" w:color="auto" w:sz="4" w:space="0"/>
                    <w:tl2br w:val="nil"/>
                    <w:tr2bl w:val="nil"/>
                  </w:tcBorders>
                  <w:vAlign w:val="center"/>
                </w:tcPr>
                <w:p w14:paraId="24D9E3A4">
                  <w:pPr>
                    <w:pStyle w:val="146"/>
                    <w:rPr>
                      <w:rFonts w:hint="default" w:ascii="Times New Roman" w:hAnsi="Times New Roman" w:cs="Times New Roman"/>
                    </w:rPr>
                  </w:pPr>
                  <w:r>
                    <w:rPr>
                      <w:rFonts w:hint="default" w:ascii="Times New Roman" w:hAnsi="Times New Roman" w:cs="Times New Roman"/>
                    </w:rPr>
                    <w:t>本项目建设不在饮用水水源一级保护区内</w:t>
                  </w:r>
                </w:p>
              </w:tc>
              <w:tc>
                <w:tcPr>
                  <w:tcW w:w="697" w:type="dxa"/>
                  <w:tcBorders>
                    <w:top w:val="single" w:color="auto" w:sz="4" w:space="0"/>
                    <w:left w:val="single" w:color="auto" w:sz="4" w:space="0"/>
                    <w:bottom w:val="single" w:color="auto" w:sz="4" w:space="0"/>
                    <w:right w:val="nil"/>
                    <w:tl2br w:val="nil"/>
                    <w:tr2bl w:val="nil"/>
                  </w:tcBorders>
                  <w:vAlign w:val="center"/>
                </w:tcPr>
                <w:p w14:paraId="344C0D2B">
                  <w:pPr>
                    <w:pStyle w:val="146"/>
                    <w:rPr>
                      <w:rFonts w:hint="default" w:ascii="Times New Roman" w:hAnsi="Times New Roman" w:cs="Times New Roman"/>
                    </w:rPr>
                  </w:pPr>
                  <w:r>
                    <w:rPr>
                      <w:rFonts w:hint="default" w:ascii="Times New Roman" w:hAnsi="Times New Roman" w:cs="Times New Roman"/>
                    </w:rPr>
                    <w:t>符合</w:t>
                  </w:r>
                </w:p>
              </w:tc>
            </w:tr>
            <w:tr w14:paraId="119ECD4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33" w:type="dxa"/>
                  <w:tcBorders>
                    <w:top w:val="single" w:color="auto" w:sz="4" w:space="0"/>
                    <w:left w:val="nil"/>
                    <w:bottom w:val="single" w:color="auto" w:sz="4" w:space="0"/>
                    <w:right w:val="single" w:color="auto" w:sz="4" w:space="0"/>
                    <w:tl2br w:val="nil"/>
                    <w:tr2bl w:val="nil"/>
                  </w:tcBorders>
                  <w:vAlign w:val="center"/>
                </w:tcPr>
                <w:p w14:paraId="5706B559">
                  <w:pPr>
                    <w:pStyle w:val="146"/>
                    <w:rPr>
                      <w:rFonts w:hint="default" w:ascii="Times New Roman" w:hAnsi="Times New Roman" w:cs="Times New Roman"/>
                    </w:rPr>
                  </w:pPr>
                  <w:r>
                    <w:rPr>
                      <w:rFonts w:hint="default" w:ascii="Times New Roman" w:hAnsi="Times New Roman" w:cs="Times New Roman"/>
                    </w:rPr>
                    <w:t>5</w:t>
                  </w:r>
                </w:p>
              </w:tc>
              <w:tc>
                <w:tcPr>
                  <w:tcW w:w="3755" w:type="dxa"/>
                  <w:tcBorders>
                    <w:top w:val="single" w:color="auto" w:sz="4" w:space="0"/>
                    <w:left w:val="single" w:color="auto" w:sz="4" w:space="0"/>
                    <w:bottom w:val="single" w:color="auto" w:sz="4" w:space="0"/>
                    <w:right w:val="single" w:color="auto" w:sz="4" w:space="0"/>
                    <w:tl2br w:val="nil"/>
                    <w:tr2bl w:val="nil"/>
                  </w:tcBorders>
                  <w:vAlign w:val="center"/>
                </w:tcPr>
                <w:p w14:paraId="1117AD08">
                  <w:pPr>
                    <w:pStyle w:val="146"/>
                    <w:rPr>
                      <w:rFonts w:hint="default" w:ascii="Times New Roman" w:hAnsi="Times New Roman" w:cs="Times New Roman"/>
                    </w:rPr>
                  </w:pPr>
                  <w:r>
                    <w:rPr>
                      <w:rFonts w:hint="default" w:ascii="Times New Roman" w:hAnsi="Times New Roman" w:cs="Times New Roman"/>
                    </w:rPr>
                    <w:t>第二章第八条：饮用水水源二级保护区内禁止新建、改建、向水体排放污染物的投资建设项目。原有排污口依法拆除或关闭。禁止设立装卸垃圾、粪便、油类和有毒物品的码头。</w:t>
                  </w:r>
                </w:p>
              </w:tc>
              <w:tc>
                <w:tcPr>
                  <w:tcW w:w="2352" w:type="dxa"/>
                  <w:tcBorders>
                    <w:top w:val="single" w:color="auto" w:sz="4" w:space="0"/>
                    <w:left w:val="single" w:color="auto" w:sz="4" w:space="0"/>
                    <w:bottom w:val="single" w:color="auto" w:sz="4" w:space="0"/>
                    <w:right w:val="single" w:color="auto" w:sz="4" w:space="0"/>
                    <w:tl2br w:val="nil"/>
                    <w:tr2bl w:val="nil"/>
                  </w:tcBorders>
                  <w:vAlign w:val="center"/>
                </w:tcPr>
                <w:p w14:paraId="1EC8360C">
                  <w:pPr>
                    <w:pStyle w:val="146"/>
                    <w:rPr>
                      <w:rFonts w:hint="default" w:ascii="Times New Roman" w:hAnsi="Times New Roman" w:cs="Times New Roman"/>
                    </w:rPr>
                  </w:pPr>
                  <w:r>
                    <w:rPr>
                      <w:rFonts w:hint="default" w:ascii="Times New Roman" w:hAnsi="Times New Roman" w:cs="Times New Roman"/>
                    </w:rPr>
                    <w:t>本项目建设不在饮用水水源二级保护区内</w:t>
                  </w:r>
                </w:p>
              </w:tc>
              <w:tc>
                <w:tcPr>
                  <w:tcW w:w="697" w:type="dxa"/>
                  <w:tcBorders>
                    <w:top w:val="single" w:color="auto" w:sz="4" w:space="0"/>
                    <w:left w:val="single" w:color="auto" w:sz="4" w:space="0"/>
                    <w:bottom w:val="single" w:color="auto" w:sz="4" w:space="0"/>
                    <w:right w:val="nil"/>
                    <w:tl2br w:val="nil"/>
                    <w:tr2bl w:val="nil"/>
                  </w:tcBorders>
                  <w:vAlign w:val="center"/>
                </w:tcPr>
                <w:p w14:paraId="2D783A59">
                  <w:pPr>
                    <w:pStyle w:val="146"/>
                    <w:rPr>
                      <w:rFonts w:hint="default" w:ascii="Times New Roman" w:hAnsi="Times New Roman" w:cs="Times New Roman"/>
                    </w:rPr>
                  </w:pPr>
                  <w:r>
                    <w:rPr>
                      <w:rFonts w:hint="default" w:ascii="Times New Roman" w:hAnsi="Times New Roman" w:cs="Times New Roman"/>
                    </w:rPr>
                    <w:t>符合</w:t>
                  </w:r>
                </w:p>
              </w:tc>
            </w:tr>
            <w:tr w14:paraId="72172DD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33" w:type="dxa"/>
                  <w:tcBorders>
                    <w:top w:val="single" w:color="auto" w:sz="4" w:space="0"/>
                    <w:left w:val="nil"/>
                    <w:bottom w:val="single" w:color="auto" w:sz="4" w:space="0"/>
                    <w:right w:val="single" w:color="auto" w:sz="4" w:space="0"/>
                    <w:tl2br w:val="nil"/>
                    <w:tr2bl w:val="nil"/>
                  </w:tcBorders>
                  <w:vAlign w:val="center"/>
                </w:tcPr>
                <w:p w14:paraId="37D3426C">
                  <w:pPr>
                    <w:pStyle w:val="146"/>
                    <w:rPr>
                      <w:rFonts w:hint="default" w:ascii="Times New Roman" w:hAnsi="Times New Roman" w:cs="Times New Roman"/>
                    </w:rPr>
                  </w:pPr>
                  <w:r>
                    <w:rPr>
                      <w:rFonts w:hint="default" w:ascii="Times New Roman" w:hAnsi="Times New Roman" w:cs="Times New Roman"/>
                    </w:rPr>
                    <w:t>6</w:t>
                  </w:r>
                </w:p>
              </w:tc>
              <w:tc>
                <w:tcPr>
                  <w:tcW w:w="3755" w:type="dxa"/>
                  <w:tcBorders>
                    <w:top w:val="single" w:color="auto" w:sz="4" w:space="0"/>
                    <w:left w:val="single" w:color="auto" w:sz="4" w:space="0"/>
                    <w:bottom w:val="single" w:color="auto" w:sz="4" w:space="0"/>
                    <w:right w:val="single" w:color="auto" w:sz="4" w:space="0"/>
                    <w:tl2br w:val="nil"/>
                    <w:tr2bl w:val="nil"/>
                  </w:tcBorders>
                  <w:vAlign w:val="center"/>
                </w:tcPr>
                <w:p w14:paraId="31C8FBCB">
                  <w:pPr>
                    <w:pStyle w:val="146"/>
                    <w:rPr>
                      <w:rFonts w:hint="default" w:ascii="Times New Roman" w:hAnsi="Times New Roman" w:cs="Times New Roman"/>
                    </w:rPr>
                  </w:pPr>
                  <w:r>
                    <w:rPr>
                      <w:rFonts w:hint="default" w:ascii="Times New Roman" w:hAnsi="Times New Roman" w:cs="Times New Roman"/>
                    </w:rPr>
                    <w:t>第二章第九条：禁止在水产种质资源保护区的岸线和河段范围内新建排污口、实施非法围垦河道和围湖造田造地等投资建设项目。</w:t>
                  </w:r>
                </w:p>
              </w:tc>
              <w:tc>
                <w:tcPr>
                  <w:tcW w:w="2352" w:type="dxa"/>
                  <w:tcBorders>
                    <w:top w:val="single" w:color="auto" w:sz="4" w:space="0"/>
                    <w:left w:val="single" w:color="auto" w:sz="4" w:space="0"/>
                    <w:bottom w:val="single" w:color="auto" w:sz="4" w:space="0"/>
                    <w:right w:val="single" w:color="auto" w:sz="4" w:space="0"/>
                    <w:tl2br w:val="nil"/>
                    <w:tr2bl w:val="nil"/>
                  </w:tcBorders>
                  <w:vAlign w:val="center"/>
                </w:tcPr>
                <w:p w14:paraId="13BA84FC">
                  <w:pPr>
                    <w:pStyle w:val="146"/>
                    <w:rPr>
                      <w:rFonts w:hint="default" w:ascii="Times New Roman" w:hAnsi="Times New Roman" w:cs="Times New Roman"/>
                    </w:rPr>
                  </w:pPr>
                  <w:r>
                    <w:rPr>
                      <w:rFonts w:hint="default" w:ascii="Times New Roman" w:hAnsi="Times New Roman" w:cs="Times New Roman"/>
                    </w:rPr>
                    <w:t>本项目建设不在水产种质资源保护区内</w:t>
                  </w:r>
                </w:p>
              </w:tc>
              <w:tc>
                <w:tcPr>
                  <w:tcW w:w="697" w:type="dxa"/>
                  <w:tcBorders>
                    <w:top w:val="single" w:color="auto" w:sz="4" w:space="0"/>
                    <w:left w:val="single" w:color="auto" w:sz="4" w:space="0"/>
                    <w:bottom w:val="single" w:color="auto" w:sz="4" w:space="0"/>
                    <w:right w:val="nil"/>
                    <w:tl2br w:val="nil"/>
                    <w:tr2bl w:val="nil"/>
                  </w:tcBorders>
                  <w:vAlign w:val="center"/>
                </w:tcPr>
                <w:p w14:paraId="299AA1C8">
                  <w:pPr>
                    <w:pStyle w:val="146"/>
                    <w:rPr>
                      <w:rFonts w:hint="default" w:ascii="Times New Roman" w:hAnsi="Times New Roman" w:cs="Times New Roman"/>
                    </w:rPr>
                  </w:pPr>
                  <w:r>
                    <w:rPr>
                      <w:rFonts w:hint="default" w:ascii="Times New Roman" w:hAnsi="Times New Roman" w:cs="Times New Roman"/>
                    </w:rPr>
                    <w:t>符合</w:t>
                  </w:r>
                </w:p>
              </w:tc>
            </w:tr>
            <w:tr w14:paraId="420EC7A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33" w:type="dxa"/>
                  <w:tcBorders>
                    <w:top w:val="single" w:color="auto" w:sz="4" w:space="0"/>
                    <w:left w:val="nil"/>
                    <w:bottom w:val="single" w:color="auto" w:sz="4" w:space="0"/>
                    <w:right w:val="single" w:color="auto" w:sz="4" w:space="0"/>
                    <w:tl2br w:val="nil"/>
                    <w:tr2bl w:val="nil"/>
                  </w:tcBorders>
                  <w:vAlign w:val="center"/>
                </w:tcPr>
                <w:p w14:paraId="129779F5">
                  <w:pPr>
                    <w:pStyle w:val="146"/>
                    <w:rPr>
                      <w:rFonts w:hint="default" w:ascii="Times New Roman" w:hAnsi="Times New Roman" w:cs="Times New Roman"/>
                    </w:rPr>
                  </w:pPr>
                  <w:r>
                    <w:rPr>
                      <w:rFonts w:hint="default" w:ascii="Times New Roman" w:hAnsi="Times New Roman" w:cs="Times New Roman"/>
                    </w:rPr>
                    <w:t>7</w:t>
                  </w:r>
                </w:p>
              </w:tc>
              <w:tc>
                <w:tcPr>
                  <w:tcW w:w="3755" w:type="dxa"/>
                  <w:tcBorders>
                    <w:top w:val="single" w:color="auto" w:sz="4" w:space="0"/>
                    <w:left w:val="single" w:color="auto" w:sz="4" w:space="0"/>
                    <w:bottom w:val="single" w:color="auto" w:sz="4" w:space="0"/>
                    <w:right w:val="single" w:color="auto" w:sz="4" w:space="0"/>
                    <w:tl2br w:val="nil"/>
                    <w:tr2bl w:val="nil"/>
                  </w:tcBorders>
                  <w:vAlign w:val="center"/>
                </w:tcPr>
                <w:p w14:paraId="2401250E">
                  <w:pPr>
                    <w:pStyle w:val="146"/>
                    <w:rPr>
                      <w:rFonts w:hint="default" w:ascii="Times New Roman" w:hAnsi="Times New Roman" w:cs="Times New Roman"/>
                    </w:rPr>
                  </w:pPr>
                  <w:r>
                    <w:rPr>
                      <w:rFonts w:hint="default" w:ascii="Times New Roman" w:hAnsi="Times New Roman" w:cs="Times New Roman"/>
                    </w:rPr>
                    <w:t>第二章第十条：除《中华人民共和国防洪法》规定的紧急防汛期采取的紧急措施外，禁止在国家湿地公园的岸线和河段范围内挖沙、采矿，以及以下不符合主体功能定位的行为和活动：</w:t>
                  </w:r>
                </w:p>
                <w:p w14:paraId="31D06193">
                  <w:pPr>
                    <w:pStyle w:val="146"/>
                    <w:rPr>
                      <w:rFonts w:hint="default" w:ascii="Times New Roman" w:hAnsi="Times New Roman" w:cs="Times New Roman"/>
                    </w:rPr>
                  </w:pPr>
                  <w:r>
                    <w:rPr>
                      <w:rFonts w:hint="default" w:ascii="Times New Roman" w:hAnsi="Times New Roman" w:cs="Times New Roman"/>
                    </w:rPr>
                    <w:t>开（围）垦、填埋或者排干湿地。（二）截断湿地水源。</w:t>
                  </w:r>
                </w:p>
                <w:p w14:paraId="0F9238F5">
                  <w:pPr>
                    <w:pStyle w:val="146"/>
                    <w:rPr>
                      <w:rFonts w:hint="default" w:ascii="Times New Roman" w:hAnsi="Times New Roman" w:cs="Times New Roman"/>
                    </w:rPr>
                  </w:pPr>
                  <w:r>
                    <w:rPr>
                      <w:rFonts w:hint="default" w:ascii="Times New Roman" w:hAnsi="Times New Roman" w:cs="Times New Roman"/>
                    </w:rPr>
                    <w:t>倾倒有毒有害物质、废弃物、垃圾。（四）从事房地产、度假村、高尔夫球场，风力发电、光伏发电等任何不符合主体功能定位的建设项目和开发活动。</w:t>
                  </w:r>
                </w:p>
                <w:p w14:paraId="09107344">
                  <w:pPr>
                    <w:pStyle w:val="146"/>
                    <w:rPr>
                      <w:rFonts w:hint="default" w:ascii="Times New Roman" w:hAnsi="Times New Roman" w:cs="Times New Roman"/>
                    </w:rPr>
                  </w:pPr>
                  <w:r>
                    <w:rPr>
                      <w:rFonts w:hint="default" w:ascii="Times New Roman" w:hAnsi="Times New Roman" w:cs="Times New Roman"/>
                    </w:rPr>
                    <w:t>破坏野生动物栖息地和迁徙通道、鱼类洄游通道，滥采滥捕野生动物。</w:t>
                  </w:r>
                </w:p>
                <w:p w14:paraId="32D09392">
                  <w:pPr>
                    <w:pStyle w:val="146"/>
                    <w:rPr>
                      <w:rFonts w:hint="default" w:ascii="Times New Roman" w:hAnsi="Times New Roman" w:cs="Times New Roman"/>
                    </w:rPr>
                  </w:pPr>
                  <w:r>
                    <w:rPr>
                      <w:rFonts w:hint="default" w:ascii="Times New Roman" w:hAnsi="Times New Roman" w:cs="Times New Roman"/>
                    </w:rPr>
                    <w:t>引入外来物种。</w:t>
                  </w:r>
                </w:p>
                <w:p w14:paraId="68FDD865">
                  <w:pPr>
                    <w:pStyle w:val="146"/>
                    <w:rPr>
                      <w:rFonts w:hint="default" w:ascii="Times New Roman" w:hAnsi="Times New Roman" w:cs="Times New Roman"/>
                    </w:rPr>
                  </w:pPr>
                  <w:r>
                    <w:rPr>
                      <w:rFonts w:hint="default" w:ascii="Times New Roman" w:hAnsi="Times New Roman" w:cs="Times New Roman"/>
                    </w:rPr>
                    <w:t>擅自放牧、捕捞、取土、排污、放生。</w:t>
                  </w:r>
                </w:p>
                <w:p w14:paraId="66BC4278">
                  <w:pPr>
                    <w:pStyle w:val="146"/>
                    <w:rPr>
                      <w:rFonts w:hint="default" w:ascii="Times New Roman" w:hAnsi="Times New Roman" w:cs="Times New Roman"/>
                    </w:rPr>
                  </w:pPr>
                  <w:r>
                    <w:rPr>
                      <w:rFonts w:hint="default" w:ascii="Times New Roman" w:hAnsi="Times New Roman" w:cs="Times New Roman"/>
                    </w:rPr>
                    <w:t>（八）其他破坏湿地及其生态功能的活动。</w:t>
                  </w:r>
                </w:p>
              </w:tc>
              <w:tc>
                <w:tcPr>
                  <w:tcW w:w="2352" w:type="dxa"/>
                  <w:tcBorders>
                    <w:top w:val="single" w:color="auto" w:sz="4" w:space="0"/>
                    <w:left w:val="single" w:color="auto" w:sz="4" w:space="0"/>
                    <w:bottom w:val="single" w:color="auto" w:sz="4" w:space="0"/>
                    <w:right w:val="single" w:color="auto" w:sz="4" w:space="0"/>
                    <w:tl2br w:val="nil"/>
                    <w:tr2bl w:val="nil"/>
                  </w:tcBorders>
                  <w:vAlign w:val="center"/>
                </w:tcPr>
                <w:p w14:paraId="79A26D22">
                  <w:pPr>
                    <w:pStyle w:val="146"/>
                    <w:rPr>
                      <w:rFonts w:hint="default" w:ascii="Times New Roman" w:hAnsi="Times New Roman" w:cs="Times New Roman"/>
                    </w:rPr>
                  </w:pPr>
                  <w:r>
                    <w:rPr>
                      <w:rFonts w:hint="default" w:ascii="Times New Roman" w:hAnsi="Times New Roman" w:cs="Times New Roman"/>
                    </w:rPr>
                    <w:t>本项目建设不在国家湿地公园的岸线和河段范围内</w:t>
                  </w:r>
                </w:p>
              </w:tc>
              <w:tc>
                <w:tcPr>
                  <w:tcW w:w="697" w:type="dxa"/>
                  <w:tcBorders>
                    <w:top w:val="single" w:color="auto" w:sz="4" w:space="0"/>
                    <w:left w:val="single" w:color="auto" w:sz="4" w:space="0"/>
                    <w:bottom w:val="single" w:color="auto" w:sz="4" w:space="0"/>
                    <w:right w:val="nil"/>
                    <w:tl2br w:val="nil"/>
                    <w:tr2bl w:val="nil"/>
                  </w:tcBorders>
                  <w:vAlign w:val="center"/>
                </w:tcPr>
                <w:p w14:paraId="3C909009">
                  <w:pPr>
                    <w:pStyle w:val="146"/>
                    <w:rPr>
                      <w:rFonts w:hint="default" w:ascii="Times New Roman" w:hAnsi="Times New Roman" w:cs="Times New Roman"/>
                    </w:rPr>
                  </w:pPr>
                  <w:r>
                    <w:rPr>
                      <w:rFonts w:hint="default" w:ascii="Times New Roman" w:hAnsi="Times New Roman" w:cs="Times New Roman"/>
                    </w:rPr>
                    <w:t>符合</w:t>
                  </w:r>
                </w:p>
              </w:tc>
            </w:tr>
            <w:tr w14:paraId="6CE5DF9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33" w:type="dxa"/>
                  <w:tcBorders>
                    <w:top w:val="single" w:color="auto" w:sz="4" w:space="0"/>
                    <w:left w:val="nil"/>
                    <w:bottom w:val="single" w:color="auto" w:sz="4" w:space="0"/>
                    <w:right w:val="single" w:color="auto" w:sz="4" w:space="0"/>
                    <w:tl2br w:val="nil"/>
                    <w:tr2bl w:val="nil"/>
                  </w:tcBorders>
                  <w:vAlign w:val="center"/>
                </w:tcPr>
                <w:p w14:paraId="44327F3D">
                  <w:pPr>
                    <w:pStyle w:val="146"/>
                    <w:rPr>
                      <w:rFonts w:hint="default" w:ascii="Times New Roman" w:hAnsi="Times New Roman" w:cs="Times New Roman"/>
                    </w:rPr>
                  </w:pPr>
                  <w:r>
                    <w:rPr>
                      <w:rFonts w:hint="default" w:ascii="Times New Roman" w:hAnsi="Times New Roman" w:cs="Times New Roman"/>
                    </w:rPr>
                    <w:t>8</w:t>
                  </w:r>
                </w:p>
              </w:tc>
              <w:tc>
                <w:tcPr>
                  <w:tcW w:w="3755" w:type="dxa"/>
                  <w:tcBorders>
                    <w:top w:val="single" w:color="auto" w:sz="4" w:space="0"/>
                    <w:left w:val="single" w:color="auto" w:sz="4" w:space="0"/>
                    <w:bottom w:val="single" w:color="auto" w:sz="4" w:space="0"/>
                    <w:right w:val="single" w:color="auto" w:sz="4" w:space="0"/>
                    <w:tl2br w:val="nil"/>
                    <w:tr2bl w:val="nil"/>
                  </w:tcBorders>
                  <w:vAlign w:val="center"/>
                </w:tcPr>
                <w:p w14:paraId="036DF134">
                  <w:pPr>
                    <w:pStyle w:val="146"/>
                    <w:rPr>
                      <w:rFonts w:hint="default" w:ascii="Times New Roman" w:hAnsi="Times New Roman" w:cs="Times New Roman"/>
                    </w:rPr>
                  </w:pPr>
                  <w:r>
                    <w:rPr>
                      <w:rFonts w:hint="default" w:ascii="Times New Roman" w:hAnsi="Times New Roman" w:cs="Times New Roman"/>
                    </w:rPr>
                    <w:t>第二章第十二条：禁止在《全国重要江河湖泊水功能区划》划定的河段湖泊保护区、保留区内投资建设不利于水资源及自然生态保护的项目。</w:t>
                  </w:r>
                </w:p>
              </w:tc>
              <w:tc>
                <w:tcPr>
                  <w:tcW w:w="2352" w:type="dxa"/>
                  <w:tcBorders>
                    <w:top w:val="single" w:color="auto" w:sz="4" w:space="0"/>
                    <w:left w:val="single" w:color="auto" w:sz="4" w:space="0"/>
                    <w:bottom w:val="single" w:color="auto" w:sz="4" w:space="0"/>
                    <w:right w:val="single" w:color="auto" w:sz="4" w:space="0"/>
                    <w:tl2br w:val="nil"/>
                    <w:tr2bl w:val="nil"/>
                  </w:tcBorders>
                  <w:vAlign w:val="center"/>
                </w:tcPr>
                <w:p w14:paraId="08AAF65C">
                  <w:pPr>
                    <w:pStyle w:val="146"/>
                    <w:rPr>
                      <w:rFonts w:hint="default" w:ascii="Times New Roman" w:hAnsi="Times New Roman" w:cs="Times New Roman"/>
                    </w:rPr>
                  </w:pPr>
                  <w:r>
                    <w:rPr>
                      <w:rFonts w:hint="default" w:ascii="Times New Roman" w:hAnsi="Times New Roman" w:cs="Times New Roman"/>
                    </w:rPr>
                    <w:t>本项目建设不在《全国重要江河湖泊水功能区划》划定的河段湖泊保护区、保留区内</w:t>
                  </w:r>
                </w:p>
              </w:tc>
              <w:tc>
                <w:tcPr>
                  <w:tcW w:w="697" w:type="dxa"/>
                  <w:tcBorders>
                    <w:top w:val="single" w:color="auto" w:sz="4" w:space="0"/>
                    <w:left w:val="single" w:color="auto" w:sz="4" w:space="0"/>
                    <w:bottom w:val="single" w:color="auto" w:sz="4" w:space="0"/>
                    <w:right w:val="nil"/>
                    <w:tl2br w:val="nil"/>
                    <w:tr2bl w:val="nil"/>
                  </w:tcBorders>
                  <w:vAlign w:val="center"/>
                </w:tcPr>
                <w:p w14:paraId="1331C172">
                  <w:pPr>
                    <w:pStyle w:val="146"/>
                    <w:rPr>
                      <w:rFonts w:hint="default" w:ascii="Times New Roman" w:hAnsi="Times New Roman" w:cs="Times New Roman"/>
                    </w:rPr>
                  </w:pPr>
                  <w:r>
                    <w:rPr>
                      <w:rFonts w:hint="default" w:ascii="Times New Roman" w:hAnsi="Times New Roman" w:cs="Times New Roman"/>
                    </w:rPr>
                    <w:t>符合</w:t>
                  </w:r>
                </w:p>
              </w:tc>
            </w:tr>
            <w:tr w14:paraId="2C88F84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33" w:type="dxa"/>
                  <w:tcBorders>
                    <w:top w:val="single" w:color="auto" w:sz="4" w:space="0"/>
                    <w:left w:val="nil"/>
                    <w:bottom w:val="single" w:color="auto" w:sz="4" w:space="0"/>
                    <w:right w:val="single" w:color="auto" w:sz="4" w:space="0"/>
                    <w:tl2br w:val="nil"/>
                    <w:tr2bl w:val="nil"/>
                  </w:tcBorders>
                  <w:vAlign w:val="center"/>
                </w:tcPr>
                <w:p w14:paraId="5DCA7383">
                  <w:pPr>
                    <w:pStyle w:val="146"/>
                    <w:rPr>
                      <w:rFonts w:hint="default" w:ascii="Times New Roman" w:hAnsi="Times New Roman" w:cs="Times New Roman"/>
                    </w:rPr>
                  </w:pPr>
                  <w:r>
                    <w:rPr>
                      <w:rFonts w:hint="default" w:ascii="Times New Roman" w:hAnsi="Times New Roman" w:cs="Times New Roman"/>
                    </w:rPr>
                    <w:t>9</w:t>
                  </w:r>
                </w:p>
              </w:tc>
              <w:tc>
                <w:tcPr>
                  <w:tcW w:w="3755" w:type="dxa"/>
                  <w:tcBorders>
                    <w:top w:val="single" w:color="auto" w:sz="4" w:space="0"/>
                    <w:left w:val="single" w:color="auto" w:sz="4" w:space="0"/>
                    <w:bottom w:val="single" w:color="auto" w:sz="4" w:space="0"/>
                    <w:right w:val="single" w:color="auto" w:sz="4" w:space="0"/>
                    <w:tl2br w:val="nil"/>
                    <w:tr2bl w:val="nil"/>
                  </w:tcBorders>
                  <w:vAlign w:val="center"/>
                </w:tcPr>
                <w:p w14:paraId="519CBE84">
                  <w:pPr>
                    <w:pStyle w:val="146"/>
                    <w:rPr>
                      <w:rFonts w:hint="default" w:ascii="Times New Roman" w:hAnsi="Times New Roman" w:cs="Times New Roman"/>
                    </w:rPr>
                  </w:pPr>
                  <w:r>
                    <w:rPr>
                      <w:rFonts w:hint="default" w:ascii="Times New Roman" w:hAnsi="Times New Roman" w:cs="Times New Roman"/>
                    </w:rPr>
                    <w:t>第二章第十三条：禁止未经许可在长江干支流及湖泊新设、改设或扩大排污口。</w:t>
                  </w:r>
                </w:p>
              </w:tc>
              <w:tc>
                <w:tcPr>
                  <w:tcW w:w="2352" w:type="dxa"/>
                  <w:tcBorders>
                    <w:top w:val="single" w:color="auto" w:sz="4" w:space="0"/>
                    <w:left w:val="single" w:color="auto" w:sz="4" w:space="0"/>
                    <w:bottom w:val="single" w:color="auto" w:sz="4" w:space="0"/>
                    <w:right w:val="single" w:color="auto" w:sz="4" w:space="0"/>
                    <w:tl2br w:val="nil"/>
                    <w:tr2bl w:val="nil"/>
                  </w:tcBorders>
                  <w:vAlign w:val="center"/>
                </w:tcPr>
                <w:p w14:paraId="49461EF9">
                  <w:pPr>
                    <w:pStyle w:val="146"/>
                    <w:rPr>
                      <w:rFonts w:hint="eastAsia" w:ascii="Times New Roman" w:hAnsi="Times New Roman" w:eastAsia="宋体" w:cs="Times New Roman"/>
                      <w:lang w:eastAsia="zh-CN"/>
                    </w:rPr>
                  </w:pPr>
                  <w:r>
                    <w:rPr>
                      <w:rFonts w:hint="default" w:ascii="Times New Roman" w:hAnsi="Times New Roman" w:cs="Times New Roman"/>
                    </w:rPr>
                    <w:t>本项目无生产废水外排；</w:t>
                  </w:r>
                  <w:r>
                    <w:rPr>
                      <w:rFonts w:hint="eastAsia" w:ascii="Times New Roman" w:hAnsi="Times New Roman" w:cs="Times New Roman"/>
                      <w:lang w:eastAsia="zh-CN"/>
                    </w:rPr>
                    <w:t>生活污水依托衡钢原有的化粪池处理后经厂区污水管网排入衡钢西区污水处理厂处理达到《污水综合排放标准》（GB8978-1996）表4 中三级标准，排入幸福河，然后进入铜桥港污水处理厂进一步处理，处理后排入湘江。</w:t>
                  </w:r>
                </w:p>
              </w:tc>
              <w:tc>
                <w:tcPr>
                  <w:tcW w:w="697" w:type="dxa"/>
                  <w:tcBorders>
                    <w:top w:val="single" w:color="auto" w:sz="4" w:space="0"/>
                    <w:left w:val="single" w:color="auto" w:sz="4" w:space="0"/>
                    <w:bottom w:val="single" w:color="auto" w:sz="4" w:space="0"/>
                    <w:right w:val="nil"/>
                    <w:tl2br w:val="nil"/>
                    <w:tr2bl w:val="nil"/>
                  </w:tcBorders>
                  <w:vAlign w:val="center"/>
                </w:tcPr>
                <w:p w14:paraId="4DD572B8">
                  <w:pPr>
                    <w:pStyle w:val="146"/>
                    <w:rPr>
                      <w:rFonts w:hint="default" w:ascii="Times New Roman" w:hAnsi="Times New Roman" w:cs="Times New Roman"/>
                    </w:rPr>
                  </w:pPr>
                  <w:r>
                    <w:rPr>
                      <w:rFonts w:hint="default" w:ascii="Times New Roman" w:hAnsi="Times New Roman" w:cs="Times New Roman"/>
                    </w:rPr>
                    <w:t>符合</w:t>
                  </w:r>
                </w:p>
              </w:tc>
            </w:tr>
            <w:tr w14:paraId="7F80D10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33" w:type="dxa"/>
                  <w:tcBorders>
                    <w:top w:val="single" w:color="auto" w:sz="4" w:space="0"/>
                    <w:left w:val="nil"/>
                    <w:bottom w:val="single" w:color="auto" w:sz="4" w:space="0"/>
                    <w:right w:val="single" w:color="auto" w:sz="4" w:space="0"/>
                    <w:tl2br w:val="nil"/>
                    <w:tr2bl w:val="nil"/>
                  </w:tcBorders>
                  <w:vAlign w:val="center"/>
                </w:tcPr>
                <w:p w14:paraId="630992FF">
                  <w:pPr>
                    <w:pStyle w:val="146"/>
                    <w:rPr>
                      <w:rFonts w:hint="default" w:ascii="Times New Roman" w:hAnsi="Times New Roman" w:cs="Times New Roman"/>
                    </w:rPr>
                  </w:pPr>
                  <w:r>
                    <w:rPr>
                      <w:rFonts w:hint="default" w:ascii="Times New Roman" w:hAnsi="Times New Roman" w:cs="Times New Roman"/>
                    </w:rPr>
                    <w:t>10</w:t>
                  </w:r>
                </w:p>
              </w:tc>
              <w:tc>
                <w:tcPr>
                  <w:tcW w:w="3755" w:type="dxa"/>
                  <w:tcBorders>
                    <w:top w:val="single" w:color="auto" w:sz="4" w:space="0"/>
                    <w:left w:val="single" w:color="auto" w:sz="4" w:space="0"/>
                    <w:bottom w:val="single" w:color="auto" w:sz="4" w:space="0"/>
                    <w:right w:val="single" w:color="auto" w:sz="4" w:space="0"/>
                    <w:tl2br w:val="nil"/>
                    <w:tr2bl w:val="nil"/>
                  </w:tcBorders>
                  <w:vAlign w:val="center"/>
                </w:tcPr>
                <w:p w14:paraId="357FC79A">
                  <w:pPr>
                    <w:pStyle w:val="146"/>
                    <w:rPr>
                      <w:rFonts w:hint="default" w:ascii="Times New Roman" w:hAnsi="Times New Roman" w:cs="Times New Roman"/>
                    </w:rPr>
                  </w:pPr>
                  <w:r>
                    <w:rPr>
                      <w:rFonts w:hint="default" w:ascii="Times New Roman" w:hAnsi="Times New Roman" w:cs="Times New Roman"/>
                    </w:rPr>
                    <w:t>第二章第十四条：禁止在洞庭湖、湘江、资江、沅江、澧水干流和45个水生生物保护区开展生产性捕捞。在相关自然保护区区域和禁猎区、禁猎期内，禁止猎捕以及其他妨碍野生动物繁衍生息的活动，但法律法规另规定的除外。</w:t>
                  </w:r>
                </w:p>
              </w:tc>
              <w:tc>
                <w:tcPr>
                  <w:tcW w:w="2352" w:type="dxa"/>
                  <w:tcBorders>
                    <w:top w:val="single" w:color="auto" w:sz="4" w:space="0"/>
                    <w:left w:val="single" w:color="auto" w:sz="4" w:space="0"/>
                    <w:bottom w:val="single" w:color="auto" w:sz="4" w:space="0"/>
                    <w:right w:val="single" w:color="auto" w:sz="4" w:space="0"/>
                    <w:tl2br w:val="nil"/>
                    <w:tr2bl w:val="nil"/>
                  </w:tcBorders>
                  <w:vAlign w:val="center"/>
                </w:tcPr>
                <w:p w14:paraId="2E545C38">
                  <w:pPr>
                    <w:pStyle w:val="146"/>
                    <w:rPr>
                      <w:rFonts w:hint="default" w:ascii="Times New Roman" w:hAnsi="Times New Roman" w:cs="Times New Roman"/>
                    </w:rPr>
                  </w:pPr>
                  <w:r>
                    <w:rPr>
                      <w:rFonts w:hint="default" w:ascii="Times New Roman" w:hAnsi="Times New Roman" w:cs="Times New Roman"/>
                    </w:rPr>
                    <w:t>本项目不属于捕捞行业</w:t>
                  </w:r>
                </w:p>
              </w:tc>
              <w:tc>
                <w:tcPr>
                  <w:tcW w:w="697" w:type="dxa"/>
                  <w:tcBorders>
                    <w:top w:val="single" w:color="auto" w:sz="4" w:space="0"/>
                    <w:left w:val="single" w:color="auto" w:sz="4" w:space="0"/>
                    <w:bottom w:val="single" w:color="auto" w:sz="4" w:space="0"/>
                    <w:right w:val="nil"/>
                    <w:tl2br w:val="nil"/>
                    <w:tr2bl w:val="nil"/>
                  </w:tcBorders>
                  <w:vAlign w:val="center"/>
                </w:tcPr>
                <w:p w14:paraId="6CAC3F52">
                  <w:pPr>
                    <w:pStyle w:val="146"/>
                    <w:rPr>
                      <w:rFonts w:hint="default" w:ascii="Times New Roman" w:hAnsi="Times New Roman" w:cs="Times New Roman"/>
                    </w:rPr>
                  </w:pPr>
                  <w:r>
                    <w:rPr>
                      <w:rFonts w:hint="default" w:ascii="Times New Roman" w:hAnsi="Times New Roman" w:cs="Times New Roman"/>
                    </w:rPr>
                    <w:t>符合</w:t>
                  </w:r>
                </w:p>
              </w:tc>
            </w:tr>
            <w:tr w14:paraId="1B76AF9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33" w:type="dxa"/>
                  <w:tcBorders>
                    <w:top w:val="single" w:color="auto" w:sz="4" w:space="0"/>
                    <w:left w:val="nil"/>
                    <w:bottom w:val="single" w:color="auto" w:sz="4" w:space="0"/>
                    <w:right w:val="single" w:color="auto" w:sz="4" w:space="0"/>
                    <w:tl2br w:val="nil"/>
                    <w:tr2bl w:val="nil"/>
                  </w:tcBorders>
                  <w:vAlign w:val="center"/>
                </w:tcPr>
                <w:p w14:paraId="2464695D">
                  <w:pPr>
                    <w:pStyle w:val="146"/>
                    <w:rPr>
                      <w:rFonts w:hint="default" w:ascii="Times New Roman" w:hAnsi="Times New Roman" w:cs="Times New Roman"/>
                    </w:rPr>
                  </w:pPr>
                  <w:r>
                    <w:rPr>
                      <w:rFonts w:hint="default" w:ascii="Times New Roman" w:hAnsi="Times New Roman" w:cs="Times New Roman"/>
                    </w:rPr>
                    <w:t>11</w:t>
                  </w:r>
                </w:p>
              </w:tc>
              <w:tc>
                <w:tcPr>
                  <w:tcW w:w="3755" w:type="dxa"/>
                  <w:tcBorders>
                    <w:top w:val="single" w:color="auto" w:sz="4" w:space="0"/>
                    <w:left w:val="single" w:color="auto" w:sz="4" w:space="0"/>
                    <w:bottom w:val="single" w:color="auto" w:sz="4" w:space="0"/>
                    <w:right w:val="single" w:color="auto" w:sz="4" w:space="0"/>
                    <w:tl2br w:val="nil"/>
                    <w:tr2bl w:val="nil"/>
                  </w:tcBorders>
                  <w:vAlign w:val="center"/>
                </w:tcPr>
                <w:p w14:paraId="72B8D3E2">
                  <w:pPr>
                    <w:pStyle w:val="146"/>
                    <w:rPr>
                      <w:rFonts w:hint="default" w:ascii="Times New Roman" w:hAnsi="Times New Roman" w:cs="Times New Roman"/>
                    </w:rPr>
                  </w:pPr>
                  <w:r>
                    <w:rPr>
                      <w:rFonts w:hint="default" w:ascii="Times New Roman" w:hAnsi="Times New Roman" w:cs="Times New Roman"/>
                    </w:rPr>
                    <w:t>第二章第十五条：禁止在长江湖南段和洞庭湖、湘江、资江、沅江、澧水干流岸线一公里范围内新建扩建化工园区和化工项目。</w:t>
                  </w:r>
                </w:p>
              </w:tc>
              <w:tc>
                <w:tcPr>
                  <w:tcW w:w="2352" w:type="dxa"/>
                  <w:tcBorders>
                    <w:top w:val="single" w:color="auto" w:sz="4" w:space="0"/>
                    <w:left w:val="single" w:color="auto" w:sz="4" w:space="0"/>
                    <w:bottom w:val="single" w:color="auto" w:sz="4" w:space="0"/>
                    <w:right w:val="single" w:color="auto" w:sz="4" w:space="0"/>
                    <w:tl2br w:val="nil"/>
                    <w:tr2bl w:val="nil"/>
                  </w:tcBorders>
                  <w:vAlign w:val="center"/>
                </w:tcPr>
                <w:p w14:paraId="6C07AF8C">
                  <w:pPr>
                    <w:pStyle w:val="146"/>
                    <w:rPr>
                      <w:rFonts w:hint="default" w:ascii="Times New Roman" w:hAnsi="Times New Roman" w:cs="Times New Roman"/>
                    </w:rPr>
                  </w:pPr>
                  <w:r>
                    <w:rPr>
                      <w:rFonts w:hint="default" w:ascii="Times New Roman" w:hAnsi="Times New Roman" w:cs="Times New Roman"/>
                    </w:rPr>
                    <w:t>本项目不属于化工类项目</w:t>
                  </w:r>
                </w:p>
              </w:tc>
              <w:tc>
                <w:tcPr>
                  <w:tcW w:w="697" w:type="dxa"/>
                  <w:tcBorders>
                    <w:top w:val="single" w:color="auto" w:sz="4" w:space="0"/>
                    <w:left w:val="single" w:color="auto" w:sz="4" w:space="0"/>
                    <w:bottom w:val="single" w:color="auto" w:sz="4" w:space="0"/>
                    <w:right w:val="nil"/>
                    <w:tl2br w:val="nil"/>
                    <w:tr2bl w:val="nil"/>
                  </w:tcBorders>
                  <w:vAlign w:val="center"/>
                </w:tcPr>
                <w:p w14:paraId="78954775">
                  <w:pPr>
                    <w:pStyle w:val="146"/>
                    <w:rPr>
                      <w:rFonts w:hint="default" w:ascii="Times New Roman" w:hAnsi="Times New Roman" w:cs="Times New Roman"/>
                    </w:rPr>
                  </w:pPr>
                  <w:r>
                    <w:rPr>
                      <w:rFonts w:hint="default" w:ascii="Times New Roman" w:hAnsi="Times New Roman" w:cs="Times New Roman"/>
                    </w:rPr>
                    <w:t>符合</w:t>
                  </w:r>
                </w:p>
              </w:tc>
            </w:tr>
            <w:tr w14:paraId="35606FC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33" w:type="dxa"/>
                  <w:tcBorders>
                    <w:top w:val="single" w:color="auto" w:sz="4" w:space="0"/>
                    <w:left w:val="nil"/>
                    <w:bottom w:val="single" w:color="auto" w:sz="4" w:space="0"/>
                    <w:right w:val="single" w:color="auto" w:sz="4" w:space="0"/>
                    <w:tl2br w:val="nil"/>
                    <w:tr2bl w:val="nil"/>
                  </w:tcBorders>
                  <w:vAlign w:val="center"/>
                </w:tcPr>
                <w:p w14:paraId="7540CD26">
                  <w:pPr>
                    <w:pStyle w:val="146"/>
                    <w:rPr>
                      <w:rFonts w:hint="default" w:ascii="Times New Roman" w:hAnsi="Times New Roman" w:cs="Times New Roman"/>
                    </w:rPr>
                  </w:pPr>
                  <w:r>
                    <w:rPr>
                      <w:rFonts w:hint="default" w:ascii="Times New Roman" w:hAnsi="Times New Roman" w:cs="Times New Roman"/>
                    </w:rPr>
                    <w:t>12</w:t>
                  </w:r>
                </w:p>
              </w:tc>
              <w:tc>
                <w:tcPr>
                  <w:tcW w:w="3755" w:type="dxa"/>
                  <w:tcBorders>
                    <w:top w:val="single" w:color="auto" w:sz="4" w:space="0"/>
                    <w:left w:val="single" w:color="auto" w:sz="4" w:space="0"/>
                    <w:bottom w:val="single" w:color="auto" w:sz="4" w:space="0"/>
                    <w:right w:val="single" w:color="auto" w:sz="4" w:space="0"/>
                    <w:tl2br w:val="nil"/>
                    <w:tr2bl w:val="nil"/>
                  </w:tcBorders>
                  <w:vAlign w:val="center"/>
                </w:tcPr>
                <w:p w14:paraId="7C0C24BA">
                  <w:pPr>
                    <w:pStyle w:val="146"/>
                    <w:rPr>
                      <w:rFonts w:hint="default" w:ascii="Times New Roman" w:hAnsi="Times New Roman" w:cs="Times New Roman"/>
                    </w:rPr>
                  </w:pPr>
                  <w:r>
                    <w:rPr>
                      <w:rFonts w:hint="default" w:ascii="Times New Roman" w:hAnsi="Times New Roman" w:cs="Times New Roman"/>
                    </w:rPr>
                    <w:t>第二章第十六条：禁止在合规园区外新建、扩建钢铁、石化、化工、焦化、建材、有色、制浆造纸等高污染项目。</w:t>
                  </w:r>
                </w:p>
              </w:tc>
              <w:tc>
                <w:tcPr>
                  <w:tcW w:w="2352" w:type="dxa"/>
                  <w:tcBorders>
                    <w:top w:val="single" w:color="auto" w:sz="4" w:space="0"/>
                    <w:left w:val="single" w:color="auto" w:sz="4" w:space="0"/>
                    <w:bottom w:val="single" w:color="auto" w:sz="4" w:space="0"/>
                    <w:right w:val="single" w:color="auto" w:sz="4" w:space="0"/>
                    <w:tl2br w:val="nil"/>
                    <w:tr2bl w:val="nil"/>
                  </w:tcBorders>
                  <w:vAlign w:val="center"/>
                </w:tcPr>
                <w:p w14:paraId="18EDF818">
                  <w:pPr>
                    <w:pStyle w:val="146"/>
                    <w:rPr>
                      <w:rFonts w:hint="default" w:ascii="Times New Roman" w:hAnsi="Times New Roman" w:cs="Times New Roman"/>
                    </w:rPr>
                  </w:pPr>
                  <w:r>
                    <w:rPr>
                      <w:rFonts w:hint="default" w:ascii="Times New Roman" w:hAnsi="Times New Roman" w:cs="Times New Roman"/>
                    </w:rPr>
                    <w:t>本项目为</w:t>
                  </w:r>
                  <w:r>
                    <w:rPr>
                      <w:rFonts w:hint="default" w:ascii="Times New Roman" w:hAnsi="Times New Roman" w:eastAsia="宋体" w:cs="Times New Roman"/>
                    </w:rPr>
                    <w:t>C2926塑料零件及其他塑料制品制造</w:t>
                  </w:r>
                  <w:r>
                    <w:rPr>
                      <w:rFonts w:hint="default" w:ascii="Times New Roman" w:hAnsi="Times New Roman" w:eastAsia="宋体" w:cs="Times New Roman"/>
                      <w:lang w:val="en-US" w:eastAsia="zh-CN"/>
                    </w:rPr>
                    <w:t>和C3360金属表面处理及热处理加工</w:t>
                  </w:r>
                  <w:r>
                    <w:rPr>
                      <w:rFonts w:hint="default" w:ascii="Times New Roman" w:hAnsi="Times New Roman" w:cs="Times New Roman"/>
                    </w:rPr>
                    <w:t>，不属于高污染高耗能项目</w:t>
                  </w:r>
                </w:p>
              </w:tc>
              <w:tc>
                <w:tcPr>
                  <w:tcW w:w="697" w:type="dxa"/>
                  <w:tcBorders>
                    <w:top w:val="single" w:color="auto" w:sz="4" w:space="0"/>
                    <w:left w:val="single" w:color="auto" w:sz="4" w:space="0"/>
                    <w:bottom w:val="single" w:color="auto" w:sz="4" w:space="0"/>
                    <w:right w:val="nil"/>
                    <w:tl2br w:val="nil"/>
                    <w:tr2bl w:val="nil"/>
                  </w:tcBorders>
                  <w:vAlign w:val="center"/>
                </w:tcPr>
                <w:p w14:paraId="6E2DAC39">
                  <w:pPr>
                    <w:pStyle w:val="146"/>
                    <w:rPr>
                      <w:rFonts w:hint="default" w:ascii="Times New Roman" w:hAnsi="Times New Roman" w:cs="Times New Roman"/>
                    </w:rPr>
                  </w:pPr>
                  <w:r>
                    <w:rPr>
                      <w:rFonts w:hint="default" w:ascii="Times New Roman" w:hAnsi="Times New Roman" w:cs="Times New Roman"/>
                    </w:rPr>
                    <w:t>符合</w:t>
                  </w:r>
                </w:p>
              </w:tc>
            </w:tr>
            <w:tr w14:paraId="490B629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33" w:type="dxa"/>
                  <w:tcBorders>
                    <w:top w:val="single" w:color="auto" w:sz="4" w:space="0"/>
                    <w:left w:val="nil"/>
                    <w:bottom w:val="single" w:color="auto" w:sz="4" w:space="0"/>
                    <w:right w:val="single" w:color="auto" w:sz="4" w:space="0"/>
                    <w:tl2br w:val="nil"/>
                    <w:tr2bl w:val="nil"/>
                  </w:tcBorders>
                  <w:vAlign w:val="center"/>
                </w:tcPr>
                <w:p w14:paraId="13E454C0">
                  <w:pPr>
                    <w:pStyle w:val="146"/>
                    <w:rPr>
                      <w:rFonts w:hint="default" w:ascii="Times New Roman" w:hAnsi="Times New Roman" w:cs="Times New Roman"/>
                    </w:rPr>
                  </w:pPr>
                  <w:r>
                    <w:rPr>
                      <w:rFonts w:hint="default" w:ascii="Times New Roman" w:hAnsi="Times New Roman" w:cs="Times New Roman"/>
                    </w:rPr>
                    <w:t>13</w:t>
                  </w:r>
                </w:p>
              </w:tc>
              <w:tc>
                <w:tcPr>
                  <w:tcW w:w="3755" w:type="dxa"/>
                  <w:tcBorders>
                    <w:top w:val="single" w:color="auto" w:sz="4" w:space="0"/>
                    <w:left w:val="single" w:color="auto" w:sz="4" w:space="0"/>
                    <w:bottom w:val="single" w:color="auto" w:sz="4" w:space="0"/>
                    <w:right w:val="single" w:color="auto" w:sz="4" w:space="0"/>
                    <w:tl2br w:val="nil"/>
                    <w:tr2bl w:val="nil"/>
                  </w:tcBorders>
                  <w:vAlign w:val="center"/>
                </w:tcPr>
                <w:p w14:paraId="178E50C4">
                  <w:pPr>
                    <w:pStyle w:val="146"/>
                    <w:rPr>
                      <w:rFonts w:hint="default" w:ascii="Times New Roman" w:hAnsi="Times New Roman" w:cs="Times New Roman"/>
                    </w:rPr>
                  </w:pPr>
                  <w:r>
                    <w:rPr>
                      <w:rFonts w:hint="default" w:ascii="Times New Roman" w:hAnsi="Times New Roman" w:cs="Times New Roman"/>
                    </w:rPr>
                    <w:t>第二章第十七条：禁止新建、扩建不符合国家石化、现代煤化工等产业布局规划的项目。</w:t>
                  </w:r>
                </w:p>
              </w:tc>
              <w:tc>
                <w:tcPr>
                  <w:tcW w:w="2352" w:type="dxa"/>
                  <w:tcBorders>
                    <w:top w:val="single" w:color="auto" w:sz="4" w:space="0"/>
                    <w:left w:val="single" w:color="auto" w:sz="4" w:space="0"/>
                    <w:bottom w:val="single" w:color="auto" w:sz="4" w:space="0"/>
                    <w:right w:val="single" w:color="auto" w:sz="4" w:space="0"/>
                    <w:tl2br w:val="nil"/>
                    <w:tr2bl w:val="nil"/>
                  </w:tcBorders>
                  <w:vAlign w:val="center"/>
                </w:tcPr>
                <w:p w14:paraId="4B6BD4B9">
                  <w:pPr>
                    <w:pStyle w:val="146"/>
                    <w:rPr>
                      <w:rFonts w:hint="default" w:ascii="Times New Roman" w:hAnsi="Times New Roman" w:cs="Times New Roman"/>
                      <w:highlight w:val="yellow"/>
                    </w:rPr>
                  </w:pPr>
                  <w:r>
                    <w:rPr>
                      <w:rFonts w:hint="default" w:ascii="Times New Roman" w:hAnsi="Times New Roman" w:cs="Times New Roman"/>
                    </w:rPr>
                    <w:t>本项目为</w:t>
                  </w:r>
                  <w:r>
                    <w:rPr>
                      <w:rFonts w:hint="default" w:ascii="Times New Roman" w:hAnsi="Times New Roman" w:eastAsia="宋体" w:cs="Times New Roman"/>
                    </w:rPr>
                    <w:t>C2926塑料零件及其他塑料制品制造</w:t>
                  </w:r>
                  <w:r>
                    <w:rPr>
                      <w:rFonts w:hint="default" w:ascii="Times New Roman" w:hAnsi="Times New Roman" w:eastAsia="宋体" w:cs="Times New Roman"/>
                      <w:lang w:val="en-US" w:eastAsia="zh-CN"/>
                    </w:rPr>
                    <w:t>和C3360金属表面处理及热处理加工</w:t>
                  </w:r>
                  <w:r>
                    <w:rPr>
                      <w:rFonts w:hint="default" w:ascii="Times New Roman" w:hAnsi="Times New Roman" w:cs="Times New Roman"/>
                    </w:rPr>
                    <w:t>，不属于国家石化、现代煤化工行业</w:t>
                  </w:r>
                </w:p>
              </w:tc>
              <w:tc>
                <w:tcPr>
                  <w:tcW w:w="697" w:type="dxa"/>
                  <w:tcBorders>
                    <w:top w:val="single" w:color="auto" w:sz="4" w:space="0"/>
                    <w:left w:val="single" w:color="auto" w:sz="4" w:space="0"/>
                    <w:bottom w:val="single" w:color="auto" w:sz="4" w:space="0"/>
                    <w:right w:val="nil"/>
                    <w:tl2br w:val="nil"/>
                    <w:tr2bl w:val="nil"/>
                  </w:tcBorders>
                  <w:vAlign w:val="center"/>
                </w:tcPr>
                <w:p w14:paraId="1C4F6C17">
                  <w:pPr>
                    <w:pStyle w:val="146"/>
                    <w:rPr>
                      <w:rFonts w:hint="default" w:ascii="Times New Roman" w:hAnsi="Times New Roman" w:cs="Times New Roman"/>
                    </w:rPr>
                  </w:pPr>
                  <w:r>
                    <w:rPr>
                      <w:rFonts w:hint="default" w:ascii="Times New Roman" w:hAnsi="Times New Roman" w:cs="Times New Roman"/>
                    </w:rPr>
                    <w:t>符合</w:t>
                  </w:r>
                </w:p>
              </w:tc>
            </w:tr>
            <w:tr w14:paraId="328456B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33" w:type="dxa"/>
                  <w:tcBorders>
                    <w:top w:val="single" w:color="auto" w:sz="4" w:space="0"/>
                    <w:left w:val="nil"/>
                    <w:bottom w:val="single" w:color="auto" w:sz="12" w:space="0"/>
                    <w:right w:val="single" w:color="auto" w:sz="4" w:space="0"/>
                    <w:tl2br w:val="nil"/>
                    <w:tr2bl w:val="nil"/>
                  </w:tcBorders>
                  <w:vAlign w:val="center"/>
                </w:tcPr>
                <w:p w14:paraId="12230377">
                  <w:pPr>
                    <w:pStyle w:val="146"/>
                    <w:rPr>
                      <w:rFonts w:hint="default" w:ascii="Times New Roman" w:hAnsi="Times New Roman" w:cs="Times New Roman"/>
                    </w:rPr>
                  </w:pPr>
                  <w:r>
                    <w:rPr>
                      <w:rFonts w:hint="default" w:ascii="Times New Roman" w:hAnsi="Times New Roman" w:cs="Times New Roman"/>
                    </w:rPr>
                    <w:t>14</w:t>
                  </w:r>
                </w:p>
              </w:tc>
              <w:tc>
                <w:tcPr>
                  <w:tcW w:w="3755" w:type="dxa"/>
                  <w:tcBorders>
                    <w:top w:val="single" w:color="auto" w:sz="4" w:space="0"/>
                    <w:left w:val="single" w:color="auto" w:sz="4" w:space="0"/>
                    <w:bottom w:val="single" w:color="auto" w:sz="12" w:space="0"/>
                    <w:right w:val="single" w:color="auto" w:sz="4" w:space="0"/>
                    <w:tl2br w:val="nil"/>
                    <w:tr2bl w:val="nil"/>
                  </w:tcBorders>
                  <w:vAlign w:val="center"/>
                </w:tcPr>
                <w:p w14:paraId="69AAB9B4">
                  <w:pPr>
                    <w:pStyle w:val="146"/>
                    <w:rPr>
                      <w:rFonts w:hint="default" w:ascii="Times New Roman" w:hAnsi="Times New Roman" w:cs="Times New Roman"/>
                    </w:rPr>
                  </w:pPr>
                  <w:r>
                    <w:rPr>
                      <w:rFonts w:hint="default" w:ascii="Times New Roman" w:hAnsi="Times New Roman" w:cs="Times New Roman"/>
                    </w:rPr>
                    <w:t>第二章第十八条：禁止新建扩建法律法规和相关政策明令禁止的落后产能项目，对不符合要求的落后产能存量项目依法依归退出。禁止新建扩建不符合国家产能置换要求过剩产能行业（钢铁、水泥、电解铝、平板玻璃、船舶等行业）的项目。对确有必要新建、扩建的，必须严格执行产能置换实施办法，实施减量或等量置换，依法依规办理有关手续。禁止新建、扩建不符合要求的高耗能高排放项目。</w:t>
                  </w:r>
                </w:p>
              </w:tc>
              <w:tc>
                <w:tcPr>
                  <w:tcW w:w="2352" w:type="dxa"/>
                  <w:tcBorders>
                    <w:top w:val="single" w:color="auto" w:sz="4" w:space="0"/>
                    <w:left w:val="single" w:color="auto" w:sz="4" w:space="0"/>
                    <w:bottom w:val="single" w:color="auto" w:sz="12" w:space="0"/>
                    <w:right w:val="single" w:color="auto" w:sz="4" w:space="0"/>
                    <w:tl2br w:val="nil"/>
                    <w:tr2bl w:val="nil"/>
                  </w:tcBorders>
                  <w:vAlign w:val="center"/>
                </w:tcPr>
                <w:p w14:paraId="1F02ED2A">
                  <w:pPr>
                    <w:pStyle w:val="146"/>
                    <w:rPr>
                      <w:rFonts w:hint="default" w:ascii="Times New Roman" w:hAnsi="Times New Roman" w:cs="Times New Roman"/>
                      <w:highlight w:val="yellow"/>
                    </w:rPr>
                  </w:pPr>
                  <w:r>
                    <w:rPr>
                      <w:rFonts w:hint="default" w:ascii="Times New Roman" w:hAnsi="Times New Roman" w:cs="Times New Roman"/>
                    </w:rPr>
                    <w:t>本项目为</w:t>
                  </w:r>
                  <w:r>
                    <w:rPr>
                      <w:rFonts w:hint="default" w:ascii="Times New Roman" w:hAnsi="Times New Roman" w:eastAsia="宋体" w:cs="Times New Roman"/>
                    </w:rPr>
                    <w:t>C2926塑料零件及其他塑料制品制造</w:t>
                  </w:r>
                  <w:r>
                    <w:rPr>
                      <w:rFonts w:hint="default" w:ascii="Times New Roman" w:hAnsi="Times New Roman" w:eastAsia="宋体" w:cs="Times New Roman"/>
                      <w:lang w:val="en-US" w:eastAsia="zh-CN"/>
                    </w:rPr>
                    <w:t>和C3360金属表面处理及热处理加工</w:t>
                  </w:r>
                  <w:r>
                    <w:rPr>
                      <w:rFonts w:hint="default" w:ascii="Times New Roman" w:hAnsi="Times New Roman" w:cs="Times New Roman"/>
                    </w:rPr>
                    <w:t>，不属于高能耗、高排放项目</w:t>
                  </w:r>
                </w:p>
              </w:tc>
              <w:tc>
                <w:tcPr>
                  <w:tcW w:w="697" w:type="dxa"/>
                  <w:tcBorders>
                    <w:top w:val="single" w:color="auto" w:sz="4" w:space="0"/>
                    <w:left w:val="single" w:color="auto" w:sz="4" w:space="0"/>
                    <w:bottom w:val="single" w:color="auto" w:sz="12" w:space="0"/>
                    <w:right w:val="nil"/>
                    <w:tl2br w:val="nil"/>
                    <w:tr2bl w:val="nil"/>
                  </w:tcBorders>
                  <w:vAlign w:val="center"/>
                </w:tcPr>
                <w:p w14:paraId="4B3D95FD">
                  <w:pPr>
                    <w:pStyle w:val="146"/>
                    <w:rPr>
                      <w:rFonts w:hint="default" w:ascii="Times New Roman" w:hAnsi="Times New Roman" w:cs="Times New Roman"/>
                    </w:rPr>
                  </w:pPr>
                  <w:r>
                    <w:rPr>
                      <w:rFonts w:hint="default" w:ascii="Times New Roman" w:hAnsi="Times New Roman" w:cs="Times New Roman"/>
                    </w:rPr>
                    <w:t>符合</w:t>
                  </w:r>
                </w:p>
              </w:tc>
            </w:tr>
          </w:tbl>
          <w:p w14:paraId="6D9499D0">
            <w:pPr>
              <w:pStyle w:val="109"/>
              <w:rPr>
                <w:rFonts w:hint="default" w:ascii="Times New Roman" w:hAnsi="Times New Roman" w:cs="Times New Roman"/>
              </w:rPr>
            </w:pPr>
            <w:r>
              <w:rPr>
                <w:rFonts w:hint="default" w:ascii="Times New Roman" w:hAnsi="Times New Roman" w:cs="Times New Roman"/>
              </w:rPr>
              <w:t>根据上述内容可知，本项目符合《湖南省长江经济带发展负面清单实施细则（试行，2022年版）》各项要求。</w:t>
            </w:r>
          </w:p>
          <w:p w14:paraId="152F042E">
            <w:pPr>
              <w:pStyle w:val="109"/>
              <w:ind w:firstLine="482"/>
              <w:rPr>
                <w:rFonts w:hint="default" w:ascii="Times New Roman" w:hAnsi="Times New Roman" w:cs="Times New Roman"/>
              </w:rPr>
            </w:pPr>
            <w:r>
              <w:rPr>
                <w:rFonts w:hint="default" w:ascii="Times New Roman" w:hAnsi="Times New Roman" w:cs="Times New Roman"/>
                <w:b/>
                <w:bCs/>
              </w:rPr>
              <w:t>5、与《湖南省“十四五”生态环境保护规划》符合性分析</w:t>
            </w:r>
          </w:p>
          <w:p w14:paraId="320E0B93">
            <w:pPr>
              <w:pStyle w:val="109"/>
              <w:rPr>
                <w:rFonts w:hint="default" w:ascii="Times New Roman" w:hAnsi="Times New Roman" w:cs="Times New Roman"/>
              </w:rPr>
            </w:pPr>
            <w:r>
              <w:rPr>
                <w:rFonts w:hint="default" w:ascii="Times New Roman" w:hAnsi="Times New Roman" w:cs="Times New Roman"/>
              </w:rPr>
              <w:t>本项目与《湖南省“十四五”生态环境保护规划》（湘政办发【2021】61号）符合性分析情况见表1-5。</w:t>
            </w:r>
          </w:p>
          <w:p w14:paraId="1F41F2E7">
            <w:pPr>
              <w:pStyle w:val="173"/>
              <w:spacing w:before="120"/>
              <w:rPr>
                <w:rFonts w:hint="default" w:ascii="Times New Roman" w:hAnsi="Times New Roman" w:cs="Times New Roman"/>
              </w:rPr>
            </w:pPr>
          </w:p>
          <w:p w14:paraId="478DDA0F">
            <w:pPr>
              <w:pStyle w:val="173"/>
              <w:spacing w:before="120"/>
              <w:rPr>
                <w:rFonts w:hint="default" w:ascii="Times New Roman" w:hAnsi="Times New Roman" w:cs="Times New Roman"/>
              </w:rPr>
            </w:pPr>
            <w:r>
              <w:rPr>
                <w:rFonts w:hint="default" w:ascii="Times New Roman" w:hAnsi="Times New Roman" w:cs="Times New Roman"/>
              </w:rPr>
              <w:t>表1-5  项目与《湖南省“十四五”生态环境保护规划》（湘政办发【2021】61号）符合性分析情况</w:t>
            </w:r>
          </w:p>
          <w:tbl>
            <w:tblPr>
              <w:tblStyle w:val="36"/>
              <w:tblW w:w="7437"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38"/>
              <w:gridCol w:w="3527"/>
              <w:gridCol w:w="2548"/>
              <w:gridCol w:w="724"/>
            </w:tblGrid>
            <w:tr w14:paraId="0B6F54B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38" w:type="dxa"/>
                  <w:tcBorders>
                    <w:top w:val="single" w:color="auto" w:sz="12" w:space="0"/>
                    <w:left w:val="nil"/>
                    <w:bottom w:val="single" w:color="auto" w:sz="4" w:space="0"/>
                    <w:right w:val="single" w:color="auto" w:sz="4" w:space="0"/>
                    <w:tl2br w:val="nil"/>
                    <w:tr2bl w:val="nil"/>
                  </w:tcBorders>
                  <w:vAlign w:val="center"/>
                </w:tcPr>
                <w:p w14:paraId="03BA3496">
                  <w:pPr>
                    <w:jc w:val="center"/>
                    <w:rPr>
                      <w:rFonts w:hint="default" w:ascii="Times New Roman" w:hAnsi="Times New Roman" w:cs="Times New Roman"/>
                      <w:szCs w:val="21"/>
                    </w:rPr>
                  </w:pPr>
                  <w:r>
                    <w:rPr>
                      <w:rFonts w:hint="default" w:ascii="Times New Roman" w:hAnsi="Times New Roman" w:cs="Times New Roman"/>
                      <w:szCs w:val="21"/>
                    </w:rPr>
                    <w:t>内容</w:t>
                  </w:r>
                </w:p>
              </w:tc>
              <w:tc>
                <w:tcPr>
                  <w:tcW w:w="3527" w:type="dxa"/>
                  <w:tcBorders>
                    <w:top w:val="single" w:color="auto" w:sz="12" w:space="0"/>
                    <w:left w:val="single" w:color="auto" w:sz="4" w:space="0"/>
                    <w:bottom w:val="single" w:color="auto" w:sz="4" w:space="0"/>
                    <w:right w:val="single" w:color="auto" w:sz="4" w:space="0"/>
                    <w:tl2br w:val="nil"/>
                    <w:tr2bl w:val="nil"/>
                  </w:tcBorders>
                  <w:vAlign w:val="center"/>
                </w:tcPr>
                <w:p w14:paraId="284973CB">
                  <w:pPr>
                    <w:jc w:val="center"/>
                    <w:rPr>
                      <w:rFonts w:hint="default" w:ascii="Times New Roman" w:hAnsi="Times New Roman" w:cs="Times New Roman"/>
                      <w:szCs w:val="21"/>
                    </w:rPr>
                  </w:pPr>
                  <w:r>
                    <w:rPr>
                      <w:rFonts w:hint="default" w:ascii="Times New Roman" w:hAnsi="Times New Roman" w:cs="Times New Roman"/>
                      <w:szCs w:val="21"/>
                    </w:rPr>
                    <w:t>湖南省“十四五”生态环境保护规划</w:t>
                  </w:r>
                </w:p>
              </w:tc>
              <w:tc>
                <w:tcPr>
                  <w:tcW w:w="2548" w:type="dxa"/>
                  <w:tcBorders>
                    <w:top w:val="single" w:color="auto" w:sz="12" w:space="0"/>
                    <w:left w:val="single" w:color="auto" w:sz="4" w:space="0"/>
                    <w:bottom w:val="single" w:color="auto" w:sz="4" w:space="0"/>
                    <w:right w:val="single" w:color="auto" w:sz="4" w:space="0"/>
                    <w:tl2br w:val="nil"/>
                    <w:tr2bl w:val="nil"/>
                  </w:tcBorders>
                  <w:vAlign w:val="center"/>
                </w:tcPr>
                <w:p w14:paraId="563B68C1">
                  <w:pPr>
                    <w:jc w:val="center"/>
                    <w:rPr>
                      <w:rFonts w:hint="default" w:ascii="Times New Roman" w:hAnsi="Times New Roman" w:cs="Times New Roman"/>
                      <w:szCs w:val="21"/>
                    </w:rPr>
                  </w:pPr>
                  <w:r>
                    <w:rPr>
                      <w:rFonts w:hint="default" w:ascii="Times New Roman" w:hAnsi="Times New Roman" w:cs="Times New Roman"/>
                      <w:szCs w:val="21"/>
                    </w:rPr>
                    <w:t>项目实际情况</w:t>
                  </w:r>
                </w:p>
              </w:tc>
              <w:tc>
                <w:tcPr>
                  <w:tcW w:w="724" w:type="dxa"/>
                  <w:tcBorders>
                    <w:top w:val="single" w:color="auto" w:sz="12" w:space="0"/>
                    <w:left w:val="single" w:color="auto" w:sz="4" w:space="0"/>
                    <w:bottom w:val="single" w:color="auto" w:sz="4" w:space="0"/>
                    <w:right w:val="nil"/>
                    <w:tl2br w:val="nil"/>
                    <w:tr2bl w:val="nil"/>
                  </w:tcBorders>
                  <w:vAlign w:val="center"/>
                </w:tcPr>
                <w:p w14:paraId="3DDA94EA">
                  <w:pPr>
                    <w:jc w:val="center"/>
                    <w:rPr>
                      <w:rFonts w:hint="default" w:ascii="Times New Roman" w:hAnsi="Times New Roman" w:cs="Times New Roman"/>
                      <w:szCs w:val="21"/>
                    </w:rPr>
                  </w:pPr>
                  <w:r>
                    <w:rPr>
                      <w:rFonts w:hint="default" w:ascii="Times New Roman" w:hAnsi="Times New Roman" w:cs="Times New Roman"/>
                      <w:szCs w:val="21"/>
                    </w:rPr>
                    <w:t>是否符合</w:t>
                  </w:r>
                </w:p>
              </w:tc>
            </w:tr>
            <w:tr w14:paraId="06DDC22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38" w:type="dxa"/>
                  <w:tcBorders>
                    <w:top w:val="single" w:color="auto" w:sz="4" w:space="0"/>
                    <w:left w:val="nil"/>
                    <w:bottom w:val="single" w:color="auto" w:sz="4" w:space="0"/>
                    <w:right w:val="single" w:color="auto" w:sz="4" w:space="0"/>
                    <w:tl2br w:val="nil"/>
                    <w:tr2bl w:val="nil"/>
                  </w:tcBorders>
                  <w:vAlign w:val="center"/>
                </w:tcPr>
                <w:p w14:paraId="36BD94E3">
                  <w:pPr>
                    <w:jc w:val="center"/>
                    <w:rPr>
                      <w:rFonts w:hint="default" w:ascii="Times New Roman" w:hAnsi="Times New Roman" w:cs="Times New Roman"/>
                      <w:szCs w:val="21"/>
                    </w:rPr>
                  </w:pPr>
                  <w:r>
                    <w:rPr>
                      <w:rFonts w:hint="default" w:ascii="Times New Roman" w:hAnsi="Times New Roman" w:cs="Times New Roman"/>
                      <w:szCs w:val="21"/>
                    </w:rPr>
                    <w:t>总体目标</w:t>
                  </w:r>
                </w:p>
              </w:tc>
              <w:tc>
                <w:tcPr>
                  <w:tcW w:w="3527" w:type="dxa"/>
                  <w:tcBorders>
                    <w:top w:val="single" w:color="auto" w:sz="4" w:space="0"/>
                    <w:left w:val="single" w:color="auto" w:sz="4" w:space="0"/>
                    <w:bottom w:val="single" w:color="auto" w:sz="4" w:space="0"/>
                    <w:right w:val="single" w:color="auto" w:sz="4" w:space="0"/>
                    <w:tl2br w:val="nil"/>
                    <w:tr2bl w:val="nil"/>
                  </w:tcBorders>
                  <w:vAlign w:val="center"/>
                </w:tcPr>
                <w:p w14:paraId="64ECF75F">
                  <w:pPr>
                    <w:jc w:val="center"/>
                    <w:rPr>
                      <w:rFonts w:hint="default" w:ascii="Times New Roman" w:hAnsi="Times New Roman" w:cs="Times New Roman"/>
                      <w:szCs w:val="21"/>
                    </w:rPr>
                  </w:pPr>
                  <w:r>
                    <w:rPr>
                      <w:rFonts w:hint="default" w:ascii="Times New Roman" w:hAnsi="Times New Roman" w:cs="Times New Roman"/>
                      <w:szCs w:val="21"/>
                    </w:rPr>
                    <w:t>生产生活方式绿色转型成效显著，能源资源配置更加合理、利用效率大幅提高，国土空间开发与保护格局得到优化，污染物排放总量持续减少，生态环境质量持续改善，突出生态环境问题加快解决，重大生态环境风险基本化解，生态安全屏障更加牢固，城乡人居环境明显改善，生态环境治理体系和治理能力现代化水平明显增</w:t>
                  </w:r>
                </w:p>
                <w:p w14:paraId="3D3E9287">
                  <w:pPr>
                    <w:jc w:val="center"/>
                    <w:rPr>
                      <w:rFonts w:hint="default" w:ascii="Times New Roman" w:hAnsi="Times New Roman" w:cs="Times New Roman"/>
                      <w:szCs w:val="21"/>
                    </w:rPr>
                  </w:pPr>
                  <w:r>
                    <w:rPr>
                      <w:rFonts w:hint="default" w:ascii="Times New Roman" w:hAnsi="Times New Roman" w:cs="Times New Roman"/>
                      <w:szCs w:val="21"/>
                    </w:rPr>
                    <w:t>强，生态文明建设实现新进步。</w:t>
                  </w:r>
                </w:p>
              </w:tc>
              <w:tc>
                <w:tcPr>
                  <w:tcW w:w="2548" w:type="dxa"/>
                  <w:tcBorders>
                    <w:top w:val="single" w:color="auto" w:sz="4" w:space="0"/>
                    <w:left w:val="single" w:color="auto" w:sz="4" w:space="0"/>
                    <w:bottom w:val="single" w:color="auto" w:sz="4" w:space="0"/>
                    <w:right w:val="single" w:color="auto" w:sz="4" w:space="0"/>
                    <w:tl2br w:val="nil"/>
                    <w:tr2bl w:val="nil"/>
                  </w:tcBorders>
                  <w:vAlign w:val="center"/>
                </w:tcPr>
                <w:p w14:paraId="2DECCDB3">
                  <w:pPr>
                    <w:jc w:val="center"/>
                    <w:rPr>
                      <w:rFonts w:hint="default" w:ascii="Times New Roman" w:hAnsi="Times New Roman" w:cs="Times New Roman"/>
                      <w:szCs w:val="21"/>
                    </w:rPr>
                  </w:pPr>
                  <w:r>
                    <w:rPr>
                      <w:rFonts w:hint="default" w:ascii="Times New Roman" w:hAnsi="Times New Roman" w:cs="Times New Roman"/>
                    </w:rPr>
                    <w:t>本项目为</w:t>
                  </w:r>
                  <w:r>
                    <w:rPr>
                      <w:rFonts w:hint="default" w:ascii="Times New Roman" w:hAnsi="Times New Roman" w:eastAsia="宋体" w:cs="Times New Roman"/>
                    </w:rPr>
                    <w:t>C2926塑料零件及其他塑料制品制造</w:t>
                  </w:r>
                  <w:r>
                    <w:rPr>
                      <w:rFonts w:hint="default" w:ascii="Times New Roman" w:hAnsi="Times New Roman" w:eastAsia="宋体" w:cs="Times New Roman"/>
                      <w:lang w:val="en-US" w:eastAsia="zh-CN"/>
                    </w:rPr>
                    <w:t>和C3360金属表面处理及热处理加工</w:t>
                  </w:r>
                  <w:r>
                    <w:rPr>
                      <w:rFonts w:hint="default" w:ascii="Times New Roman" w:hAnsi="Times New Roman" w:cs="Times New Roman"/>
                      <w:szCs w:val="21"/>
                    </w:rPr>
                    <w:t>，满足绿色发展理念，资源利用效率高。</w:t>
                  </w:r>
                </w:p>
              </w:tc>
              <w:tc>
                <w:tcPr>
                  <w:tcW w:w="724" w:type="dxa"/>
                  <w:tcBorders>
                    <w:top w:val="single" w:color="auto" w:sz="4" w:space="0"/>
                    <w:left w:val="single" w:color="auto" w:sz="4" w:space="0"/>
                    <w:bottom w:val="single" w:color="auto" w:sz="4" w:space="0"/>
                    <w:right w:val="nil"/>
                    <w:tl2br w:val="nil"/>
                    <w:tr2bl w:val="nil"/>
                  </w:tcBorders>
                  <w:vAlign w:val="center"/>
                </w:tcPr>
                <w:p w14:paraId="2BCF37B0">
                  <w:pPr>
                    <w:spacing w:line="360" w:lineRule="auto"/>
                    <w:jc w:val="center"/>
                    <w:rPr>
                      <w:rFonts w:hint="default" w:ascii="Times New Roman" w:hAnsi="Times New Roman" w:cs="Times New Roman"/>
                      <w:szCs w:val="21"/>
                    </w:rPr>
                  </w:pPr>
                  <w:r>
                    <w:rPr>
                      <w:rFonts w:hint="default" w:ascii="Times New Roman" w:hAnsi="Times New Roman" w:cs="Times New Roman"/>
                      <w:szCs w:val="21"/>
                    </w:rPr>
                    <w:t>符合</w:t>
                  </w:r>
                </w:p>
              </w:tc>
            </w:tr>
            <w:tr w14:paraId="563F38A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38" w:type="dxa"/>
                  <w:vMerge w:val="restart"/>
                  <w:tcBorders>
                    <w:top w:val="single" w:color="auto" w:sz="4" w:space="0"/>
                    <w:left w:val="nil"/>
                    <w:bottom w:val="single" w:color="auto" w:sz="4" w:space="0"/>
                    <w:right w:val="single" w:color="auto" w:sz="4" w:space="0"/>
                    <w:tl2br w:val="nil"/>
                    <w:tr2bl w:val="nil"/>
                  </w:tcBorders>
                  <w:vAlign w:val="center"/>
                </w:tcPr>
                <w:p w14:paraId="5020D947">
                  <w:pPr>
                    <w:jc w:val="center"/>
                    <w:rPr>
                      <w:rFonts w:hint="default" w:ascii="Times New Roman" w:hAnsi="Times New Roman" w:cs="Times New Roman"/>
                      <w:szCs w:val="21"/>
                    </w:rPr>
                  </w:pPr>
                  <w:r>
                    <w:rPr>
                      <w:rFonts w:hint="default" w:ascii="Times New Roman" w:hAnsi="Times New Roman" w:cs="Times New Roman"/>
                      <w:szCs w:val="21"/>
                    </w:rPr>
                    <w:t>致</w:t>
                  </w:r>
                </w:p>
                <w:p w14:paraId="62769755">
                  <w:pPr>
                    <w:jc w:val="center"/>
                    <w:rPr>
                      <w:rFonts w:hint="default" w:ascii="Times New Roman" w:hAnsi="Times New Roman" w:cs="Times New Roman"/>
                      <w:szCs w:val="21"/>
                    </w:rPr>
                  </w:pPr>
                  <w:r>
                    <w:rPr>
                      <w:rFonts w:hint="default" w:ascii="Times New Roman" w:hAnsi="Times New Roman" w:cs="Times New Roman"/>
                      <w:szCs w:val="21"/>
                    </w:rPr>
                    <w:t>力</w:t>
                  </w:r>
                </w:p>
                <w:p w14:paraId="7700E878">
                  <w:pPr>
                    <w:jc w:val="center"/>
                    <w:rPr>
                      <w:rFonts w:hint="default" w:ascii="Times New Roman" w:hAnsi="Times New Roman" w:cs="Times New Roman"/>
                      <w:szCs w:val="21"/>
                    </w:rPr>
                  </w:pPr>
                  <w:r>
                    <w:rPr>
                      <w:rFonts w:hint="default" w:ascii="Times New Roman" w:hAnsi="Times New Roman" w:cs="Times New Roman"/>
                      <w:szCs w:val="21"/>
                    </w:rPr>
                    <w:t>绿</w:t>
                  </w:r>
                </w:p>
                <w:p w14:paraId="13D27D3C">
                  <w:pPr>
                    <w:jc w:val="center"/>
                    <w:rPr>
                      <w:rFonts w:hint="default" w:ascii="Times New Roman" w:hAnsi="Times New Roman" w:cs="Times New Roman"/>
                      <w:szCs w:val="21"/>
                    </w:rPr>
                  </w:pPr>
                  <w:r>
                    <w:rPr>
                      <w:rFonts w:hint="default" w:ascii="Times New Roman" w:hAnsi="Times New Roman" w:cs="Times New Roman"/>
                      <w:szCs w:val="21"/>
                    </w:rPr>
                    <w:t>色</w:t>
                  </w:r>
                </w:p>
                <w:p w14:paraId="71B9BAEA">
                  <w:pPr>
                    <w:jc w:val="center"/>
                    <w:rPr>
                      <w:rFonts w:hint="default" w:ascii="Times New Roman" w:hAnsi="Times New Roman" w:cs="Times New Roman"/>
                      <w:szCs w:val="21"/>
                    </w:rPr>
                  </w:pPr>
                  <w:r>
                    <w:rPr>
                      <w:rFonts w:hint="default" w:ascii="Times New Roman" w:hAnsi="Times New Roman" w:cs="Times New Roman"/>
                      <w:szCs w:val="21"/>
                    </w:rPr>
                    <w:t>低</w:t>
                  </w:r>
                </w:p>
                <w:p w14:paraId="22A3AB17">
                  <w:pPr>
                    <w:jc w:val="center"/>
                    <w:rPr>
                      <w:rFonts w:hint="default" w:ascii="Times New Roman" w:hAnsi="Times New Roman" w:cs="Times New Roman"/>
                      <w:szCs w:val="21"/>
                    </w:rPr>
                  </w:pPr>
                  <w:r>
                    <w:rPr>
                      <w:rFonts w:hint="default" w:ascii="Times New Roman" w:hAnsi="Times New Roman" w:cs="Times New Roman"/>
                      <w:szCs w:val="21"/>
                    </w:rPr>
                    <w:t>碳</w:t>
                  </w:r>
                </w:p>
                <w:p w14:paraId="2BF47AC9">
                  <w:pPr>
                    <w:jc w:val="center"/>
                    <w:rPr>
                      <w:rFonts w:hint="default" w:ascii="Times New Roman" w:hAnsi="Times New Roman" w:cs="Times New Roman"/>
                      <w:szCs w:val="21"/>
                    </w:rPr>
                  </w:pPr>
                  <w:r>
                    <w:rPr>
                      <w:rFonts w:hint="default" w:ascii="Times New Roman" w:hAnsi="Times New Roman" w:cs="Times New Roman"/>
                      <w:szCs w:val="21"/>
                    </w:rPr>
                    <w:t>循</w:t>
                  </w:r>
                </w:p>
                <w:p w14:paraId="52800B60">
                  <w:pPr>
                    <w:jc w:val="center"/>
                    <w:rPr>
                      <w:rFonts w:hint="default" w:ascii="Times New Roman" w:hAnsi="Times New Roman" w:cs="Times New Roman"/>
                      <w:szCs w:val="21"/>
                    </w:rPr>
                  </w:pPr>
                  <w:r>
                    <w:rPr>
                      <w:rFonts w:hint="default" w:ascii="Times New Roman" w:hAnsi="Times New Roman" w:cs="Times New Roman"/>
                      <w:szCs w:val="21"/>
                    </w:rPr>
                    <w:t>环</w:t>
                  </w:r>
                </w:p>
                <w:p w14:paraId="0D28546C">
                  <w:pPr>
                    <w:jc w:val="center"/>
                    <w:rPr>
                      <w:rFonts w:hint="default" w:ascii="Times New Roman" w:hAnsi="Times New Roman" w:cs="Times New Roman"/>
                      <w:szCs w:val="21"/>
                    </w:rPr>
                  </w:pPr>
                  <w:r>
                    <w:rPr>
                      <w:rFonts w:hint="default" w:ascii="Times New Roman" w:hAnsi="Times New Roman" w:cs="Times New Roman"/>
                      <w:szCs w:val="21"/>
                    </w:rPr>
                    <w:t>发</w:t>
                  </w:r>
                </w:p>
                <w:p w14:paraId="26B7943C">
                  <w:pPr>
                    <w:jc w:val="center"/>
                    <w:rPr>
                      <w:rFonts w:hint="default" w:ascii="Times New Roman" w:hAnsi="Times New Roman" w:cs="Times New Roman"/>
                      <w:szCs w:val="21"/>
                    </w:rPr>
                  </w:pPr>
                  <w:r>
                    <w:rPr>
                      <w:rFonts w:hint="default" w:ascii="Times New Roman" w:hAnsi="Times New Roman" w:cs="Times New Roman"/>
                      <w:szCs w:val="21"/>
                    </w:rPr>
                    <w:t>展</w:t>
                  </w:r>
                </w:p>
              </w:tc>
              <w:tc>
                <w:tcPr>
                  <w:tcW w:w="3527" w:type="dxa"/>
                  <w:tcBorders>
                    <w:top w:val="single" w:color="auto" w:sz="4" w:space="0"/>
                    <w:left w:val="single" w:color="auto" w:sz="4" w:space="0"/>
                    <w:bottom w:val="single" w:color="auto" w:sz="4" w:space="0"/>
                    <w:right w:val="single" w:color="auto" w:sz="4" w:space="0"/>
                    <w:tl2br w:val="nil"/>
                    <w:tr2bl w:val="nil"/>
                  </w:tcBorders>
                  <w:vAlign w:val="center"/>
                </w:tcPr>
                <w:p w14:paraId="31BDBCC3">
                  <w:pPr>
                    <w:jc w:val="center"/>
                    <w:rPr>
                      <w:rFonts w:hint="default" w:ascii="Times New Roman" w:hAnsi="Times New Roman" w:cs="Times New Roman"/>
                    </w:rPr>
                  </w:pPr>
                  <w:r>
                    <w:rPr>
                      <w:rFonts w:hint="default" w:ascii="Times New Roman" w:hAnsi="Times New Roman" w:cs="Times New Roman"/>
                    </w:rPr>
                    <w:t>（一）优化国土空间保护格局。</w:t>
                  </w:r>
                </w:p>
                <w:p w14:paraId="7A976FA2">
                  <w:pPr>
                    <w:jc w:val="center"/>
                    <w:rPr>
                      <w:rFonts w:hint="default" w:ascii="Times New Roman" w:hAnsi="Times New Roman" w:cs="Times New Roman"/>
                    </w:rPr>
                  </w:pPr>
                  <w:r>
                    <w:rPr>
                      <w:rFonts w:hint="default" w:ascii="Times New Roman" w:hAnsi="Times New Roman" w:cs="Times New Roman"/>
                    </w:rPr>
                    <w:t>落实主体功能区战略。坚持保护优先，立足资源环境承载力，合理划分城市化发展区、农产品主产区、重点生态功能区，发挥各地比较优势，实施国土空间资源的差异化配置，推动形成以主体功能明显、优势互补、高质量发展的国土空间开发保护新格局，保护永久基本农田和生态空间。</w:t>
                  </w:r>
                </w:p>
                <w:p w14:paraId="72F84A1E">
                  <w:pPr>
                    <w:jc w:val="center"/>
                    <w:rPr>
                      <w:rFonts w:hint="default" w:ascii="Times New Roman" w:hAnsi="Times New Roman" w:cs="Times New Roman"/>
                    </w:rPr>
                  </w:pPr>
                  <w:r>
                    <w:rPr>
                      <w:rFonts w:hint="default" w:ascii="Times New Roman" w:hAnsi="Times New Roman" w:cs="Times New Roman"/>
                    </w:rPr>
                    <w:t>强化国土空间分区管控。统筹划定生态保护红线、永久基本农田和城镇开发边界三条控制线，合理安排生产、生活、生态空间，形成科学适度有序的国土空间布局体系，减少人类活动对自然空间的占用。促进区域绿色发展。保障“一江一湖三山四水”生态安全，推动“长株潭、洞庭湖、湘南、大湘西”区域协调发展。</w:t>
                  </w:r>
                </w:p>
              </w:tc>
              <w:tc>
                <w:tcPr>
                  <w:tcW w:w="2548" w:type="dxa"/>
                  <w:tcBorders>
                    <w:top w:val="single" w:color="auto" w:sz="4" w:space="0"/>
                    <w:left w:val="single" w:color="auto" w:sz="4" w:space="0"/>
                    <w:bottom w:val="single" w:color="auto" w:sz="4" w:space="0"/>
                    <w:right w:val="single" w:color="auto" w:sz="4" w:space="0"/>
                    <w:tl2br w:val="nil"/>
                    <w:tr2bl w:val="nil"/>
                  </w:tcBorders>
                  <w:vAlign w:val="center"/>
                </w:tcPr>
                <w:p w14:paraId="34553892">
                  <w:pPr>
                    <w:wordWrap w:val="0"/>
                    <w:jc w:val="center"/>
                    <w:rPr>
                      <w:rFonts w:hint="default" w:ascii="Times New Roman" w:hAnsi="Times New Roman" w:cs="Times New Roman"/>
                      <w:szCs w:val="21"/>
                    </w:rPr>
                  </w:pPr>
                  <w:r>
                    <w:rPr>
                      <w:rFonts w:hint="default" w:ascii="Times New Roman" w:hAnsi="Times New Roman" w:cs="Times New Roman"/>
                    </w:rPr>
                    <w:t>本项目为</w:t>
                  </w:r>
                  <w:r>
                    <w:rPr>
                      <w:rFonts w:hint="default" w:ascii="Times New Roman" w:hAnsi="Times New Roman" w:eastAsia="宋体" w:cs="Times New Roman"/>
                    </w:rPr>
                    <w:t>C2926塑料零件及其他塑料制品制造</w:t>
                  </w:r>
                  <w:r>
                    <w:rPr>
                      <w:rFonts w:hint="default" w:ascii="Times New Roman" w:hAnsi="Times New Roman" w:eastAsia="宋体" w:cs="Times New Roman"/>
                      <w:lang w:val="en-US" w:eastAsia="zh-CN"/>
                    </w:rPr>
                    <w:t>和C3360金属表面处理及热处理加工</w:t>
                  </w:r>
                  <w:r>
                    <w:rPr>
                      <w:rFonts w:hint="default" w:ascii="Times New Roman" w:hAnsi="Times New Roman" w:cs="Times New Roman"/>
                      <w:szCs w:val="21"/>
                    </w:rPr>
                    <w:t>，位于衡阳市蒸湘区衡阳钢管深加工产业聚集区，不在生态保护红线、永久基本农田和城镇开发边界范围内。</w:t>
                  </w:r>
                </w:p>
              </w:tc>
              <w:tc>
                <w:tcPr>
                  <w:tcW w:w="724" w:type="dxa"/>
                  <w:tcBorders>
                    <w:top w:val="single" w:color="auto" w:sz="4" w:space="0"/>
                    <w:left w:val="single" w:color="auto" w:sz="4" w:space="0"/>
                    <w:bottom w:val="single" w:color="auto" w:sz="4" w:space="0"/>
                    <w:right w:val="nil"/>
                    <w:tl2br w:val="nil"/>
                    <w:tr2bl w:val="nil"/>
                  </w:tcBorders>
                  <w:vAlign w:val="center"/>
                </w:tcPr>
                <w:p w14:paraId="67A656EC">
                  <w:pPr>
                    <w:spacing w:line="360" w:lineRule="auto"/>
                    <w:jc w:val="center"/>
                    <w:rPr>
                      <w:rFonts w:hint="default" w:ascii="Times New Roman" w:hAnsi="Times New Roman" w:cs="Times New Roman"/>
                      <w:szCs w:val="21"/>
                    </w:rPr>
                  </w:pPr>
                  <w:r>
                    <w:rPr>
                      <w:rFonts w:hint="default" w:ascii="Times New Roman" w:hAnsi="Times New Roman" w:cs="Times New Roman"/>
                      <w:szCs w:val="21"/>
                    </w:rPr>
                    <w:t>符合</w:t>
                  </w:r>
                </w:p>
              </w:tc>
            </w:tr>
            <w:tr w14:paraId="06959AB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38" w:type="dxa"/>
                  <w:vMerge w:val="continue"/>
                  <w:tcBorders>
                    <w:top w:val="single" w:color="auto" w:sz="4" w:space="0"/>
                    <w:left w:val="nil"/>
                    <w:bottom w:val="single" w:color="auto" w:sz="4" w:space="0"/>
                    <w:right w:val="single" w:color="auto" w:sz="4" w:space="0"/>
                    <w:tl2br w:val="nil"/>
                    <w:tr2bl w:val="nil"/>
                  </w:tcBorders>
                  <w:vAlign w:val="center"/>
                </w:tcPr>
                <w:p w14:paraId="701AF158">
                  <w:pPr>
                    <w:jc w:val="center"/>
                    <w:rPr>
                      <w:rFonts w:hint="default" w:ascii="Times New Roman" w:hAnsi="Times New Roman" w:cs="Times New Roman"/>
                      <w:szCs w:val="21"/>
                    </w:rPr>
                  </w:pPr>
                </w:p>
              </w:tc>
              <w:tc>
                <w:tcPr>
                  <w:tcW w:w="3527" w:type="dxa"/>
                  <w:tcBorders>
                    <w:top w:val="single" w:color="auto" w:sz="4" w:space="0"/>
                    <w:left w:val="single" w:color="auto" w:sz="4" w:space="0"/>
                    <w:bottom w:val="single" w:color="auto" w:sz="4" w:space="0"/>
                    <w:right w:val="single" w:color="auto" w:sz="4" w:space="0"/>
                    <w:tl2br w:val="nil"/>
                    <w:tr2bl w:val="nil"/>
                  </w:tcBorders>
                  <w:vAlign w:val="center"/>
                </w:tcPr>
                <w:p w14:paraId="3D72C586">
                  <w:pPr>
                    <w:jc w:val="center"/>
                    <w:rPr>
                      <w:rFonts w:hint="default" w:ascii="Times New Roman" w:hAnsi="Times New Roman" w:cs="Times New Roman"/>
                      <w:szCs w:val="21"/>
                    </w:rPr>
                  </w:pPr>
                  <w:r>
                    <w:rPr>
                      <w:rFonts w:hint="default" w:ascii="Times New Roman" w:hAnsi="Times New Roman" w:cs="Times New Roman"/>
                      <w:szCs w:val="21"/>
                    </w:rPr>
                    <w:t>（五）严格生态环境准入。严格生态环境分区引导。严格落实湖南省“三线一单”生态环境总体管控要求，将生态保护红线、环境质量底线、资源利用上线和生态环境准入清单作为硬约束落实到环境管控单元，根据生态环境功能、自然资源禀赋、经济与社会发展实际，对环境管控单元实施差异化生态环境准入管理。加强“三线一单”与国土空间规划的衔接，区域资源开发、产业布局和结构调整、城镇建设、重大项目选址应以“三线一单”确定的环境管控单元及生态环境准入清单作为重要依据，加强省级以上产业园区生态环境准入管理。全面实行排污许可制度。推动构建以排污许可制为核心的固定污染源监管制度体系，实现固定污染源排污许可全覆盖，推动工业固体废物、土壤环境要素全覆盖，探索将碳排放纳入排污许可管理内容。依托排污许可证实施企事业单位污染物排放总量指标分配、监管和考核。建立以排污许可证为主要依据的生态环境日常监管执法体系，落实排污许可“一证式”管理。推进排污许可制度与环境影响评价制度有效融合，推动重点行业企业环境影响评价、排污许可、监管执法全闭环管理。持续做好排污许可证换证或登记延续动态更新。</w:t>
                  </w:r>
                </w:p>
              </w:tc>
              <w:tc>
                <w:tcPr>
                  <w:tcW w:w="2548" w:type="dxa"/>
                  <w:tcBorders>
                    <w:top w:val="single" w:color="auto" w:sz="4" w:space="0"/>
                    <w:left w:val="single" w:color="auto" w:sz="4" w:space="0"/>
                    <w:bottom w:val="single" w:color="auto" w:sz="4" w:space="0"/>
                    <w:right w:val="single" w:color="auto" w:sz="4" w:space="0"/>
                    <w:tl2br w:val="nil"/>
                    <w:tr2bl w:val="nil"/>
                  </w:tcBorders>
                  <w:vAlign w:val="center"/>
                </w:tcPr>
                <w:p w14:paraId="37C01542">
                  <w:pPr>
                    <w:rPr>
                      <w:rFonts w:hint="default" w:ascii="Times New Roman" w:hAnsi="Times New Roman" w:cs="Times New Roman"/>
                      <w:szCs w:val="21"/>
                    </w:rPr>
                  </w:pPr>
                  <w:r>
                    <w:rPr>
                      <w:rFonts w:hint="default" w:ascii="Times New Roman" w:hAnsi="Times New Roman" w:cs="Times New Roman"/>
                      <w:szCs w:val="21"/>
                    </w:rPr>
                    <w:t>本项目为</w:t>
                  </w:r>
                  <w:r>
                    <w:rPr>
                      <w:rFonts w:hint="default" w:ascii="Times New Roman" w:hAnsi="Times New Roman" w:eastAsia="宋体" w:cs="Times New Roman"/>
                    </w:rPr>
                    <w:t>C2926塑料零件及其他塑料制品制造</w:t>
                  </w:r>
                  <w:r>
                    <w:rPr>
                      <w:rFonts w:hint="default" w:ascii="Times New Roman" w:hAnsi="Times New Roman" w:eastAsia="宋体" w:cs="Times New Roman"/>
                      <w:lang w:val="en-US" w:eastAsia="zh-CN"/>
                    </w:rPr>
                    <w:t>和C3360金属表面处理及热处理加工</w:t>
                  </w:r>
                  <w:r>
                    <w:rPr>
                      <w:rFonts w:hint="default" w:ascii="Times New Roman" w:hAnsi="Times New Roman" w:cs="Times New Roman"/>
                      <w:szCs w:val="21"/>
                    </w:rPr>
                    <w:t>，位于衡阳市蒸湘区衡阳钢管深加工产业聚集区，符合《湖南省生态环境分区管控总体管控要求暨省级以上产业园区生态环境准入清单》（湘环函〔2024〕26号）中环境管控单元编码ZH43042220003相关要求。根据《排污许可管理条例》相关规定，本项目环评审批后，建设单位将按条例要求申领排污许可证。</w:t>
                  </w:r>
                </w:p>
              </w:tc>
              <w:tc>
                <w:tcPr>
                  <w:tcW w:w="724" w:type="dxa"/>
                  <w:tcBorders>
                    <w:top w:val="single" w:color="auto" w:sz="4" w:space="0"/>
                    <w:left w:val="single" w:color="auto" w:sz="4" w:space="0"/>
                    <w:bottom w:val="single" w:color="auto" w:sz="4" w:space="0"/>
                    <w:right w:val="nil"/>
                    <w:tl2br w:val="nil"/>
                    <w:tr2bl w:val="nil"/>
                  </w:tcBorders>
                  <w:vAlign w:val="center"/>
                </w:tcPr>
                <w:p w14:paraId="0F2AEEAE">
                  <w:pPr>
                    <w:spacing w:line="360" w:lineRule="auto"/>
                    <w:jc w:val="center"/>
                    <w:rPr>
                      <w:rFonts w:hint="default" w:ascii="Times New Roman" w:hAnsi="Times New Roman" w:cs="Times New Roman"/>
                      <w:szCs w:val="21"/>
                    </w:rPr>
                  </w:pPr>
                  <w:r>
                    <w:rPr>
                      <w:rFonts w:hint="default" w:ascii="Times New Roman" w:hAnsi="Times New Roman" w:cs="Times New Roman"/>
                      <w:szCs w:val="21"/>
                    </w:rPr>
                    <w:t>符合</w:t>
                  </w:r>
                </w:p>
              </w:tc>
            </w:tr>
            <w:tr w14:paraId="4A830DA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38" w:type="dxa"/>
                  <w:vMerge w:val="restart"/>
                  <w:tcBorders>
                    <w:top w:val="single" w:color="auto" w:sz="4" w:space="0"/>
                    <w:left w:val="nil"/>
                    <w:bottom w:val="single" w:color="auto" w:sz="4" w:space="0"/>
                    <w:right w:val="single" w:color="auto" w:sz="4" w:space="0"/>
                    <w:tl2br w:val="nil"/>
                    <w:tr2bl w:val="nil"/>
                  </w:tcBorders>
                  <w:vAlign w:val="center"/>
                </w:tcPr>
                <w:p w14:paraId="5266AFBC">
                  <w:pPr>
                    <w:jc w:val="center"/>
                    <w:rPr>
                      <w:rFonts w:hint="default" w:ascii="Times New Roman" w:hAnsi="Times New Roman" w:cs="Times New Roman"/>
                      <w:szCs w:val="21"/>
                    </w:rPr>
                  </w:pPr>
                  <w:r>
                    <w:rPr>
                      <w:rFonts w:hint="default" w:ascii="Times New Roman" w:hAnsi="Times New Roman" w:cs="Times New Roman"/>
                      <w:szCs w:val="21"/>
                    </w:rPr>
                    <w:t>深</w:t>
                  </w:r>
                </w:p>
                <w:p w14:paraId="6FC3D8C1">
                  <w:pPr>
                    <w:jc w:val="center"/>
                    <w:rPr>
                      <w:rFonts w:hint="default" w:ascii="Times New Roman" w:hAnsi="Times New Roman" w:cs="Times New Roman"/>
                      <w:szCs w:val="21"/>
                    </w:rPr>
                  </w:pPr>
                  <w:r>
                    <w:rPr>
                      <w:rFonts w:hint="default" w:ascii="Times New Roman" w:hAnsi="Times New Roman" w:cs="Times New Roman"/>
                      <w:szCs w:val="21"/>
                    </w:rPr>
                    <w:t>入</w:t>
                  </w:r>
                </w:p>
                <w:p w14:paraId="6276DAB3">
                  <w:pPr>
                    <w:jc w:val="center"/>
                    <w:rPr>
                      <w:rFonts w:hint="default" w:ascii="Times New Roman" w:hAnsi="Times New Roman" w:cs="Times New Roman"/>
                      <w:szCs w:val="21"/>
                    </w:rPr>
                  </w:pPr>
                  <w:r>
                    <w:rPr>
                      <w:rFonts w:hint="default" w:ascii="Times New Roman" w:hAnsi="Times New Roman" w:cs="Times New Roman"/>
                      <w:szCs w:val="21"/>
                    </w:rPr>
                    <w:t>打</w:t>
                  </w:r>
                </w:p>
                <w:p w14:paraId="1BA279CE">
                  <w:pPr>
                    <w:jc w:val="center"/>
                    <w:rPr>
                      <w:rFonts w:hint="default" w:ascii="Times New Roman" w:hAnsi="Times New Roman" w:cs="Times New Roman"/>
                      <w:szCs w:val="21"/>
                    </w:rPr>
                  </w:pPr>
                  <w:r>
                    <w:rPr>
                      <w:rFonts w:hint="default" w:ascii="Times New Roman" w:hAnsi="Times New Roman" w:cs="Times New Roman"/>
                      <w:szCs w:val="21"/>
                    </w:rPr>
                    <w:t>好</w:t>
                  </w:r>
                </w:p>
                <w:p w14:paraId="105954E5">
                  <w:pPr>
                    <w:jc w:val="center"/>
                    <w:rPr>
                      <w:rFonts w:hint="default" w:ascii="Times New Roman" w:hAnsi="Times New Roman" w:cs="Times New Roman"/>
                      <w:szCs w:val="21"/>
                    </w:rPr>
                  </w:pPr>
                  <w:r>
                    <w:rPr>
                      <w:rFonts w:hint="default" w:ascii="Times New Roman" w:hAnsi="Times New Roman" w:cs="Times New Roman"/>
                      <w:szCs w:val="21"/>
                    </w:rPr>
                    <w:t>污</w:t>
                  </w:r>
                </w:p>
                <w:p w14:paraId="038C694F">
                  <w:pPr>
                    <w:jc w:val="center"/>
                    <w:rPr>
                      <w:rFonts w:hint="default" w:ascii="Times New Roman" w:hAnsi="Times New Roman" w:cs="Times New Roman"/>
                      <w:szCs w:val="21"/>
                    </w:rPr>
                  </w:pPr>
                  <w:r>
                    <w:rPr>
                      <w:rFonts w:hint="default" w:ascii="Times New Roman" w:hAnsi="Times New Roman" w:cs="Times New Roman"/>
                      <w:szCs w:val="21"/>
                    </w:rPr>
                    <w:t>染</w:t>
                  </w:r>
                </w:p>
                <w:p w14:paraId="679A816F">
                  <w:pPr>
                    <w:jc w:val="center"/>
                    <w:rPr>
                      <w:rFonts w:hint="default" w:ascii="Times New Roman" w:hAnsi="Times New Roman" w:cs="Times New Roman"/>
                      <w:szCs w:val="21"/>
                    </w:rPr>
                  </w:pPr>
                  <w:r>
                    <w:rPr>
                      <w:rFonts w:hint="default" w:ascii="Times New Roman" w:hAnsi="Times New Roman" w:cs="Times New Roman"/>
                      <w:szCs w:val="21"/>
                    </w:rPr>
                    <w:t>防</w:t>
                  </w:r>
                </w:p>
                <w:p w14:paraId="46749BD3">
                  <w:pPr>
                    <w:jc w:val="center"/>
                    <w:rPr>
                      <w:rFonts w:hint="default" w:ascii="Times New Roman" w:hAnsi="Times New Roman" w:cs="Times New Roman"/>
                      <w:szCs w:val="21"/>
                    </w:rPr>
                  </w:pPr>
                  <w:r>
                    <w:rPr>
                      <w:rFonts w:hint="default" w:ascii="Times New Roman" w:hAnsi="Times New Roman" w:cs="Times New Roman"/>
                      <w:szCs w:val="21"/>
                    </w:rPr>
                    <w:t>治</w:t>
                  </w:r>
                </w:p>
                <w:p w14:paraId="425F5512">
                  <w:pPr>
                    <w:jc w:val="center"/>
                    <w:rPr>
                      <w:rFonts w:hint="default" w:ascii="Times New Roman" w:hAnsi="Times New Roman" w:cs="Times New Roman"/>
                      <w:szCs w:val="21"/>
                    </w:rPr>
                  </w:pPr>
                  <w:r>
                    <w:rPr>
                      <w:rFonts w:hint="default" w:ascii="Times New Roman" w:hAnsi="Times New Roman" w:cs="Times New Roman"/>
                      <w:szCs w:val="21"/>
                    </w:rPr>
                    <w:t>攻</w:t>
                  </w:r>
                </w:p>
                <w:p w14:paraId="3B7482AF">
                  <w:pPr>
                    <w:jc w:val="center"/>
                    <w:rPr>
                      <w:rFonts w:hint="default" w:ascii="Times New Roman" w:hAnsi="Times New Roman" w:cs="Times New Roman"/>
                      <w:szCs w:val="21"/>
                    </w:rPr>
                  </w:pPr>
                  <w:r>
                    <w:rPr>
                      <w:rFonts w:hint="default" w:ascii="Times New Roman" w:hAnsi="Times New Roman" w:cs="Times New Roman"/>
                      <w:szCs w:val="21"/>
                    </w:rPr>
                    <w:t>坚</w:t>
                  </w:r>
                </w:p>
                <w:p w14:paraId="5AA2CB73">
                  <w:pPr>
                    <w:jc w:val="center"/>
                    <w:rPr>
                      <w:rFonts w:hint="default" w:ascii="Times New Roman" w:hAnsi="Times New Roman" w:cs="Times New Roman"/>
                      <w:szCs w:val="21"/>
                    </w:rPr>
                  </w:pPr>
                  <w:r>
                    <w:rPr>
                      <w:rFonts w:hint="default" w:ascii="Times New Roman" w:hAnsi="Times New Roman" w:cs="Times New Roman"/>
                      <w:szCs w:val="21"/>
                    </w:rPr>
                    <w:t>战</w:t>
                  </w:r>
                </w:p>
              </w:tc>
              <w:tc>
                <w:tcPr>
                  <w:tcW w:w="3527" w:type="dxa"/>
                  <w:tcBorders>
                    <w:top w:val="single" w:color="auto" w:sz="4" w:space="0"/>
                    <w:left w:val="single" w:color="auto" w:sz="4" w:space="0"/>
                    <w:bottom w:val="single" w:color="auto" w:sz="4" w:space="0"/>
                    <w:right w:val="single" w:color="auto" w:sz="4" w:space="0"/>
                    <w:tl2br w:val="nil"/>
                    <w:tr2bl w:val="nil"/>
                  </w:tcBorders>
                  <w:vAlign w:val="center"/>
                </w:tcPr>
                <w:p w14:paraId="363F8AA2">
                  <w:pPr>
                    <w:jc w:val="center"/>
                    <w:rPr>
                      <w:rFonts w:hint="default" w:ascii="Times New Roman" w:hAnsi="Times New Roman" w:cs="Times New Roman"/>
                    </w:rPr>
                  </w:pPr>
                  <w:r>
                    <w:rPr>
                      <w:rFonts w:hint="default" w:ascii="Times New Roman" w:hAnsi="Times New Roman" w:cs="Times New Roman"/>
                    </w:rPr>
                    <w:t>深入打好碧水保卫战：深化重点领域水污染治理。补齐城乡污水收集和处理设施短板，加强生活源污染治理，完善城市污水管网建设，实现建成区污水管网全覆盖，改造老旧破损管网及检查井，系统解决管网漏损问题。</w:t>
                  </w:r>
                </w:p>
              </w:tc>
              <w:tc>
                <w:tcPr>
                  <w:tcW w:w="2548" w:type="dxa"/>
                  <w:tcBorders>
                    <w:top w:val="single" w:color="auto" w:sz="4" w:space="0"/>
                    <w:left w:val="single" w:color="auto" w:sz="4" w:space="0"/>
                    <w:bottom w:val="single" w:color="auto" w:sz="4" w:space="0"/>
                    <w:right w:val="single" w:color="auto" w:sz="4" w:space="0"/>
                    <w:tl2br w:val="nil"/>
                    <w:tr2bl w:val="nil"/>
                  </w:tcBorders>
                  <w:vAlign w:val="center"/>
                </w:tcPr>
                <w:p w14:paraId="1BB19F6F">
                  <w:pPr>
                    <w:jc w:val="center"/>
                    <w:rPr>
                      <w:rFonts w:hint="eastAsia" w:ascii="Times New Roman" w:hAnsi="Times New Roman" w:eastAsia="宋体" w:cs="Times New Roman"/>
                      <w:szCs w:val="21"/>
                      <w:lang w:eastAsia="zh-CN"/>
                    </w:rPr>
                  </w:pPr>
                  <w:r>
                    <w:rPr>
                      <w:rFonts w:hint="default" w:ascii="Times New Roman" w:hAnsi="Times New Roman" w:cs="Times New Roman"/>
                      <w:szCs w:val="21"/>
                    </w:rPr>
                    <w:t>本项目无生产废水外排；</w:t>
                  </w:r>
                  <w:r>
                    <w:rPr>
                      <w:rFonts w:hint="eastAsia" w:cs="Times New Roman"/>
                      <w:lang w:eastAsia="zh-CN"/>
                    </w:rPr>
                    <w:t>生活污水依托衡钢原有的化粪池处理后经厂区污水管网排入衡钢西区污水处理厂处理达到《污水综合排放标准》（GB8978-1996）表4 中三级标准，排入幸福河，然后进入铜桥港污水处理厂进一步处理，处理后排入湘江。</w:t>
                  </w:r>
                </w:p>
              </w:tc>
              <w:tc>
                <w:tcPr>
                  <w:tcW w:w="724" w:type="dxa"/>
                  <w:tcBorders>
                    <w:top w:val="single" w:color="auto" w:sz="4" w:space="0"/>
                    <w:left w:val="single" w:color="auto" w:sz="4" w:space="0"/>
                    <w:bottom w:val="single" w:color="auto" w:sz="4" w:space="0"/>
                    <w:right w:val="nil"/>
                    <w:tl2br w:val="nil"/>
                    <w:tr2bl w:val="nil"/>
                  </w:tcBorders>
                  <w:vAlign w:val="center"/>
                </w:tcPr>
                <w:p w14:paraId="47D859CB">
                  <w:pPr>
                    <w:spacing w:line="360" w:lineRule="auto"/>
                    <w:jc w:val="center"/>
                    <w:rPr>
                      <w:rFonts w:hint="default" w:ascii="Times New Roman" w:hAnsi="Times New Roman" w:cs="Times New Roman"/>
                      <w:szCs w:val="21"/>
                    </w:rPr>
                  </w:pPr>
                  <w:r>
                    <w:rPr>
                      <w:rFonts w:hint="default" w:ascii="Times New Roman" w:hAnsi="Times New Roman" w:cs="Times New Roman"/>
                      <w:szCs w:val="21"/>
                    </w:rPr>
                    <w:t>符合</w:t>
                  </w:r>
                </w:p>
              </w:tc>
            </w:tr>
            <w:tr w14:paraId="60F4D0E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38" w:type="dxa"/>
                  <w:vMerge w:val="continue"/>
                  <w:tcBorders>
                    <w:top w:val="single" w:color="auto" w:sz="4" w:space="0"/>
                    <w:left w:val="nil"/>
                    <w:bottom w:val="single" w:color="auto" w:sz="4" w:space="0"/>
                    <w:right w:val="single" w:color="auto" w:sz="4" w:space="0"/>
                    <w:tl2br w:val="nil"/>
                    <w:tr2bl w:val="nil"/>
                  </w:tcBorders>
                  <w:vAlign w:val="center"/>
                </w:tcPr>
                <w:p w14:paraId="44DF95C1">
                  <w:pPr>
                    <w:jc w:val="center"/>
                    <w:rPr>
                      <w:rFonts w:hint="default" w:ascii="Times New Roman" w:hAnsi="Times New Roman" w:cs="Times New Roman"/>
                      <w:szCs w:val="21"/>
                    </w:rPr>
                  </w:pPr>
                </w:p>
              </w:tc>
              <w:tc>
                <w:tcPr>
                  <w:tcW w:w="3527" w:type="dxa"/>
                  <w:tcBorders>
                    <w:top w:val="single" w:color="auto" w:sz="4" w:space="0"/>
                    <w:left w:val="single" w:color="auto" w:sz="4" w:space="0"/>
                    <w:bottom w:val="single" w:color="auto" w:sz="4" w:space="0"/>
                    <w:right w:val="single" w:color="auto" w:sz="4" w:space="0"/>
                    <w:tl2br w:val="nil"/>
                    <w:tr2bl w:val="nil"/>
                  </w:tcBorders>
                  <w:vAlign w:val="center"/>
                </w:tcPr>
                <w:p w14:paraId="718BF12C">
                  <w:pPr>
                    <w:jc w:val="center"/>
                    <w:rPr>
                      <w:rFonts w:hint="default" w:ascii="Times New Roman" w:hAnsi="Times New Roman" w:cs="Times New Roman"/>
                    </w:rPr>
                  </w:pPr>
                  <w:r>
                    <w:rPr>
                      <w:rFonts w:hint="default" w:ascii="Times New Roman" w:hAnsi="Times New Roman" w:cs="Times New Roman"/>
                    </w:rPr>
                    <w:t>深入打好蓝天保卫战：加强其他涉气污染物治理。加强消耗臭氧层物质和氢氟碳化物环境管理，加强恶臭、有毒有害大气污染物防控。</w:t>
                  </w:r>
                </w:p>
              </w:tc>
              <w:tc>
                <w:tcPr>
                  <w:tcW w:w="2548" w:type="dxa"/>
                  <w:tcBorders>
                    <w:top w:val="single" w:color="auto" w:sz="4" w:space="0"/>
                    <w:left w:val="single" w:color="auto" w:sz="4" w:space="0"/>
                    <w:bottom w:val="single" w:color="auto" w:sz="4" w:space="0"/>
                    <w:right w:val="single" w:color="auto" w:sz="4" w:space="0"/>
                    <w:tl2br w:val="nil"/>
                    <w:tr2bl w:val="nil"/>
                  </w:tcBorders>
                  <w:vAlign w:val="center"/>
                </w:tcPr>
                <w:p w14:paraId="01838810">
                  <w:pPr>
                    <w:jc w:val="center"/>
                    <w:rPr>
                      <w:rFonts w:hint="default" w:ascii="Times New Roman" w:hAnsi="Times New Roman" w:cs="Times New Roman"/>
                      <w:szCs w:val="21"/>
                    </w:rPr>
                  </w:pPr>
                  <w:r>
                    <w:rPr>
                      <w:rFonts w:hint="default" w:ascii="Times New Roman" w:hAnsi="Times New Roman" w:cs="Times New Roman"/>
                      <w:szCs w:val="21"/>
                    </w:rPr>
                    <w:t>本项目废气均能达标排放，满足蓝天保卫战要求。</w:t>
                  </w:r>
                </w:p>
              </w:tc>
              <w:tc>
                <w:tcPr>
                  <w:tcW w:w="724" w:type="dxa"/>
                  <w:tcBorders>
                    <w:top w:val="single" w:color="auto" w:sz="4" w:space="0"/>
                    <w:left w:val="single" w:color="auto" w:sz="4" w:space="0"/>
                    <w:bottom w:val="single" w:color="auto" w:sz="4" w:space="0"/>
                    <w:right w:val="nil"/>
                    <w:tl2br w:val="nil"/>
                    <w:tr2bl w:val="nil"/>
                  </w:tcBorders>
                  <w:vAlign w:val="center"/>
                </w:tcPr>
                <w:p w14:paraId="03016BCE">
                  <w:pPr>
                    <w:spacing w:line="360" w:lineRule="auto"/>
                    <w:jc w:val="center"/>
                    <w:rPr>
                      <w:rFonts w:hint="default" w:ascii="Times New Roman" w:hAnsi="Times New Roman" w:cs="Times New Roman"/>
                      <w:szCs w:val="21"/>
                    </w:rPr>
                  </w:pPr>
                  <w:r>
                    <w:rPr>
                      <w:rFonts w:hint="default" w:ascii="Times New Roman" w:hAnsi="Times New Roman" w:cs="Times New Roman"/>
                      <w:szCs w:val="21"/>
                    </w:rPr>
                    <w:t>符合</w:t>
                  </w:r>
                </w:p>
              </w:tc>
            </w:tr>
            <w:tr w14:paraId="22AA9FF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38" w:type="dxa"/>
                  <w:vMerge w:val="continue"/>
                  <w:tcBorders>
                    <w:top w:val="single" w:color="auto" w:sz="4" w:space="0"/>
                    <w:left w:val="nil"/>
                    <w:bottom w:val="single" w:color="auto" w:sz="12" w:space="0"/>
                    <w:right w:val="single" w:color="auto" w:sz="4" w:space="0"/>
                    <w:tl2br w:val="nil"/>
                    <w:tr2bl w:val="nil"/>
                  </w:tcBorders>
                  <w:vAlign w:val="center"/>
                </w:tcPr>
                <w:p w14:paraId="642DDA30">
                  <w:pPr>
                    <w:jc w:val="center"/>
                    <w:rPr>
                      <w:rFonts w:hint="default" w:ascii="Times New Roman" w:hAnsi="Times New Roman" w:cs="Times New Roman"/>
                      <w:szCs w:val="21"/>
                    </w:rPr>
                  </w:pPr>
                </w:p>
              </w:tc>
              <w:tc>
                <w:tcPr>
                  <w:tcW w:w="3527" w:type="dxa"/>
                  <w:tcBorders>
                    <w:top w:val="single" w:color="auto" w:sz="4" w:space="0"/>
                    <w:left w:val="single" w:color="auto" w:sz="4" w:space="0"/>
                    <w:bottom w:val="single" w:color="auto" w:sz="12" w:space="0"/>
                    <w:right w:val="single" w:color="auto" w:sz="4" w:space="0"/>
                    <w:tl2br w:val="nil"/>
                    <w:tr2bl w:val="nil"/>
                  </w:tcBorders>
                  <w:vAlign w:val="center"/>
                </w:tcPr>
                <w:p w14:paraId="332235D6">
                  <w:pPr>
                    <w:jc w:val="center"/>
                    <w:rPr>
                      <w:rFonts w:hint="default" w:ascii="Times New Roman" w:hAnsi="Times New Roman" w:cs="Times New Roman"/>
                    </w:rPr>
                  </w:pPr>
                  <w:r>
                    <w:rPr>
                      <w:rFonts w:hint="default" w:ascii="Times New Roman" w:hAnsi="Times New Roman" w:cs="Times New Roman"/>
                    </w:rPr>
                    <w:t>深入打好净土保卫战：加强土壤污染源头预防。推动污染物与土壤环境、地下水环境之间的协同控制，持续开展固体废物和危险废物贮存场所周边土壤与地下水环境状况调查评估。</w:t>
                  </w:r>
                </w:p>
              </w:tc>
              <w:tc>
                <w:tcPr>
                  <w:tcW w:w="2548" w:type="dxa"/>
                  <w:tcBorders>
                    <w:top w:val="single" w:color="auto" w:sz="4" w:space="0"/>
                    <w:left w:val="single" w:color="auto" w:sz="4" w:space="0"/>
                    <w:bottom w:val="single" w:color="auto" w:sz="12" w:space="0"/>
                    <w:right w:val="single" w:color="auto" w:sz="4" w:space="0"/>
                    <w:tl2br w:val="nil"/>
                    <w:tr2bl w:val="nil"/>
                  </w:tcBorders>
                  <w:vAlign w:val="center"/>
                </w:tcPr>
                <w:p w14:paraId="78090558">
                  <w:pPr>
                    <w:jc w:val="center"/>
                    <w:rPr>
                      <w:rFonts w:hint="default" w:ascii="Times New Roman" w:hAnsi="Times New Roman" w:cs="Times New Roman"/>
                      <w:szCs w:val="21"/>
                    </w:rPr>
                  </w:pPr>
                  <w:r>
                    <w:rPr>
                      <w:rFonts w:hint="default" w:ascii="Times New Roman" w:hAnsi="Times New Roman" w:cs="Times New Roman"/>
                      <w:szCs w:val="21"/>
                    </w:rPr>
                    <w:t>本项目固废均能得到妥善处置，不会产生二次污染。</w:t>
                  </w:r>
                </w:p>
              </w:tc>
              <w:tc>
                <w:tcPr>
                  <w:tcW w:w="724" w:type="dxa"/>
                  <w:tcBorders>
                    <w:top w:val="single" w:color="auto" w:sz="4" w:space="0"/>
                    <w:left w:val="single" w:color="auto" w:sz="4" w:space="0"/>
                    <w:bottom w:val="single" w:color="auto" w:sz="12" w:space="0"/>
                    <w:right w:val="nil"/>
                    <w:tl2br w:val="nil"/>
                    <w:tr2bl w:val="nil"/>
                  </w:tcBorders>
                  <w:vAlign w:val="center"/>
                </w:tcPr>
                <w:p w14:paraId="3E4ACBE2">
                  <w:pPr>
                    <w:spacing w:line="360" w:lineRule="auto"/>
                    <w:jc w:val="center"/>
                    <w:rPr>
                      <w:rFonts w:hint="default" w:ascii="Times New Roman" w:hAnsi="Times New Roman" w:cs="Times New Roman"/>
                      <w:szCs w:val="21"/>
                    </w:rPr>
                  </w:pPr>
                  <w:r>
                    <w:rPr>
                      <w:rFonts w:hint="default" w:ascii="Times New Roman" w:hAnsi="Times New Roman" w:cs="Times New Roman"/>
                      <w:szCs w:val="21"/>
                    </w:rPr>
                    <w:t>符合</w:t>
                  </w:r>
                </w:p>
              </w:tc>
            </w:tr>
          </w:tbl>
          <w:p w14:paraId="7B7CF399">
            <w:pPr>
              <w:pStyle w:val="109"/>
              <w:rPr>
                <w:rFonts w:hint="default" w:ascii="Times New Roman" w:hAnsi="Times New Roman" w:cs="Times New Roman"/>
              </w:rPr>
            </w:pPr>
            <w:r>
              <w:rPr>
                <w:rFonts w:hint="default" w:ascii="Times New Roman" w:hAnsi="Times New Roman" w:cs="Times New Roman"/>
              </w:rPr>
              <w:t>根据上述内容可知，本项目符合《湖南省“十四五”生态环境保护规划》相关要求。</w:t>
            </w:r>
          </w:p>
          <w:p w14:paraId="692315CE">
            <w:pPr>
              <w:spacing w:after="2" w:line="360" w:lineRule="auto"/>
              <w:ind w:firstLine="482" w:firstLineChars="200"/>
              <w:rPr>
                <w:rFonts w:hint="default" w:ascii="Times New Roman" w:hAnsi="Times New Roman" w:cs="Times New Roman"/>
                <w:color w:val="000000"/>
                <w:sz w:val="24"/>
                <w:szCs w:val="22"/>
              </w:rPr>
            </w:pPr>
            <w:r>
              <w:rPr>
                <w:rFonts w:hint="default" w:ascii="Times New Roman" w:hAnsi="Times New Roman" w:cs="Times New Roman"/>
                <w:b/>
                <w:bCs/>
                <w:color w:val="000000"/>
                <w:sz w:val="24"/>
                <w:szCs w:val="22"/>
              </w:rPr>
              <w:t>6、与《湖南省湘江保护条例》（2023年修订）符合性分析</w:t>
            </w:r>
          </w:p>
          <w:p w14:paraId="699F1B65">
            <w:pPr>
              <w:spacing w:after="2" w:line="360" w:lineRule="auto"/>
              <w:ind w:firstLine="480" w:firstLineChars="200"/>
              <w:rPr>
                <w:rFonts w:hint="default" w:ascii="Times New Roman" w:hAnsi="Times New Roman" w:cs="Times New Roman"/>
                <w:color w:val="000000"/>
                <w:sz w:val="24"/>
                <w:szCs w:val="22"/>
              </w:rPr>
            </w:pPr>
            <w:r>
              <w:rPr>
                <w:rFonts w:hint="default" w:ascii="Times New Roman" w:hAnsi="Times New Roman" w:cs="Times New Roman"/>
                <w:color w:val="000000"/>
                <w:sz w:val="24"/>
                <w:szCs w:val="22"/>
              </w:rPr>
              <w:t>本项目与《湖南省湘江保护条例》（2023年修订）符合性分析情况见表1-6。</w:t>
            </w:r>
          </w:p>
          <w:p w14:paraId="65084CDE">
            <w:pPr>
              <w:spacing w:beforeLines="50"/>
              <w:jc w:val="center"/>
              <w:rPr>
                <w:rFonts w:hint="default" w:ascii="Times New Roman" w:hAnsi="Times New Roman" w:cs="Times New Roman"/>
                <w:b/>
                <w:color w:val="000000"/>
                <w:szCs w:val="22"/>
              </w:rPr>
            </w:pPr>
            <w:r>
              <w:rPr>
                <w:rFonts w:hint="default" w:ascii="Times New Roman" w:hAnsi="Times New Roman" w:cs="Times New Roman"/>
                <w:b/>
                <w:color w:val="000000"/>
                <w:szCs w:val="22"/>
              </w:rPr>
              <w:t>表1-6  项目与《湖南省湘江保护条例》（2023年修订）符合性分析情况</w:t>
            </w:r>
          </w:p>
          <w:tbl>
            <w:tblPr>
              <w:tblStyle w:val="36"/>
              <w:tblW w:w="7437"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28" w:type="dxa"/>
                <w:left w:w="57" w:type="dxa"/>
                <w:bottom w:w="28" w:type="dxa"/>
                <w:right w:w="57" w:type="dxa"/>
              </w:tblCellMar>
            </w:tblPr>
            <w:tblGrid>
              <w:gridCol w:w="3991"/>
              <w:gridCol w:w="2866"/>
              <w:gridCol w:w="580"/>
            </w:tblGrid>
            <w:tr w14:paraId="7146BF5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57" w:type="dxa"/>
                  <w:bottom w:w="28" w:type="dxa"/>
                  <w:right w:w="57" w:type="dxa"/>
                </w:tblCellMar>
              </w:tblPrEx>
              <w:trPr>
                <w:jc w:val="center"/>
              </w:trPr>
              <w:tc>
                <w:tcPr>
                  <w:tcW w:w="3991" w:type="dxa"/>
                  <w:tcBorders>
                    <w:tl2br w:val="nil"/>
                    <w:tr2bl w:val="nil"/>
                  </w:tcBorders>
                  <w:vAlign w:val="center"/>
                </w:tcPr>
                <w:p w14:paraId="3CBC2605">
                  <w:pPr>
                    <w:jc w:val="center"/>
                    <w:rPr>
                      <w:rFonts w:hint="default" w:ascii="Times New Roman" w:hAnsi="Times New Roman" w:cs="Times New Roman"/>
                      <w:color w:val="000000"/>
                    </w:rPr>
                  </w:pPr>
                  <w:r>
                    <w:rPr>
                      <w:rFonts w:hint="default" w:ascii="Times New Roman" w:hAnsi="Times New Roman" w:cs="Times New Roman"/>
                      <w:color w:val="000000"/>
                    </w:rPr>
                    <w:t>《湖南省湘江保护条例》要求</w:t>
                  </w:r>
                </w:p>
              </w:tc>
              <w:tc>
                <w:tcPr>
                  <w:tcW w:w="2866" w:type="dxa"/>
                  <w:tcBorders>
                    <w:tl2br w:val="nil"/>
                    <w:tr2bl w:val="nil"/>
                  </w:tcBorders>
                  <w:vAlign w:val="center"/>
                </w:tcPr>
                <w:p w14:paraId="10009541">
                  <w:pPr>
                    <w:jc w:val="center"/>
                    <w:rPr>
                      <w:rFonts w:hint="default" w:ascii="Times New Roman" w:hAnsi="Times New Roman" w:cs="Times New Roman"/>
                      <w:color w:val="000000"/>
                    </w:rPr>
                  </w:pPr>
                  <w:r>
                    <w:rPr>
                      <w:rFonts w:hint="default" w:ascii="Times New Roman" w:hAnsi="Times New Roman" w:cs="Times New Roman"/>
                      <w:color w:val="000000"/>
                    </w:rPr>
                    <w:t>项目情况</w:t>
                  </w:r>
                </w:p>
              </w:tc>
              <w:tc>
                <w:tcPr>
                  <w:tcW w:w="580" w:type="dxa"/>
                  <w:tcBorders>
                    <w:tl2br w:val="nil"/>
                    <w:tr2bl w:val="nil"/>
                  </w:tcBorders>
                  <w:vAlign w:val="center"/>
                </w:tcPr>
                <w:p w14:paraId="3AAE7A8C">
                  <w:pPr>
                    <w:jc w:val="center"/>
                    <w:rPr>
                      <w:rFonts w:hint="default" w:ascii="Times New Roman" w:hAnsi="Times New Roman" w:cs="Times New Roman"/>
                      <w:color w:val="000000"/>
                    </w:rPr>
                  </w:pPr>
                  <w:r>
                    <w:rPr>
                      <w:rFonts w:hint="default" w:ascii="Times New Roman" w:hAnsi="Times New Roman" w:cs="Times New Roman"/>
                      <w:color w:val="000000"/>
                    </w:rPr>
                    <w:t>是否符合</w:t>
                  </w:r>
                </w:p>
              </w:tc>
            </w:tr>
            <w:tr w14:paraId="3A76C7A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57" w:type="dxa"/>
                  <w:bottom w:w="28" w:type="dxa"/>
                  <w:right w:w="57" w:type="dxa"/>
                </w:tblCellMar>
              </w:tblPrEx>
              <w:trPr>
                <w:jc w:val="center"/>
              </w:trPr>
              <w:tc>
                <w:tcPr>
                  <w:tcW w:w="3991" w:type="dxa"/>
                  <w:tcBorders>
                    <w:tl2br w:val="nil"/>
                    <w:tr2bl w:val="nil"/>
                  </w:tcBorders>
                  <w:vAlign w:val="center"/>
                </w:tcPr>
                <w:p w14:paraId="6DBE9570">
                  <w:pPr>
                    <w:jc w:val="center"/>
                    <w:rPr>
                      <w:rFonts w:hint="default" w:ascii="Times New Roman" w:hAnsi="Times New Roman" w:cs="Times New Roman"/>
                      <w:color w:val="000000"/>
                    </w:rPr>
                  </w:pPr>
                  <w:r>
                    <w:rPr>
                      <w:rFonts w:hint="default" w:ascii="Times New Roman" w:hAnsi="Times New Roman" w:cs="Times New Roman"/>
                      <w:color w:val="000000"/>
                    </w:rPr>
                    <w:t>第三十二条 建立健全湘江流域重点水污染物排放总量控制、排污许可、水污染物排放监测和水环境质量监测等水环境保护制度。</w:t>
                  </w:r>
                </w:p>
              </w:tc>
              <w:tc>
                <w:tcPr>
                  <w:tcW w:w="2866" w:type="dxa"/>
                  <w:tcBorders>
                    <w:tl2br w:val="nil"/>
                    <w:tr2bl w:val="nil"/>
                  </w:tcBorders>
                  <w:vAlign w:val="center"/>
                </w:tcPr>
                <w:p w14:paraId="3E437948">
                  <w:pPr>
                    <w:jc w:val="center"/>
                    <w:rPr>
                      <w:rFonts w:hint="eastAsia" w:ascii="Times New Roman" w:hAnsi="Times New Roman" w:eastAsia="宋体" w:cs="Times New Roman"/>
                      <w:color w:val="000000"/>
                      <w:lang w:eastAsia="zh-CN"/>
                    </w:rPr>
                  </w:pPr>
                  <w:r>
                    <w:rPr>
                      <w:rFonts w:hint="default" w:ascii="Times New Roman" w:hAnsi="Times New Roman" w:cs="Times New Roman"/>
                      <w:color w:val="000000"/>
                    </w:rPr>
                    <w:t>本项目无生产废水外排，</w:t>
                  </w:r>
                  <w:r>
                    <w:rPr>
                      <w:rFonts w:hint="eastAsia" w:cs="Times New Roman"/>
                      <w:lang w:eastAsia="zh-CN"/>
                    </w:rPr>
                    <w:t>生活污水依托衡钢原有的化粪池处理后经厂区污水管网排入衡钢西区污水处理厂处理达到《污水综合排放标准》（GB8978-1996）表4 中三级标准，排入幸福河，然后进入铜桥港污水处理厂进一步处理，处理后排入湘江。</w:t>
                  </w:r>
                </w:p>
              </w:tc>
              <w:tc>
                <w:tcPr>
                  <w:tcW w:w="580" w:type="dxa"/>
                  <w:tcBorders>
                    <w:tl2br w:val="nil"/>
                    <w:tr2bl w:val="nil"/>
                  </w:tcBorders>
                  <w:vAlign w:val="center"/>
                </w:tcPr>
                <w:p w14:paraId="49C6C504">
                  <w:pPr>
                    <w:jc w:val="center"/>
                    <w:rPr>
                      <w:rFonts w:hint="default" w:ascii="Times New Roman" w:hAnsi="Times New Roman" w:cs="Times New Roman"/>
                      <w:color w:val="000000"/>
                    </w:rPr>
                  </w:pPr>
                  <w:r>
                    <w:rPr>
                      <w:rFonts w:hint="default" w:ascii="Times New Roman" w:hAnsi="Times New Roman" w:cs="Times New Roman"/>
                      <w:color w:val="000000"/>
                    </w:rPr>
                    <w:t>符合</w:t>
                  </w:r>
                </w:p>
              </w:tc>
            </w:tr>
            <w:tr w14:paraId="5137139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57" w:type="dxa"/>
                  <w:bottom w:w="28" w:type="dxa"/>
                  <w:right w:w="57" w:type="dxa"/>
                </w:tblCellMar>
              </w:tblPrEx>
              <w:trPr>
                <w:jc w:val="center"/>
              </w:trPr>
              <w:tc>
                <w:tcPr>
                  <w:tcW w:w="3991" w:type="dxa"/>
                  <w:tcBorders>
                    <w:tl2br w:val="nil"/>
                    <w:tr2bl w:val="nil"/>
                  </w:tcBorders>
                  <w:vAlign w:val="center"/>
                </w:tcPr>
                <w:p w14:paraId="46D065E1">
                  <w:pPr>
                    <w:jc w:val="center"/>
                    <w:rPr>
                      <w:rFonts w:hint="default" w:ascii="Times New Roman" w:hAnsi="Times New Roman" w:cs="Times New Roman"/>
                      <w:color w:val="000000"/>
                    </w:rPr>
                  </w:pPr>
                  <w:r>
                    <w:rPr>
                      <w:rFonts w:hint="default" w:ascii="Times New Roman" w:hAnsi="Times New Roman" w:cs="Times New Roman"/>
                      <w:color w:val="000000"/>
                    </w:rPr>
                    <w:t>第三十三条 禁止向水体排放、倾倒工业废渣、城镇垃圾和其他废弃物。禁止将含有汞、镉、砷、铬、铅、氰化物、黄磷等的可溶性剧毒废渣向水体排放、倾倒。</w:t>
                  </w:r>
                </w:p>
              </w:tc>
              <w:tc>
                <w:tcPr>
                  <w:tcW w:w="2866" w:type="dxa"/>
                  <w:tcBorders>
                    <w:tl2br w:val="nil"/>
                    <w:tr2bl w:val="nil"/>
                  </w:tcBorders>
                  <w:vAlign w:val="center"/>
                </w:tcPr>
                <w:p w14:paraId="10BF60CE">
                  <w:pPr>
                    <w:jc w:val="center"/>
                    <w:rPr>
                      <w:rFonts w:hint="default" w:ascii="Times New Roman" w:hAnsi="Times New Roman" w:cs="Times New Roman"/>
                      <w:color w:val="000000"/>
                    </w:rPr>
                  </w:pPr>
                  <w:r>
                    <w:rPr>
                      <w:rFonts w:hint="default" w:ascii="Times New Roman" w:hAnsi="Times New Roman" w:cs="Times New Roman"/>
                      <w:color w:val="000000"/>
                    </w:rPr>
                    <w:t>本项目无生产废水外排，</w:t>
                  </w:r>
                  <w:r>
                    <w:rPr>
                      <w:rFonts w:hint="eastAsia" w:cs="Times New Roman"/>
                      <w:lang w:eastAsia="zh-CN"/>
                    </w:rPr>
                    <w:t>生活污水依托衡钢原有的化粪池处理后经厂区污水管网排入衡钢西区污水处理厂处理达到《污水综合排放标准》（GB8978-1996）表4 中三级标准，排入幸福河，然后进入铜桥港污水处理厂进一步处理，处理后排入湘江。</w:t>
                  </w:r>
                  <w:r>
                    <w:rPr>
                      <w:rFonts w:hint="default" w:ascii="Times New Roman" w:hAnsi="Times New Roman" w:cs="Times New Roman"/>
                      <w:color w:val="000000"/>
                    </w:rPr>
                    <w:t xml:space="preserve"> 本项目固废均能妥善处置，不向水体排放、倾倒。</w:t>
                  </w:r>
                </w:p>
              </w:tc>
              <w:tc>
                <w:tcPr>
                  <w:tcW w:w="580" w:type="dxa"/>
                  <w:tcBorders>
                    <w:tl2br w:val="nil"/>
                    <w:tr2bl w:val="nil"/>
                  </w:tcBorders>
                  <w:vAlign w:val="center"/>
                </w:tcPr>
                <w:p w14:paraId="2BCF3294">
                  <w:pPr>
                    <w:jc w:val="center"/>
                    <w:rPr>
                      <w:rFonts w:hint="default" w:ascii="Times New Roman" w:hAnsi="Times New Roman" w:cs="Times New Roman"/>
                      <w:color w:val="000000"/>
                    </w:rPr>
                  </w:pPr>
                  <w:r>
                    <w:rPr>
                      <w:rFonts w:hint="default" w:ascii="Times New Roman" w:hAnsi="Times New Roman" w:cs="Times New Roman"/>
                      <w:color w:val="000000"/>
                    </w:rPr>
                    <w:t>符合</w:t>
                  </w:r>
                </w:p>
              </w:tc>
            </w:tr>
            <w:tr w14:paraId="37577DC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57" w:type="dxa"/>
                  <w:bottom w:w="28" w:type="dxa"/>
                  <w:right w:w="57" w:type="dxa"/>
                </w:tblCellMar>
              </w:tblPrEx>
              <w:trPr>
                <w:jc w:val="center"/>
              </w:trPr>
              <w:tc>
                <w:tcPr>
                  <w:tcW w:w="3991" w:type="dxa"/>
                  <w:tcBorders>
                    <w:tl2br w:val="nil"/>
                    <w:tr2bl w:val="nil"/>
                  </w:tcBorders>
                  <w:vAlign w:val="center"/>
                </w:tcPr>
                <w:p w14:paraId="77AA9B0C">
                  <w:pPr>
                    <w:jc w:val="center"/>
                    <w:rPr>
                      <w:rFonts w:hint="default" w:ascii="Times New Roman" w:hAnsi="Times New Roman" w:cs="Times New Roman"/>
                      <w:color w:val="000000"/>
                    </w:rPr>
                  </w:pPr>
                  <w:r>
                    <w:rPr>
                      <w:rFonts w:hint="default" w:ascii="Times New Roman" w:hAnsi="Times New Roman" w:cs="Times New Roman"/>
                      <w:color w:val="000000"/>
                    </w:rPr>
                    <w:t>第三十四条 新建、改建、扩建建设项目，建设单位应当组织进行建设项目环境影响评价，并根据建设项目对环境的影响程度，分别编制环境影响评价报告书、环境影响评价报告表或者填报环境影响登记表。</w:t>
                  </w:r>
                </w:p>
              </w:tc>
              <w:tc>
                <w:tcPr>
                  <w:tcW w:w="2866" w:type="dxa"/>
                  <w:tcBorders>
                    <w:tl2br w:val="nil"/>
                    <w:tr2bl w:val="nil"/>
                  </w:tcBorders>
                  <w:vAlign w:val="center"/>
                </w:tcPr>
                <w:p w14:paraId="6F86638D">
                  <w:pPr>
                    <w:jc w:val="center"/>
                    <w:rPr>
                      <w:rFonts w:hint="default" w:ascii="Times New Roman" w:hAnsi="Times New Roman" w:cs="Times New Roman"/>
                      <w:color w:val="000000"/>
                    </w:rPr>
                  </w:pPr>
                  <w:r>
                    <w:rPr>
                      <w:rFonts w:hint="default" w:ascii="Times New Roman" w:hAnsi="Times New Roman" w:cs="Times New Roman"/>
                      <w:color w:val="000000"/>
                    </w:rPr>
                    <w:t>项目正在进行环境影响评价。</w:t>
                  </w:r>
                </w:p>
              </w:tc>
              <w:tc>
                <w:tcPr>
                  <w:tcW w:w="580" w:type="dxa"/>
                  <w:tcBorders>
                    <w:tl2br w:val="nil"/>
                    <w:tr2bl w:val="nil"/>
                  </w:tcBorders>
                  <w:vAlign w:val="center"/>
                </w:tcPr>
                <w:p w14:paraId="24C22ED4">
                  <w:pPr>
                    <w:jc w:val="center"/>
                    <w:rPr>
                      <w:rFonts w:hint="default" w:ascii="Times New Roman" w:hAnsi="Times New Roman" w:cs="Times New Roman"/>
                      <w:color w:val="000000"/>
                    </w:rPr>
                  </w:pPr>
                  <w:r>
                    <w:rPr>
                      <w:rFonts w:hint="default" w:ascii="Times New Roman" w:hAnsi="Times New Roman" w:cs="Times New Roman"/>
                      <w:color w:val="000000"/>
                    </w:rPr>
                    <w:t>符合</w:t>
                  </w:r>
                </w:p>
              </w:tc>
            </w:tr>
            <w:tr w14:paraId="38B853D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57" w:type="dxa"/>
                  <w:bottom w:w="28" w:type="dxa"/>
                  <w:right w:w="57" w:type="dxa"/>
                </w:tblCellMar>
              </w:tblPrEx>
              <w:trPr>
                <w:jc w:val="center"/>
              </w:trPr>
              <w:tc>
                <w:tcPr>
                  <w:tcW w:w="3991" w:type="dxa"/>
                  <w:tcBorders>
                    <w:tl2br w:val="nil"/>
                    <w:tr2bl w:val="nil"/>
                  </w:tcBorders>
                  <w:vAlign w:val="center"/>
                </w:tcPr>
                <w:p w14:paraId="582E870A">
                  <w:pPr>
                    <w:jc w:val="center"/>
                    <w:rPr>
                      <w:rFonts w:hint="default" w:ascii="Times New Roman" w:hAnsi="Times New Roman" w:cs="Times New Roman"/>
                      <w:color w:val="000000"/>
                    </w:rPr>
                  </w:pPr>
                  <w:r>
                    <w:rPr>
                      <w:rFonts w:hint="default" w:ascii="Times New Roman" w:hAnsi="Times New Roman" w:cs="Times New Roman"/>
                      <w:color w:val="000000"/>
                    </w:rPr>
                    <w:t>第四十九条省人民政府应当组织发展和改革、工业和信息化、生态环境、有色金属工业等部门，编制湘江流域产业发展规划。</w:t>
                  </w:r>
                </w:p>
                <w:p w14:paraId="4C12FF82">
                  <w:pPr>
                    <w:jc w:val="center"/>
                    <w:rPr>
                      <w:rFonts w:hint="default" w:ascii="Times New Roman" w:hAnsi="Times New Roman" w:cs="Times New Roman"/>
                      <w:color w:val="000000"/>
                    </w:rPr>
                  </w:pPr>
                  <w:r>
                    <w:rPr>
                      <w:rFonts w:hint="default" w:ascii="Times New Roman" w:hAnsi="Times New Roman" w:cs="Times New Roman"/>
                      <w:color w:val="000000"/>
                    </w:rPr>
                    <w:t>禁止在湘江干流岸线一公里范围内新建、扩建化工园区和化工项目。禁止在湘江干流岸线一公里范围内新建、改建、扩建尾矿库；但是以提升安全、生态环境保护水平为目</w:t>
                  </w:r>
                  <w:r>
                    <w:rPr>
                      <w:rFonts w:hint="eastAsia" w:cs="Times New Roman"/>
                      <w:color w:val="000000"/>
                      <w:lang w:eastAsia="zh-CN"/>
                    </w:rPr>
                    <w:t>的</w:t>
                  </w:r>
                  <w:r>
                    <w:rPr>
                      <w:rFonts w:hint="default" w:ascii="Times New Roman" w:hAnsi="Times New Roman" w:cs="Times New Roman"/>
                      <w:color w:val="000000"/>
                    </w:rPr>
                    <w:t>改建除外</w:t>
                  </w:r>
                </w:p>
              </w:tc>
              <w:tc>
                <w:tcPr>
                  <w:tcW w:w="2866" w:type="dxa"/>
                  <w:tcBorders>
                    <w:tl2br w:val="nil"/>
                    <w:tr2bl w:val="nil"/>
                  </w:tcBorders>
                  <w:vAlign w:val="center"/>
                </w:tcPr>
                <w:p w14:paraId="6DDD5D0E">
                  <w:pPr>
                    <w:jc w:val="center"/>
                    <w:rPr>
                      <w:rFonts w:hint="default" w:ascii="Times New Roman" w:hAnsi="Times New Roman" w:cs="Times New Roman"/>
                      <w:color w:val="000000"/>
                    </w:rPr>
                  </w:pPr>
                  <w:r>
                    <w:rPr>
                      <w:rFonts w:hint="default" w:ascii="Times New Roman" w:hAnsi="Times New Roman" w:cs="Times New Roman"/>
                      <w:color w:val="000000"/>
                    </w:rPr>
                    <w:t>本项目属于</w:t>
                  </w:r>
                  <w:r>
                    <w:rPr>
                      <w:rFonts w:hint="default" w:ascii="Times New Roman" w:hAnsi="Times New Roman" w:eastAsia="宋体" w:cs="Times New Roman"/>
                    </w:rPr>
                    <w:t>C2926塑料零件及其他塑料制品制造</w:t>
                  </w:r>
                  <w:r>
                    <w:rPr>
                      <w:rFonts w:hint="default" w:ascii="Times New Roman" w:hAnsi="Times New Roman" w:eastAsia="宋体" w:cs="Times New Roman"/>
                      <w:lang w:val="en-US" w:eastAsia="zh-CN"/>
                    </w:rPr>
                    <w:t>和C3360金属表面处理及热处理加工</w:t>
                  </w:r>
                  <w:r>
                    <w:rPr>
                      <w:rFonts w:hint="default" w:ascii="Times New Roman" w:hAnsi="Times New Roman" w:cs="Times New Roman"/>
                      <w:color w:val="000000"/>
                    </w:rPr>
                    <w:t>，不属于化工项目及尾矿库项目。</w:t>
                  </w:r>
                </w:p>
              </w:tc>
              <w:tc>
                <w:tcPr>
                  <w:tcW w:w="580" w:type="dxa"/>
                  <w:tcBorders>
                    <w:tl2br w:val="nil"/>
                    <w:tr2bl w:val="nil"/>
                  </w:tcBorders>
                  <w:vAlign w:val="center"/>
                </w:tcPr>
                <w:p w14:paraId="7D157224">
                  <w:pPr>
                    <w:jc w:val="center"/>
                    <w:rPr>
                      <w:rFonts w:hint="default" w:ascii="Times New Roman" w:hAnsi="Times New Roman" w:cs="Times New Roman"/>
                      <w:color w:val="000000"/>
                    </w:rPr>
                  </w:pPr>
                  <w:r>
                    <w:rPr>
                      <w:rFonts w:hint="default" w:ascii="Times New Roman" w:hAnsi="Times New Roman" w:cs="Times New Roman"/>
                      <w:color w:val="000000"/>
                    </w:rPr>
                    <w:t>符合</w:t>
                  </w:r>
                </w:p>
              </w:tc>
            </w:tr>
          </w:tbl>
          <w:p w14:paraId="46475338">
            <w:pPr>
              <w:pStyle w:val="109"/>
              <w:rPr>
                <w:rFonts w:hint="default" w:ascii="Times New Roman" w:hAnsi="Times New Roman" w:cs="Times New Roman"/>
              </w:rPr>
            </w:pPr>
            <w:r>
              <w:rPr>
                <w:rFonts w:hint="default" w:ascii="Times New Roman" w:hAnsi="Times New Roman" w:cs="Times New Roman"/>
                <w:color w:val="000000"/>
                <w:szCs w:val="22"/>
              </w:rPr>
              <w:t>根据上述内容可知，本项目符合《湖南省湘江保护条例》（2023年修订）相关要求。</w:t>
            </w:r>
          </w:p>
          <w:p w14:paraId="7F52B7DA">
            <w:pPr>
              <w:pStyle w:val="109"/>
              <w:ind w:firstLine="482"/>
              <w:rPr>
                <w:rFonts w:hint="default" w:ascii="Times New Roman" w:hAnsi="Times New Roman" w:cs="Times New Roman"/>
              </w:rPr>
            </w:pPr>
            <w:r>
              <w:rPr>
                <w:rFonts w:hint="default" w:ascii="Times New Roman" w:hAnsi="Times New Roman" w:cs="Times New Roman"/>
                <w:b/>
                <w:bCs/>
              </w:rPr>
              <w:t>7、与《衡阳市“十四五”空气质量改善规划》符合性分析</w:t>
            </w:r>
          </w:p>
          <w:p w14:paraId="5E9A5AE8">
            <w:pPr>
              <w:pStyle w:val="109"/>
              <w:rPr>
                <w:rFonts w:hint="default" w:ascii="Times New Roman" w:hAnsi="Times New Roman" w:cs="Times New Roman"/>
              </w:rPr>
            </w:pPr>
            <w:r>
              <w:rPr>
                <w:rFonts w:hint="default" w:ascii="Times New Roman" w:hAnsi="Times New Roman" w:cs="Times New Roman"/>
              </w:rPr>
              <w:t>根据规划总体目标要求，衡阳市环境空气质量在稳定达标基础上全面改善、细颗粒物（PM</w:t>
            </w:r>
            <w:r>
              <w:rPr>
                <w:rFonts w:hint="default" w:ascii="Times New Roman" w:hAnsi="Times New Roman" w:cs="Times New Roman"/>
                <w:vertAlign w:val="subscript"/>
              </w:rPr>
              <w:t>2.5</w:t>
            </w:r>
            <w:r>
              <w:rPr>
                <w:rFonts w:hint="default" w:ascii="Times New Roman" w:hAnsi="Times New Roman" w:cs="Times New Roman"/>
              </w:rPr>
              <w:t>）浓度持续下降，臭氧上升趋势得到有效控制，主要大气污染物排放总量持续削减，基本消除重度及以上污染天气。</w:t>
            </w:r>
          </w:p>
          <w:p w14:paraId="56874DE7">
            <w:pPr>
              <w:pStyle w:val="109"/>
              <w:rPr>
                <w:rFonts w:hint="default" w:ascii="Times New Roman" w:hAnsi="Times New Roman" w:cs="Times New Roman"/>
              </w:rPr>
            </w:pPr>
            <w:r>
              <w:rPr>
                <w:rFonts w:hint="default" w:ascii="Times New Roman" w:hAnsi="Times New Roman" w:cs="Times New Roman"/>
              </w:rPr>
              <w:t>根据《衡阳市“十四五”空气质量改善规划》，结合衡阳市大气环境特征和空气质量改善需求，从优化产业、能源、交通结构，强化多污染源减排，深化系统治污，从深化扬尘污染综合治理等方面，实施大气污染物控制战略。预计到2025年，衡阳市城区PM2.5年平均浓度下降至33 μg/m</w:t>
            </w:r>
            <w:r>
              <w:rPr>
                <w:rFonts w:hint="default" w:ascii="Times New Roman" w:hAnsi="Times New Roman" w:cs="Times New Roman"/>
                <w:vertAlign w:val="superscript"/>
              </w:rPr>
              <w:t>3</w:t>
            </w:r>
            <w:r>
              <w:rPr>
                <w:rFonts w:hint="default" w:ascii="Times New Roman" w:hAnsi="Times New Roman" w:cs="Times New Roman"/>
              </w:rPr>
              <w:t>，空气质量优良天数比例达到92.3%，重度以及污染天数比例控制在1天。</w:t>
            </w:r>
          </w:p>
          <w:p w14:paraId="185FF17C">
            <w:pPr>
              <w:pStyle w:val="109"/>
              <w:ind w:firstLine="482"/>
              <w:rPr>
                <w:rFonts w:hint="default" w:ascii="Times New Roman" w:hAnsi="Times New Roman" w:cs="Times New Roman"/>
              </w:rPr>
            </w:pPr>
            <w:r>
              <w:rPr>
                <w:rFonts w:hint="default" w:ascii="Times New Roman" w:hAnsi="Times New Roman" w:cs="Times New Roman"/>
                <w:b/>
                <w:bCs/>
              </w:rPr>
              <w:t>8、与《衡阳市“十四五”生态环境保护规划》符合性分析</w:t>
            </w:r>
          </w:p>
          <w:p w14:paraId="17E079E6">
            <w:pPr>
              <w:pStyle w:val="109"/>
              <w:rPr>
                <w:rFonts w:hint="default" w:ascii="Times New Roman" w:hAnsi="Times New Roman" w:cs="Times New Roman"/>
              </w:rPr>
            </w:pPr>
            <w:r>
              <w:rPr>
                <w:rFonts w:hint="default" w:ascii="Times New Roman" w:hAnsi="Times New Roman" w:cs="Times New Roman"/>
              </w:rPr>
              <w:t>根据规划主要指标要求，“十四五”期间共设置生态环境保护主要指标26项，其中约束性指标12项，预期性指标14项，涵盖绿色低碳、环境治理、生态保护、风险防控四大领域，本项目选取以下相关指标进行分析。</w:t>
            </w:r>
          </w:p>
          <w:p w14:paraId="035F2008">
            <w:pPr>
              <w:spacing w:beforeLines="50"/>
              <w:jc w:val="center"/>
              <w:rPr>
                <w:rFonts w:hint="default" w:ascii="Times New Roman" w:hAnsi="Times New Roman" w:cs="Times New Roman"/>
                <w:b/>
                <w:color w:val="000000"/>
                <w:szCs w:val="22"/>
              </w:rPr>
            </w:pPr>
            <w:r>
              <w:rPr>
                <w:rFonts w:hint="default" w:ascii="Times New Roman" w:hAnsi="Times New Roman" w:cs="Times New Roman"/>
                <w:b/>
                <w:color w:val="000000"/>
                <w:szCs w:val="22"/>
              </w:rPr>
              <w:t>表1-7  项目与《衡阳市“十四五”生态环境保护规划》符合性分析情况</w:t>
            </w:r>
          </w:p>
          <w:tbl>
            <w:tblPr>
              <w:tblStyle w:val="37"/>
              <w:tblW w:w="7262"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62"/>
              <w:gridCol w:w="878"/>
              <w:gridCol w:w="2498"/>
              <w:gridCol w:w="2325"/>
              <w:gridCol w:w="799"/>
            </w:tblGrid>
            <w:tr w14:paraId="039815C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138" w:type="dxa"/>
                  <w:gridSpan w:val="3"/>
                  <w:tcBorders>
                    <w:tl2br w:val="nil"/>
                    <w:tr2bl w:val="nil"/>
                  </w:tcBorders>
                  <w:vAlign w:val="center"/>
                </w:tcPr>
                <w:p w14:paraId="2EA11392">
                  <w:pPr>
                    <w:jc w:val="center"/>
                    <w:rPr>
                      <w:rFonts w:hint="default" w:ascii="Times New Roman" w:hAnsi="Times New Roman" w:cs="Times New Roman"/>
                      <w:b/>
                      <w:bCs/>
                      <w:color w:val="000000"/>
                    </w:rPr>
                  </w:pPr>
                  <w:r>
                    <w:rPr>
                      <w:rFonts w:hint="default" w:ascii="Times New Roman" w:hAnsi="Times New Roman" w:cs="Times New Roman"/>
                      <w:b/>
                      <w:bCs/>
                      <w:color w:val="000000"/>
                    </w:rPr>
                    <w:t>规划要求</w:t>
                  </w:r>
                </w:p>
              </w:tc>
              <w:tc>
                <w:tcPr>
                  <w:tcW w:w="2325" w:type="dxa"/>
                  <w:tcBorders>
                    <w:tl2br w:val="nil"/>
                    <w:tr2bl w:val="nil"/>
                  </w:tcBorders>
                  <w:vAlign w:val="center"/>
                </w:tcPr>
                <w:p w14:paraId="6261873C">
                  <w:pPr>
                    <w:jc w:val="center"/>
                    <w:rPr>
                      <w:rFonts w:hint="default" w:ascii="Times New Roman" w:hAnsi="Times New Roman" w:cs="Times New Roman"/>
                      <w:b/>
                      <w:bCs/>
                      <w:color w:val="000000"/>
                    </w:rPr>
                  </w:pPr>
                  <w:r>
                    <w:rPr>
                      <w:rFonts w:hint="default" w:ascii="Times New Roman" w:hAnsi="Times New Roman" w:cs="Times New Roman"/>
                      <w:b/>
                      <w:bCs/>
                      <w:color w:val="000000"/>
                    </w:rPr>
                    <w:t>项目实际情况</w:t>
                  </w:r>
                </w:p>
              </w:tc>
              <w:tc>
                <w:tcPr>
                  <w:tcW w:w="799" w:type="dxa"/>
                  <w:tcBorders>
                    <w:tl2br w:val="nil"/>
                    <w:tr2bl w:val="nil"/>
                  </w:tcBorders>
                  <w:vAlign w:val="center"/>
                </w:tcPr>
                <w:p w14:paraId="08CA5C93">
                  <w:pPr>
                    <w:jc w:val="center"/>
                    <w:rPr>
                      <w:rFonts w:hint="default" w:ascii="Times New Roman" w:hAnsi="Times New Roman" w:cs="Times New Roman"/>
                      <w:b/>
                      <w:bCs/>
                      <w:color w:val="000000"/>
                    </w:rPr>
                  </w:pPr>
                  <w:r>
                    <w:rPr>
                      <w:rFonts w:hint="default" w:ascii="Times New Roman" w:hAnsi="Times New Roman" w:cs="Times New Roman"/>
                      <w:b/>
                      <w:bCs/>
                      <w:color w:val="000000"/>
                    </w:rPr>
                    <w:t>是否符合</w:t>
                  </w:r>
                </w:p>
              </w:tc>
            </w:tr>
            <w:tr w14:paraId="05A79C2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62" w:type="dxa"/>
                  <w:tcBorders>
                    <w:tl2br w:val="nil"/>
                    <w:tr2bl w:val="nil"/>
                  </w:tcBorders>
                  <w:vAlign w:val="center"/>
                </w:tcPr>
                <w:p w14:paraId="1B3984BD">
                  <w:pPr>
                    <w:jc w:val="center"/>
                    <w:rPr>
                      <w:rFonts w:hint="default" w:ascii="Times New Roman" w:hAnsi="Times New Roman" w:cs="Times New Roman"/>
                      <w:color w:val="000000"/>
                    </w:rPr>
                  </w:pPr>
                  <w:r>
                    <w:rPr>
                      <w:rFonts w:hint="default" w:ascii="Times New Roman" w:hAnsi="Times New Roman" w:cs="Times New Roman"/>
                      <w:color w:val="000000"/>
                    </w:rPr>
                    <w:t>三、致力绿色低碳转型，促进高质量发展</w:t>
                  </w:r>
                </w:p>
              </w:tc>
              <w:tc>
                <w:tcPr>
                  <w:tcW w:w="3376" w:type="dxa"/>
                  <w:gridSpan w:val="2"/>
                  <w:tcBorders>
                    <w:tl2br w:val="nil"/>
                    <w:tr2bl w:val="nil"/>
                  </w:tcBorders>
                  <w:vAlign w:val="center"/>
                </w:tcPr>
                <w:p w14:paraId="2384AEB6">
                  <w:pPr>
                    <w:rPr>
                      <w:rFonts w:hint="default" w:ascii="Times New Roman" w:hAnsi="Times New Roman" w:cs="Times New Roman"/>
                      <w:color w:val="000000"/>
                    </w:rPr>
                  </w:pPr>
                  <w:r>
                    <w:rPr>
                      <w:rFonts w:hint="default" w:ascii="Times New Roman" w:hAnsi="Times New Roman" w:cs="Times New Roman"/>
                      <w:color w:val="000000"/>
                    </w:rPr>
                    <w:t>（一）优化国土空间保护格局。</w:t>
                  </w:r>
                </w:p>
                <w:p w14:paraId="20C2DB9E">
                  <w:pPr>
                    <w:rPr>
                      <w:rFonts w:hint="default" w:ascii="Times New Roman" w:hAnsi="Times New Roman" w:cs="Times New Roman"/>
                      <w:color w:val="000000"/>
                    </w:rPr>
                  </w:pPr>
                  <w:r>
                    <w:rPr>
                      <w:rFonts w:hint="default" w:ascii="Times New Roman" w:hAnsi="Times New Roman" w:cs="Times New Roman"/>
                      <w:color w:val="000000"/>
                    </w:rPr>
                    <w:t>（二）推动产业结构绿色转型。</w:t>
                  </w:r>
                </w:p>
                <w:p w14:paraId="1A3DEB1C">
                  <w:pPr>
                    <w:rPr>
                      <w:rFonts w:hint="default" w:ascii="Times New Roman" w:hAnsi="Times New Roman" w:cs="Times New Roman"/>
                      <w:color w:val="000000"/>
                    </w:rPr>
                  </w:pPr>
                  <w:r>
                    <w:rPr>
                      <w:rFonts w:hint="default" w:ascii="Times New Roman" w:hAnsi="Times New Roman" w:cs="Times New Roman"/>
                      <w:color w:val="000000"/>
                    </w:rPr>
                    <w:t>（三）推动能源结构持续优化。</w:t>
                  </w:r>
                </w:p>
                <w:p w14:paraId="1E7592DA">
                  <w:pPr>
                    <w:rPr>
                      <w:rFonts w:hint="default" w:ascii="Times New Roman" w:hAnsi="Times New Roman" w:cs="Times New Roman"/>
                      <w:color w:val="000000"/>
                    </w:rPr>
                  </w:pPr>
                  <w:r>
                    <w:rPr>
                      <w:rFonts w:hint="default" w:ascii="Times New Roman" w:hAnsi="Times New Roman" w:cs="Times New Roman"/>
                      <w:color w:val="000000"/>
                    </w:rPr>
                    <w:t>（四）推进运输结构优化。</w:t>
                  </w:r>
                </w:p>
                <w:p w14:paraId="34D96AD3">
                  <w:pPr>
                    <w:rPr>
                      <w:rFonts w:hint="default" w:ascii="Times New Roman" w:hAnsi="Times New Roman" w:cs="Times New Roman"/>
                      <w:color w:val="000000"/>
                    </w:rPr>
                  </w:pPr>
                  <w:r>
                    <w:rPr>
                      <w:rFonts w:hint="default" w:ascii="Times New Roman" w:hAnsi="Times New Roman" w:cs="Times New Roman"/>
                      <w:color w:val="000000"/>
                    </w:rPr>
                    <w:t>（五）积极应对气候变化。</w:t>
                  </w:r>
                </w:p>
                <w:p w14:paraId="0310D90D">
                  <w:pPr>
                    <w:rPr>
                      <w:rFonts w:hint="default" w:ascii="Times New Roman" w:hAnsi="Times New Roman" w:cs="Times New Roman"/>
                      <w:color w:val="000000"/>
                    </w:rPr>
                  </w:pPr>
                  <w:r>
                    <w:rPr>
                      <w:rFonts w:hint="default" w:ascii="Times New Roman" w:hAnsi="Times New Roman" w:cs="Times New Roman"/>
                      <w:color w:val="000000"/>
                    </w:rPr>
                    <w:t>（六）倡导绿色低碳生活方式。</w:t>
                  </w:r>
                </w:p>
              </w:tc>
              <w:tc>
                <w:tcPr>
                  <w:tcW w:w="2325" w:type="dxa"/>
                  <w:tcBorders>
                    <w:tl2br w:val="nil"/>
                    <w:tr2bl w:val="nil"/>
                  </w:tcBorders>
                  <w:vAlign w:val="center"/>
                </w:tcPr>
                <w:p w14:paraId="23D3A6F8">
                  <w:pPr>
                    <w:jc w:val="center"/>
                    <w:rPr>
                      <w:rFonts w:hint="default" w:ascii="Times New Roman" w:hAnsi="Times New Roman" w:cs="Times New Roman"/>
                      <w:color w:val="000000"/>
                    </w:rPr>
                  </w:pPr>
                  <w:r>
                    <w:rPr>
                      <w:rFonts w:hint="default" w:ascii="Times New Roman" w:hAnsi="Times New Roman" w:cs="Times New Roman"/>
                      <w:color w:val="000000"/>
                    </w:rPr>
                    <w:t>本项目严格落实《湖南省生态环境分区管控总体管控要求暨省级以上产业园区生态环境准入清单》（湘环函〔2024〕26号）中衡阳高新技术产业开发区管控要求。</w:t>
                  </w:r>
                </w:p>
              </w:tc>
              <w:tc>
                <w:tcPr>
                  <w:tcW w:w="799" w:type="dxa"/>
                  <w:tcBorders>
                    <w:tl2br w:val="nil"/>
                    <w:tr2bl w:val="nil"/>
                  </w:tcBorders>
                  <w:vAlign w:val="center"/>
                </w:tcPr>
                <w:p w14:paraId="4ED7F138">
                  <w:pPr>
                    <w:jc w:val="center"/>
                    <w:rPr>
                      <w:rFonts w:hint="default" w:ascii="Times New Roman" w:hAnsi="Times New Roman" w:cs="Times New Roman"/>
                      <w:color w:val="000000"/>
                    </w:rPr>
                  </w:pPr>
                  <w:r>
                    <w:rPr>
                      <w:rFonts w:hint="default" w:ascii="Times New Roman" w:hAnsi="Times New Roman" w:cs="Times New Roman"/>
                      <w:color w:val="000000"/>
                    </w:rPr>
                    <w:t>符合</w:t>
                  </w:r>
                </w:p>
              </w:tc>
            </w:tr>
            <w:tr w14:paraId="0122A67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46" w:hRule="atLeast"/>
                <w:jc w:val="center"/>
              </w:trPr>
              <w:tc>
                <w:tcPr>
                  <w:tcW w:w="762" w:type="dxa"/>
                  <w:vMerge w:val="restart"/>
                  <w:tcBorders>
                    <w:tl2br w:val="nil"/>
                    <w:tr2bl w:val="nil"/>
                  </w:tcBorders>
                  <w:vAlign w:val="center"/>
                </w:tcPr>
                <w:p w14:paraId="5448102D">
                  <w:pPr>
                    <w:jc w:val="center"/>
                    <w:rPr>
                      <w:rFonts w:hint="default" w:ascii="Times New Roman" w:hAnsi="Times New Roman" w:cs="Times New Roman"/>
                      <w:color w:val="000000"/>
                    </w:rPr>
                  </w:pPr>
                  <w:r>
                    <w:rPr>
                      <w:rFonts w:hint="default" w:ascii="Times New Roman" w:hAnsi="Times New Roman" w:cs="Times New Roman"/>
                      <w:color w:val="000000"/>
                    </w:rPr>
                    <w:t>四、深入打好污染防治攻坚战</w:t>
                  </w:r>
                </w:p>
              </w:tc>
              <w:tc>
                <w:tcPr>
                  <w:tcW w:w="878" w:type="dxa"/>
                  <w:vMerge w:val="restart"/>
                  <w:tcBorders>
                    <w:tl2br w:val="nil"/>
                    <w:tr2bl w:val="nil"/>
                  </w:tcBorders>
                  <w:vAlign w:val="center"/>
                </w:tcPr>
                <w:p w14:paraId="511020C9">
                  <w:pPr>
                    <w:jc w:val="center"/>
                    <w:rPr>
                      <w:rFonts w:hint="default" w:ascii="Times New Roman" w:hAnsi="Times New Roman" w:cs="Times New Roman"/>
                      <w:color w:val="000000"/>
                    </w:rPr>
                  </w:pPr>
                  <w:r>
                    <w:rPr>
                      <w:rFonts w:hint="default" w:ascii="Times New Roman" w:hAnsi="Times New Roman" w:cs="Times New Roman"/>
                      <w:color w:val="000000"/>
                    </w:rPr>
                    <w:t>专栏1 “蓝天”重点工程</w:t>
                  </w:r>
                </w:p>
              </w:tc>
              <w:tc>
                <w:tcPr>
                  <w:tcW w:w="2498" w:type="dxa"/>
                  <w:vMerge w:val="restart"/>
                  <w:tcBorders>
                    <w:tl2br w:val="nil"/>
                    <w:tr2bl w:val="nil"/>
                  </w:tcBorders>
                  <w:vAlign w:val="center"/>
                </w:tcPr>
                <w:p w14:paraId="676FE492">
                  <w:pPr>
                    <w:rPr>
                      <w:rFonts w:hint="default" w:ascii="Times New Roman" w:hAnsi="Times New Roman" w:cs="Times New Roman"/>
                      <w:color w:val="000000"/>
                    </w:rPr>
                  </w:pPr>
                  <w:r>
                    <w:rPr>
                      <w:rFonts w:hint="default" w:ascii="Times New Roman" w:hAnsi="Times New Roman" w:cs="Times New Roman"/>
                      <w:b/>
                      <w:bCs/>
                      <w:color w:val="000000"/>
                    </w:rPr>
                    <w:t>大气污染协同治理工程。</w:t>
                  </w:r>
                </w:p>
                <w:p w14:paraId="35D3D9FA">
                  <w:pPr>
                    <w:rPr>
                      <w:rFonts w:hint="default" w:ascii="Times New Roman" w:hAnsi="Times New Roman" w:cs="Times New Roman"/>
                      <w:color w:val="000000"/>
                    </w:rPr>
                  </w:pPr>
                  <w:r>
                    <w:rPr>
                      <w:rFonts w:hint="default" w:ascii="Times New Roman" w:hAnsi="Times New Roman" w:cs="Times New Roman"/>
                      <w:color w:val="000000"/>
                    </w:rPr>
                    <w:t>（1）实施燃煤锅炉淘汰退出，重点行业绿色转型升级与综合整治、清洁能源替代、集中供热、煤炭清洁利用等，城市建筑施工扬尘控制、道路保洁、空气质量预警预报等工程。</w:t>
                  </w:r>
                </w:p>
                <w:p w14:paraId="7A70B492">
                  <w:pPr>
                    <w:rPr>
                      <w:rFonts w:hint="default" w:ascii="Times New Roman" w:hAnsi="Times New Roman" w:cs="Times New Roman"/>
                      <w:color w:val="000000"/>
                    </w:rPr>
                  </w:pPr>
                  <w:r>
                    <w:rPr>
                      <w:rFonts w:hint="default" w:ascii="Times New Roman" w:hAnsi="Times New Roman" w:cs="Times New Roman"/>
                      <w:color w:val="000000"/>
                    </w:rPr>
                    <w:t>（2）开展工业VOCs 综合治理，工业NOx深度治理，柴油机排放控制工程。</w:t>
                  </w:r>
                </w:p>
                <w:p w14:paraId="5E679CFF">
                  <w:pPr>
                    <w:rPr>
                      <w:rFonts w:hint="default" w:ascii="Times New Roman" w:hAnsi="Times New Roman" w:cs="Times New Roman"/>
                      <w:color w:val="000000"/>
                    </w:rPr>
                  </w:pPr>
                  <w:r>
                    <w:rPr>
                      <w:rFonts w:hint="default" w:ascii="Times New Roman" w:hAnsi="Times New Roman" w:cs="Times New Roman"/>
                      <w:color w:val="000000"/>
                    </w:rPr>
                    <w:t>（3）面源污染系统治理工程（扬尘、秸秆综合利用、餐饮油烟、恶臭）。</w:t>
                  </w:r>
                </w:p>
                <w:p w14:paraId="3E042EA6">
                  <w:pPr>
                    <w:rPr>
                      <w:rFonts w:hint="default" w:ascii="Times New Roman" w:hAnsi="Times New Roman" w:cs="Times New Roman"/>
                      <w:color w:val="000000"/>
                    </w:rPr>
                  </w:pPr>
                  <w:r>
                    <w:rPr>
                      <w:rFonts w:hint="default" w:ascii="Times New Roman" w:hAnsi="Times New Roman" w:cs="Times New Roman"/>
                      <w:b/>
                      <w:bCs/>
                      <w:color w:val="000000"/>
                    </w:rPr>
                    <w:t>非电行业超低排放改造。</w:t>
                  </w:r>
                </w:p>
                <w:p w14:paraId="6D8B1356">
                  <w:pPr>
                    <w:rPr>
                      <w:rFonts w:hint="default" w:ascii="Times New Roman" w:hAnsi="Times New Roman" w:cs="Times New Roman"/>
                      <w:color w:val="000000"/>
                    </w:rPr>
                  </w:pPr>
                  <w:r>
                    <w:rPr>
                      <w:rFonts w:hint="default" w:ascii="Times New Roman" w:hAnsi="Times New Roman" w:cs="Times New Roman"/>
                      <w:color w:val="000000"/>
                    </w:rPr>
                    <w:t>（1）水泥企业实施全流程深度治理项目。</w:t>
                  </w:r>
                </w:p>
                <w:p w14:paraId="4915163F">
                  <w:pPr>
                    <w:rPr>
                      <w:rFonts w:hint="default" w:ascii="Times New Roman" w:hAnsi="Times New Roman" w:cs="Times New Roman"/>
                      <w:color w:val="000000"/>
                    </w:rPr>
                  </w:pPr>
                  <w:r>
                    <w:rPr>
                      <w:rFonts w:hint="default" w:ascii="Times New Roman" w:hAnsi="Times New Roman" w:cs="Times New Roman"/>
                      <w:color w:val="000000"/>
                    </w:rPr>
                    <w:t>（2）重点行业工业炉窑主要大气污染物提标改造项目。</w:t>
                  </w:r>
                </w:p>
                <w:p w14:paraId="0B192D01">
                  <w:pPr>
                    <w:rPr>
                      <w:rFonts w:hint="default" w:ascii="Times New Roman" w:hAnsi="Times New Roman" w:cs="Times New Roman"/>
                      <w:color w:val="000000"/>
                    </w:rPr>
                  </w:pPr>
                  <w:r>
                    <w:rPr>
                      <w:rFonts w:hint="default" w:ascii="Times New Roman" w:hAnsi="Times New Roman" w:cs="Times New Roman"/>
                      <w:color w:val="000000"/>
                    </w:rPr>
                    <w:t>（3）钢铁行业超低排放改造项目。</w:t>
                  </w:r>
                </w:p>
              </w:tc>
              <w:tc>
                <w:tcPr>
                  <w:tcW w:w="2325" w:type="dxa"/>
                  <w:tcBorders>
                    <w:tl2br w:val="nil"/>
                    <w:tr2bl w:val="nil"/>
                  </w:tcBorders>
                  <w:vAlign w:val="center"/>
                </w:tcPr>
                <w:p w14:paraId="62097EDF">
                  <w:pPr>
                    <w:rPr>
                      <w:rFonts w:hint="default" w:ascii="Times New Roman" w:hAnsi="Times New Roman" w:cs="Times New Roman"/>
                      <w:color w:val="000000"/>
                    </w:rPr>
                  </w:pPr>
                  <w:r>
                    <w:rPr>
                      <w:rFonts w:hint="default" w:ascii="Times New Roman" w:hAnsi="Times New Roman" w:cs="Times New Roman"/>
                      <w:color w:val="000000"/>
                    </w:rPr>
                    <w:t>本项目不涉及燃煤锅炉；</w:t>
                  </w:r>
                </w:p>
                <w:p w14:paraId="1BD673CE">
                  <w:pPr>
                    <w:rPr>
                      <w:rFonts w:hint="default" w:ascii="Times New Roman" w:hAnsi="Times New Roman" w:cs="Times New Roman"/>
                      <w:color w:val="000000"/>
                    </w:rPr>
                  </w:pPr>
                  <w:r>
                    <w:rPr>
                      <w:rFonts w:hint="default" w:ascii="Times New Roman" w:hAnsi="Times New Roman" w:cs="Times New Roman"/>
                      <w:color w:val="000000"/>
                    </w:rPr>
                    <w:t>本项目运营期VOCs治理情况：注塑废气经</w:t>
                  </w:r>
                  <w:r>
                    <w:rPr>
                      <w:rFonts w:hint="default" w:ascii="Times New Roman" w:hAnsi="Times New Roman" w:cs="Times New Roman"/>
                      <w:szCs w:val="21"/>
                    </w:rPr>
                    <w:t>集气罩+两级活性炭吸附装置+15m排气筒（DA001）</w:t>
                  </w:r>
                  <w:r>
                    <w:rPr>
                      <w:rFonts w:hint="default" w:ascii="Times New Roman" w:hAnsi="Times New Roman" w:cs="Times New Roman"/>
                      <w:color w:val="000000"/>
                    </w:rPr>
                    <w:t xml:space="preserve">。 </w:t>
                  </w:r>
                </w:p>
              </w:tc>
              <w:tc>
                <w:tcPr>
                  <w:tcW w:w="799" w:type="dxa"/>
                  <w:vMerge w:val="restart"/>
                  <w:tcBorders>
                    <w:tl2br w:val="nil"/>
                    <w:tr2bl w:val="nil"/>
                  </w:tcBorders>
                  <w:vAlign w:val="center"/>
                </w:tcPr>
                <w:p w14:paraId="6564B313">
                  <w:pPr>
                    <w:jc w:val="center"/>
                    <w:rPr>
                      <w:rFonts w:hint="default" w:ascii="Times New Roman" w:hAnsi="Times New Roman" w:cs="Times New Roman"/>
                      <w:color w:val="000000"/>
                    </w:rPr>
                  </w:pPr>
                  <w:r>
                    <w:rPr>
                      <w:rFonts w:hint="default" w:ascii="Times New Roman" w:hAnsi="Times New Roman" w:cs="Times New Roman"/>
                      <w:color w:val="000000"/>
                    </w:rPr>
                    <w:t>符合</w:t>
                  </w:r>
                </w:p>
              </w:tc>
            </w:tr>
            <w:tr w14:paraId="2AE6E30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9" w:hRule="atLeast"/>
                <w:jc w:val="center"/>
              </w:trPr>
              <w:tc>
                <w:tcPr>
                  <w:tcW w:w="762" w:type="dxa"/>
                  <w:vMerge w:val="continue"/>
                  <w:tcBorders>
                    <w:tl2br w:val="nil"/>
                    <w:tr2bl w:val="nil"/>
                  </w:tcBorders>
                  <w:vAlign w:val="center"/>
                </w:tcPr>
                <w:p w14:paraId="67C25447">
                  <w:pPr>
                    <w:jc w:val="center"/>
                    <w:rPr>
                      <w:rFonts w:hint="default" w:ascii="Times New Roman" w:hAnsi="Times New Roman" w:cs="Times New Roman"/>
                      <w:color w:val="000000"/>
                    </w:rPr>
                  </w:pPr>
                </w:p>
              </w:tc>
              <w:tc>
                <w:tcPr>
                  <w:tcW w:w="878" w:type="dxa"/>
                  <w:vMerge w:val="continue"/>
                  <w:tcBorders>
                    <w:tl2br w:val="nil"/>
                    <w:tr2bl w:val="nil"/>
                  </w:tcBorders>
                  <w:vAlign w:val="center"/>
                </w:tcPr>
                <w:p w14:paraId="1349FBCD">
                  <w:pPr>
                    <w:jc w:val="center"/>
                    <w:rPr>
                      <w:rFonts w:hint="default" w:ascii="Times New Roman" w:hAnsi="Times New Roman" w:cs="Times New Roman"/>
                      <w:color w:val="000000"/>
                    </w:rPr>
                  </w:pPr>
                </w:p>
              </w:tc>
              <w:tc>
                <w:tcPr>
                  <w:tcW w:w="2498" w:type="dxa"/>
                  <w:vMerge w:val="continue"/>
                  <w:tcBorders>
                    <w:tl2br w:val="nil"/>
                    <w:tr2bl w:val="nil"/>
                  </w:tcBorders>
                  <w:vAlign w:val="center"/>
                </w:tcPr>
                <w:p w14:paraId="799BF85B">
                  <w:pPr>
                    <w:jc w:val="center"/>
                    <w:rPr>
                      <w:rFonts w:hint="default" w:ascii="Times New Roman" w:hAnsi="Times New Roman" w:cs="Times New Roman"/>
                      <w:color w:val="000000"/>
                    </w:rPr>
                  </w:pPr>
                </w:p>
              </w:tc>
              <w:tc>
                <w:tcPr>
                  <w:tcW w:w="2325" w:type="dxa"/>
                  <w:tcBorders>
                    <w:tl2br w:val="nil"/>
                    <w:tr2bl w:val="nil"/>
                  </w:tcBorders>
                  <w:vAlign w:val="center"/>
                </w:tcPr>
                <w:p w14:paraId="1007FA62">
                  <w:pPr>
                    <w:jc w:val="center"/>
                    <w:rPr>
                      <w:rFonts w:hint="default" w:ascii="Times New Roman" w:hAnsi="Times New Roman" w:cs="Times New Roman"/>
                      <w:color w:val="000000"/>
                    </w:rPr>
                  </w:pPr>
                  <w:r>
                    <w:rPr>
                      <w:rFonts w:hint="default" w:ascii="Times New Roman" w:hAnsi="Times New Roman" w:cs="Times New Roman"/>
                      <w:color w:val="000000"/>
                    </w:rPr>
                    <w:t>本项目属于</w:t>
                  </w:r>
                  <w:r>
                    <w:rPr>
                      <w:rFonts w:hint="default" w:ascii="Times New Roman" w:hAnsi="Times New Roman" w:eastAsia="宋体" w:cs="Times New Roman"/>
                    </w:rPr>
                    <w:t>C2926塑料零件及其他塑料制品制造</w:t>
                  </w:r>
                  <w:r>
                    <w:rPr>
                      <w:rFonts w:hint="default" w:ascii="Times New Roman" w:hAnsi="Times New Roman" w:eastAsia="宋体" w:cs="Times New Roman"/>
                      <w:lang w:val="en-US" w:eastAsia="zh-CN"/>
                    </w:rPr>
                    <w:t>和C3360金属表面处理及热处理加工</w:t>
                  </w:r>
                  <w:r>
                    <w:rPr>
                      <w:rFonts w:hint="default" w:ascii="Times New Roman" w:hAnsi="Times New Roman" w:cs="Times New Roman"/>
                      <w:color w:val="000000"/>
                    </w:rPr>
                    <w:t xml:space="preserve">，不涉及水泥、工业炉窑、钢铁等行业。 </w:t>
                  </w:r>
                </w:p>
              </w:tc>
              <w:tc>
                <w:tcPr>
                  <w:tcW w:w="799" w:type="dxa"/>
                  <w:vMerge w:val="continue"/>
                  <w:tcBorders>
                    <w:tl2br w:val="nil"/>
                    <w:tr2bl w:val="nil"/>
                  </w:tcBorders>
                  <w:vAlign w:val="center"/>
                </w:tcPr>
                <w:p w14:paraId="6C8BE8CB">
                  <w:pPr>
                    <w:jc w:val="center"/>
                    <w:rPr>
                      <w:rFonts w:hint="default" w:ascii="Times New Roman" w:hAnsi="Times New Roman" w:cs="Times New Roman"/>
                      <w:color w:val="000000"/>
                    </w:rPr>
                  </w:pPr>
                </w:p>
              </w:tc>
            </w:tr>
            <w:tr w14:paraId="08E481F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62" w:type="dxa"/>
                  <w:vMerge w:val="continue"/>
                  <w:tcBorders>
                    <w:tl2br w:val="nil"/>
                    <w:tr2bl w:val="nil"/>
                  </w:tcBorders>
                  <w:vAlign w:val="center"/>
                </w:tcPr>
                <w:p w14:paraId="0A443BD2">
                  <w:pPr>
                    <w:jc w:val="center"/>
                    <w:rPr>
                      <w:rFonts w:hint="default" w:ascii="Times New Roman" w:hAnsi="Times New Roman" w:cs="Times New Roman"/>
                      <w:color w:val="000000"/>
                    </w:rPr>
                  </w:pPr>
                </w:p>
              </w:tc>
              <w:tc>
                <w:tcPr>
                  <w:tcW w:w="878" w:type="dxa"/>
                  <w:tcBorders>
                    <w:tl2br w:val="nil"/>
                    <w:tr2bl w:val="nil"/>
                  </w:tcBorders>
                  <w:vAlign w:val="center"/>
                </w:tcPr>
                <w:p w14:paraId="619E0C45">
                  <w:pPr>
                    <w:jc w:val="center"/>
                    <w:rPr>
                      <w:rFonts w:hint="default" w:ascii="Times New Roman" w:hAnsi="Times New Roman" w:cs="Times New Roman"/>
                      <w:color w:val="000000"/>
                    </w:rPr>
                  </w:pPr>
                  <w:r>
                    <w:rPr>
                      <w:rFonts w:hint="default" w:ascii="Times New Roman" w:hAnsi="Times New Roman" w:cs="Times New Roman"/>
                      <w:color w:val="000000"/>
                    </w:rPr>
                    <w:t>专栏2 “碧水”重点工程</w:t>
                  </w:r>
                </w:p>
              </w:tc>
              <w:tc>
                <w:tcPr>
                  <w:tcW w:w="2498" w:type="dxa"/>
                  <w:tcBorders>
                    <w:tl2br w:val="nil"/>
                    <w:tr2bl w:val="nil"/>
                  </w:tcBorders>
                  <w:vAlign w:val="center"/>
                </w:tcPr>
                <w:p w14:paraId="0363319C">
                  <w:pPr>
                    <w:rPr>
                      <w:rFonts w:hint="default" w:ascii="Times New Roman" w:hAnsi="Times New Roman" w:cs="Times New Roman"/>
                      <w:color w:val="000000"/>
                    </w:rPr>
                  </w:pPr>
                  <w:r>
                    <w:rPr>
                      <w:rFonts w:hint="default" w:ascii="Times New Roman" w:hAnsi="Times New Roman" w:cs="Times New Roman"/>
                      <w:b/>
                      <w:bCs/>
                      <w:color w:val="000000"/>
                    </w:rPr>
                    <w:t>集中式饮用水源保护工程。</w:t>
                  </w:r>
                </w:p>
                <w:p w14:paraId="38A6C850">
                  <w:pPr>
                    <w:rPr>
                      <w:rFonts w:hint="default" w:ascii="Times New Roman" w:hAnsi="Times New Roman" w:cs="Times New Roman"/>
                      <w:color w:val="000000"/>
                    </w:rPr>
                  </w:pPr>
                  <w:r>
                    <w:rPr>
                      <w:rFonts w:hint="default" w:ascii="Times New Roman" w:hAnsi="Times New Roman" w:cs="Times New Roman"/>
                      <w:color w:val="000000"/>
                    </w:rPr>
                    <w:t>千吨万人、千人以上集中式饮用水水源地规范化建设及整治工程。</w:t>
                  </w:r>
                </w:p>
                <w:p w14:paraId="64B0EE1B">
                  <w:pPr>
                    <w:rPr>
                      <w:rFonts w:hint="default" w:ascii="Times New Roman" w:hAnsi="Times New Roman" w:cs="Times New Roman"/>
                      <w:b/>
                      <w:bCs/>
                      <w:color w:val="000000"/>
                    </w:rPr>
                  </w:pPr>
                  <w:r>
                    <w:rPr>
                      <w:rFonts w:hint="default" w:ascii="Times New Roman" w:hAnsi="Times New Roman" w:cs="Times New Roman"/>
                      <w:b/>
                      <w:bCs/>
                      <w:color w:val="000000"/>
                    </w:rPr>
                    <w:t>城镇水污染防治和超标水域治理工程。</w:t>
                  </w:r>
                </w:p>
                <w:p w14:paraId="3B8E1651">
                  <w:pPr>
                    <w:rPr>
                      <w:rFonts w:hint="default" w:ascii="Times New Roman" w:hAnsi="Times New Roman" w:cs="Times New Roman"/>
                      <w:color w:val="000000"/>
                    </w:rPr>
                  </w:pPr>
                  <w:r>
                    <w:rPr>
                      <w:rFonts w:hint="default" w:ascii="Times New Roman" w:hAnsi="Times New Roman" w:cs="Times New Roman"/>
                      <w:color w:val="000000"/>
                    </w:rPr>
                    <w:t>（1）生活源污染治理、污水管网新建及改造项目。</w:t>
                  </w:r>
                </w:p>
                <w:p w14:paraId="6889CA60">
                  <w:pPr>
                    <w:rPr>
                      <w:rFonts w:hint="default" w:ascii="Times New Roman" w:hAnsi="Times New Roman" w:cs="Times New Roman"/>
                      <w:color w:val="000000"/>
                    </w:rPr>
                  </w:pPr>
                  <w:r>
                    <w:rPr>
                      <w:rFonts w:hint="default" w:ascii="Times New Roman" w:hAnsi="Times New Roman" w:cs="Times New Roman"/>
                      <w:color w:val="000000"/>
                    </w:rPr>
                    <w:t xml:space="preserve">（2）蒸水、柿江河、熬坡河、鸡市河等流域综合整治工程。 </w:t>
                  </w:r>
                </w:p>
                <w:p w14:paraId="4D1CA9DD">
                  <w:pPr>
                    <w:rPr>
                      <w:rFonts w:hint="default" w:ascii="Times New Roman" w:hAnsi="Times New Roman" w:cs="Times New Roman"/>
                      <w:color w:val="000000"/>
                    </w:rPr>
                  </w:pPr>
                  <w:r>
                    <w:rPr>
                      <w:rFonts w:hint="default" w:ascii="Times New Roman" w:hAnsi="Times New Roman" w:cs="Times New Roman"/>
                      <w:b/>
                      <w:bCs/>
                      <w:color w:val="000000"/>
                    </w:rPr>
                    <w:t>重点领域治污工程。</w:t>
                  </w:r>
                </w:p>
                <w:p w14:paraId="5F54305B">
                  <w:pPr>
                    <w:rPr>
                      <w:rFonts w:hint="default" w:ascii="Times New Roman" w:hAnsi="Times New Roman" w:cs="Times New Roman"/>
                      <w:color w:val="000000"/>
                    </w:rPr>
                  </w:pPr>
                  <w:r>
                    <w:rPr>
                      <w:rFonts w:hint="default" w:ascii="Times New Roman" w:hAnsi="Times New Roman" w:cs="Times New Roman"/>
                      <w:color w:val="000000"/>
                    </w:rPr>
                    <w:t>（1）工业水污染深度治理，工业园区环境综合整治。</w:t>
                  </w:r>
                </w:p>
                <w:p w14:paraId="1FDDCF57">
                  <w:pPr>
                    <w:rPr>
                      <w:rFonts w:hint="default" w:ascii="Times New Roman" w:hAnsi="Times New Roman" w:cs="Times New Roman"/>
                      <w:color w:val="000000"/>
                    </w:rPr>
                  </w:pPr>
                  <w:r>
                    <w:rPr>
                      <w:rFonts w:hint="default" w:ascii="Times New Roman" w:hAnsi="Times New Roman" w:cs="Times New Roman"/>
                      <w:color w:val="000000"/>
                    </w:rPr>
                    <w:t>（2）湘江衡阳段、蒸水流域和耒水流域等全市各流域入河排污口排查整治，入河排污口规范化工程。</w:t>
                  </w:r>
                </w:p>
                <w:p w14:paraId="5C47F53C">
                  <w:pPr>
                    <w:rPr>
                      <w:rFonts w:hint="default" w:ascii="Times New Roman" w:hAnsi="Times New Roman" w:cs="Times New Roman"/>
                      <w:color w:val="000000"/>
                    </w:rPr>
                  </w:pPr>
                  <w:r>
                    <w:rPr>
                      <w:rFonts w:hint="default" w:ascii="Times New Roman" w:hAnsi="Times New Roman" w:cs="Times New Roman"/>
                      <w:color w:val="000000"/>
                    </w:rPr>
                    <w:t>（3）湘江保护和治理一号重点工程。</w:t>
                  </w:r>
                </w:p>
                <w:p w14:paraId="2E5A973B">
                  <w:pPr>
                    <w:rPr>
                      <w:rFonts w:hint="default" w:ascii="Times New Roman" w:hAnsi="Times New Roman" w:cs="Times New Roman"/>
                      <w:color w:val="000000"/>
                    </w:rPr>
                  </w:pPr>
                  <w:r>
                    <w:rPr>
                      <w:rFonts w:hint="default" w:ascii="Times New Roman" w:hAnsi="Times New Roman" w:cs="Times New Roman"/>
                      <w:color w:val="000000"/>
                    </w:rPr>
                    <w:t>（4）县级（含区、县）黑臭水体治理。</w:t>
                  </w:r>
                </w:p>
              </w:tc>
              <w:tc>
                <w:tcPr>
                  <w:tcW w:w="2325" w:type="dxa"/>
                  <w:tcBorders>
                    <w:tl2br w:val="nil"/>
                    <w:tr2bl w:val="nil"/>
                  </w:tcBorders>
                  <w:vAlign w:val="center"/>
                </w:tcPr>
                <w:p w14:paraId="248E209E">
                  <w:pPr>
                    <w:rPr>
                      <w:rFonts w:hint="default" w:ascii="Times New Roman" w:hAnsi="Times New Roman" w:cs="Times New Roman"/>
                      <w:color w:val="000000"/>
                    </w:rPr>
                  </w:pPr>
                  <w:r>
                    <w:rPr>
                      <w:rFonts w:hint="default" w:ascii="Times New Roman" w:hAnsi="Times New Roman" w:cs="Times New Roman"/>
                      <w:color w:val="000000"/>
                    </w:rPr>
                    <w:t>本项目排水实施雨污分流，本项目无生产废水外排，</w:t>
                  </w:r>
                  <w:r>
                    <w:rPr>
                      <w:rFonts w:hint="default" w:ascii="Times New Roman" w:hAnsi="Times New Roman" w:cs="Times New Roman"/>
                    </w:rPr>
                    <w:t>生活污水依托衡钢原有的化粪池处理后经厂区污水管网排入衡钢西区污水处理厂处理达到《污水综合排放标准》（GB8978-1996）表4中三级标准，</w:t>
                  </w:r>
                  <w:r>
                    <w:rPr>
                      <w:rFonts w:hint="eastAsia" w:cs="Times New Roman"/>
                      <w:lang w:eastAsia="zh-CN"/>
                    </w:rPr>
                    <w:t>排入幸福河</w:t>
                  </w:r>
                  <w:r>
                    <w:rPr>
                      <w:rFonts w:hint="default" w:ascii="Times New Roman" w:hAnsi="Times New Roman" w:cs="Times New Roman"/>
                    </w:rPr>
                    <w:t>，然后进入铜桥港污水处理厂进一步处理，处理后排入湘江</w:t>
                  </w:r>
                  <w:r>
                    <w:rPr>
                      <w:rFonts w:hint="default" w:ascii="Times New Roman" w:hAnsi="Times New Roman" w:cs="Times New Roman"/>
                      <w:color w:val="000000"/>
                    </w:rPr>
                    <w:t xml:space="preserve">；排放废水成分简单，不涉重；厂区雨水按照就近排放的原则直接排到工业园区雨水管网；不涉及新增排口问题。 </w:t>
                  </w:r>
                </w:p>
              </w:tc>
              <w:tc>
                <w:tcPr>
                  <w:tcW w:w="799" w:type="dxa"/>
                  <w:tcBorders>
                    <w:tl2br w:val="nil"/>
                    <w:tr2bl w:val="nil"/>
                  </w:tcBorders>
                  <w:vAlign w:val="center"/>
                </w:tcPr>
                <w:p w14:paraId="523B6ECB">
                  <w:pPr>
                    <w:jc w:val="center"/>
                    <w:rPr>
                      <w:rFonts w:hint="default" w:ascii="Times New Roman" w:hAnsi="Times New Roman" w:cs="Times New Roman"/>
                      <w:color w:val="000000"/>
                    </w:rPr>
                  </w:pPr>
                  <w:r>
                    <w:rPr>
                      <w:rFonts w:hint="default" w:ascii="Times New Roman" w:hAnsi="Times New Roman" w:cs="Times New Roman"/>
                      <w:color w:val="000000"/>
                    </w:rPr>
                    <w:t>符合</w:t>
                  </w:r>
                </w:p>
              </w:tc>
            </w:tr>
            <w:tr w14:paraId="0CB946C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62" w:type="dxa"/>
                  <w:vMerge w:val="continue"/>
                  <w:tcBorders>
                    <w:tl2br w:val="nil"/>
                    <w:tr2bl w:val="nil"/>
                  </w:tcBorders>
                  <w:vAlign w:val="center"/>
                </w:tcPr>
                <w:p w14:paraId="5BF80633">
                  <w:pPr>
                    <w:jc w:val="center"/>
                    <w:rPr>
                      <w:rFonts w:hint="default" w:ascii="Times New Roman" w:hAnsi="Times New Roman" w:cs="Times New Roman"/>
                      <w:color w:val="000000"/>
                    </w:rPr>
                  </w:pPr>
                </w:p>
              </w:tc>
              <w:tc>
                <w:tcPr>
                  <w:tcW w:w="878" w:type="dxa"/>
                  <w:tcBorders>
                    <w:tl2br w:val="nil"/>
                    <w:tr2bl w:val="nil"/>
                  </w:tcBorders>
                  <w:vAlign w:val="center"/>
                </w:tcPr>
                <w:p w14:paraId="3FCD57FF">
                  <w:pPr>
                    <w:jc w:val="center"/>
                    <w:rPr>
                      <w:rFonts w:hint="default" w:ascii="Times New Roman" w:hAnsi="Times New Roman" w:cs="Times New Roman"/>
                      <w:color w:val="000000"/>
                    </w:rPr>
                  </w:pPr>
                  <w:r>
                    <w:rPr>
                      <w:rFonts w:hint="default" w:ascii="Times New Roman" w:hAnsi="Times New Roman" w:cs="Times New Roman"/>
                      <w:color w:val="000000"/>
                    </w:rPr>
                    <w:t>专栏3 “净土”重点工程</w:t>
                  </w:r>
                </w:p>
              </w:tc>
              <w:tc>
                <w:tcPr>
                  <w:tcW w:w="2498" w:type="dxa"/>
                  <w:tcBorders>
                    <w:tl2br w:val="nil"/>
                    <w:tr2bl w:val="nil"/>
                  </w:tcBorders>
                  <w:vAlign w:val="center"/>
                </w:tcPr>
                <w:p w14:paraId="3782A395">
                  <w:pPr>
                    <w:rPr>
                      <w:rFonts w:hint="default" w:ascii="Times New Roman" w:hAnsi="Times New Roman" w:cs="Times New Roman"/>
                      <w:color w:val="000000"/>
                    </w:rPr>
                  </w:pPr>
                  <w:r>
                    <w:rPr>
                      <w:rFonts w:hint="default" w:ascii="Times New Roman" w:hAnsi="Times New Roman" w:cs="Times New Roman"/>
                      <w:b/>
                      <w:bCs/>
                      <w:color w:val="000000"/>
                    </w:rPr>
                    <w:t>调查评估工程。</w:t>
                  </w:r>
                </w:p>
                <w:p w14:paraId="74B6B650">
                  <w:pPr>
                    <w:rPr>
                      <w:rFonts w:hint="default" w:ascii="Times New Roman" w:hAnsi="Times New Roman" w:cs="Times New Roman"/>
                      <w:color w:val="000000"/>
                    </w:rPr>
                  </w:pPr>
                  <w:r>
                    <w:rPr>
                      <w:rFonts w:hint="default" w:ascii="Times New Roman" w:hAnsi="Times New Roman" w:cs="Times New Roman"/>
                      <w:color w:val="000000"/>
                    </w:rPr>
                    <w:t>（1）重点行业企业用地土壤污染状况全覆盖调查。</w:t>
                  </w:r>
                </w:p>
                <w:p w14:paraId="25E65EAD">
                  <w:pPr>
                    <w:rPr>
                      <w:rFonts w:hint="default" w:ascii="Times New Roman" w:hAnsi="Times New Roman" w:cs="Times New Roman"/>
                      <w:color w:val="000000"/>
                    </w:rPr>
                  </w:pPr>
                  <w:r>
                    <w:rPr>
                      <w:rFonts w:hint="default" w:ascii="Times New Roman" w:hAnsi="Times New Roman" w:cs="Times New Roman"/>
                      <w:color w:val="000000"/>
                    </w:rPr>
                    <w:t>（2）耕地土壤重金属污染成因排查工程。</w:t>
                  </w:r>
                </w:p>
                <w:p w14:paraId="478E0484">
                  <w:pPr>
                    <w:rPr>
                      <w:rFonts w:hint="default" w:ascii="Times New Roman" w:hAnsi="Times New Roman" w:cs="Times New Roman"/>
                      <w:color w:val="000000"/>
                    </w:rPr>
                  </w:pPr>
                  <w:r>
                    <w:rPr>
                      <w:rFonts w:hint="default" w:ascii="Times New Roman" w:hAnsi="Times New Roman" w:cs="Times New Roman"/>
                      <w:color w:val="000000"/>
                    </w:rPr>
                    <w:t>（3）建设用地土壤污染状况全面调查。</w:t>
                  </w:r>
                </w:p>
                <w:p w14:paraId="7BDCFF12">
                  <w:pPr>
                    <w:rPr>
                      <w:rFonts w:hint="default" w:ascii="Times New Roman" w:hAnsi="Times New Roman" w:cs="Times New Roman"/>
                      <w:color w:val="000000"/>
                    </w:rPr>
                  </w:pPr>
                  <w:r>
                    <w:rPr>
                      <w:rFonts w:hint="default" w:ascii="Times New Roman" w:hAnsi="Times New Roman" w:cs="Times New Roman"/>
                      <w:color w:val="000000"/>
                    </w:rPr>
                    <w:t>（4）地下水监管能力建设及地下水环境状况调查评估。</w:t>
                  </w:r>
                </w:p>
                <w:p w14:paraId="179D0F0E">
                  <w:pPr>
                    <w:rPr>
                      <w:rFonts w:hint="default" w:ascii="Times New Roman" w:hAnsi="Times New Roman" w:cs="Times New Roman"/>
                      <w:color w:val="000000"/>
                    </w:rPr>
                  </w:pPr>
                  <w:r>
                    <w:rPr>
                      <w:rFonts w:hint="default" w:ascii="Times New Roman" w:hAnsi="Times New Roman" w:cs="Times New Roman"/>
                      <w:b/>
                      <w:bCs/>
                      <w:color w:val="000000"/>
                    </w:rPr>
                    <w:t>土壤管控与修复工程。</w:t>
                  </w:r>
                </w:p>
                <w:p w14:paraId="6DEC1C9D">
                  <w:pPr>
                    <w:rPr>
                      <w:rFonts w:hint="default" w:ascii="Times New Roman" w:hAnsi="Times New Roman" w:cs="Times New Roman"/>
                      <w:color w:val="000000"/>
                    </w:rPr>
                  </w:pPr>
                  <w:r>
                    <w:rPr>
                      <w:rFonts w:hint="default" w:ascii="Times New Roman" w:hAnsi="Times New Roman" w:cs="Times New Roman"/>
                      <w:color w:val="000000"/>
                    </w:rPr>
                    <w:t>（1）精准划分耕地土壤环境质量类别，对优先保护类、安全利用类、严格管控类耕地实施分类分区管理。</w:t>
                  </w:r>
                </w:p>
                <w:p w14:paraId="2AE36D08">
                  <w:pPr>
                    <w:rPr>
                      <w:rFonts w:hint="default" w:ascii="Times New Roman" w:hAnsi="Times New Roman" w:cs="Times New Roman"/>
                      <w:color w:val="000000"/>
                    </w:rPr>
                  </w:pPr>
                  <w:r>
                    <w:rPr>
                      <w:rFonts w:hint="default" w:ascii="Times New Roman" w:hAnsi="Times New Roman" w:cs="Times New Roman"/>
                      <w:color w:val="000000"/>
                    </w:rPr>
                    <w:t>（2）重点区域污染地块风险管控修复项目。</w:t>
                  </w:r>
                </w:p>
              </w:tc>
              <w:tc>
                <w:tcPr>
                  <w:tcW w:w="2325" w:type="dxa"/>
                  <w:tcBorders>
                    <w:tl2br w:val="nil"/>
                    <w:tr2bl w:val="nil"/>
                  </w:tcBorders>
                  <w:vAlign w:val="center"/>
                </w:tcPr>
                <w:p w14:paraId="31F05EC2">
                  <w:pPr>
                    <w:rPr>
                      <w:rFonts w:hint="default" w:ascii="Times New Roman" w:hAnsi="Times New Roman" w:cs="Times New Roman"/>
                      <w:color w:val="000000"/>
                    </w:rPr>
                  </w:pPr>
                  <w:r>
                    <w:rPr>
                      <w:rFonts w:hint="default" w:ascii="Times New Roman" w:hAnsi="Times New Roman" w:cs="Times New Roman"/>
                      <w:color w:val="000000"/>
                    </w:rPr>
                    <w:t>本项目用地不在《衡阳市污染地块名录（第一批）》、《衡阳市污染地块名录及开发利用负面清单（第二批）》、《衡阳市建设用地污染地块开发利用负面清单（第三批）》、《衡阳市建设用地污染地块开发利用负面清单（第四批）》等文件中。</w:t>
                  </w:r>
                </w:p>
              </w:tc>
              <w:tc>
                <w:tcPr>
                  <w:tcW w:w="799" w:type="dxa"/>
                  <w:tcBorders>
                    <w:tl2br w:val="nil"/>
                    <w:tr2bl w:val="nil"/>
                  </w:tcBorders>
                  <w:vAlign w:val="center"/>
                </w:tcPr>
                <w:p w14:paraId="7F3E2BFC">
                  <w:pPr>
                    <w:jc w:val="center"/>
                    <w:rPr>
                      <w:rFonts w:hint="default" w:ascii="Times New Roman" w:hAnsi="Times New Roman" w:cs="Times New Roman"/>
                      <w:color w:val="000000"/>
                    </w:rPr>
                  </w:pPr>
                  <w:r>
                    <w:rPr>
                      <w:rFonts w:hint="default" w:ascii="Times New Roman" w:hAnsi="Times New Roman" w:cs="Times New Roman"/>
                      <w:color w:val="000000"/>
                    </w:rPr>
                    <w:t>符合</w:t>
                  </w:r>
                </w:p>
              </w:tc>
            </w:tr>
            <w:tr w14:paraId="6706854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62" w:type="dxa"/>
                  <w:vMerge w:val="continue"/>
                  <w:tcBorders>
                    <w:tl2br w:val="nil"/>
                    <w:tr2bl w:val="nil"/>
                  </w:tcBorders>
                  <w:vAlign w:val="center"/>
                </w:tcPr>
                <w:p w14:paraId="4B9C14C5">
                  <w:pPr>
                    <w:jc w:val="center"/>
                    <w:rPr>
                      <w:rFonts w:hint="default" w:ascii="Times New Roman" w:hAnsi="Times New Roman" w:cs="Times New Roman"/>
                      <w:color w:val="000000"/>
                    </w:rPr>
                  </w:pPr>
                </w:p>
              </w:tc>
              <w:tc>
                <w:tcPr>
                  <w:tcW w:w="878" w:type="dxa"/>
                  <w:tcBorders>
                    <w:tl2br w:val="nil"/>
                    <w:tr2bl w:val="nil"/>
                  </w:tcBorders>
                  <w:vAlign w:val="center"/>
                </w:tcPr>
                <w:p w14:paraId="03C0A73D">
                  <w:pPr>
                    <w:jc w:val="center"/>
                    <w:rPr>
                      <w:rFonts w:hint="default" w:ascii="Times New Roman" w:hAnsi="Times New Roman" w:cs="Times New Roman"/>
                      <w:color w:val="000000"/>
                    </w:rPr>
                  </w:pPr>
                  <w:r>
                    <w:rPr>
                      <w:rFonts w:hint="default" w:ascii="Times New Roman" w:hAnsi="Times New Roman" w:cs="Times New Roman"/>
                      <w:color w:val="000000"/>
                    </w:rPr>
                    <w:t>专栏7 环境风险防范重点工程</w:t>
                  </w:r>
                </w:p>
              </w:tc>
              <w:tc>
                <w:tcPr>
                  <w:tcW w:w="2498" w:type="dxa"/>
                  <w:tcBorders>
                    <w:tl2br w:val="nil"/>
                    <w:tr2bl w:val="nil"/>
                  </w:tcBorders>
                  <w:vAlign w:val="center"/>
                </w:tcPr>
                <w:p w14:paraId="0627F2E2">
                  <w:pPr>
                    <w:rPr>
                      <w:rFonts w:hint="default" w:ascii="Times New Roman" w:hAnsi="Times New Roman" w:cs="Times New Roman"/>
                      <w:color w:val="000000"/>
                    </w:rPr>
                  </w:pPr>
                  <w:r>
                    <w:rPr>
                      <w:rFonts w:hint="default" w:ascii="Times New Roman" w:hAnsi="Times New Roman" w:cs="Times New Roman"/>
                      <w:b/>
                      <w:bCs/>
                      <w:color w:val="000000"/>
                    </w:rPr>
                    <w:t>危险废物和化学品管控工程。</w:t>
                  </w:r>
                </w:p>
                <w:p w14:paraId="063D4E4F">
                  <w:pPr>
                    <w:rPr>
                      <w:rFonts w:hint="default" w:ascii="Times New Roman" w:hAnsi="Times New Roman" w:cs="Times New Roman"/>
                      <w:color w:val="000000"/>
                    </w:rPr>
                  </w:pPr>
                  <w:r>
                    <w:rPr>
                      <w:rFonts w:hint="default" w:ascii="Times New Roman" w:hAnsi="Times New Roman" w:cs="Times New Roman"/>
                      <w:color w:val="000000"/>
                    </w:rPr>
                    <w:t>（1）园区循环化改造。</w:t>
                  </w:r>
                </w:p>
                <w:p w14:paraId="2AB7BFEC">
                  <w:pPr>
                    <w:rPr>
                      <w:rFonts w:hint="default" w:ascii="Times New Roman" w:hAnsi="Times New Roman" w:cs="Times New Roman"/>
                      <w:color w:val="000000"/>
                    </w:rPr>
                  </w:pPr>
                  <w:r>
                    <w:rPr>
                      <w:rFonts w:hint="default" w:ascii="Times New Roman" w:hAnsi="Times New Roman" w:cs="Times New Roman"/>
                      <w:color w:val="000000"/>
                    </w:rPr>
                    <w:t>（2）县（区）垃圾分类、收集、转运综合项目。</w:t>
                  </w:r>
                </w:p>
                <w:p w14:paraId="7B7C7C8F">
                  <w:pPr>
                    <w:rPr>
                      <w:rFonts w:hint="default" w:ascii="Times New Roman" w:hAnsi="Times New Roman" w:cs="Times New Roman"/>
                      <w:color w:val="000000"/>
                    </w:rPr>
                  </w:pPr>
                  <w:r>
                    <w:rPr>
                      <w:rFonts w:hint="default" w:ascii="Times New Roman" w:hAnsi="Times New Roman" w:cs="Times New Roman"/>
                      <w:b/>
                      <w:bCs/>
                      <w:color w:val="000000"/>
                    </w:rPr>
                    <w:t>核与辐射安全管控工程。</w:t>
                  </w:r>
                </w:p>
                <w:p w14:paraId="6B596E74">
                  <w:pPr>
                    <w:rPr>
                      <w:rFonts w:hint="default" w:ascii="Times New Roman" w:hAnsi="Times New Roman" w:cs="Times New Roman"/>
                      <w:color w:val="000000"/>
                    </w:rPr>
                  </w:pPr>
                  <w:r>
                    <w:rPr>
                      <w:rFonts w:hint="default" w:ascii="Times New Roman" w:hAnsi="Times New Roman" w:cs="Times New Roman"/>
                      <w:color w:val="000000"/>
                    </w:rPr>
                    <w:t>（1）开展放射性废源清源转运。</w:t>
                  </w:r>
                </w:p>
                <w:p w14:paraId="65EB2DA7">
                  <w:pPr>
                    <w:rPr>
                      <w:rFonts w:hint="default" w:ascii="Times New Roman" w:hAnsi="Times New Roman" w:cs="Times New Roman"/>
                      <w:color w:val="000000"/>
                    </w:rPr>
                  </w:pPr>
                  <w:r>
                    <w:rPr>
                      <w:rFonts w:hint="default" w:ascii="Times New Roman" w:hAnsi="Times New Roman" w:cs="Times New Roman"/>
                      <w:color w:val="000000"/>
                    </w:rPr>
                    <w:t>（2）“衡阳辐射分中心”辐射监测能力提升项目。</w:t>
                  </w:r>
                </w:p>
                <w:p w14:paraId="3CCCBDEB">
                  <w:pPr>
                    <w:rPr>
                      <w:rFonts w:hint="default" w:ascii="Times New Roman" w:hAnsi="Times New Roman" w:cs="Times New Roman"/>
                      <w:color w:val="000000"/>
                    </w:rPr>
                  </w:pPr>
                  <w:r>
                    <w:rPr>
                      <w:rFonts w:hint="default" w:ascii="Times New Roman" w:hAnsi="Times New Roman" w:cs="Times New Roman"/>
                      <w:b/>
                      <w:bCs/>
                      <w:color w:val="000000"/>
                    </w:rPr>
                    <w:t>应急基础保障工程。</w:t>
                  </w:r>
                </w:p>
                <w:p w14:paraId="1BCB6D46">
                  <w:pPr>
                    <w:rPr>
                      <w:rFonts w:hint="default" w:ascii="Times New Roman" w:hAnsi="Times New Roman" w:cs="Times New Roman"/>
                      <w:color w:val="000000"/>
                    </w:rPr>
                  </w:pPr>
                  <w:r>
                    <w:rPr>
                      <w:rFonts w:hint="default" w:ascii="Times New Roman" w:hAnsi="Times New Roman" w:cs="Times New Roman"/>
                      <w:color w:val="000000"/>
                    </w:rPr>
                    <w:t>（1）区域级环境应急物资储备库建设工程。</w:t>
                  </w:r>
                </w:p>
                <w:p w14:paraId="27072E19">
                  <w:pPr>
                    <w:rPr>
                      <w:rFonts w:hint="default" w:ascii="Times New Roman" w:hAnsi="Times New Roman" w:cs="Times New Roman"/>
                      <w:color w:val="000000"/>
                    </w:rPr>
                  </w:pPr>
                  <w:r>
                    <w:rPr>
                      <w:rFonts w:hint="default" w:ascii="Times New Roman" w:hAnsi="Times New Roman" w:cs="Times New Roman"/>
                      <w:color w:val="000000"/>
                    </w:rPr>
                    <w:t>（2）应急装备、车辆填平补齐工程。</w:t>
                  </w:r>
                </w:p>
              </w:tc>
              <w:tc>
                <w:tcPr>
                  <w:tcW w:w="2325" w:type="dxa"/>
                  <w:tcBorders>
                    <w:tl2br w:val="nil"/>
                    <w:tr2bl w:val="nil"/>
                  </w:tcBorders>
                  <w:vAlign w:val="center"/>
                </w:tcPr>
                <w:p w14:paraId="20B6F741">
                  <w:pPr>
                    <w:jc w:val="center"/>
                    <w:rPr>
                      <w:rFonts w:hint="default" w:ascii="Times New Roman" w:hAnsi="Times New Roman" w:cs="Times New Roman"/>
                      <w:color w:val="000000"/>
                    </w:rPr>
                  </w:pPr>
                  <w:r>
                    <w:rPr>
                      <w:rFonts w:hint="default" w:ascii="Times New Roman" w:hAnsi="Times New Roman" w:cs="Times New Roman"/>
                      <w:color w:val="000000"/>
                    </w:rPr>
                    <w:t>本项目运营期产生的固体废物均能得到妥善处置，不会对外部环境造成影响；不涉及核与辐射；项目建成正式投产前按要求编制突发环境事件应急预案并备案，使建设项目符合风险防控要求。</w:t>
                  </w:r>
                </w:p>
              </w:tc>
              <w:tc>
                <w:tcPr>
                  <w:tcW w:w="799" w:type="dxa"/>
                  <w:tcBorders>
                    <w:tl2br w:val="nil"/>
                    <w:tr2bl w:val="nil"/>
                  </w:tcBorders>
                  <w:vAlign w:val="center"/>
                </w:tcPr>
                <w:p w14:paraId="3C637770">
                  <w:pPr>
                    <w:jc w:val="center"/>
                    <w:rPr>
                      <w:rFonts w:hint="default" w:ascii="Times New Roman" w:hAnsi="Times New Roman" w:cs="Times New Roman"/>
                      <w:color w:val="000000"/>
                    </w:rPr>
                  </w:pPr>
                  <w:r>
                    <w:rPr>
                      <w:rFonts w:hint="default" w:ascii="Times New Roman" w:hAnsi="Times New Roman" w:cs="Times New Roman"/>
                      <w:color w:val="000000"/>
                    </w:rPr>
                    <w:t>符合</w:t>
                  </w:r>
                </w:p>
              </w:tc>
            </w:tr>
          </w:tbl>
          <w:p w14:paraId="59F1BDB3">
            <w:pPr>
              <w:pStyle w:val="109"/>
              <w:rPr>
                <w:rFonts w:hint="default" w:ascii="Times New Roman" w:hAnsi="Times New Roman" w:cs="Times New Roman"/>
              </w:rPr>
            </w:pPr>
            <w:r>
              <w:rPr>
                <w:rFonts w:hint="default" w:ascii="Times New Roman" w:hAnsi="Times New Roman" w:cs="Times New Roman"/>
              </w:rPr>
              <w:t>在落实好本环评提出的污染防治措施后，项目运营期对区域环境影响较小，符合《衡阳市“十四五”生态环境保护规划》相关要求。</w:t>
            </w:r>
          </w:p>
          <w:p w14:paraId="49C74ADB">
            <w:pPr>
              <w:pStyle w:val="109"/>
              <w:ind w:firstLine="482"/>
              <w:rPr>
                <w:rFonts w:hint="default" w:ascii="Times New Roman" w:hAnsi="Times New Roman" w:cs="Times New Roman"/>
              </w:rPr>
            </w:pPr>
            <w:r>
              <w:rPr>
                <w:rFonts w:hint="default" w:ascii="Times New Roman" w:hAnsi="Times New Roman" w:cs="Times New Roman"/>
                <w:b/>
                <w:bCs/>
              </w:rPr>
              <w:t>9、与《湖南省发展和改革委员会关于印发&lt;湖南省“两高”项目管理目录</w:t>
            </w:r>
            <w:r>
              <w:rPr>
                <w:rFonts w:hint="eastAsia" w:cs="Times New Roman"/>
                <w:b/>
                <w:bCs/>
                <w:lang w:eastAsia="zh-CN"/>
              </w:rPr>
              <w:t>〉</w:t>
            </w:r>
            <w:r>
              <w:rPr>
                <w:rFonts w:hint="default" w:ascii="Times New Roman" w:hAnsi="Times New Roman" w:cs="Times New Roman"/>
                <w:b/>
                <w:bCs/>
              </w:rPr>
              <w:t xml:space="preserve"> 的通知》（湘发改环资〔2021〕968号）符合性分析</w:t>
            </w:r>
          </w:p>
          <w:p w14:paraId="271EF7DB">
            <w:pPr>
              <w:pStyle w:val="109"/>
              <w:rPr>
                <w:rFonts w:hint="default" w:ascii="Times New Roman" w:hAnsi="Times New Roman" w:cs="Times New Roman"/>
              </w:rPr>
            </w:pPr>
            <w:r>
              <w:rPr>
                <w:rFonts w:hint="default" w:ascii="Times New Roman" w:hAnsi="Times New Roman" w:cs="Times New Roman"/>
              </w:rPr>
              <w:t>本项目与《湖南省发展和改革委员会关于印发&lt;湖南省“两高”项目管理目录</w:t>
            </w:r>
            <w:r>
              <w:rPr>
                <w:rFonts w:hint="eastAsia" w:cs="Times New Roman"/>
                <w:lang w:eastAsia="zh-CN"/>
              </w:rPr>
              <w:t>〉</w:t>
            </w:r>
            <w:r>
              <w:rPr>
                <w:rFonts w:hint="default" w:ascii="Times New Roman" w:hAnsi="Times New Roman" w:cs="Times New Roman"/>
              </w:rPr>
              <w:t xml:space="preserve"> 的通知》（湘发改环资〔2021〕968号）比对，本项目不属于“两高”项目。</w:t>
            </w:r>
          </w:p>
          <w:p w14:paraId="38D95A42">
            <w:pPr>
              <w:pStyle w:val="109"/>
              <w:ind w:firstLine="482"/>
              <w:rPr>
                <w:rFonts w:hint="default" w:ascii="Times New Roman" w:hAnsi="Times New Roman" w:cs="Times New Roman"/>
              </w:rPr>
            </w:pPr>
            <w:r>
              <w:rPr>
                <w:rFonts w:hint="default" w:ascii="Times New Roman" w:hAnsi="Times New Roman" w:cs="Times New Roman"/>
                <w:b/>
                <w:bCs/>
              </w:rPr>
              <w:t>10、与《挥发性有机物（VOCs）污染防治技术政策》符合性分析</w:t>
            </w:r>
          </w:p>
          <w:p w14:paraId="2562498C">
            <w:pPr>
              <w:pStyle w:val="109"/>
              <w:rPr>
                <w:rFonts w:hint="default" w:ascii="Times New Roman" w:hAnsi="Times New Roman" w:cs="Times New Roman"/>
              </w:rPr>
            </w:pPr>
            <w:r>
              <w:rPr>
                <w:rFonts w:hint="default" w:ascii="Times New Roman" w:hAnsi="Times New Roman" w:cs="Times New Roman"/>
              </w:rPr>
              <w:t>本项目与《挥发性有机物（VOCs）污染防治技术政策》符合性分析情况见表1-8。</w:t>
            </w:r>
          </w:p>
          <w:p w14:paraId="16C174BE">
            <w:pPr>
              <w:pStyle w:val="173"/>
              <w:spacing w:before="120"/>
              <w:rPr>
                <w:rFonts w:hint="default" w:ascii="Times New Roman" w:hAnsi="Times New Roman" w:cs="Times New Roman"/>
              </w:rPr>
            </w:pPr>
            <w:r>
              <w:rPr>
                <w:rFonts w:hint="default" w:ascii="Times New Roman" w:hAnsi="Times New Roman" w:cs="Times New Roman"/>
              </w:rPr>
              <w:t>表1-8  项目与《挥发性有机物（VOCs）污染防治技术政策》符合性分析情况</w:t>
            </w:r>
          </w:p>
          <w:tbl>
            <w:tblPr>
              <w:tblStyle w:val="36"/>
              <w:tblW w:w="743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75"/>
              <w:gridCol w:w="3766"/>
              <w:gridCol w:w="2184"/>
              <w:gridCol w:w="813"/>
            </w:tblGrid>
            <w:tr w14:paraId="7A2EF7A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tcBorders>
                    <w:bottom w:val="single" w:color="auto" w:sz="4" w:space="0"/>
                    <w:right w:val="single" w:color="auto" w:sz="4" w:space="0"/>
                    <w:tl2br w:val="nil"/>
                    <w:tr2bl w:val="nil"/>
                  </w:tcBorders>
                  <w:vAlign w:val="center"/>
                </w:tcPr>
                <w:p w14:paraId="2A793B82">
                  <w:pPr>
                    <w:pStyle w:val="146"/>
                    <w:rPr>
                      <w:rFonts w:hint="default" w:ascii="Times New Roman" w:hAnsi="Times New Roman" w:cs="Times New Roman"/>
                      <w:b/>
                    </w:rPr>
                  </w:pPr>
                  <w:r>
                    <w:rPr>
                      <w:rFonts w:hint="default" w:ascii="Times New Roman" w:hAnsi="Times New Roman" w:cs="Times New Roman"/>
                      <w:b/>
                    </w:rPr>
                    <w:t>类别</w:t>
                  </w:r>
                </w:p>
              </w:tc>
              <w:tc>
                <w:tcPr>
                  <w:tcW w:w="3766" w:type="dxa"/>
                  <w:tcBorders>
                    <w:left w:val="single" w:color="auto" w:sz="4" w:space="0"/>
                    <w:bottom w:val="single" w:color="auto" w:sz="4" w:space="0"/>
                    <w:right w:val="single" w:color="auto" w:sz="4" w:space="0"/>
                    <w:tl2br w:val="nil"/>
                    <w:tr2bl w:val="nil"/>
                  </w:tcBorders>
                  <w:vAlign w:val="center"/>
                </w:tcPr>
                <w:p w14:paraId="2132BBBA">
                  <w:pPr>
                    <w:pStyle w:val="146"/>
                    <w:rPr>
                      <w:rFonts w:hint="default" w:ascii="Times New Roman" w:hAnsi="Times New Roman" w:cs="Times New Roman"/>
                      <w:b/>
                    </w:rPr>
                  </w:pPr>
                  <w:r>
                    <w:rPr>
                      <w:rFonts w:hint="default" w:ascii="Times New Roman" w:hAnsi="Times New Roman" w:cs="Times New Roman"/>
                      <w:b/>
                    </w:rPr>
                    <w:t>《挥发性有机物（VOCs）污染防治技术政策》相关要求</w:t>
                  </w:r>
                </w:p>
              </w:tc>
              <w:tc>
                <w:tcPr>
                  <w:tcW w:w="2184" w:type="dxa"/>
                  <w:tcBorders>
                    <w:left w:val="single" w:color="auto" w:sz="4" w:space="0"/>
                    <w:bottom w:val="single" w:color="auto" w:sz="4" w:space="0"/>
                    <w:right w:val="single" w:color="auto" w:sz="4" w:space="0"/>
                    <w:tl2br w:val="nil"/>
                    <w:tr2bl w:val="nil"/>
                  </w:tcBorders>
                  <w:vAlign w:val="center"/>
                </w:tcPr>
                <w:p w14:paraId="03004481">
                  <w:pPr>
                    <w:pStyle w:val="146"/>
                    <w:rPr>
                      <w:rFonts w:hint="default" w:ascii="Times New Roman" w:hAnsi="Times New Roman" w:cs="Times New Roman"/>
                      <w:b/>
                    </w:rPr>
                  </w:pPr>
                  <w:r>
                    <w:rPr>
                      <w:rFonts w:hint="default" w:ascii="Times New Roman" w:hAnsi="Times New Roman" w:cs="Times New Roman"/>
                      <w:b/>
                    </w:rPr>
                    <w:t>项目实际情况</w:t>
                  </w:r>
                </w:p>
              </w:tc>
              <w:tc>
                <w:tcPr>
                  <w:tcW w:w="813" w:type="dxa"/>
                  <w:tcBorders>
                    <w:left w:val="single" w:color="auto" w:sz="4" w:space="0"/>
                    <w:bottom w:val="single" w:color="auto" w:sz="4" w:space="0"/>
                    <w:tl2br w:val="nil"/>
                    <w:tr2bl w:val="nil"/>
                  </w:tcBorders>
                  <w:vAlign w:val="center"/>
                </w:tcPr>
                <w:p w14:paraId="54B911BA">
                  <w:pPr>
                    <w:pStyle w:val="146"/>
                    <w:rPr>
                      <w:rFonts w:hint="default" w:ascii="Times New Roman" w:hAnsi="Times New Roman" w:cs="Times New Roman"/>
                      <w:b/>
                    </w:rPr>
                  </w:pPr>
                  <w:r>
                    <w:rPr>
                      <w:rFonts w:hint="default" w:ascii="Times New Roman" w:hAnsi="Times New Roman" w:cs="Times New Roman"/>
                      <w:b/>
                    </w:rPr>
                    <w:t>是否符合</w:t>
                  </w:r>
                </w:p>
              </w:tc>
            </w:tr>
            <w:tr w14:paraId="7AEE45A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59" w:hRule="atLeast"/>
                <w:jc w:val="center"/>
              </w:trPr>
              <w:tc>
                <w:tcPr>
                  <w:tcW w:w="675" w:type="dxa"/>
                  <w:tcBorders>
                    <w:top w:val="single" w:color="auto" w:sz="4" w:space="0"/>
                    <w:bottom w:val="single" w:color="auto" w:sz="4" w:space="0"/>
                    <w:right w:val="single" w:color="auto" w:sz="4" w:space="0"/>
                    <w:tl2br w:val="nil"/>
                    <w:tr2bl w:val="nil"/>
                  </w:tcBorders>
                  <w:vAlign w:val="center"/>
                </w:tcPr>
                <w:p w14:paraId="0583B424">
                  <w:pPr>
                    <w:pStyle w:val="146"/>
                    <w:rPr>
                      <w:rFonts w:hint="default" w:ascii="Times New Roman" w:hAnsi="Times New Roman" w:cs="Times New Roman"/>
                    </w:rPr>
                  </w:pPr>
                  <w:r>
                    <w:rPr>
                      <w:rFonts w:hint="default" w:ascii="Times New Roman" w:hAnsi="Times New Roman" w:cs="Times New Roman"/>
                    </w:rPr>
                    <w:t>源头和过程控制</w:t>
                  </w:r>
                </w:p>
              </w:tc>
              <w:tc>
                <w:tcPr>
                  <w:tcW w:w="3766" w:type="dxa"/>
                  <w:tcBorders>
                    <w:top w:val="single" w:color="auto" w:sz="4" w:space="0"/>
                    <w:left w:val="single" w:color="auto" w:sz="4" w:space="0"/>
                    <w:bottom w:val="single" w:color="auto" w:sz="4" w:space="0"/>
                    <w:right w:val="single" w:color="auto" w:sz="4" w:space="0"/>
                    <w:tl2br w:val="nil"/>
                    <w:tr2bl w:val="nil"/>
                  </w:tcBorders>
                </w:tcPr>
                <w:p w14:paraId="68BA26EF">
                  <w:pPr>
                    <w:pStyle w:val="146"/>
                    <w:rPr>
                      <w:rFonts w:hint="default" w:ascii="Times New Roman" w:hAnsi="Times New Roman" w:cs="Times New Roman"/>
                    </w:rPr>
                  </w:pPr>
                  <w:r>
                    <w:rPr>
                      <w:rFonts w:hint="default" w:ascii="Times New Roman" w:hAnsi="Times New Roman" w:cs="Times New Roman"/>
                    </w:rPr>
                    <w:t>（十）在涂装、印刷、粘合、工业清洗等含 VOCs 产品的使用过程中的 VOCs 污染防治技术措施包括：</w:t>
                  </w:r>
                </w:p>
                <w:p w14:paraId="701C70CD">
                  <w:pPr>
                    <w:pStyle w:val="146"/>
                    <w:rPr>
                      <w:rFonts w:hint="default" w:ascii="Times New Roman" w:hAnsi="Times New Roman" w:cs="Times New Roman"/>
                    </w:rPr>
                  </w:pPr>
                  <w:r>
                    <w:rPr>
                      <w:rFonts w:hint="default" w:ascii="Times New Roman" w:hAnsi="Times New Roman" w:cs="Times New Roman"/>
                    </w:rPr>
                    <w:t>1.鼓励使用通过环境标志产品认证的环保型涂料、油墨、胶粘剂和清洗剂；</w:t>
                  </w:r>
                </w:p>
                <w:p w14:paraId="641D4E2C">
                  <w:pPr>
                    <w:pStyle w:val="146"/>
                    <w:rPr>
                      <w:rFonts w:hint="default" w:ascii="Times New Roman" w:hAnsi="Times New Roman" w:cs="Times New Roman"/>
                    </w:rPr>
                  </w:pPr>
                  <w:r>
                    <w:rPr>
                      <w:rFonts w:hint="default" w:ascii="Times New Roman" w:hAnsi="Times New Roman" w:cs="Times New Roman"/>
                    </w:rPr>
                    <w:t>2.根据涂装工艺的不同，鼓励使用水性涂料、高固份涂料、粉末涂料、紫外光固化（UV）涂料等环保型涂料；推广采用静电喷涂、淋涂、辊涂、浸涂等效率较高的涂装工艺；应尽量避免无VOCs净化、回收措施的露天喷涂作业；</w:t>
                  </w:r>
                </w:p>
                <w:p w14:paraId="28F81572">
                  <w:pPr>
                    <w:pStyle w:val="146"/>
                    <w:rPr>
                      <w:rFonts w:hint="default" w:ascii="Times New Roman" w:hAnsi="Times New Roman" w:cs="Times New Roman"/>
                    </w:rPr>
                  </w:pPr>
                  <w:r>
                    <w:rPr>
                      <w:rFonts w:hint="default" w:ascii="Times New Roman" w:hAnsi="Times New Roman" w:cs="Times New Roman"/>
                    </w:rPr>
                    <w:t>3.含 VOCs 产品的使用过程中，应采取废气收集措施，提高废气收集效率，减少废气的无组织排放与逸散，并对收集后的废气进行回收或处理后达标排放。</w:t>
                  </w:r>
                </w:p>
              </w:tc>
              <w:tc>
                <w:tcPr>
                  <w:tcW w:w="2184" w:type="dxa"/>
                  <w:vMerge w:val="restart"/>
                  <w:tcBorders>
                    <w:top w:val="single" w:color="auto" w:sz="4" w:space="0"/>
                    <w:left w:val="single" w:color="auto" w:sz="4" w:space="0"/>
                    <w:right w:val="single" w:color="auto" w:sz="4" w:space="0"/>
                    <w:tl2br w:val="nil"/>
                    <w:tr2bl w:val="nil"/>
                  </w:tcBorders>
                  <w:vAlign w:val="center"/>
                </w:tcPr>
                <w:p w14:paraId="470EA781">
                  <w:pPr>
                    <w:pStyle w:val="146"/>
                    <w:rPr>
                      <w:rFonts w:hint="default" w:ascii="Times New Roman" w:hAnsi="Times New Roman" w:cs="Times New Roman"/>
                    </w:rPr>
                  </w:pPr>
                </w:p>
                <w:p w14:paraId="0B721ED7">
                  <w:pPr>
                    <w:pStyle w:val="146"/>
                    <w:rPr>
                      <w:rFonts w:hint="default" w:ascii="Times New Roman" w:hAnsi="Times New Roman" w:cs="Times New Roman"/>
                    </w:rPr>
                  </w:pPr>
                  <w:r>
                    <w:rPr>
                      <w:rFonts w:hint="default" w:ascii="Times New Roman" w:hAnsi="Times New Roman" w:cs="Times New Roman"/>
                    </w:rPr>
                    <w:t>本项目注塑废气经</w:t>
                  </w:r>
                  <w:r>
                    <w:rPr>
                      <w:rFonts w:hint="default" w:ascii="Times New Roman" w:hAnsi="Times New Roman" w:cs="Times New Roman"/>
                      <w:szCs w:val="21"/>
                    </w:rPr>
                    <w:t>集气罩+两级活性炭吸附装置+15m排气筒（DA001）</w:t>
                  </w:r>
                </w:p>
              </w:tc>
              <w:tc>
                <w:tcPr>
                  <w:tcW w:w="813" w:type="dxa"/>
                  <w:tcBorders>
                    <w:top w:val="single" w:color="auto" w:sz="4" w:space="0"/>
                    <w:left w:val="single" w:color="auto" w:sz="4" w:space="0"/>
                    <w:bottom w:val="single" w:color="auto" w:sz="4" w:space="0"/>
                    <w:tl2br w:val="nil"/>
                    <w:tr2bl w:val="nil"/>
                  </w:tcBorders>
                  <w:vAlign w:val="center"/>
                </w:tcPr>
                <w:p w14:paraId="7BA5C5C6">
                  <w:pPr>
                    <w:pStyle w:val="146"/>
                    <w:rPr>
                      <w:rFonts w:hint="default" w:ascii="Times New Roman" w:hAnsi="Times New Roman" w:cs="Times New Roman"/>
                    </w:rPr>
                  </w:pPr>
                  <w:r>
                    <w:rPr>
                      <w:rFonts w:hint="default" w:ascii="Times New Roman" w:hAnsi="Times New Roman" w:cs="Times New Roman"/>
                    </w:rPr>
                    <w:t>符合</w:t>
                  </w:r>
                </w:p>
              </w:tc>
            </w:tr>
            <w:tr w14:paraId="472C824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2" w:hRule="atLeast"/>
                <w:jc w:val="center"/>
              </w:trPr>
              <w:tc>
                <w:tcPr>
                  <w:tcW w:w="675" w:type="dxa"/>
                  <w:vMerge w:val="restart"/>
                  <w:tcBorders>
                    <w:top w:val="single" w:color="auto" w:sz="4" w:space="0"/>
                    <w:bottom w:val="single" w:color="auto" w:sz="4" w:space="0"/>
                    <w:right w:val="single" w:color="auto" w:sz="4" w:space="0"/>
                    <w:tl2br w:val="nil"/>
                    <w:tr2bl w:val="nil"/>
                  </w:tcBorders>
                  <w:vAlign w:val="center"/>
                </w:tcPr>
                <w:p w14:paraId="0CCB094A">
                  <w:pPr>
                    <w:pStyle w:val="146"/>
                    <w:rPr>
                      <w:rFonts w:hint="default" w:ascii="Times New Roman" w:hAnsi="Times New Roman" w:cs="Times New Roman"/>
                    </w:rPr>
                  </w:pPr>
                  <w:r>
                    <w:rPr>
                      <w:rFonts w:hint="default" w:ascii="Times New Roman" w:hAnsi="Times New Roman" w:cs="Times New Roman"/>
                    </w:rPr>
                    <w:t>末端治理与综合利</w:t>
                  </w:r>
                </w:p>
                <w:p w14:paraId="1D4D8A9C">
                  <w:pPr>
                    <w:pStyle w:val="146"/>
                    <w:rPr>
                      <w:rFonts w:hint="default" w:ascii="Times New Roman" w:hAnsi="Times New Roman" w:cs="Times New Roman"/>
                    </w:rPr>
                  </w:pPr>
                  <w:r>
                    <w:rPr>
                      <w:rFonts w:hint="default" w:ascii="Times New Roman" w:hAnsi="Times New Roman" w:cs="Times New Roman"/>
                    </w:rPr>
                    <w:t>用</w:t>
                  </w:r>
                </w:p>
              </w:tc>
              <w:tc>
                <w:tcPr>
                  <w:tcW w:w="3766" w:type="dxa"/>
                  <w:tcBorders>
                    <w:top w:val="single" w:color="auto" w:sz="4" w:space="0"/>
                    <w:left w:val="single" w:color="auto" w:sz="4" w:space="0"/>
                    <w:bottom w:val="single" w:color="auto" w:sz="4" w:space="0"/>
                    <w:right w:val="single" w:color="auto" w:sz="4" w:space="0"/>
                    <w:tl2br w:val="nil"/>
                    <w:tr2bl w:val="nil"/>
                  </w:tcBorders>
                </w:tcPr>
                <w:p w14:paraId="0DEC868B">
                  <w:pPr>
                    <w:pStyle w:val="146"/>
                    <w:rPr>
                      <w:rFonts w:hint="default" w:ascii="Times New Roman" w:hAnsi="Times New Roman" w:cs="Times New Roman"/>
                    </w:rPr>
                  </w:pPr>
                  <w:r>
                    <w:rPr>
                      <w:rFonts w:hint="default" w:ascii="Times New Roman" w:hAnsi="Times New Roman" w:cs="Times New Roman"/>
                    </w:rPr>
                    <w:t>（十五）对于含低浓度 VOCs的废气，有回收价值时可采用吸附技术、吸收技术对有机溶剂回收后达标排放；不宜回收时，可采用吸附浓缩燃烧技术、生物技术、吸收技术、等离子体技术或紫外光高级氧化技术等净化后达标排放。</w:t>
                  </w:r>
                </w:p>
              </w:tc>
              <w:tc>
                <w:tcPr>
                  <w:tcW w:w="2184" w:type="dxa"/>
                  <w:vMerge w:val="continue"/>
                  <w:tcBorders>
                    <w:left w:val="single" w:color="auto" w:sz="4" w:space="0"/>
                    <w:bottom w:val="single" w:color="auto" w:sz="4" w:space="0"/>
                    <w:right w:val="single" w:color="auto" w:sz="4" w:space="0"/>
                    <w:tl2br w:val="nil"/>
                    <w:tr2bl w:val="nil"/>
                  </w:tcBorders>
                  <w:vAlign w:val="center"/>
                </w:tcPr>
                <w:p w14:paraId="61E396A2">
                  <w:pPr>
                    <w:pStyle w:val="146"/>
                    <w:rPr>
                      <w:rFonts w:hint="default" w:ascii="Times New Roman" w:hAnsi="Times New Roman" w:cs="Times New Roman"/>
                    </w:rPr>
                  </w:pPr>
                </w:p>
              </w:tc>
              <w:tc>
                <w:tcPr>
                  <w:tcW w:w="813" w:type="dxa"/>
                  <w:vMerge w:val="restart"/>
                  <w:tcBorders>
                    <w:top w:val="single" w:color="auto" w:sz="4" w:space="0"/>
                    <w:left w:val="single" w:color="auto" w:sz="4" w:space="0"/>
                    <w:bottom w:val="single" w:color="auto" w:sz="4" w:space="0"/>
                    <w:tl2br w:val="nil"/>
                    <w:tr2bl w:val="nil"/>
                  </w:tcBorders>
                  <w:vAlign w:val="center"/>
                </w:tcPr>
                <w:p w14:paraId="7320BE3E">
                  <w:pPr>
                    <w:pStyle w:val="146"/>
                    <w:rPr>
                      <w:rFonts w:hint="default" w:ascii="Times New Roman" w:hAnsi="Times New Roman" w:cs="Times New Roman"/>
                    </w:rPr>
                  </w:pPr>
                  <w:r>
                    <w:rPr>
                      <w:rFonts w:hint="default" w:ascii="Times New Roman" w:hAnsi="Times New Roman" w:cs="Times New Roman"/>
                    </w:rPr>
                    <w:t>符合</w:t>
                  </w:r>
                </w:p>
              </w:tc>
            </w:tr>
            <w:tr w14:paraId="4B27E63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2" w:hRule="atLeast"/>
                <w:jc w:val="center"/>
              </w:trPr>
              <w:tc>
                <w:tcPr>
                  <w:tcW w:w="675" w:type="dxa"/>
                  <w:vMerge w:val="continue"/>
                  <w:tcBorders>
                    <w:top w:val="single" w:color="auto" w:sz="4" w:space="0"/>
                    <w:bottom w:val="single" w:color="auto" w:sz="4" w:space="0"/>
                    <w:right w:val="single" w:color="auto" w:sz="4" w:space="0"/>
                    <w:tl2br w:val="nil"/>
                    <w:tr2bl w:val="nil"/>
                  </w:tcBorders>
                  <w:vAlign w:val="center"/>
                </w:tcPr>
                <w:p w14:paraId="6A646CAF">
                  <w:pPr>
                    <w:pStyle w:val="146"/>
                    <w:rPr>
                      <w:rFonts w:hint="default" w:ascii="Times New Roman" w:hAnsi="Times New Roman" w:cs="Times New Roman"/>
                    </w:rPr>
                  </w:pPr>
                </w:p>
              </w:tc>
              <w:tc>
                <w:tcPr>
                  <w:tcW w:w="3766" w:type="dxa"/>
                  <w:tcBorders>
                    <w:top w:val="single" w:color="auto" w:sz="4" w:space="0"/>
                    <w:left w:val="single" w:color="auto" w:sz="4" w:space="0"/>
                    <w:bottom w:val="single" w:color="auto" w:sz="4" w:space="0"/>
                    <w:right w:val="single" w:color="auto" w:sz="4" w:space="0"/>
                    <w:tl2br w:val="nil"/>
                    <w:tr2bl w:val="nil"/>
                  </w:tcBorders>
                </w:tcPr>
                <w:p w14:paraId="563E62FA">
                  <w:pPr>
                    <w:pStyle w:val="146"/>
                    <w:rPr>
                      <w:rFonts w:hint="default" w:ascii="Times New Roman" w:hAnsi="Times New Roman" w:cs="Times New Roman"/>
                    </w:rPr>
                  </w:pPr>
                  <w:r>
                    <w:rPr>
                      <w:rFonts w:hint="default" w:ascii="Times New Roman" w:hAnsi="Times New Roman" w:cs="Times New Roman"/>
                    </w:rPr>
                    <w:t>（二十）对于不能再生的过滤材料、吸附剂及催化剂等净化材料，应按照国家固体废物管理的相关规定处理处置</w:t>
                  </w:r>
                </w:p>
              </w:tc>
              <w:tc>
                <w:tcPr>
                  <w:tcW w:w="2184" w:type="dxa"/>
                  <w:tcBorders>
                    <w:top w:val="single" w:color="auto" w:sz="4" w:space="0"/>
                    <w:left w:val="single" w:color="auto" w:sz="4" w:space="0"/>
                    <w:bottom w:val="single" w:color="auto" w:sz="4" w:space="0"/>
                    <w:right w:val="single" w:color="auto" w:sz="4" w:space="0"/>
                    <w:tl2br w:val="nil"/>
                    <w:tr2bl w:val="nil"/>
                  </w:tcBorders>
                  <w:vAlign w:val="center"/>
                </w:tcPr>
                <w:p w14:paraId="0FBD4275">
                  <w:pPr>
                    <w:pStyle w:val="146"/>
                    <w:rPr>
                      <w:rFonts w:hint="default" w:ascii="Times New Roman" w:hAnsi="Times New Roman" w:cs="Times New Roman"/>
                    </w:rPr>
                  </w:pPr>
                  <w:r>
                    <w:rPr>
                      <w:rFonts w:hint="default" w:ascii="Times New Roman" w:hAnsi="Times New Roman" w:cs="Times New Roman"/>
                    </w:rPr>
                    <w:t>废气治理产生的废活性炭委托有资质单位处置。</w:t>
                  </w:r>
                </w:p>
              </w:tc>
              <w:tc>
                <w:tcPr>
                  <w:tcW w:w="813" w:type="dxa"/>
                  <w:vMerge w:val="continue"/>
                  <w:tcBorders>
                    <w:top w:val="single" w:color="auto" w:sz="4" w:space="0"/>
                    <w:left w:val="single" w:color="auto" w:sz="4" w:space="0"/>
                    <w:bottom w:val="single" w:color="auto" w:sz="4" w:space="0"/>
                    <w:tl2br w:val="nil"/>
                    <w:tr2bl w:val="nil"/>
                  </w:tcBorders>
                  <w:vAlign w:val="center"/>
                </w:tcPr>
                <w:p w14:paraId="3264F853">
                  <w:pPr>
                    <w:pStyle w:val="146"/>
                    <w:rPr>
                      <w:rFonts w:hint="default" w:ascii="Times New Roman" w:hAnsi="Times New Roman" w:cs="Times New Roman"/>
                    </w:rPr>
                  </w:pPr>
                </w:p>
              </w:tc>
            </w:tr>
            <w:tr w14:paraId="018B06E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tcBorders>
                    <w:top w:val="single" w:color="auto" w:sz="4" w:space="0"/>
                    <w:right w:val="single" w:color="auto" w:sz="4" w:space="0"/>
                    <w:tl2br w:val="nil"/>
                    <w:tr2bl w:val="nil"/>
                  </w:tcBorders>
                  <w:vAlign w:val="center"/>
                </w:tcPr>
                <w:p w14:paraId="3D539DB7">
                  <w:pPr>
                    <w:pStyle w:val="146"/>
                    <w:rPr>
                      <w:rFonts w:hint="default" w:ascii="Times New Roman" w:hAnsi="Times New Roman" w:cs="Times New Roman"/>
                    </w:rPr>
                  </w:pPr>
                  <w:r>
                    <w:rPr>
                      <w:rFonts w:hint="default" w:ascii="Times New Roman" w:hAnsi="Times New Roman" w:cs="Times New Roman"/>
                    </w:rPr>
                    <w:t>运行与监测</w:t>
                  </w:r>
                </w:p>
              </w:tc>
              <w:tc>
                <w:tcPr>
                  <w:tcW w:w="3766" w:type="dxa"/>
                  <w:tcBorders>
                    <w:top w:val="single" w:color="auto" w:sz="4" w:space="0"/>
                    <w:left w:val="single" w:color="auto" w:sz="4" w:space="0"/>
                    <w:right w:val="single" w:color="auto" w:sz="4" w:space="0"/>
                    <w:tl2br w:val="nil"/>
                    <w:tr2bl w:val="nil"/>
                  </w:tcBorders>
                </w:tcPr>
                <w:p w14:paraId="5DB6789E">
                  <w:pPr>
                    <w:pStyle w:val="146"/>
                    <w:rPr>
                      <w:rFonts w:hint="default" w:ascii="Times New Roman" w:hAnsi="Times New Roman" w:cs="Times New Roman"/>
                    </w:rPr>
                  </w:pPr>
                  <w:r>
                    <w:rPr>
                      <w:rFonts w:hint="default" w:ascii="Times New Roman" w:hAnsi="Times New Roman" w:cs="Times New Roman"/>
                    </w:rPr>
                    <w:t>（二十六）企业应建立健全VOCs 治理设施的运行维护规程和</w:t>
                  </w:r>
                  <w:r>
                    <w:rPr>
                      <w:rFonts w:hint="eastAsia" w:ascii="Times New Roman" w:hAnsi="Times New Roman" w:cs="Times New Roman"/>
                      <w:lang w:eastAsia="zh-CN"/>
                    </w:rPr>
                    <w:t>台账</w:t>
                  </w:r>
                  <w:r>
                    <w:rPr>
                      <w:rFonts w:hint="default" w:ascii="Times New Roman" w:hAnsi="Times New Roman" w:cs="Times New Roman"/>
                    </w:rPr>
                    <w:t>等日常管理制度，并根据工艺要求定期对各类设备、电气、自控仪表等进行检修维护，确保设施的稳定运行。</w:t>
                  </w:r>
                </w:p>
                <w:p w14:paraId="262D61C1">
                  <w:pPr>
                    <w:pStyle w:val="146"/>
                    <w:rPr>
                      <w:rFonts w:hint="default" w:ascii="Times New Roman" w:hAnsi="Times New Roman" w:cs="Times New Roman"/>
                    </w:rPr>
                  </w:pPr>
                  <w:r>
                    <w:rPr>
                      <w:rFonts w:hint="default" w:ascii="Times New Roman" w:hAnsi="Times New Roman" w:cs="Times New Roman"/>
                    </w:rPr>
                    <w:t>（二十七）当采用吸附回收（浓缩）、催化燃烧、热力焚烧、等离子体等方法进行末端治理时，应编制本单位事故火灾、爆炸等应急救援预案，配备应急救援人员和器材，并开展应急演练。</w:t>
                  </w:r>
                </w:p>
              </w:tc>
              <w:tc>
                <w:tcPr>
                  <w:tcW w:w="2184" w:type="dxa"/>
                  <w:tcBorders>
                    <w:top w:val="single" w:color="auto" w:sz="4" w:space="0"/>
                    <w:left w:val="single" w:color="auto" w:sz="4" w:space="0"/>
                    <w:right w:val="single" w:color="auto" w:sz="4" w:space="0"/>
                    <w:tl2br w:val="nil"/>
                    <w:tr2bl w:val="nil"/>
                  </w:tcBorders>
                  <w:vAlign w:val="center"/>
                </w:tcPr>
                <w:p w14:paraId="594ECF6A">
                  <w:pPr>
                    <w:pStyle w:val="146"/>
                    <w:rPr>
                      <w:rFonts w:hint="default" w:ascii="Times New Roman" w:hAnsi="Times New Roman" w:cs="Times New Roman"/>
                    </w:rPr>
                  </w:pPr>
                  <w:r>
                    <w:rPr>
                      <w:rFonts w:hint="default" w:ascii="Times New Roman" w:hAnsi="Times New Roman" w:cs="Times New Roman"/>
                    </w:rPr>
                    <w:t>本环评要求企业建立相关日常管理制度，加强维护保养，确保设施的稳定运行，并按时编制应急预案，配备应急救援人员和器材，定期开展应急演练。</w:t>
                  </w:r>
                </w:p>
              </w:tc>
              <w:tc>
                <w:tcPr>
                  <w:tcW w:w="813" w:type="dxa"/>
                  <w:tcBorders>
                    <w:top w:val="single" w:color="auto" w:sz="4" w:space="0"/>
                    <w:left w:val="single" w:color="auto" w:sz="4" w:space="0"/>
                    <w:tl2br w:val="nil"/>
                    <w:tr2bl w:val="nil"/>
                  </w:tcBorders>
                  <w:vAlign w:val="center"/>
                </w:tcPr>
                <w:p w14:paraId="3C712651">
                  <w:pPr>
                    <w:pStyle w:val="146"/>
                    <w:rPr>
                      <w:rFonts w:hint="default" w:ascii="Times New Roman" w:hAnsi="Times New Roman" w:cs="Times New Roman"/>
                    </w:rPr>
                  </w:pPr>
                  <w:r>
                    <w:rPr>
                      <w:rFonts w:hint="default" w:ascii="Times New Roman" w:hAnsi="Times New Roman" w:cs="Times New Roman"/>
                    </w:rPr>
                    <w:t>符合</w:t>
                  </w:r>
                </w:p>
              </w:tc>
            </w:tr>
          </w:tbl>
          <w:p w14:paraId="11F8CD02">
            <w:pPr>
              <w:pStyle w:val="109"/>
              <w:rPr>
                <w:rFonts w:hint="default" w:ascii="Times New Roman" w:hAnsi="Times New Roman" w:cs="Times New Roman"/>
              </w:rPr>
            </w:pPr>
            <w:r>
              <w:rPr>
                <w:rFonts w:hint="default" w:ascii="Times New Roman" w:hAnsi="Times New Roman" w:cs="Times New Roman"/>
              </w:rPr>
              <w:t>根据上述内容可知，本项目符合《挥发性有机物（VOCs）污染防治技术政策》相关要求。</w:t>
            </w:r>
          </w:p>
          <w:p w14:paraId="6A0348AE">
            <w:pPr>
              <w:pStyle w:val="109"/>
              <w:ind w:firstLine="482"/>
              <w:rPr>
                <w:rFonts w:hint="default" w:ascii="Times New Roman" w:hAnsi="Times New Roman" w:cs="Times New Roman"/>
              </w:rPr>
            </w:pPr>
            <w:r>
              <w:rPr>
                <w:rFonts w:hint="default" w:ascii="Times New Roman" w:hAnsi="Times New Roman" w:cs="Times New Roman"/>
                <w:b/>
                <w:bCs/>
              </w:rPr>
              <w:t>11、项目与《重点行业挥发性有机物综合治理方案》的通知（环大气[2019]53号）、《2020年挥发性有机物治理攻坚方案》（环大气[2020]33号）相符性分析</w:t>
            </w:r>
          </w:p>
          <w:p w14:paraId="27CE15F4">
            <w:pPr>
              <w:pStyle w:val="34"/>
              <w:spacing w:before="120"/>
              <w:ind w:firstLine="496"/>
              <w:rPr>
                <w:rFonts w:hint="default" w:ascii="Times New Roman" w:hAnsi="Times New Roman" w:cs="Times New Roman"/>
                <w:spacing w:val="4"/>
                <w:szCs w:val="24"/>
              </w:rPr>
            </w:pPr>
            <w:r>
              <w:rPr>
                <w:rFonts w:hint="default" w:ascii="Times New Roman" w:hAnsi="Times New Roman" w:cs="Times New Roman"/>
                <w:spacing w:val="4"/>
                <w:szCs w:val="24"/>
              </w:rPr>
              <w:t>本项目相关要求分析如下：</w:t>
            </w:r>
          </w:p>
          <w:p w14:paraId="2E90848E">
            <w:pPr>
              <w:pStyle w:val="158"/>
              <w:adjustRightInd/>
              <w:spacing w:before="48"/>
              <w:rPr>
                <w:rFonts w:hint="default" w:ascii="Times New Roman" w:hAnsi="Times New Roman" w:cs="Times New Roman"/>
                <w:spacing w:val="6"/>
              </w:rPr>
            </w:pPr>
            <w:r>
              <w:rPr>
                <w:rFonts w:hint="default" w:ascii="Times New Roman" w:hAnsi="Times New Roman" w:cs="Times New Roman"/>
                <w:spacing w:val="6"/>
              </w:rPr>
              <w:t>表 1-9项目与《重点行业挥发性有机物综合治理方案》的相符性分析</w:t>
            </w:r>
          </w:p>
          <w:tbl>
            <w:tblPr>
              <w:tblStyle w:val="36"/>
              <w:tblW w:w="7427"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57"/>
              <w:gridCol w:w="3405"/>
              <w:gridCol w:w="2552"/>
              <w:gridCol w:w="713"/>
            </w:tblGrid>
            <w:tr w14:paraId="69D2999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162" w:type="dxa"/>
                  <w:gridSpan w:val="2"/>
                  <w:tcBorders>
                    <w:tl2br w:val="nil"/>
                    <w:tr2bl w:val="nil"/>
                  </w:tcBorders>
                  <w:vAlign w:val="center"/>
                </w:tcPr>
                <w:p w14:paraId="090D9C1F">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政策内容概要</w:t>
                  </w:r>
                </w:p>
              </w:tc>
              <w:tc>
                <w:tcPr>
                  <w:tcW w:w="2552" w:type="dxa"/>
                  <w:tcBorders>
                    <w:tl2br w:val="nil"/>
                    <w:tr2bl w:val="nil"/>
                  </w:tcBorders>
                  <w:vAlign w:val="center"/>
                </w:tcPr>
                <w:p w14:paraId="1D989696">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本项目情况</w:t>
                  </w:r>
                </w:p>
              </w:tc>
              <w:tc>
                <w:tcPr>
                  <w:tcW w:w="713" w:type="dxa"/>
                  <w:tcBorders>
                    <w:tl2br w:val="nil"/>
                    <w:tr2bl w:val="nil"/>
                  </w:tcBorders>
                  <w:vAlign w:val="center"/>
                </w:tcPr>
                <w:p w14:paraId="1574E786">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结论</w:t>
                  </w:r>
                </w:p>
              </w:tc>
            </w:tr>
            <w:tr w14:paraId="7244573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57" w:type="dxa"/>
                  <w:vMerge w:val="restart"/>
                  <w:tcBorders>
                    <w:tl2br w:val="nil"/>
                    <w:tr2bl w:val="nil"/>
                  </w:tcBorders>
                  <w:vAlign w:val="center"/>
                </w:tcPr>
                <w:p w14:paraId="539F674B">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控制思路与要求</w:t>
                  </w:r>
                </w:p>
              </w:tc>
              <w:tc>
                <w:tcPr>
                  <w:tcW w:w="3405" w:type="dxa"/>
                  <w:tcBorders>
                    <w:tl2br w:val="nil"/>
                    <w:tr2bl w:val="nil"/>
                  </w:tcBorders>
                  <w:vAlign w:val="center"/>
                </w:tcPr>
                <w:p w14:paraId="5ADDD83F">
                  <w:pPr>
                    <w:adjustRightInd w:val="0"/>
                    <w:snapToGrid w:val="0"/>
                    <w:rPr>
                      <w:rFonts w:hint="default" w:ascii="Times New Roman" w:hAnsi="Times New Roman" w:cs="Times New Roman"/>
                      <w:szCs w:val="21"/>
                    </w:rPr>
                  </w:pPr>
                  <w:r>
                    <w:rPr>
                      <w:rFonts w:hint="default" w:ascii="Times New Roman" w:hAnsi="Times New Roman" w:cs="Times New Roman"/>
                      <w:szCs w:val="21"/>
                    </w:rPr>
                    <w:t>大力推进源头替代。工业涂装、包装印刷等行业要加大源头替代力度；企业应大力推广使用低VOCs含量木器涂料、车辆涂料、机械设备涂料、集装箱涂料以及建筑物和构筑物防护涂料等，在技术成熟的行业，推广使用低VOCs含量油墨和胶粘剂。鼓励加快低VOCs含量涂料、油墨、胶粘剂等研发和生产。</w:t>
                  </w:r>
                </w:p>
              </w:tc>
              <w:tc>
                <w:tcPr>
                  <w:tcW w:w="2552" w:type="dxa"/>
                  <w:tcBorders>
                    <w:tl2br w:val="nil"/>
                    <w:tr2bl w:val="nil"/>
                  </w:tcBorders>
                  <w:vAlign w:val="center"/>
                </w:tcPr>
                <w:p w14:paraId="15E663B7">
                  <w:pPr>
                    <w:jc w:val="center"/>
                    <w:rPr>
                      <w:rFonts w:hint="default" w:ascii="Times New Roman" w:hAnsi="Times New Roman" w:cs="Times New Roman"/>
                      <w:szCs w:val="21"/>
                    </w:rPr>
                  </w:pPr>
                  <w:r>
                    <w:rPr>
                      <w:rFonts w:hint="default" w:ascii="Times New Roman" w:hAnsi="Times New Roman" w:cs="Times New Roman"/>
                    </w:rPr>
                    <w:t>本项目属于</w:t>
                  </w:r>
                  <w:r>
                    <w:rPr>
                      <w:rFonts w:hint="default" w:ascii="Times New Roman" w:hAnsi="Times New Roman" w:eastAsia="宋体" w:cs="Times New Roman"/>
                    </w:rPr>
                    <w:t>C2926塑料零件及其他塑料制品制造</w:t>
                  </w:r>
                  <w:r>
                    <w:rPr>
                      <w:rFonts w:hint="default" w:ascii="Times New Roman" w:hAnsi="Times New Roman" w:eastAsia="宋体" w:cs="Times New Roman"/>
                      <w:lang w:val="en-US" w:eastAsia="zh-CN"/>
                    </w:rPr>
                    <w:t>和C3360金属表面处理及热处理加工</w:t>
                  </w:r>
                  <w:r>
                    <w:rPr>
                      <w:rFonts w:hint="default" w:ascii="Times New Roman" w:hAnsi="Times New Roman" w:cs="Times New Roman"/>
                    </w:rPr>
                    <w:t>，</w:t>
                  </w:r>
                  <w:r>
                    <w:rPr>
                      <w:rFonts w:hint="default" w:ascii="Times New Roman" w:hAnsi="Times New Roman" w:cs="Times New Roman"/>
                      <w:szCs w:val="21"/>
                    </w:rPr>
                    <w:t>本项目</w:t>
                  </w:r>
                  <w:r>
                    <w:rPr>
                      <w:rFonts w:hint="default" w:ascii="Times New Roman" w:hAnsi="Times New Roman" w:cs="Times New Roman"/>
                      <w:kern w:val="0"/>
                      <w:szCs w:val="21"/>
                    </w:rPr>
                    <w:t>使用的</w:t>
                  </w:r>
                  <w:r>
                    <w:rPr>
                      <w:rFonts w:hint="default" w:ascii="Times New Roman" w:hAnsi="Times New Roman" w:cs="Times New Roman"/>
                      <w:szCs w:val="21"/>
                    </w:rPr>
                    <w:t>聚乙烯塑料</w:t>
                  </w:r>
                  <w:r>
                    <w:rPr>
                      <w:rFonts w:hint="default" w:ascii="Times New Roman" w:hAnsi="Times New Roman" w:cs="Times New Roman"/>
                      <w:kern w:val="0"/>
                      <w:szCs w:val="21"/>
                    </w:rPr>
                    <w:t>含VOCs的原料属于</w:t>
                  </w:r>
                  <w:r>
                    <w:rPr>
                      <w:rFonts w:hint="default" w:ascii="Times New Roman" w:hAnsi="Times New Roman" w:cs="Times New Roman"/>
                      <w:color w:val="000000"/>
                      <w:kern w:val="0"/>
                      <w:szCs w:val="21"/>
                    </w:rPr>
                    <w:t>低VOCs原辅材料。</w:t>
                  </w:r>
                </w:p>
              </w:tc>
              <w:tc>
                <w:tcPr>
                  <w:tcW w:w="713" w:type="dxa"/>
                  <w:tcBorders>
                    <w:tl2br w:val="nil"/>
                    <w:tr2bl w:val="nil"/>
                  </w:tcBorders>
                  <w:vAlign w:val="center"/>
                </w:tcPr>
                <w:p w14:paraId="7E47C0B6">
                  <w:pPr>
                    <w:adjustRightInd w:val="0"/>
                    <w:snapToGrid w:val="0"/>
                    <w:rPr>
                      <w:rFonts w:hint="default" w:ascii="Times New Roman" w:hAnsi="Times New Roman" w:cs="Times New Roman"/>
                      <w:szCs w:val="21"/>
                    </w:rPr>
                  </w:pPr>
                  <w:r>
                    <w:rPr>
                      <w:rFonts w:hint="default" w:ascii="Times New Roman" w:hAnsi="Times New Roman" w:cs="Times New Roman"/>
                      <w:szCs w:val="21"/>
                    </w:rPr>
                    <w:t>符合</w:t>
                  </w:r>
                </w:p>
              </w:tc>
            </w:tr>
            <w:tr w14:paraId="27BE88B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57" w:type="dxa"/>
                  <w:vMerge w:val="continue"/>
                  <w:tcBorders>
                    <w:tl2br w:val="nil"/>
                    <w:tr2bl w:val="nil"/>
                  </w:tcBorders>
                  <w:vAlign w:val="center"/>
                </w:tcPr>
                <w:p w14:paraId="29FA3958">
                  <w:pPr>
                    <w:adjustRightInd w:val="0"/>
                    <w:snapToGrid w:val="0"/>
                    <w:rPr>
                      <w:rFonts w:hint="default" w:ascii="Times New Roman" w:hAnsi="Times New Roman" w:cs="Times New Roman"/>
                      <w:szCs w:val="21"/>
                    </w:rPr>
                  </w:pPr>
                </w:p>
              </w:tc>
              <w:tc>
                <w:tcPr>
                  <w:tcW w:w="3405" w:type="dxa"/>
                  <w:tcBorders>
                    <w:tl2br w:val="nil"/>
                    <w:tr2bl w:val="nil"/>
                  </w:tcBorders>
                  <w:vAlign w:val="center"/>
                </w:tcPr>
                <w:p w14:paraId="68771A41">
                  <w:pPr>
                    <w:adjustRightInd w:val="0"/>
                    <w:snapToGrid w:val="0"/>
                    <w:rPr>
                      <w:rFonts w:hint="default" w:ascii="Times New Roman" w:hAnsi="Times New Roman" w:cs="Times New Roman"/>
                      <w:szCs w:val="21"/>
                    </w:rPr>
                  </w:pPr>
                  <w:r>
                    <w:rPr>
                      <w:rFonts w:hint="default" w:ascii="Times New Roman" w:hAnsi="Times New Roman" w:cs="Times New Roman"/>
                      <w:szCs w:val="21"/>
                    </w:rPr>
                    <w:t>全面加强无组织排放控制。重点对含VOCs物料（包括含VOCs原辅材料、含VOCs产品、含VOCs废料以及有机聚合物材料等）储存、转移和输送、设备与管线组件泄漏、敞开液面逸散以及工艺过程等五类排放源实施管控，通过采取设备与场所密闭、工艺改进、废气有效收集等措施，削减VOCs无组织排放。</w:t>
                  </w:r>
                </w:p>
              </w:tc>
              <w:tc>
                <w:tcPr>
                  <w:tcW w:w="2552" w:type="dxa"/>
                  <w:tcBorders>
                    <w:tl2br w:val="nil"/>
                    <w:tr2bl w:val="nil"/>
                  </w:tcBorders>
                  <w:vAlign w:val="center"/>
                </w:tcPr>
                <w:p w14:paraId="344D6053">
                  <w:pPr>
                    <w:adjustRightInd w:val="0"/>
                    <w:snapToGrid w:val="0"/>
                    <w:rPr>
                      <w:rFonts w:hint="default" w:ascii="Times New Roman" w:hAnsi="Times New Roman" w:cs="Times New Roman"/>
                      <w:szCs w:val="21"/>
                    </w:rPr>
                  </w:pPr>
                  <w:r>
                    <w:rPr>
                      <w:rFonts w:hint="default" w:ascii="Times New Roman" w:hAnsi="Times New Roman" w:cs="Times New Roman"/>
                      <w:szCs w:val="21"/>
                    </w:rPr>
                    <w:t>项目喷塑在密闭车间进行，有效的减少无组织废气的排放。</w:t>
                  </w:r>
                </w:p>
              </w:tc>
              <w:tc>
                <w:tcPr>
                  <w:tcW w:w="713" w:type="dxa"/>
                  <w:tcBorders>
                    <w:tl2br w:val="nil"/>
                    <w:tr2bl w:val="nil"/>
                  </w:tcBorders>
                  <w:vAlign w:val="center"/>
                </w:tcPr>
                <w:p w14:paraId="0523923F">
                  <w:pPr>
                    <w:adjustRightInd w:val="0"/>
                    <w:snapToGrid w:val="0"/>
                    <w:rPr>
                      <w:rFonts w:hint="default" w:ascii="Times New Roman" w:hAnsi="Times New Roman" w:cs="Times New Roman"/>
                      <w:szCs w:val="21"/>
                    </w:rPr>
                  </w:pPr>
                  <w:r>
                    <w:rPr>
                      <w:rFonts w:hint="default" w:ascii="Times New Roman" w:hAnsi="Times New Roman" w:cs="Times New Roman"/>
                      <w:szCs w:val="21"/>
                    </w:rPr>
                    <w:t>符合</w:t>
                  </w:r>
                </w:p>
              </w:tc>
            </w:tr>
            <w:tr w14:paraId="1CA50EA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57" w:type="dxa"/>
                  <w:vMerge w:val="continue"/>
                  <w:tcBorders>
                    <w:tl2br w:val="nil"/>
                    <w:tr2bl w:val="nil"/>
                  </w:tcBorders>
                  <w:vAlign w:val="center"/>
                </w:tcPr>
                <w:p w14:paraId="0559C012">
                  <w:pPr>
                    <w:adjustRightInd w:val="0"/>
                    <w:snapToGrid w:val="0"/>
                    <w:rPr>
                      <w:rFonts w:hint="default" w:ascii="Times New Roman" w:hAnsi="Times New Roman" w:cs="Times New Roman"/>
                      <w:szCs w:val="21"/>
                    </w:rPr>
                  </w:pPr>
                </w:p>
              </w:tc>
              <w:tc>
                <w:tcPr>
                  <w:tcW w:w="3405" w:type="dxa"/>
                  <w:tcBorders>
                    <w:tl2br w:val="nil"/>
                    <w:tr2bl w:val="nil"/>
                  </w:tcBorders>
                  <w:vAlign w:val="center"/>
                </w:tcPr>
                <w:p w14:paraId="48D154EF">
                  <w:pPr>
                    <w:adjustRightInd w:val="0"/>
                    <w:snapToGrid w:val="0"/>
                    <w:rPr>
                      <w:rFonts w:hint="default" w:ascii="Times New Roman" w:hAnsi="Times New Roman" w:cs="Times New Roman"/>
                      <w:szCs w:val="21"/>
                    </w:rPr>
                  </w:pPr>
                  <w:r>
                    <w:rPr>
                      <w:rFonts w:hint="default" w:ascii="Times New Roman" w:hAnsi="Times New Roman" w:cs="Times New Roman"/>
                      <w:szCs w:val="21"/>
                    </w:rPr>
                    <w:t>推进建设适宜高效的治污设施。企业新建治污设施或对现有治污设施实施改造，应依据排放废气的浓度、组分、风量，温度、湿度、压力，以及生产工况等，合理选择治理技术。鼓励企业采用多种技术的组合工艺，提高VOCs治理效率。</w:t>
                  </w:r>
                </w:p>
              </w:tc>
              <w:tc>
                <w:tcPr>
                  <w:tcW w:w="2552" w:type="dxa"/>
                  <w:tcBorders>
                    <w:tl2br w:val="nil"/>
                    <w:tr2bl w:val="nil"/>
                  </w:tcBorders>
                  <w:vAlign w:val="center"/>
                </w:tcPr>
                <w:p w14:paraId="6BB26FCD">
                  <w:pPr>
                    <w:pStyle w:val="146"/>
                    <w:rPr>
                      <w:rFonts w:hint="default" w:ascii="Times New Roman" w:hAnsi="Times New Roman" w:cs="Times New Roman"/>
                    </w:rPr>
                  </w:pPr>
                </w:p>
                <w:p w14:paraId="2248699B">
                  <w:pPr>
                    <w:pStyle w:val="146"/>
                    <w:rPr>
                      <w:rFonts w:hint="default" w:ascii="Times New Roman" w:hAnsi="Times New Roman" w:cs="Times New Roman"/>
                      <w:szCs w:val="21"/>
                    </w:rPr>
                  </w:pPr>
                  <w:r>
                    <w:rPr>
                      <w:rFonts w:hint="default" w:ascii="Times New Roman" w:hAnsi="Times New Roman" w:cs="Times New Roman"/>
                    </w:rPr>
                    <w:t>本项目注塑废气经</w:t>
                  </w:r>
                  <w:r>
                    <w:rPr>
                      <w:rFonts w:hint="default" w:ascii="Times New Roman" w:hAnsi="Times New Roman" w:cs="Times New Roman"/>
                      <w:szCs w:val="21"/>
                    </w:rPr>
                    <w:t>集气罩+两级活性炭吸附装置+15m排气筒（DA001）</w:t>
                  </w:r>
                </w:p>
              </w:tc>
              <w:tc>
                <w:tcPr>
                  <w:tcW w:w="713" w:type="dxa"/>
                  <w:tcBorders>
                    <w:tl2br w:val="nil"/>
                    <w:tr2bl w:val="nil"/>
                  </w:tcBorders>
                  <w:vAlign w:val="center"/>
                </w:tcPr>
                <w:p w14:paraId="7B62488B">
                  <w:pPr>
                    <w:adjustRightInd w:val="0"/>
                    <w:snapToGrid w:val="0"/>
                    <w:rPr>
                      <w:rFonts w:hint="default" w:ascii="Times New Roman" w:hAnsi="Times New Roman" w:cs="Times New Roman"/>
                      <w:szCs w:val="21"/>
                    </w:rPr>
                  </w:pPr>
                  <w:r>
                    <w:rPr>
                      <w:rFonts w:hint="default" w:ascii="Times New Roman" w:hAnsi="Times New Roman" w:cs="Times New Roman"/>
                      <w:szCs w:val="21"/>
                    </w:rPr>
                    <w:t>符合</w:t>
                  </w:r>
                </w:p>
              </w:tc>
            </w:tr>
            <w:tr w14:paraId="28E2DB3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57" w:type="dxa"/>
                  <w:tcBorders>
                    <w:tl2br w:val="nil"/>
                    <w:tr2bl w:val="nil"/>
                  </w:tcBorders>
                  <w:vAlign w:val="center"/>
                </w:tcPr>
                <w:p w14:paraId="6BE9F48F">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重点行业治理任务</w:t>
                  </w:r>
                </w:p>
              </w:tc>
              <w:tc>
                <w:tcPr>
                  <w:tcW w:w="3405" w:type="dxa"/>
                  <w:tcBorders>
                    <w:tl2br w:val="nil"/>
                    <w:tr2bl w:val="nil"/>
                  </w:tcBorders>
                  <w:vAlign w:val="center"/>
                </w:tcPr>
                <w:p w14:paraId="0F1EE2BD">
                  <w:pPr>
                    <w:adjustRightInd w:val="0"/>
                    <w:snapToGrid w:val="0"/>
                    <w:rPr>
                      <w:rFonts w:hint="default" w:ascii="Times New Roman" w:hAnsi="Times New Roman" w:cs="Times New Roman"/>
                      <w:szCs w:val="21"/>
                    </w:rPr>
                  </w:pPr>
                  <w:r>
                    <w:rPr>
                      <w:rFonts w:hint="default" w:ascii="Times New Roman" w:hAnsi="Times New Roman" w:cs="Times New Roman"/>
                      <w:szCs w:val="21"/>
                    </w:rPr>
                    <w:t>工业涂装VOCs综合治理。加大汽车、家具、集装箱、电子产品、工程机械等行业VOCs治理力度，重点区域应结合本地产业特征，加快实施其他行业涂装VOCs综合治理。</w:t>
                  </w:r>
                </w:p>
              </w:tc>
              <w:tc>
                <w:tcPr>
                  <w:tcW w:w="2552" w:type="dxa"/>
                  <w:tcBorders>
                    <w:tl2br w:val="nil"/>
                    <w:tr2bl w:val="nil"/>
                  </w:tcBorders>
                  <w:vAlign w:val="center"/>
                </w:tcPr>
                <w:p w14:paraId="5A3FA8D2">
                  <w:pPr>
                    <w:adjustRightInd w:val="0"/>
                    <w:snapToGrid w:val="0"/>
                    <w:rPr>
                      <w:rFonts w:hint="default" w:ascii="Times New Roman" w:hAnsi="Times New Roman" w:cs="Times New Roman"/>
                      <w:szCs w:val="21"/>
                    </w:rPr>
                  </w:pPr>
                  <w:r>
                    <w:rPr>
                      <w:rFonts w:hint="default" w:ascii="Times New Roman" w:hAnsi="Times New Roman" w:cs="Times New Roman"/>
                      <w:szCs w:val="21"/>
                    </w:rPr>
                    <w:t>本项目采取有效的VOCs收集和处理装置。</w:t>
                  </w:r>
                </w:p>
              </w:tc>
              <w:tc>
                <w:tcPr>
                  <w:tcW w:w="713" w:type="dxa"/>
                  <w:tcBorders>
                    <w:tl2br w:val="nil"/>
                    <w:tr2bl w:val="nil"/>
                  </w:tcBorders>
                  <w:vAlign w:val="center"/>
                </w:tcPr>
                <w:p w14:paraId="7E4574C3">
                  <w:pPr>
                    <w:adjustRightInd w:val="0"/>
                    <w:snapToGrid w:val="0"/>
                    <w:rPr>
                      <w:rFonts w:hint="default" w:ascii="Times New Roman" w:hAnsi="Times New Roman" w:cs="Times New Roman"/>
                      <w:szCs w:val="21"/>
                    </w:rPr>
                  </w:pPr>
                  <w:r>
                    <w:rPr>
                      <w:rFonts w:hint="default" w:ascii="Times New Roman" w:hAnsi="Times New Roman" w:cs="Times New Roman"/>
                      <w:szCs w:val="21"/>
                    </w:rPr>
                    <w:t>符合</w:t>
                  </w:r>
                </w:p>
              </w:tc>
            </w:tr>
          </w:tbl>
          <w:p w14:paraId="0B6A4C31">
            <w:pPr>
              <w:pStyle w:val="158"/>
              <w:adjustRightInd/>
              <w:spacing w:before="48"/>
              <w:rPr>
                <w:rFonts w:hint="default" w:ascii="Times New Roman" w:hAnsi="Times New Roman" w:cs="Times New Roman"/>
                <w:spacing w:val="6"/>
              </w:rPr>
            </w:pPr>
            <w:r>
              <w:rPr>
                <w:rFonts w:hint="default" w:ascii="Times New Roman" w:hAnsi="Times New Roman" w:cs="Times New Roman"/>
                <w:spacing w:val="6"/>
              </w:rPr>
              <w:t>表 1-10 项目与《2020年挥发性有机物治理攻坚方案》（环大气[2020]33号）的相符性分析</w:t>
            </w:r>
          </w:p>
          <w:tbl>
            <w:tblPr>
              <w:tblStyle w:val="36"/>
              <w:tblW w:w="7274"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540"/>
              <w:gridCol w:w="3555"/>
              <w:gridCol w:w="2479"/>
              <w:gridCol w:w="700"/>
            </w:tblGrid>
            <w:tr w14:paraId="5668F9D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40" w:type="dxa"/>
                  <w:vMerge w:val="restart"/>
                  <w:tcBorders>
                    <w:tl2br w:val="nil"/>
                    <w:tr2bl w:val="nil"/>
                  </w:tcBorders>
                  <w:vAlign w:val="center"/>
                </w:tcPr>
                <w:p w14:paraId="5A1C50EE">
                  <w:pPr>
                    <w:adjustRightInd w:val="0"/>
                    <w:snapToGrid w:val="0"/>
                    <w:rPr>
                      <w:rFonts w:hint="default" w:ascii="Times New Roman" w:hAnsi="Times New Roman" w:cs="Times New Roman"/>
                      <w:szCs w:val="21"/>
                    </w:rPr>
                  </w:pPr>
                  <w:r>
                    <w:rPr>
                      <w:rFonts w:hint="default" w:ascii="Times New Roman" w:hAnsi="Times New Roman" w:cs="Times New Roman"/>
                      <w:szCs w:val="21"/>
                    </w:rPr>
                    <w:t>控制思路与要求</w:t>
                  </w:r>
                </w:p>
              </w:tc>
              <w:tc>
                <w:tcPr>
                  <w:tcW w:w="3555" w:type="dxa"/>
                  <w:tcBorders>
                    <w:tl2br w:val="nil"/>
                    <w:tr2bl w:val="nil"/>
                  </w:tcBorders>
                  <w:vAlign w:val="center"/>
                </w:tcPr>
                <w:p w14:paraId="2337BC5A">
                  <w:pPr>
                    <w:pStyle w:val="187"/>
                    <w:widowControl/>
                    <w:spacing w:line="300" w:lineRule="exact"/>
                    <w:ind w:firstLine="422"/>
                    <w:rPr>
                      <w:rFonts w:hint="default" w:ascii="Times New Roman" w:hAnsi="Times New Roman" w:cs="Times New Roman"/>
                      <w:b/>
                      <w:bCs/>
                      <w:sz w:val="21"/>
                      <w:szCs w:val="21"/>
                    </w:rPr>
                  </w:pPr>
                  <w:r>
                    <w:rPr>
                      <w:rFonts w:hint="default" w:ascii="Times New Roman" w:hAnsi="Times New Roman" w:cs="Times New Roman"/>
                      <w:b/>
                      <w:bCs/>
                      <w:sz w:val="21"/>
                      <w:szCs w:val="21"/>
                    </w:rPr>
                    <w:t>政策内容概要</w:t>
                  </w:r>
                </w:p>
              </w:tc>
              <w:tc>
                <w:tcPr>
                  <w:tcW w:w="2479" w:type="dxa"/>
                  <w:tcBorders>
                    <w:tl2br w:val="nil"/>
                    <w:tr2bl w:val="nil"/>
                  </w:tcBorders>
                  <w:vAlign w:val="center"/>
                </w:tcPr>
                <w:p w14:paraId="06A25CFD">
                  <w:pPr>
                    <w:pStyle w:val="187"/>
                    <w:widowControl/>
                    <w:spacing w:line="300" w:lineRule="exact"/>
                    <w:ind w:firstLine="422"/>
                    <w:rPr>
                      <w:rFonts w:hint="default" w:ascii="Times New Roman" w:hAnsi="Times New Roman" w:cs="Times New Roman"/>
                      <w:b/>
                      <w:bCs/>
                      <w:sz w:val="21"/>
                      <w:szCs w:val="21"/>
                    </w:rPr>
                  </w:pPr>
                  <w:r>
                    <w:rPr>
                      <w:rFonts w:hint="default" w:ascii="Times New Roman" w:hAnsi="Times New Roman" w:cs="Times New Roman"/>
                      <w:b/>
                      <w:bCs/>
                      <w:sz w:val="21"/>
                      <w:szCs w:val="21"/>
                    </w:rPr>
                    <w:t>本项目情况</w:t>
                  </w:r>
                </w:p>
              </w:tc>
              <w:tc>
                <w:tcPr>
                  <w:tcW w:w="700" w:type="dxa"/>
                  <w:tcBorders>
                    <w:tl2br w:val="nil"/>
                    <w:tr2bl w:val="nil"/>
                  </w:tcBorders>
                  <w:vAlign w:val="center"/>
                </w:tcPr>
                <w:p w14:paraId="6C4F3A17">
                  <w:pPr>
                    <w:pStyle w:val="187"/>
                    <w:widowControl/>
                    <w:spacing w:line="240" w:lineRule="auto"/>
                    <w:ind w:firstLine="0" w:firstLineChars="0"/>
                    <w:rPr>
                      <w:rFonts w:hint="default" w:ascii="Times New Roman" w:hAnsi="Times New Roman" w:cs="Times New Roman"/>
                      <w:b/>
                      <w:bCs/>
                      <w:sz w:val="21"/>
                      <w:szCs w:val="21"/>
                    </w:rPr>
                  </w:pPr>
                  <w:r>
                    <w:rPr>
                      <w:rFonts w:hint="default" w:ascii="Times New Roman" w:hAnsi="Times New Roman" w:cs="Times New Roman"/>
                      <w:b/>
                      <w:bCs/>
                      <w:sz w:val="21"/>
                      <w:szCs w:val="21"/>
                    </w:rPr>
                    <w:t>结论</w:t>
                  </w:r>
                </w:p>
              </w:tc>
            </w:tr>
            <w:tr w14:paraId="0A0DCE3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40" w:type="dxa"/>
                  <w:vMerge w:val="continue"/>
                  <w:tcBorders>
                    <w:tl2br w:val="nil"/>
                    <w:tr2bl w:val="nil"/>
                  </w:tcBorders>
                  <w:vAlign w:val="center"/>
                </w:tcPr>
                <w:p w14:paraId="2ADF9EE0">
                  <w:pPr>
                    <w:adjustRightInd w:val="0"/>
                    <w:snapToGrid w:val="0"/>
                    <w:rPr>
                      <w:rFonts w:hint="default" w:ascii="Times New Roman" w:hAnsi="Times New Roman" w:cs="Times New Roman"/>
                      <w:szCs w:val="21"/>
                    </w:rPr>
                  </w:pPr>
                </w:p>
              </w:tc>
              <w:tc>
                <w:tcPr>
                  <w:tcW w:w="3555" w:type="dxa"/>
                  <w:tcBorders>
                    <w:tl2br w:val="nil"/>
                    <w:tr2bl w:val="nil"/>
                  </w:tcBorders>
                  <w:vAlign w:val="center"/>
                </w:tcPr>
                <w:p w14:paraId="4AA623B4">
                  <w:pPr>
                    <w:adjustRightInd w:val="0"/>
                    <w:snapToGrid w:val="0"/>
                    <w:rPr>
                      <w:rFonts w:hint="default" w:ascii="Times New Roman" w:hAnsi="Times New Roman" w:cs="Times New Roman"/>
                      <w:szCs w:val="21"/>
                    </w:rPr>
                  </w:pPr>
                  <w:r>
                    <w:rPr>
                      <w:rFonts w:hint="default" w:ascii="Times New Roman" w:hAnsi="Times New Roman" w:cs="Times New Roman"/>
                      <w:szCs w:val="21"/>
                    </w:rPr>
                    <w:t>大力推进低（无）VOCs 含量原辅材料替代。将全面使用符合国家要求的低VOCs 含量原辅材料的企业纳入正面清单和政府绿色采购清单。</w:t>
                  </w:r>
                </w:p>
              </w:tc>
              <w:tc>
                <w:tcPr>
                  <w:tcW w:w="2479" w:type="dxa"/>
                  <w:tcBorders>
                    <w:tl2br w:val="nil"/>
                    <w:tr2bl w:val="nil"/>
                  </w:tcBorders>
                  <w:vAlign w:val="center"/>
                </w:tcPr>
                <w:p w14:paraId="53E9D71F">
                  <w:pPr>
                    <w:adjustRightInd w:val="0"/>
                    <w:snapToGrid w:val="0"/>
                    <w:rPr>
                      <w:rFonts w:hint="default" w:ascii="Times New Roman" w:hAnsi="Times New Roman" w:cs="Times New Roman"/>
                      <w:szCs w:val="21"/>
                    </w:rPr>
                  </w:pPr>
                  <w:r>
                    <w:rPr>
                      <w:rFonts w:hint="default" w:ascii="Times New Roman" w:hAnsi="Times New Roman" w:cs="Times New Roman"/>
                      <w:szCs w:val="21"/>
                    </w:rPr>
                    <w:t>本项目属于C2929塑料零件及其他塑料制品制造，本项目使用的聚乙烯含VOCs的原料属于低VOCs原辅材料。</w:t>
                  </w:r>
                </w:p>
              </w:tc>
              <w:tc>
                <w:tcPr>
                  <w:tcW w:w="700" w:type="dxa"/>
                  <w:tcBorders>
                    <w:tl2br w:val="nil"/>
                    <w:tr2bl w:val="nil"/>
                  </w:tcBorders>
                  <w:vAlign w:val="center"/>
                </w:tcPr>
                <w:p w14:paraId="413F0931">
                  <w:pPr>
                    <w:adjustRightInd w:val="0"/>
                    <w:snapToGrid w:val="0"/>
                    <w:rPr>
                      <w:rFonts w:hint="default" w:ascii="Times New Roman" w:hAnsi="Times New Roman" w:cs="Times New Roman"/>
                      <w:szCs w:val="21"/>
                    </w:rPr>
                  </w:pPr>
                  <w:r>
                    <w:rPr>
                      <w:rFonts w:hint="default" w:ascii="Times New Roman" w:hAnsi="Times New Roman" w:cs="Times New Roman"/>
                      <w:szCs w:val="21"/>
                    </w:rPr>
                    <w:t>符合</w:t>
                  </w:r>
                </w:p>
              </w:tc>
            </w:tr>
            <w:tr w14:paraId="5F188B2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40" w:type="dxa"/>
                  <w:vMerge w:val="continue"/>
                  <w:tcBorders>
                    <w:tl2br w:val="nil"/>
                    <w:tr2bl w:val="nil"/>
                  </w:tcBorders>
                  <w:vAlign w:val="center"/>
                </w:tcPr>
                <w:p w14:paraId="46499056">
                  <w:pPr>
                    <w:adjustRightInd w:val="0"/>
                    <w:snapToGrid w:val="0"/>
                    <w:rPr>
                      <w:rFonts w:hint="default" w:ascii="Times New Roman" w:hAnsi="Times New Roman" w:cs="Times New Roman"/>
                      <w:szCs w:val="21"/>
                    </w:rPr>
                  </w:pPr>
                </w:p>
              </w:tc>
              <w:tc>
                <w:tcPr>
                  <w:tcW w:w="3555" w:type="dxa"/>
                  <w:tcBorders>
                    <w:tl2br w:val="nil"/>
                    <w:tr2bl w:val="nil"/>
                  </w:tcBorders>
                  <w:vAlign w:val="center"/>
                </w:tcPr>
                <w:p w14:paraId="24182D80">
                  <w:pPr>
                    <w:adjustRightInd w:val="0"/>
                    <w:snapToGrid w:val="0"/>
                    <w:rPr>
                      <w:rFonts w:hint="default" w:ascii="Times New Roman" w:hAnsi="Times New Roman" w:cs="Times New Roman"/>
                      <w:szCs w:val="21"/>
                    </w:rPr>
                  </w:pPr>
                  <w:r>
                    <w:rPr>
                      <w:rFonts w:hint="default" w:ascii="Times New Roman" w:hAnsi="Times New Roman" w:cs="Times New Roman"/>
                      <w:szCs w:val="21"/>
                    </w:rPr>
                    <w:t>全面落实标准要求，强化无组织排放控制</w:t>
                  </w:r>
                </w:p>
              </w:tc>
              <w:tc>
                <w:tcPr>
                  <w:tcW w:w="2479" w:type="dxa"/>
                  <w:tcBorders>
                    <w:tl2br w:val="nil"/>
                    <w:tr2bl w:val="nil"/>
                  </w:tcBorders>
                  <w:vAlign w:val="center"/>
                </w:tcPr>
                <w:p w14:paraId="65C2DB51">
                  <w:pPr>
                    <w:adjustRightInd w:val="0"/>
                    <w:snapToGrid w:val="0"/>
                    <w:rPr>
                      <w:rFonts w:hint="default" w:ascii="Times New Roman" w:hAnsi="Times New Roman" w:cs="Times New Roman"/>
                      <w:szCs w:val="21"/>
                    </w:rPr>
                  </w:pPr>
                  <w:r>
                    <w:rPr>
                      <w:rFonts w:hint="default" w:ascii="Times New Roman" w:hAnsi="Times New Roman" w:cs="Times New Roman"/>
                      <w:szCs w:val="21"/>
                    </w:rPr>
                    <w:t>项目喷塑在密闭车间进行，有效的减少无组织废气的排放。</w:t>
                  </w:r>
                </w:p>
              </w:tc>
              <w:tc>
                <w:tcPr>
                  <w:tcW w:w="700" w:type="dxa"/>
                  <w:tcBorders>
                    <w:tl2br w:val="nil"/>
                    <w:tr2bl w:val="nil"/>
                  </w:tcBorders>
                  <w:vAlign w:val="center"/>
                </w:tcPr>
                <w:p w14:paraId="4CFD5A57">
                  <w:pPr>
                    <w:adjustRightInd w:val="0"/>
                    <w:snapToGrid w:val="0"/>
                    <w:rPr>
                      <w:rFonts w:hint="default" w:ascii="Times New Roman" w:hAnsi="Times New Roman" w:cs="Times New Roman"/>
                      <w:szCs w:val="21"/>
                    </w:rPr>
                  </w:pPr>
                  <w:r>
                    <w:rPr>
                      <w:rFonts w:hint="default" w:ascii="Times New Roman" w:hAnsi="Times New Roman" w:cs="Times New Roman"/>
                      <w:szCs w:val="21"/>
                    </w:rPr>
                    <w:t>符合</w:t>
                  </w:r>
                </w:p>
              </w:tc>
            </w:tr>
            <w:tr w14:paraId="618CDC4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40" w:type="dxa"/>
                  <w:vMerge w:val="continue"/>
                  <w:tcBorders>
                    <w:tl2br w:val="nil"/>
                    <w:tr2bl w:val="nil"/>
                  </w:tcBorders>
                  <w:vAlign w:val="center"/>
                </w:tcPr>
                <w:p w14:paraId="0676F1BE">
                  <w:pPr>
                    <w:adjustRightInd w:val="0"/>
                    <w:snapToGrid w:val="0"/>
                    <w:rPr>
                      <w:rFonts w:hint="default" w:ascii="Times New Roman" w:hAnsi="Times New Roman" w:cs="Times New Roman"/>
                      <w:szCs w:val="21"/>
                    </w:rPr>
                  </w:pPr>
                </w:p>
              </w:tc>
              <w:tc>
                <w:tcPr>
                  <w:tcW w:w="3555" w:type="dxa"/>
                  <w:tcBorders>
                    <w:tl2br w:val="nil"/>
                    <w:tr2bl w:val="nil"/>
                  </w:tcBorders>
                  <w:vAlign w:val="center"/>
                </w:tcPr>
                <w:p w14:paraId="16D31204">
                  <w:pPr>
                    <w:adjustRightInd w:val="0"/>
                    <w:snapToGrid w:val="0"/>
                    <w:rPr>
                      <w:rFonts w:hint="default" w:ascii="Times New Roman" w:hAnsi="Times New Roman" w:cs="Times New Roman"/>
                      <w:szCs w:val="21"/>
                    </w:rPr>
                  </w:pPr>
                  <w:r>
                    <w:rPr>
                      <w:rFonts w:hint="default" w:ascii="Times New Roman" w:hAnsi="Times New Roman" w:cs="Times New Roman"/>
                      <w:szCs w:val="21"/>
                    </w:rPr>
                    <w:t>开展含 VOCs 物料（包括含 VOCs 原辅材料、含 VOCs 产品、含 VOCs 废料以及有机聚合物  材料等）储存、转移和输送、设备与管线组件泄漏、敞开液面逸散以及工艺过程等无组织排放环节排查整治</w:t>
                  </w:r>
                </w:p>
              </w:tc>
              <w:tc>
                <w:tcPr>
                  <w:tcW w:w="2479" w:type="dxa"/>
                  <w:tcBorders>
                    <w:tl2br w:val="nil"/>
                    <w:tr2bl w:val="nil"/>
                  </w:tcBorders>
                  <w:vAlign w:val="center"/>
                </w:tcPr>
                <w:p w14:paraId="4BB3994B">
                  <w:pPr>
                    <w:adjustRightInd w:val="0"/>
                    <w:snapToGrid w:val="0"/>
                    <w:rPr>
                      <w:rFonts w:hint="default" w:ascii="Times New Roman" w:hAnsi="Times New Roman" w:cs="Times New Roman"/>
                      <w:szCs w:val="21"/>
                    </w:rPr>
                  </w:pPr>
                  <w:r>
                    <w:rPr>
                      <w:rFonts w:hint="default" w:ascii="Times New Roman" w:hAnsi="Times New Roman" w:cs="Times New Roman"/>
                      <w:szCs w:val="21"/>
                    </w:rPr>
                    <w:t>项目喷塑在密闭车间进行，有效的减少无组织废气的排放。</w:t>
                  </w:r>
                </w:p>
              </w:tc>
              <w:tc>
                <w:tcPr>
                  <w:tcW w:w="700" w:type="dxa"/>
                  <w:tcBorders>
                    <w:tl2br w:val="nil"/>
                    <w:tr2bl w:val="nil"/>
                  </w:tcBorders>
                  <w:vAlign w:val="center"/>
                </w:tcPr>
                <w:p w14:paraId="0E24BC47">
                  <w:pPr>
                    <w:adjustRightInd w:val="0"/>
                    <w:snapToGrid w:val="0"/>
                    <w:rPr>
                      <w:rFonts w:hint="default" w:ascii="Times New Roman" w:hAnsi="Times New Roman" w:cs="Times New Roman"/>
                      <w:szCs w:val="21"/>
                    </w:rPr>
                  </w:pPr>
                  <w:r>
                    <w:rPr>
                      <w:rFonts w:hint="default" w:ascii="Times New Roman" w:hAnsi="Times New Roman" w:cs="Times New Roman"/>
                      <w:szCs w:val="21"/>
                    </w:rPr>
                    <w:t>符合</w:t>
                  </w:r>
                </w:p>
              </w:tc>
            </w:tr>
            <w:tr w14:paraId="0604635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40" w:type="dxa"/>
                  <w:vMerge w:val="continue"/>
                  <w:tcBorders>
                    <w:tl2br w:val="nil"/>
                    <w:tr2bl w:val="nil"/>
                  </w:tcBorders>
                  <w:vAlign w:val="center"/>
                </w:tcPr>
                <w:p w14:paraId="3843F26E">
                  <w:pPr>
                    <w:adjustRightInd w:val="0"/>
                    <w:snapToGrid w:val="0"/>
                    <w:rPr>
                      <w:rFonts w:hint="default" w:ascii="Times New Roman" w:hAnsi="Times New Roman" w:cs="Times New Roman"/>
                      <w:szCs w:val="21"/>
                    </w:rPr>
                  </w:pPr>
                </w:p>
              </w:tc>
              <w:tc>
                <w:tcPr>
                  <w:tcW w:w="3555" w:type="dxa"/>
                  <w:tcBorders>
                    <w:tl2br w:val="nil"/>
                    <w:tr2bl w:val="nil"/>
                  </w:tcBorders>
                  <w:vAlign w:val="center"/>
                </w:tcPr>
                <w:p w14:paraId="0D3E95B7">
                  <w:pPr>
                    <w:adjustRightInd w:val="0"/>
                    <w:snapToGrid w:val="0"/>
                    <w:rPr>
                      <w:rFonts w:hint="default" w:ascii="Times New Roman" w:hAnsi="Times New Roman" w:cs="Times New Roman"/>
                      <w:szCs w:val="21"/>
                    </w:rPr>
                  </w:pPr>
                  <w:r>
                    <w:rPr>
                      <w:rFonts w:hint="default" w:ascii="Times New Roman" w:hAnsi="Times New Roman" w:cs="Times New Roman"/>
                      <w:szCs w:val="21"/>
                    </w:rPr>
                    <w:t>按照“应收尽收”的原则提升废气收集率。推动取消废气排放系统旁路。</w:t>
                  </w:r>
                </w:p>
              </w:tc>
              <w:tc>
                <w:tcPr>
                  <w:tcW w:w="2479" w:type="dxa"/>
                  <w:tcBorders>
                    <w:tl2br w:val="nil"/>
                    <w:tr2bl w:val="nil"/>
                  </w:tcBorders>
                  <w:vAlign w:val="center"/>
                </w:tcPr>
                <w:p w14:paraId="1669D6A7">
                  <w:pPr>
                    <w:adjustRightInd w:val="0"/>
                    <w:snapToGrid w:val="0"/>
                    <w:rPr>
                      <w:rFonts w:hint="default" w:ascii="Times New Roman" w:hAnsi="Times New Roman" w:cs="Times New Roman"/>
                      <w:szCs w:val="21"/>
                    </w:rPr>
                  </w:pPr>
                  <w:r>
                    <w:rPr>
                      <w:rFonts w:hint="default" w:ascii="Times New Roman" w:hAnsi="Times New Roman" w:cs="Times New Roman"/>
                      <w:szCs w:val="21"/>
                    </w:rPr>
                    <w:t>项目喷塑在密闭车间进行，有效的减少无组织废气的排放</w:t>
                  </w:r>
                </w:p>
              </w:tc>
              <w:tc>
                <w:tcPr>
                  <w:tcW w:w="700" w:type="dxa"/>
                  <w:tcBorders>
                    <w:tl2br w:val="nil"/>
                    <w:tr2bl w:val="nil"/>
                  </w:tcBorders>
                  <w:vAlign w:val="center"/>
                </w:tcPr>
                <w:p w14:paraId="24A319F5">
                  <w:pPr>
                    <w:adjustRightInd w:val="0"/>
                    <w:snapToGrid w:val="0"/>
                    <w:rPr>
                      <w:rFonts w:hint="default" w:ascii="Times New Roman" w:hAnsi="Times New Roman" w:cs="Times New Roman"/>
                      <w:szCs w:val="21"/>
                    </w:rPr>
                  </w:pPr>
                  <w:r>
                    <w:rPr>
                      <w:rFonts w:hint="default" w:ascii="Times New Roman" w:hAnsi="Times New Roman" w:cs="Times New Roman"/>
                      <w:szCs w:val="21"/>
                    </w:rPr>
                    <w:t>符合</w:t>
                  </w:r>
                </w:p>
              </w:tc>
            </w:tr>
          </w:tbl>
          <w:p w14:paraId="78E26295">
            <w:pPr>
              <w:pStyle w:val="109"/>
              <w:ind w:firstLine="482"/>
              <w:rPr>
                <w:rFonts w:hint="default" w:ascii="Times New Roman" w:hAnsi="Times New Roman" w:cs="Times New Roman"/>
              </w:rPr>
            </w:pPr>
            <w:r>
              <w:rPr>
                <w:rFonts w:hint="default" w:ascii="Times New Roman" w:hAnsi="Times New Roman" w:cs="Times New Roman"/>
                <w:b/>
                <w:bCs/>
              </w:rPr>
              <w:t>12、本项目与《挥发性有机物无组织排放控制标准》（GB37822-2019）符合性分析</w:t>
            </w:r>
          </w:p>
          <w:p w14:paraId="49BEB9DF">
            <w:pPr>
              <w:pStyle w:val="109"/>
              <w:rPr>
                <w:rFonts w:hint="default" w:ascii="Times New Roman" w:hAnsi="Times New Roman" w:cs="Times New Roman"/>
              </w:rPr>
            </w:pPr>
            <w:r>
              <w:rPr>
                <w:rFonts w:hint="default" w:ascii="Times New Roman" w:hAnsi="Times New Roman" w:cs="Times New Roman"/>
              </w:rPr>
              <w:t>本项目与《挥发性有机物无组织排放控制标准》（GB37822-2019）符合性分析情况见表1-11。</w:t>
            </w:r>
          </w:p>
          <w:p w14:paraId="4B6DAA2F">
            <w:pPr>
              <w:pStyle w:val="173"/>
              <w:spacing w:before="120"/>
              <w:rPr>
                <w:rFonts w:hint="default" w:ascii="Times New Roman" w:hAnsi="Times New Roman" w:cs="Times New Roman"/>
              </w:rPr>
            </w:pPr>
            <w:r>
              <w:rPr>
                <w:rFonts w:hint="default" w:ascii="Times New Roman" w:hAnsi="Times New Roman" w:cs="Times New Roman"/>
              </w:rPr>
              <w:t>表1-11  项目与《挥发性有机物无组织排放控制标准》（GB37822-2019）符合性分析情况</w:t>
            </w:r>
          </w:p>
          <w:tbl>
            <w:tblPr>
              <w:tblStyle w:val="36"/>
              <w:tblW w:w="7437"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565"/>
              <w:gridCol w:w="2189"/>
              <w:gridCol w:w="683"/>
            </w:tblGrid>
            <w:tr w14:paraId="0CED595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565" w:type="dxa"/>
                  <w:tcBorders>
                    <w:bottom w:val="single" w:color="auto" w:sz="4" w:space="0"/>
                    <w:right w:val="single" w:color="auto" w:sz="4" w:space="0"/>
                    <w:tl2br w:val="nil"/>
                    <w:tr2bl w:val="nil"/>
                  </w:tcBorders>
                  <w:vAlign w:val="center"/>
                </w:tcPr>
                <w:p w14:paraId="634327F9">
                  <w:pPr>
                    <w:pStyle w:val="146"/>
                    <w:rPr>
                      <w:rFonts w:hint="default" w:ascii="Times New Roman" w:hAnsi="Times New Roman" w:cs="Times New Roman"/>
                    </w:rPr>
                  </w:pPr>
                  <w:r>
                    <w:rPr>
                      <w:rFonts w:hint="default" w:ascii="Times New Roman" w:hAnsi="Times New Roman" w:cs="Times New Roman"/>
                    </w:rPr>
                    <w:t>标准要求</w:t>
                  </w:r>
                </w:p>
              </w:tc>
              <w:tc>
                <w:tcPr>
                  <w:tcW w:w="2189" w:type="dxa"/>
                  <w:tcBorders>
                    <w:left w:val="single" w:color="auto" w:sz="4" w:space="0"/>
                    <w:bottom w:val="single" w:color="auto" w:sz="4" w:space="0"/>
                    <w:right w:val="single" w:color="auto" w:sz="4" w:space="0"/>
                    <w:tl2br w:val="nil"/>
                    <w:tr2bl w:val="nil"/>
                  </w:tcBorders>
                  <w:vAlign w:val="center"/>
                </w:tcPr>
                <w:p w14:paraId="44E8BC18">
                  <w:pPr>
                    <w:pStyle w:val="146"/>
                    <w:rPr>
                      <w:rFonts w:hint="default" w:ascii="Times New Roman" w:hAnsi="Times New Roman" w:cs="Times New Roman"/>
                    </w:rPr>
                  </w:pPr>
                  <w:r>
                    <w:rPr>
                      <w:rFonts w:hint="default" w:ascii="Times New Roman" w:hAnsi="Times New Roman" w:cs="Times New Roman"/>
                    </w:rPr>
                    <w:t>项目实际情况</w:t>
                  </w:r>
                </w:p>
              </w:tc>
              <w:tc>
                <w:tcPr>
                  <w:tcW w:w="683" w:type="dxa"/>
                  <w:tcBorders>
                    <w:left w:val="single" w:color="auto" w:sz="4" w:space="0"/>
                    <w:bottom w:val="single" w:color="auto" w:sz="4" w:space="0"/>
                    <w:tl2br w:val="nil"/>
                    <w:tr2bl w:val="nil"/>
                  </w:tcBorders>
                  <w:vAlign w:val="center"/>
                </w:tcPr>
                <w:p w14:paraId="2EC423B9">
                  <w:pPr>
                    <w:pStyle w:val="146"/>
                    <w:rPr>
                      <w:rFonts w:hint="default" w:ascii="Times New Roman" w:hAnsi="Times New Roman" w:cs="Times New Roman"/>
                    </w:rPr>
                  </w:pPr>
                  <w:r>
                    <w:rPr>
                      <w:rFonts w:hint="default" w:ascii="Times New Roman" w:hAnsi="Times New Roman" w:cs="Times New Roman"/>
                    </w:rPr>
                    <w:t>是否符合</w:t>
                  </w:r>
                </w:p>
              </w:tc>
            </w:tr>
            <w:tr w14:paraId="4767AB6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565" w:type="dxa"/>
                  <w:tcBorders>
                    <w:top w:val="single" w:color="auto" w:sz="4" w:space="0"/>
                    <w:bottom w:val="single" w:color="auto" w:sz="4" w:space="0"/>
                    <w:right w:val="single" w:color="auto" w:sz="4" w:space="0"/>
                    <w:tl2br w:val="nil"/>
                    <w:tr2bl w:val="nil"/>
                  </w:tcBorders>
                  <w:vAlign w:val="center"/>
                </w:tcPr>
                <w:p w14:paraId="79279659">
                  <w:pPr>
                    <w:pStyle w:val="146"/>
                    <w:jc w:val="left"/>
                    <w:rPr>
                      <w:rFonts w:hint="default" w:ascii="Times New Roman" w:hAnsi="Times New Roman" w:cs="Times New Roman"/>
                    </w:rPr>
                  </w:pPr>
                  <w:r>
                    <w:rPr>
                      <w:rFonts w:hint="default" w:ascii="Times New Roman" w:hAnsi="Times New Roman" w:cs="Times New Roman"/>
                    </w:rPr>
                    <w:t>5.1.1 VOCs物料应储存于密闭的容器、包装袋、储罐、储库、料仓中；</w:t>
                  </w:r>
                </w:p>
                <w:p w14:paraId="1FDA7C3E">
                  <w:pPr>
                    <w:pStyle w:val="146"/>
                    <w:jc w:val="left"/>
                    <w:rPr>
                      <w:rFonts w:hint="default" w:ascii="Times New Roman" w:hAnsi="Times New Roman" w:cs="Times New Roman"/>
                      <w:highlight w:val="yellow"/>
                    </w:rPr>
                  </w:pPr>
                  <w:r>
                    <w:rPr>
                      <w:rFonts w:hint="default" w:ascii="Times New Roman" w:hAnsi="Times New Roman" w:cs="Times New Roman"/>
                    </w:rPr>
                    <w:t>5.1.2 盛装 VOCs 物料的容器或包装袋应存放于室内，或存放于设置有雨棚、遮阳和防渗设施的专用场地；盛装VOCs物料的容器或包装袋在非取用状态时应加盖、封口，保持密闭。</w:t>
                  </w:r>
                </w:p>
              </w:tc>
              <w:tc>
                <w:tcPr>
                  <w:tcW w:w="2189" w:type="dxa"/>
                  <w:vMerge w:val="restart"/>
                  <w:tcBorders>
                    <w:top w:val="single" w:color="auto" w:sz="4" w:space="0"/>
                    <w:left w:val="single" w:color="auto" w:sz="4" w:space="0"/>
                    <w:right w:val="single" w:color="auto" w:sz="4" w:space="0"/>
                    <w:tl2br w:val="nil"/>
                    <w:tr2bl w:val="nil"/>
                  </w:tcBorders>
                  <w:vAlign w:val="center"/>
                </w:tcPr>
                <w:p w14:paraId="467ADF44">
                  <w:pPr>
                    <w:pStyle w:val="146"/>
                    <w:rPr>
                      <w:rFonts w:hint="default" w:ascii="Times New Roman" w:hAnsi="Times New Roman" w:cs="Times New Roman"/>
                    </w:rPr>
                  </w:pPr>
                  <w:r>
                    <w:rPr>
                      <w:rFonts w:hint="default" w:ascii="Times New Roman" w:hAnsi="Times New Roman" w:cs="Times New Roman"/>
                    </w:rPr>
                    <w:t>喷塑塑粉和聚乙烯颗粒军采用密封的包装袋储存，</w:t>
                  </w:r>
                  <w:r>
                    <w:rPr>
                      <w:rFonts w:hint="default" w:ascii="Times New Roman" w:hAnsi="Times New Roman" w:cs="Times New Roman"/>
                      <w:bCs/>
                      <w:kern w:val="0"/>
                      <w:szCs w:val="20"/>
                    </w:rPr>
                    <w:t>在非取用状态时进行封口，保持密闭</w:t>
                  </w:r>
                  <w:r>
                    <w:rPr>
                      <w:rFonts w:hint="default" w:ascii="Times New Roman" w:hAnsi="Times New Roman" w:cs="Times New Roman"/>
                    </w:rPr>
                    <w:t>。</w:t>
                  </w:r>
                </w:p>
              </w:tc>
              <w:tc>
                <w:tcPr>
                  <w:tcW w:w="683" w:type="dxa"/>
                  <w:tcBorders>
                    <w:top w:val="single" w:color="auto" w:sz="4" w:space="0"/>
                    <w:left w:val="single" w:color="auto" w:sz="4" w:space="0"/>
                    <w:bottom w:val="single" w:color="auto" w:sz="4" w:space="0"/>
                    <w:tl2br w:val="nil"/>
                    <w:tr2bl w:val="nil"/>
                  </w:tcBorders>
                  <w:vAlign w:val="center"/>
                </w:tcPr>
                <w:p w14:paraId="2E9653F3">
                  <w:pPr>
                    <w:pStyle w:val="146"/>
                    <w:rPr>
                      <w:rFonts w:hint="default" w:ascii="Times New Roman" w:hAnsi="Times New Roman" w:cs="Times New Roman"/>
                    </w:rPr>
                  </w:pPr>
                  <w:r>
                    <w:rPr>
                      <w:rFonts w:hint="default" w:ascii="Times New Roman" w:hAnsi="Times New Roman" w:cs="Times New Roman"/>
                    </w:rPr>
                    <w:t>符合</w:t>
                  </w:r>
                </w:p>
              </w:tc>
            </w:tr>
            <w:tr w14:paraId="2D95C36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565" w:type="dxa"/>
                  <w:tcBorders>
                    <w:top w:val="single" w:color="auto" w:sz="4" w:space="0"/>
                    <w:bottom w:val="single" w:color="auto" w:sz="4" w:space="0"/>
                    <w:right w:val="single" w:color="auto" w:sz="4" w:space="0"/>
                    <w:tl2br w:val="nil"/>
                    <w:tr2bl w:val="nil"/>
                  </w:tcBorders>
                  <w:vAlign w:val="center"/>
                </w:tcPr>
                <w:p w14:paraId="2734F04F">
                  <w:pPr>
                    <w:pStyle w:val="146"/>
                    <w:jc w:val="left"/>
                    <w:rPr>
                      <w:rFonts w:hint="default" w:ascii="Times New Roman" w:hAnsi="Times New Roman" w:cs="Times New Roman"/>
                    </w:rPr>
                  </w:pPr>
                  <w:r>
                    <w:rPr>
                      <w:rFonts w:hint="default" w:ascii="Times New Roman" w:hAnsi="Times New Roman" w:cs="Times New Roman"/>
                    </w:rPr>
                    <w:t>6.1.1 液态 VOCs 物料应采用密闭管道输送。采用非管道输送方式转移液态物料时，应采用密闭容器、罐车。</w:t>
                  </w:r>
                </w:p>
                <w:p w14:paraId="30C3139D">
                  <w:pPr>
                    <w:pStyle w:val="146"/>
                    <w:jc w:val="left"/>
                    <w:rPr>
                      <w:rFonts w:hint="default" w:ascii="Times New Roman" w:hAnsi="Times New Roman" w:cs="Times New Roman"/>
                    </w:rPr>
                  </w:pPr>
                  <w:r>
                    <w:rPr>
                      <w:rFonts w:hint="default" w:ascii="Times New Roman" w:hAnsi="Times New Roman" w:cs="Times New Roman"/>
                    </w:rPr>
                    <w:t>6.1.2 粉状、粒状 VOCs 物料应采用气力输送设备、管状带式输送机、螺旋输送机等密闭输送方式。</w:t>
                  </w:r>
                </w:p>
              </w:tc>
              <w:tc>
                <w:tcPr>
                  <w:tcW w:w="2189" w:type="dxa"/>
                  <w:vMerge w:val="continue"/>
                  <w:tcBorders>
                    <w:left w:val="single" w:color="auto" w:sz="4" w:space="0"/>
                    <w:bottom w:val="single" w:color="auto" w:sz="4" w:space="0"/>
                    <w:right w:val="single" w:color="auto" w:sz="4" w:space="0"/>
                    <w:tl2br w:val="nil"/>
                    <w:tr2bl w:val="nil"/>
                  </w:tcBorders>
                  <w:vAlign w:val="center"/>
                </w:tcPr>
                <w:p w14:paraId="65075896">
                  <w:pPr>
                    <w:pStyle w:val="146"/>
                    <w:rPr>
                      <w:rFonts w:hint="default" w:ascii="Times New Roman" w:hAnsi="Times New Roman" w:cs="Times New Roman"/>
                    </w:rPr>
                  </w:pPr>
                </w:p>
              </w:tc>
              <w:tc>
                <w:tcPr>
                  <w:tcW w:w="683" w:type="dxa"/>
                  <w:tcBorders>
                    <w:top w:val="single" w:color="auto" w:sz="4" w:space="0"/>
                    <w:left w:val="single" w:color="auto" w:sz="4" w:space="0"/>
                    <w:bottom w:val="single" w:color="auto" w:sz="4" w:space="0"/>
                    <w:tl2br w:val="nil"/>
                    <w:tr2bl w:val="nil"/>
                  </w:tcBorders>
                  <w:vAlign w:val="center"/>
                </w:tcPr>
                <w:p w14:paraId="0C39AF32">
                  <w:pPr>
                    <w:pStyle w:val="146"/>
                    <w:rPr>
                      <w:rFonts w:hint="default" w:ascii="Times New Roman" w:hAnsi="Times New Roman" w:cs="Times New Roman"/>
                    </w:rPr>
                  </w:pPr>
                  <w:r>
                    <w:rPr>
                      <w:rFonts w:hint="default" w:ascii="Times New Roman" w:hAnsi="Times New Roman" w:cs="Times New Roman"/>
                    </w:rPr>
                    <w:t>符合</w:t>
                  </w:r>
                </w:p>
              </w:tc>
            </w:tr>
            <w:tr w14:paraId="1A4B5E5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565" w:type="dxa"/>
                  <w:tcBorders>
                    <w:top w:val="single" w:color="auto" w:sz="4" w:space="0"/>
                    <w:bottom w:val="single" w:color="auto" w:sz="4" w:space="0"/>
                    <w:right w:val="single" w:color="auto" w:sz="4" w:space="0"/>
                    <w:tl2br w:val="nil"/>
                    <w:tr2bl w:val="nil"/>
                  </w:tcBorders>
                  <w:vAlign w:val="center"/>
                </w:tcPr>
                <w:p w14:paraId="316B385D">
                  <w:pPr>
                    <w:pStyle w:val="146"/>
                    <w:jc w:val="left"/>
                    <w:rPr>
                      <w:rFonts w:hint="default" w:ascii="Times New Roman" w:hAnsi="Times New Roman" w:cs="Times New Roman"/>
                    </w:rPr>
                  </w:pPr>
                  <w:r>
                    <w:rPr>
                      <w:rFonts w:hint="default" w:ascii="Times New Roman" w:hAnsi="Times New Roman" w:cs="Times New Roman"/>
                    </w:rPr>
                    <w:t>7.3.1 企业应建立</w:t>
                  </w:r>
                  <w:r>
                    <w:rPr>
                      <w:rFonts w:hint="eastAsia" w:ascii="Times New Roman" w:hAnsi="Times New Roman" w:cs="Times New Roman"/>
                      <w:lang w:eastAsia="zh-CN"/>
                    </w:rPr>
                    <w:t>台账</w:t>
                  </w:r>
                  <w:r>
                    <w:rPr>
                      <w:rFonts w:hint="default" w:ascii="Times New Roman" w:hAnsi="Times New Roman" w:cs="Times New Roman"/>
                    </w:rPr>
                    <w:t>，记录含 VOCs 原辅材料和含 VOCs产品的名称、使用量、回收量、废弃量、去向以及 VOCs含量等信息。</w:t>
                  </w:r>
                  <w:r>
                    <w:rPr>
                      <w:rFonts w:hint="eastAsia" w:ascii="Times New Roman" w:hAnsi="Times New Roman" w:cs="Times New Roman"/>
                      <w:lang w:eastAsia="zh-CN"/>
                    </w:rPr>
                    <w:t>台账</w:t>
                  </w:r>
                  <w:r>
                    <w:rPr>
                      <w:rFonts w:hint="default" w:ascii="Times New Roman" w:hAnsi="Times New Roman" w:cs="Times New Roman"/>
                    </w:rPr>
                    <w:t>保存期限不少于3年。</w:t>
                  </w:r>
                </w:p>
                <w:p w14:paraId="436ABFAE">
                  <w:pPr>
                    <w:pStyle w:val="146"/>
                    <w:jc w:val="left"/>
                    <w:rPr>
                      <w:rFonts w:hint="default" w:ascii="Times New Roman" w:hAnsi="Times New Roman" w:cs="Times New Roman"/>
                    </w:rPr>
                  </w:pPr>
                  <w:r>
                    <w:rPr>
                      <w:rFonts w:hint="default" w:ascii="Times New Roman" w:hAnsi="Times New Roman" w:cs="Times New Roman"/>
                    </w:rPr>
                    <w:t>7.3.2 通风生产设备、操作工位、车间厂房等应在符合安全生产、职业卫生相关规定的前提下，根据行业作业规程与标准、工业建筑及洁净厂房通风设计规范等的要求，采用合理的通风量。</w:t>
                  </w:r>
                </w:p>
                <w:p w14:paraId="4DDE4E50">
                  <w:pPr>
                    <w:pStyle w:val="146"/>
                    <w:jc w:val="left"/>
                    <w:rPr>
                      <w:rFonts w:hint="default" w:ascii="Times New Roman" w:hAnsi="Times New Roman" w:cs="Times New Roman"/>
                    </w:rPr>
                  </w:pPr>
                  <w:r>
                    <w:rPr>
                      <w:rFonts w:hint="default" w:ascii="Times New Roman" w:hAnsi="Times New Roman" w:cs="Times New Roman"/>
                    </w:rPr>
                    <w:t>7.3.3 载有VOCs物料的设备及其管道在开停车、检维修和清洗时，应在退料阶段将残存物料退净，并用密闭容器盛装，退料过程中废气应排至废气收集处理系统。</w:t>
                  </w:r>
                </w:p>
              </w:tc>
              <w:tc>
                <w:tcPr>
                  <w:tcW w:w="2189" w:type="dxa"/>
                  <w:tcBorders>
                    <w:top w:val="single" w:color="auto" w:sz="4" w:space="0"/>
                    <w:left w:val="single" w:color="auto" w:sz="4" w:space="0"/>
                    <w:bottom w:val="single" w:color="auto" w:sz="4" w:space="0"/>
                    <w:right w:val="single" w:color="auto" w:sz="4" w:space="0"/>
                    <w:tl2br w:val="nil"/>
                    <w:tr2bl w:val="nil"/>
                  </w:tcBorders>
                  <w:vAlign w:val="center"/>
                </w:tcPr>
                <w:p w14:paraId="20F8B8B8">
                  <w:pPr>
                    <w:pStyle w:val="146"/>
                    <w:jc w:val="left"/>
                    <w:rPr>
                      <w:rFonts w:hint="default" w:ascii="Times New Roman" w:hAnsi="Times New Roman" w:cs="Times New Roman"/>
                    </w:rPr>
                  </w:pPr>
                  <w:r>
                    <w:rPr>
                      <w:rFonts w:hint="default" w:ascii="Times New Roman" w:hAnsi="Times New Roman" w:cs="Times New Roman"/>
                    </w:rPr>
                    <w:t>企业将建立相关</w:t>
                  </w:r>
                  <w:r>
                    <w:rPr>
                      <w:rFonts w:hint="eastAsia" w:ascii="Times New Roman" w:hAnsi="Times New Roman" w:cs="Times New Roman"/>
                      <w:lang w:eastAsia="zh-CN"/>
                    </w:rPr>
                    <w:t>台账</w:t>
                  </w:r>
                  <w:r>
                    <w:rPr>
                      <w:rFonts w:hint="default" w:ascii="Times New Roman" w:hAnsi="Times New Roman" w:cs="Times New Roman"/>
                    </w:rPr>
                    <w:t>并作好记录；</w:t>
                  </w:r>
                </w:p>
                <w:p w14:paraId="05FC3255">
                  <w:pPr>
                    <w:pStyle w:val="146"/>
                    <w:rPr>
                      <w:rFonts w:hint="default" w:ascii="Times New Roman" w:hAnsi="Times New Roman" w:cs="Times New Roman"/>
                    </w:rPr>
                  </w:pPr>
                  <w:r>
                    <w:rPr>
                      <w:rFonts w:hint="default" w:ascii="Times New Roman" w:hAnsi="Times New Roman" w:cs="Times New Roman"/>
                    </w:rPr>
                    <w:t>企业根据要求落实安全、消防措施。</w:t>
                  </w:r>
                </w:p>
              </w:tc>
              <w:tc>
                <w:tcPr>
                  <w:tcW w:w="683" w:type="dxa"/>
                  <w:tcBorders>
                    <w:top w:val="single" w:color="auto" w:sz="4" w:space="0"/>
                    <w:left w:val="single" w:color="auto" w:sz="4" w:space="0"/>
                    <w:bottom w:val="single" w:color="auto" w:sz="4" w:space="0"/>
                    <w:tl2br w:val="nil"/>
                    <w:tr2bl w:val="nil"/>
                  </w:tcBorders>
                  <w:vAlign w:val="center"/>
                </w:tcPr>
                <w:p w14:paraId="4244034A">
                  <w:pPr>
                    <w:pStyle w:val="146"/>
                    <w:rPr>
                      <w:rFonts w:hint="default" w:ascii="Times New Roman" w:hAnsi="Times New Roman" w:cs="Times New Roman"/>
                    </w:rPr>
                  </w:pPr>
                  <w:r>
                    <w:rPr>
                      <w:rFonts w:hint="default" w:ascii="Times New Roman" w:hAnsi="Times New Roman" w:cs="Times New Roman"/>
                    </w:rPr>
                    <w:t>符合</w:t>
                  </w:r>
                </w:p>
              </w:tc>
            </w:tr>
            <w:tr w14:paraId="6079B37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565" w:type="dxa"/>
                  <w:tcBorders>
                    <w:top w:val="single" w:color="auto" w:sz="4" w:space="0"/>
                    <w:right w:val="single" w:color="auto" w:sz="4" w:space="0"/>
                    <w:tl2br w:val="nil"/>
                    <w:tr2bl w:val="nil"/>
                  </w:tcBorders>
                  <w:vAlign w:val="center"/>
                </w:tcPr>
                <w:p w14:paraId="2ADEE9E7">
                  <w:pPr>
                    <w:pStyle w:val="146"/>
                    <w:jc w:val="left"/>
                    <w:rPr>
                      <w:rFonts w:hint="default" w:ascii="Times New Roman" w:hAnsi="Times New Roman" w:cs="Times New Roman"/>
                    </w:rPr>
                  </w:pPr>
                  <w:r>
                    <w:rPr>
                      <w:rFonts w:hint="default" w:ascii="Times New Roman" w:hAnsi="Times New Roman" w:cs="Times New Roman"/>
                    </w:rPr>
                    <w:t>10.3.1VOCs废气收集处理系统污染物排放应符合GB16297或相关行业排放标准的规定。</w:t>
                  </w:r>
                </w:p>
                <w:p w14:paraId="34AE3C78">
                  <w:pPr>
                    <w:pStyle w:val="146"/>
                    <w:jc w:val="left"/>
                    <w:rPr>
                      <w:rFonts w:hint="default" w:ascii="Times New Roman" w:hAnsi="Times New Roman" w:cs="Times New Roman"/>
                    </w:rPr>
                  </w:pPr>
                  <w:r>
                    <w:rPr>
                      <w:rFonts w:hint="default" w:ascii="Times New Roman" w:hAnsi="Times New Roman" w:cs="Times New Roman"/>
                    </w:rPr>
                    <w:t>10.3.2收集的废气中 NMHC 初始排放速率≥3kg/h时，应配置VOCs 处理设施，处理效率不应低于80%；对于重点地区，收集的废气中 NMHC 初始排放速率≥2kg/h 时，应配置VOCs 处理设施，处理效率不应低于 80%；采用的原辅材料符合国家有关低 VOCs 含量产品规定的除外。</w:t>
                  </w:r>
                </w:p>
              </w:tc>
              <w:tc>
                <w:tcPr>
                  <w:tcW w:w="2189" w:type="dxa"/>
                  <w:tcBorders>
                    <w:top w:val="single" w:color="auto" w:sz="4" w:space="0"/>
                    <w:left w:val="single" w:color="auto" w:sz="4" w:space="0"/>
                    <w:right w:val="single" w:color="auto" w:sz="4" w:space="0"/>
                    <w:tl2br w:val="nil"/>
                    <w:tr2bl w:val="nil"/>
                  </w:tcBorders>
                  <w:vAlign w:val="center"/>
                </w:tcPr>
                <w:p w14:paraId="1BE167E2">
                  <w:pPr>
                    <w:pStyle w:val="146"/>
                    <w:rPr>
                      <w:rFonts w:hint="default" w:ascii="Times New Roman" w:hAnsi="Times New Roman" w:cs="Times New Roman"/>
                    </w:rPr>
                  </w:pPr>
                </w:p>
                <w:p w14:paraId="39FC6D12">
                  <w:pPr>
                    <w:pStyle w:val="146"/>
                    <w:rPr>
                      <w:rFonts w:hint="default" w:ascii="Times New Roman" w:hAnsi="Times New Roman" w:cs="Times New Roman"/>
                    </w:rPr>
                  </w:pPr>
                  <w:r>
                    <w:rPr>
                      <w:rFonts w:hint="default" w:ascii="Times New Roman" w:hAnsi="Times New Roman" w:cs="Times New Roman"/>
                    </w:rPr>
                    <w:t>本项目注塑废气经</w:t>
                  </w:r>
                  <w:r>
                    <w:rPr>
                      <w:rFonts w:hint="default" w:ascii="Times New Roman" w:hAnsi="Times New Roman" w:cs="Times New Roman"/>
                      <w:szCs w:val="21"/>
                    </w:rPr>
                    <w:t>集气罩+两级活性炭吸附装置+15m排气筒（DA001）</w:t>
                  </w:r>
                </w:p>
              </w:tc>
              <w:tc>
                <w:tcPr>
                  <w:tcW w:w="683" w:type="dxa"/>
                  <w:tcBorders>
                    <w:top w:val="single" w:color="auto" w:sz="4" w:space="0"/>
                    <w:left w:val="single" w:color="auto" w:sz="4" w:space="0"/>
                    <w:tl2br w:val="nil"/>
                    <w:tr2bl w:val="nil"/>
                  </w:tcBorders>
                  <w:vAlign w:val="center"/>
                </w:tcPr>
                <w:p w14:paraId="626E1BF5">
                  <w:pPr>
                    <w:pStyle w:val="146"/>
                    <w:rPr>
                      <w:rFonts w:hint="default" w:ascii="Times New Roman" w:hAnsi="Times New Roman" w:cs="Times New Roman"/>
                    </w:rPr>
                  </w:pPr>
                  <w:r>
                    <w:rPr>
                      <w:rFonts w:hint="default" w:ascii="Times New Roman" w:hAnsi="Times New Roman" w:cs="Times New Roman"/>
                    </w:rPr>
                    <w:t>符合</w:t>
                  </w:r>
                </w:p>
              </w:tc>
            </w:tr>
          </w:tbl>
          <w:p w14:paraId="493B0E2F">
            <w:pPr>
              <w:pStyle w:val="109"/>
              <w:rPr>
                <w:rFonts w:hint="default" w:ascii="Times New Roman" w:hAnsi="Times New Roman" w:cs="Times New Roman"/>
              </w:rPr>
            </w:pPr>
            <w:r>
              <w:rPr>
                <w:rFonts w:hint="default" w:ascii="Times New Roman" w:hAnsi="Times New Roman" w:cs="Times New Roman"/>
              </w:rPr>
              <w:t>根据上述内容可知，本项目符合《挥发性有机物无组织排放控制标准》（GB37822-2019）相关要求。</w:t>
            </w:r>
          </w:p>
          <w:p w14:paraId="786A3E89">
            <w:pPr>
              <w:spacing w:after="2" w:line="360" w:lineRule="auto"/>
              <w:ind w:firstLine="482" w:firstLineChars="200"/>
              <w:rPr>
                <w:rFonts w:hint="default" w:ascii="Times New Roman" w:hAnsi="Times New Roman" w:cs="Times New Roman"/>
                <w:sz w:val="24"/>
                <w:szCs w:val="22"/>
              </w:rPr>
            </w:pPr>
            <w:r>
              <w:rPr>
                <w:rFonts w:hint="default" w:ascii="Times New Roman" w:hAnsi="Times New Roman" w:cs="Times New Roman"/>
                <w:b/>
                <w:bCs/>
                <w:sz w:val="24"/>
                <w:szCs w:val="22"/>
              </w:rPr>
              <w:t>13、与《湖南省大气污染防治“守护蓝天”攻坚行动计划（2023-2025年）》符合性分析</w:t>
            </w:r>
          </w:p>
          <w:p w14:paraId="0A5E6183">
            <w:pPr>
              <w:spacing w:after="2" w:line="360" w:lineRule="auto"/>
              <w:ind w:firstLine="480" w:firstLineChars="200"/>
              <w:rPr>
                <w:rFonts w:hint="default" w:ascii="Times New Roman" w:hAnsi="Times New Roman" w:cs="Times New Roman"/>
                <w:sz w:val="24"/>
                <w:szCs w:val="22"/>
              </w:rPr>
            </w:pPr>
            <w:r>
              <w:rPr>
                <w:rFonts w:hint="default" w:ascii="Times New Roman" w:hAnsi="Times New Roman" w:cs="Times New Roman"/>
                <w:sz w:val="24"/>
                <w:szCs w:val="22"/>
              </w:rPr>
              <w:t>本项目与《湖南省大气污染防治“守护蓝天”攻坚行动计划（2023-2025年）》符合性分析情况见表1-12。</w:t>
            </w:r>
          </w:p>
          <w:p w14:paraId="7EE92EB1">
            <w:pPr>
              <w:spacing w:beforeLines="50"/>
              <w:jc w:val="center"/>
              <w:rPr>
                <w:rFonts w:hint="default" w:ascii="Times New Roman" w:hAnsi="Times New Roman" w:cs="Times New Roman"/>
                <w:b/>
                <w:szCs w:val="22"/>
              </w:rPr>
            </w:pPr>
            <w:r>
              <w:rPr>
                <w:rFonts w:hint="default" w:ascii="Times New Roman" w:hAnsi="Times New Roman" w:cs="Times New Roman"/>
                <w:b/>
                <w:szCs w:val="22"/>
              </w:rPr>
              <w:t>表1-12  项目与《湖南省大气污染防治“守护蓝天”攻坚行动计划（2023-2025年）》符合性分析情况</w:t>
            </w:r>
          </w:p>
          <w:tbl>
            <w:tblPr>
              <w:tblStyle w:val="36"/>
              <w:tblW w:w="7437"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35"/>
              <w:gridCol w:w="3036"/>
              <w:gridCol w:w="2730"/>
              <w:gridCol w:w="736"/>
            </w:tblGrid>
            <w:tr w14:paraId="73B6399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35" w:type="dxa"/>
                  <w:tcBorders>
                    <w:top w:val="single" w:color="auto" w:sz="12" w:space="0"/>
                    <w:left w:val="nil"/>
                    <w:bottom w:val="single" w:color="auto" w:sz="4" w:space="0"/>
                    <w:right w:val="single" w:color="auto" w:sz="4" w:space="0"/>
                    <w:tl2br w:val="nil"/>
                    <w:tr2bl w:val="nil"/>
                  </w:tcBorders>
                  <w:vAlign w:val="center"/>
                </w:tcPr>
                <w:p w14:paraId="1A822AF2">
                  <w:pPr>
                    <w:jc w:val="center"/>
                    <w:rPr>
                      <w:rFonts w:hint="default" w:ascii="Times New Roman" w:hAnsi="Times New Roman" w:cs="Times New Roman"/>
                      <w:b/>
                    </w:rPr>
                  </w:pPr>
                  <w:r>
                    <w:rPr>
                      <w:rFonts w:hint="default" w:ascii="Times New Roman" w:hAnsi="Times New Roman" w:cs="Times New Roman"/>
                      <w:b/>
                    </w:rPr>
                    <w:t>内容</w:t>
                  </w:r>
                </w:p>
              </w:tc>
              <w:tc>
                <w:tcPr>
                  <w:tcW w:w="3036" w:type="dxa"/>
                  <w:tcBorders>
                    <w:top w:val="single" w:color="auto" w:sz="12" w:space="0"/>
                    <w:left w:val="single" w:color="auto" w:sz="4" w:space="0"/>
                    <w:bottom w:val="single" w:color="auto" w:sz="4" w:space="0"/>
                    <w:right w:val="single" w:color="auto" w:sz="4" w:space="0"/>
                    <w:tl2br w:val="nil"/>
                    <w:tr2bl w:val="nil"/>
                  </w:tcBorders>
                  <w:vAlign w:val="center"/>
                </w:tcPr>
                <w:p w14:paraId="15DE1E08">
                  <w:pPr>
                    <w:jc w:val="center"/>
                    <w:rPr>
                      <w:rFonts w:hint="default" w:ascii="Times New Roman" w:hAnsi="Times New Roman" w:cs="Times New Roman"/>
                      <w:b/>
                    </w:rPr>
                  </w:pPr>
                  <w:r>
                    <w:rPr>
                      <w:rFonts w:hint="default" w:ascii="Times New Roman" w:hAnsi="Times New Roman" w:cs="Times New Roman"/>
                      <w:b/>
                    </w:rPr>
                    <w:t>与本项目有关要求</w:t>
                  </w:r>
                </w:p>
              </w:tc>
              <w:tc>
                <w:tcPr>
                  <w:tcW w:w="2730" w:type="dxa"/>
                  <w:tcBorders>
                    <w:top w:val="single" w:color="auto" w:sz="12" w:space="0"/>
                    <w:left w:val="single" w:color="auto" w:sz="4" w:space="0"/>
                    <w:bottom w:val="single" w:color="auto" w:sz="4" w:space="0"/>
                    <w:right w:val="single" w:color="auto" w:sz="4" w:space="0"/>
                    <w:tl2br w:val="nil"/>
                    <w:tr2bl w:val="nil"/>
                  </w:tcBorders>
                  <w:vAlign w:val="center"/>
                </w:tcPr>
                <w:p w14:paraId="0A600AED">
                  <w:pPr>
                    <w:jc w:val="center"/>
                    <w:rPr>
                      <w:rFonts w:hint="default" w:ascii="Times New Roman" w:hAnsi="Times New Roman" w:cs="Times New Roman"/>
                      <w:b/>
                    </w:rPr>
                  </w:pPr>
                  <w:r>
                    <w:rPr>
                      <w:rFonts w:hint="default" w:ascii="Times New Roman" w:hAnsi="Times New Roman" w:cs="Times New Roman"/>
                      <w:b/>
                    </w:rPr>
                    <w:t>项目实际情况</w:t>
                  </w:r>
                </w:p>
              </w:tc>
              <w:tc>
                <w:tcPr>
                  <w:tcW w:w="736" w:type="dxa"/>
                  <w:tcBorders>
                    <w:top w:val="single" w:color="auto" w:sz="12" w:space="0"/>
                    <w:left w:val="single" w:color="auto" w:sz="4" w:space="0"/>
                    <w:bottom w:val="single" w:color="auto" w:sz="4" w:space="0"/>
                    <w:right w:val="nil"/>
                    <w:tl2br w:val="nil"/>
                    <w:tr2bl w:val="nil"/>
                  </w:tcBorders>
                  <w:vAlign w:val="center"/>
                </w:tcPr>
                <w:p w14:paraId="3CE01CFA">
                  <w:pPr>
                    <w:jc w:val="center"/>
                    <w:rPr>
                      <w:rFonts w:hint="default" w:ascii="Times New Roman" w:hAnsi="Times New Roman" w:cs="Times New Roman"/>
                      <w:b/>
                    </w:rPr>
                  </w:pPr>
                  <w:r>
                    <w:rPr>
                      <w:rFonts w:hint="default" w:ascii="Times New Roman" w:hAnsi="Times New Roman" w:cs="Times New Roman"/>
                      <w:b/>
                    </w:rPr>
                    <w:t>是否符合</w:t>
                  </w:r>
                </w:p>
              </w:tc>
            </w:tr>
            <w:tr w14:paraId="4A6209A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35" w:type="dxa"/>
                  <w:vMerge w:val="restart"/>
                  <w:tcBorders>
                    <w:top w:val="single" w:color="auto" w:sz="4" w:space="0"/>
                    <w:left w:val="nil"/>
                    <w:bottom w:val="single" w:color="auto" w:sz="4" w:space="0"/>
                    <w:right w:val="single" w:color="auto" w:sz="4" w:space="0"/>
                    <w:tl2br w:val="nil"/>
                    <w:tr2bl w:val="nil"/>
                  </w:tcBorders>
                  <w:vAlign w:val="center"/>
                </w:tcPr>
                <w:p w14:paraId="45645906">
                  <w:pPr>
                    <w:jc w:val="center"/>
                    <w:rPr>
                      <w:rFonts w:hint="default" w:ascii="Times New Roman" w:hAnsi="Times New Roman" w:cs="Times New Roman"/>
                      <w:highlight w:val="yellow"/>
                    </w:rPr>
                  </w:pPr>
                  <w:r>
                    <w:rPr>
                      <w:rFonts w:hint="default" w:ascii="Times New Roman" w:hAnsi="Times New Roman" w:cs="Times New Roman"/>
                    </w:rPr>
                    <w:t>二、攻坚任务：（二）工业和信息化领域</w:t>
                  </w:r>
                </w:p>
              </w:tc>
              <w:tc>
                <w:tcPr>
                  <w:tcW w:w="3036" w:type="dxa"/>
                  <w:tcBorders>
                    <w:top w:val="single" w:color="auto" w:sz="4" w:space="0"/>
                    <w:left w:val="single" w:color="auto" w:sz="4" w:space="0"/>
                    <w:bottom w:val="single" w:color="auto" w:sz="4" w:space="0"/>
                    <w:right w:val="single" w:color="auto" w:sz="4" w:space="0"/>
                    <w:tl2br w:val="nil"/>
                    <w:tr2bl w:val="nil"/>
                  </w:tcBorders>
                  <w:vAlign w:val="center"/>
                </w:tcPr>
                <w:p w14:paraId="0D3DC72D">
                  <w:pPr>
                    <w:jc w:val="center"/>
                    <w:rPr>
                      <w:rFonts w:hint="default" w:ascii="Times New Roman" w:hAnsi="Times New Roman" w:cs="Times New Roman"/>
                      <w:highlight w:val="yellow"/>
                    </w:rPr>
                  </w:pPr>
                  <w:r>
                    <w:rPr>
                      <w:rFonts w:hint="default" w:ascii="Times New Roman" w:hAnsi="Times New Roman" w:cs="Times New Roman"/>
                    </w:rPr>
                    <w:t>1、优化产业结构和布局。严格项目准入，遏制“两高一低”项目盲目发展。落实产业规划及产业政策，严格执行重点行业产能置换办法，依法依规淘汰落后产能。优化产业链布局，开展传统产业集群排查整治，推进重点涉气企业入区入园。到 2025 年按照相关政策和环保标准整合关停环境绩效水平低的砖瓦企业。</w:t>
                  </w:r>
                </w:p>
              </w:tc>
              <w:tc>
                <w:tcPr>
                  <w:tcW w:w="2730" w:type="dxa"/>
                  <w:tcBorders>
                    <w:top w:val="single" w:color="auto" w:sz="4" w:space="0"/>
                    <w:left w:val="single" w:color="auto" w:sz="4" w:space="0"/>
                    <w:bottom w:val="single" w:color="auto" w:sz="4" w:space="0"/>
                    <w:right w:val="single" w:color="auto" w:sz="4" w:space="0"/>
                    <w:tl2br w:val="nil"/>
                    <w:tr2bl w:val="nil"/>
                  </w:tcBorders>
                  <w:vAlign w:val="center"/>
                </w:tcPr>
                <w:p w14:paraId="22E4A748">
                  <w:pPr>
                    <w:jc w:val="center"/>
                    <w:rPr>
                      <w:rFonts w:hint="default" w:ascii="Times New Roman" w:hAnsi="Times New Roman" w:cs="Times New Roman"/>
                    </w:rPr>
                  </w:pPr>
                  <w:r>
                    <w:rPr>
                      <w:rFonts w:hint="default" w:ascii="Times New Roman" w:hAnsi="Times New Roman" w:cs="Times New Roman"/>
                    </w:rPr>
                    <w:t>本项目属于</w:t>
                  </w:r>
                  <w:r>
                    <w:rPr>
                      <w:rFonts w:hint="default" w:ascii="Times New Roman" w:hAnsi="Times New Roman" w:eastAsia="宋体" w:cs="Times New Roman"/>
                    </w:rPr>
                    <w:t>C2926塑料零件及其他塑料制品制造</w:t>
                  </w:r>
                  <w:r>
                    <w:rPr>
                      <w:rFonts w:hint="default" w:ascii="Times New Roman" w:hAnsi="Times New Roman" w:eastAsia="宋体" w:cs="Times New Roman"/>
                      <w:lang w:val="en-US" w:eastAsia="zh-CN"/>
                    </w:rPr>
                    <w:t>和C3360金属表面处理及热处理加工</w:t>
                  </w:r>
                  <w:r>
                    <w:rPr>
                      <w:rFonts w:hint="default" w:ascii="Times New Roman" w:hAnsi="Times New Roman" w:cs="Times New Roman"/>
                    </w:rPr>
                    <w:t xml:space="preserve">，不属于“两高一低”项目；符合国家及地方产业规划及产业政策，不涉及落后产能；本项目位于衡阳高新技术产业开发区钢管深加工产业聚集区；本项目不属于砖瓦行业。 </w:t>
                  </w:r>
                </w:p>
              </w:tc>
              <w:tc>
                <w:tcPr>
                  <w:tcW w:w="736" w:type="dxa"/>
                  <w:tcBorders>
                    <w:top w:val="single" w:color="auto" w:sz="4" w:space="0"/>
                    <w:left w:val="single" w:color="auto" w:sz="4" w:space="0"/>
                    <w:bottom w:val="single" w:color="auto" w:sz="4" w:space="0"/>
                    <w:right w:val="nil"/>
                    <w:tl2br w:val="nil"/>
                    <w:tr2bl w:val="nil"/>
                  </w:tcBorders>
                  <w:vAlign w:val="center"/>
                </w:tcPr>
                <w:p w14:paraId="3AAED48D">
                  <w:pPr>
                    <w:jc w:val="center"/>
                    <w:rPr>
                      <w:rFonts w:hint="default" w:ascii="Times New Roman" w:hAnsi="Times New Roman" w:cs="Times New Roman"/>
                    </w:rPr>
                  </w:pPr>
                  <w:r>
                    <w:rPr>
                      <w:rFonts w:hint="default" w:ascii="Times New Roman" w:hAnsi="Times New Roman" w:cs="Times New Roman"/>
                    </w:rPr>
                    <w:t>符合</w:t>
                  </w:r>
                </w:p>
              </w:tc>
            </w:tr>
            <w:tr w14:paraId="51D7092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35" w:type="dxa"/>
                  <w:vMerge w:val="continue"/>
                  <w:tcBorders>
                    <w:top w:val="single" w:color="auto" w:sz="4" w:space="0"/>
                    <w:left w:val="nil"/>
                    <w:bottom w:val="single" w:color="auto" w:sz="4" w:space="0"/>
                    <w:right w:val="single" w:color="auto" w:sz="4" w:space="0"/>
                    <w:tl2br w:val="nil"/>
                    <w:tr2bl w:val="nil"/>
                  </w:tcBorders>
                  <w:vAlign w:val="center"/>
                </w:tcPr>
                <w:p w14:paraId="6914BB14">
                  <w:pPr>
                    <w:jc w:val="center"/>
                    <w:rPr>
                      <w:rFonts w:hint="default" w:ascii="Times New Roman" w:hAnsi="Times New Roman" w:cs="Times New Roman"/>
                      <w:highlight w:val="yellow"/>
                    </w:rPr>
                  </w:pPr>
                </w:p>
              </w:tc>
              <w:tc>
                <w:tcPr>
                  <w:tcW w:w="3036" w:type="dxa"/>
                  <w:tcBorders>
                    <w:top w:val="single" w:color="auto" w:sz="4" w:space="0"/>
                    <w:left w:val="single" w:color="auto" w:sz="4" w:space="0"/>
                    <w:bottom w:val="single" w:color="auto" w:sz="4" w:space="0"/>
                    <w:right w:val="single" w:color="auto" w:sz="4" w:space="0"/>
                    <w:tl2br w:val="nil"/>
                    <w:tr2bl w:val="nil"/>
                  </w:tcBorders>
                  <w:vAlign w:val="center"/>
                </w:tcPr>
                <w:p w14:paraId="4936924D">
                  <w:pPr>
                    <w:jc w:val="center"/>
                    <w:rPr>
                      <w:rFonts w:hint="default" w:ascii="Times New Roman" w:hAnsi="Times New Roman" w:cs="Times New Roman"/>
                    </w:rPr>
                  </w:pPr>
                  <w:r>
                    <w:rPr>
                      <w:rFonts w:hint="default" w:ascii="Times New Roman" w:hAnsi="Times New Roman" w:cs="Times New Roman"/>
                    </w:rPr>
                    <w:t>2、加大低 VOCs 原辅材料替代力度。建立多部门联合执法机制，加大监督检查力度，确保生产、销售、使用符合 VOCs含量限值标准的产品。以工业涂装、包装印刷和胶粘剂使用等为重点，在企业清洁生产审核中明确提出低 VOCs 原辅材料替代要求。</w:t>
                  </w:r>
                </w:p>
              </w:tc>
              <w:tc>
                <w:tcPr>
                  <w:tcW w:w="2730" w:type="dxa"/>
                  <w:tcBorders>
                    <w:top w:val="single" w:color="auto" w:sz="4" w:space="0"/>
                    <w:left w:val="single" w:color="auto" w:sz="4" w:space="0"/>
                    <w:bottom w:val="single" w:color="auto" w:sz="4" w:space="0"/>
                    <w:right w:val="single" w:color="auto" w:sz="4" w:space="0"/>
                    <w:tl2br w:val="nil"/>
                    <w:tr2bl w:val="nil"/>
                  </w:tcBorders>
                  <w:vAlign w:val="center"/>
                </w:tcPr>
                <w:p w14:paraId="5AC61D83">
                  <w:pPr>
                    <w:jc w:val="center"/>
                    <w:rPr>
                      <w:rFonts w:hint="default" w:ascii="Times New Roman" w:hAnsi="Times New Roman" w:cs="Times New Roman"/>
                    </w:rPr>
                  </w:pPr>
                  <w:r>
                    <w:rPr>
                      <w:rFonts w:hint="default" w:ascii="Times New Roman" w:hAnsi="Times New Roman" w:cs="Times New Roman"/>
                    </w:rPr>
                    <w:t>本项目属于</w:t>
                  </w:r>
                  <w:r>
                    <w:rPr>
                      <w:rFonts w:hint="default" w:ascii="Times New Roman" w:hAnsi="Times New Roman" w:eastAsia="宋体" w:cs="Times New Roman"/>
                    </w:rPr>
                    <w:t>C2926塑料零件及其他塑料制品制造</w:t>
                  </w:r>
                  <w:r>
                    <w:rPr>
                      <w:rFonts w:hint="default" w:ascii="Times New Roman" w:hAnsi="Times New Roman" w:eastAsia="宋体" w:cs="Times New Roman"/>
                      <w:lang w:val="en-US" w:eastAsia="zh-CN"/>
                    </w:rPr>
                    <w:t>和C3360金属表面处理及热处理加工</w:t>
                  </w:r>
                  <w:r>
                    <w:rPr>
                      <w:rFonts w:hint="default" w:ascii="Times New Roman" w:hAnsi="Times New Roman" w:cs="Times New Roman"/>
                    </w:rPr>
                    <w:t>，</w:t>
                  </w:r>
                  <w:r>
                    <w:rPr>
                      <w:rFonts w:hint="default" w:ascii="Times New Roman" w:hAnsi="Times New Roman" w:cs="Times New Roman"/>
                      <w:szCs w:val="21"/>
                    </w:rPr>
                    <w:t>本项目使用的聚乙烯塑料含VOCs的原料属于低VOCs原辅材料</w:t>
                  </w:r>
                  <w:r>
                    <w:rPr>
                      <w:rFonts w:hint="default" w:ascii="Times New Roman" w:hAnsi="Times New Roman" w:cs="Times New Roman"/>
                    </w:rPr>
                    <w:t xml:space="preserve">。 </w:t>
                  </w:r>
                </w:p>
              </w:tc>
              <w:tc>
                <w:tcPr>
                  <w:tcW w:w="736" w:type="dxa"/>
                  <w:tcBorders>
                    <w:top w:val="single" w:color="auto" w:sz="4" w:space="0"/>
                    <w:left w:val="single" w:color="auto" w:sz="4" w:space="0"/>
                    <w:bottom w:val="single" w:color="auto" w:sz="4" w:space="0"/>
                    <w:right w:val="nil"/>
                    <w:tl2br w:val="nil"/>
                    <w:tr2bl w:val="nil"/>
                  </w:tcBorders>
                  <w:vAlign w:val="center"/>
                </w:tcPr>
                <w:p w14:paraId="74A83897">
                  <w:pPr>
                    <w:jc w:val="center"/>
                    <w:rPr>
                      <w:rFonts w:hint="default" w:ascii="Times New Roman" w:hAnsi="Times New Roman" w:cs="Times New Roman"/>
                    </w:rPr>
                  </w:pPr>
                  <w:r>
                    <w:rPr>
                      <w:rFonts w:hint="default" w:ascii="Times New Roman" w:hAnsi="Times New Roman" w:cs="Times New Roman"/>
                    </w:rPr>
                    <w:t>符合</w:t>
                  </w:r>
                </w:p>
              </w:tc>
            </w:tr>
            <w:tr w14:paraId="65C2E2F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35" w:type="dxa"/>
                  <w:vMerge w:val="restart"/>
                  <w:tcBorders>
                    <w:top w:val="single" w:color="auto" w:sz="4" w:space="0"/>
                    <w:left w:val="nil"/>
                    <w:bottom w:val="single" w:color="auto" w:sz="4" w:space="0"/>
                    <w:right w:val="single" w:color="auto" w:sz="4" w:space="0"/>
                    <w:tl2br w:val="nil"/>
                    <w:tr2bl w:val="nil"/>
                  </w:tcBorders>
                  <w:vAlign w:val="center"/>
                </w:tcPr>
                <w:p w14:paraId="694395CE">
                  <w:pPr>
                    <w:jc w:val="center"/>
                    <w:rPr>
                      <w:rFonts w:hint="default" w:ascii="Times New Roman" w:hAnsi="Times New Roman" w:cs="Times New Roman"/>
                      <w:highlight w:val="yellow"/>
                    </w:rPr>
                  </w:pPr>
                  <w:r>
                    <w:rPr>
                      <w:rFonts w:hint="default" w:ascii="Times New Roman" w:hAnsi="Times New Roman" w:cs="Times New Roman"/>
                    </w:rPr>
                    <w:t>（四）工业治理领域</w:t>
                  </w:r>
                </w:p>
              </w:tc>
              <w:tc>
                <w:tcPr>
                  <w:tcW w:w="3036" w:type="dxa"/>
                  <w:tcBorders>
                    <w:top w:val="single" w:color="auto" w:sz="4" w:space="0"/>
                    <w:left w:val="single" w:color="auto" w:sz="4" w:space="0"/>
                    <w:bottom w:val="single" w:color="auto" w:sz="4" w:space="0"/>
                    <w:right w:val="single" w:color="auto" w:sz="4" w:space="0"/>
                    <w:tl2br w:val="nil"/>
                    <w:tr2bl w:val="nil"/>
                  </w:tcBorders>
                  <w:vAlign w:val="center"/>
                </w:tcPr>
                <w:p w14:paraId="484A99DF">
                  <w:pPr>
                    <w:jc w:val="center"/>
                    <w:rPr>
                      <w:rFonts w:hint="default" w:ascii="Times New Roman" w:hAnsi="Times New Roman" w:cs="Times New Roman"/>
                    </w:rPr>
                  </w:pPr>
                  <w:r>
                    <w:rPr>
                      <w:rFonts w:hint="default" w:ascii="Times New Roman" w:hAnsi="Times New Roman" w:cs="Times New Roman"/>
                    </w:rPr>
                    <w:t>1、推进锅窑炉超低排放与深度治理。全面开展钢铁、水泥行业超低排放改造，深入开展锅炉窑炉深度治理和简易低效处理设施排查，对高排放重点行业开展专项整治。生物质锅炉使用专用炉具和成型燃料并配套高效治理设施，推动城市建成区生物质锅炉安装烟气在线监测设施。到 2025 年，全面完成钢铁和重点城市水泥企业超低排放改造。（省生态环境厅牵头）。</w:t>
                  </w:r>
                </w:p>
              </w:tc>
              <w:tc>
                <w:tcPr>
                  <w:tcW w:w="2730" w:type="dxa"/>
                  <w:tcBorders>
                    <w:top w:val="single" w:color="auto" w:sz="4" w:space="0"/>
                    <w:left w:val="single" w:color="auto" w:sz="4" w:space="0"/>
                    <w:bottom w:val="single" w:color="auto" w:sz="4" w:space="0"/>
                    <w:right w:val="single" w:color="auto" w:sz="4" w:space="0"/>
                    <w:tl2br w:val="nil"/>
                    <w:tr2bl w:val="nil"/>
                  </w:tcBorders>
                  <w:vAlign w:val="center"/>
                </w:tcPr>
                <w:p w14:paraId="51CB9EAE">
                  <w:pPr>
                    <w:jc w:val="center"/>
                    <w:rPr>
                      <w:rFonts w:hint="default" w:ascii="Times New Roman" w:hAnsi="Times New Roman" w:cs="Times New Roman"/>
                    </w:rPr>
                  </w:pPr>
                  <w:r>
                    <w:rPr>
                      <w:rFonts w:hint="default" w:ascii="Times New Roman" w:hAnsi="Times New Roman" w:cs="Times New Roman"/>
                    </w:rPr>
                    <w:t>本项目属于</w:t>
                  </w:r>
                  <w:r>
                    <w:rPr>
                      <w:rFonts w:hint="default" w:ascii="Times New Roman" w:hAnsi="Times New Roman" w:eastAsia="宋体" w:cs="Times New Roman"/>
                    </w:rPr>
                    <w:t>C2926塑料零件及其他塑料制品制造</w:t>
                  </w:r>
                  <w:r>
                    <w:rPr>
                      <w:rFonts w:hint="default" w:ascii="Times New Roman" w:hAnsi="Times New Roman" w:eastAsia="宋体" w:cs="Times New Roman"/>
                      <w:lang w:val="en-US" w:eastAsia="zh-CN"/>
                    </w:rPr>
                    <w:t>和C3360金属表面处理及热处理加工</w:t>
                  </w:r>
                  <w:r>
                    <w:rPr>
                      <w:rFonts w:hint="default" w:ascii="Times New Roman" w:hAnsi="Times New Roman" w:cs="Times New Roman"/>
                    </w:rPr>
                    <w:t>，不涉及锅窑炉。</w:t>
                  </w:r>
                </w:p>
              </w:tc>
              <w:tc>
                <w:tcPr>
                  <w:tcW w:w="736" w:type="dxa"/>
                  <w:tcBorders>
                    <w:top w:val="single" w:color="auto" w:sz="4" w:space="0"/>
                    <w:left w:val="single" w:color="auto" w:sz="4" w:space="0"/>
                    <w:bottom w:val="single" w:color="auto" w:sz="4" w:space="0"/>
                    <w:right w:val="nil"/>
                    <w:tl2br w:val="nil"/>
                    <w:tr2bl w:val="nil"/>
                  </w:tcBorders>
                  <w:vAlign w:val="center"/>
                </w:tcPr>
                <w:p w14:paraId="1302EF77">
                  <w:pPr>
                    <w:jc w:val="center"/>
                    <w:rPr>
                      <w:rFonts w:hint="default" w:ascii="Times New Roman" w:hAnsi="Times New Roman" w:cs="Times New Roman"/>
                    </w:rPr>
                  </w:pPr>
                  <w:r>
                    <w:rPr>
                      <w:rFonts w:hint="default" w:ascii="Times New Roman" w:hAnsi="Times New Roman" w:cs="Times New Roman"/>
                    </w:rPr>
                    <w:t>符合</w:t>
                  </w:r>
                </w:p>
              </w:tc>
            </w:tr>
            <w:tr w14:paraId="7A7D3C1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35" w:type="dxa"/>
                  <w:vMerge w:val="continue"/>
                  <w:tcBorders>
                    <w:top w:val="single" w:color="auto" w:sz="4" w:space="0"/>
                    <w:left w:val="nil"/>
                    <w:bottom w:val="single" w:color="auto" w:sz="4" w:space="0"/>
                    <w:right w:val="single" w:color="auto" w:sz="4" w:space="0"/>
                    <w:tl2br w:val="nil"/>
                    <w:tr2bl w:val="nil"/>
                  </w:tcBorders>
                  <w:vAlign w:val="center"/>
                </w:tcPr>
                <w:p w14:paraId="1006D84B">
                  <w:pPr>
                    <w:jc w:val="center"/>
                    <w:rPr>
                      <w:rFonts w:hint="default" w:ascii="Times New Roman" w:hAnsi="Times New Roman" w:cs="Times New Roman"/>
                      <w:highlight w:val="yellow"/>
                    </w:rPr>
                  </w:pPr>
                </w:p>
              </w:tc>
              <w:tc>
                <w:tcPr>
                  <w:tcW w:w="3036" w:type="dxa"/>
                  <w:tcBorders>
                    <w:top w:val="single" w:color="auto" w:sz="4" w:space="0"/>
                    <w:left w:val="single" w:color="auto" w:sz="4" w:space="0"/>
                    <w:bottom w:val="single" w:color="auto" w:sz="4" w:space="0"/>
                    <w:right w:val="single" w:color="auto" w:sz="4" w:space="0"/>
                    <w:tl2br w:val="nil"/>
                    <w:tr2bl w:val="nil"/>
                  </w:tcBorders>
                  <w:vAlign w:val="center"/>
                </w:tcPr>
                <w:p w14:paraId="04D8C70E">
                  <w:pPr>
                    <w:jc w:val="center"/>
                    <w:rPr>
                      <w:rFonts w:hint="default" w:ascii="Times New Roman" w:hAnsi="Times New Roman" w:cs="Times New Roman"/>
                    </w:rPr>
                  </w:pPr>
                  <w:r>
                    <w:rPr>
                      <w:rFonts w:hint="default" w:ascii="Times New Roman" w:hAnsi="Times New Roman" w:cs="Times New Roman"/>
                    </w:rPr>
                    <w:t>2、开展涉VOCs 重点行业全流程整治。持续开展VOCs治理突出问题排查，清理整顿简易低效、不合规定治理设施，强化无组织和非正常工况废气排放管控。规范开展泄漏检测与修复推动各市州分别新建1-3个涉VOC“s 绿岛”项目。（省生态环境厅牵头）。</w:t>
                  </w:r>
                </w:p>
              </w:tc>
              <w:tc>
                <w:tcPr>
                  <w:tcW w:w="2730" w:type="dxa"/>
                  <w:tcBorders>
                    <w:top w:val="single" w:color="auto" w:sz="4" w:space="0"/>
                    <w:left w:val="single" w:color="auto" w:sz="4" w:space="0"/>
                    <w:bottom w:val="single" w:color="auto" w:sz="4" w:space="0"/>
                    <w:right w:val="single" w:color="auto" w:sz="4" w:space="0"/>
                    <w:tl2br w:val="nil"/>
                    <w:tr2bl w:val="nil"/>
                  </w:tcBorders>
                  <w:vAlign w:val="center"/>
                </w:tcPr>
                <w:p w14:paraId="453A60A9">
                  <w:pPr>
                    <w:pStyle w:val="146"/>
                    <w:rPr>
                      <w:rFonts w:hint="default" w:ascii="Times New Roman" w:hAnsi="Times New Roman" w:cs="Times New Roman"/>
                    </w:rPr>
                  </w:pPr>
                </w:p>
                <w:p w14:paraId="4BF5983E">
                  <w:pPr>
                    <w:pStyle w:val="146"/>
                    <w:rPr>
                      <w:rFonts w:hint="default" w:ascii="Times New Roman" w:hAnsi="Times New Roman" w:cs="Times New Roman"/>
                    </w:rPr>
                  </w:pPr>
                  <w:r>
                    <w:rPr>
                      <w:rFonts w:hint="default" w:ascii="Times New Roman" w:hAnsi="Times New Roman" w:cs="Times New Roman"/>
                    </w:rPr>
                    <w:t>本项目注塑废气经</w:t>
                  </w:r>
                  <w:r>
                    <w:rPr>
                      <w:rFonts w:hint="default" w:ascii="Times New Roman" w:hAnsi="Times New Roman" w:cs="Times New Roman"/>
                      <w:szCs w:val="21"/>
                    </w:rPr>
                    <w:t>集气罩+两级活性炭吸附装置+15m排气筒（DA001），处理效率能够满足要求。</w:t>
                  </w:r>
                </w:p>
              </w:tc>
              <w:tc>
                <w:tcPr>
                  <w:tcW w:w="736" w:type="dxa"/>
                  <w:tcBorders>
                    <w:top w:val="single" w:color="auto" w:sz="4" w:space="0"/>
                    <w:left w:val="single" w:color="auto" w:sz="4" w:space="0"/>
                    <w:bottom w:val="single" w:color="auto" w:sz="4" w:space="0"/>
                    <w:right w:val="nil"/>
                    <w:tl2br w:val="nil"/>
                    <w:tr2bl w:val="nil"/>
                  </w:tcBorders>
                  <w:vAlign w:val="center"/>
                </w:tcPr>
                <w:p w14:paraId="72B9DF4F">
                  <w:pPr>
                    <w:jc w:val="center"/>
                    <w:rPr>
                      <w:rFonts w:hint="default" w:ascii="Times New Roman" w:hAnsi="Times New Roman" w:cs="Times New Roman"/>
                    </w:rPr>
                  </w:pPr>
                  <w:r>
                    <w:rPr>
                      <w:rFonts w:hint="default" w:ascii="Times New Roman" w:hAnsi="Times New Roman" w:cs="Times New Roman"/>
                    </w:rPr>
                    <w:t>符合</w:t>
                  </w:r>
                </w:p>
              </w:tc>
            </w:tr>
            <w:tr w14:paraId="5A14E07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35" w:type="dxa"/>
                  <w:vMerge w:val="continue"/>
                  <w:tcBorders>
                    <w:top w:val="single" w:color="auto" w:sz="4" w:space="0"/>
                    <w:left w:val="nil"/>
                    <w:bottom w:val="single" w:color="auto" w:sz="12" w:space="0"/>
                    <w:right w:val="single" w:color="auto" w:sz="4" w:space="0"/>
                    <w:tl2br w:val="nil"/>
                    <w:tr2bl w:val="nil"/>
                  </w:tcBorders>
                  <w:vAlign w:val="center"/>
                </w:tcPr>
                <w:p w14:paraId="6EAE74C0">
                  <w:pPr>
                    <w:jc w:val="center"/>
                    <w:rPr>
                      <w:rFonts w:hint="default" w:ascii="Times New Roman" w:hAnsi="Times New Roman" w:cs="Times New Roman"/>
                      <w:highlight w:val="yellow"/>
                    </w:rPr>
                  </w:pPr>
                </w:p>
              </w:tc>
              <w:tc>
                <w:tcPr>
                  <w:tcW w:w="3036" w:type="dxa"/>
                  <w:tcBorders>
                    <w:top w:val="single" w:color="auto" w:sz="4" w:space="0"/>
                    <w:left w:val="single" w:color="auto" w:sz="4" w:space="0"/>
                    <w:bottom w:val="single" w:color="auto" w:sz="12" w:space="0"/>
                    <w:right w:val="single" w:color="auto" w:sz="4" w:space="0"/>
                    <w:tl2br w:val="nil"/>
                    <w:tr2bl w:val="nil"/>
                  </w:tcBorders>
                  <w:vAlign w:val="center"/>
                </w:tcPr>
                <w:p w14:paraId="107D0821">
                  <w:pPr>
                    <w:jc w:val="center"/>
                    <w:rPr>
                      <w:rFonts w:hint="default" w:ascii="Times New Roman" w:hAnsi="Times New Roman" w:cs="Times New Roman"/>
                    </w:rPr>
                  </w:pPr>
                  <w:r>
                    <w:rPr>
                      <w:rFonts w:hint="default" w:ascii="Times New Roman" w:hAnsi="Times New Roman" w:cs="Times New Roman"/>
                    </w:rPr>
                    <w:t>3、加强工业源重污染天气应对。完善应急减排清单，确保涉气企业全覆盖。将应急减排措施纳入排污许可证管理。严厉打击在线监控运维及手工监测报告弄虚作假、治理设施不正常运行和重污染应急减排措施未落实等违法行为。积极提升应急减排重点行业企业环境绩效水平。到 2025 年，全省非最低等级绩效水平企业占比力争达到 10%，钢铁、水泥企业全部达到 B(含 B-)级及以上。（省生态环境厅牵头）。</w:t>
                  </w:r>
                </w:p>
              </w:tc>
              <w:tc>
                <w:tcPr>
                  <w:tcW w:w="2730" w:type="dxa"/>
                  <w:tcBorders>
                    <w:top w:val="single" w:color="auto" w:sz="4" w:space="0"/>
                    <w:left w:val="single" w:color="auto" w:sz="4" w:space="0"/>
                    <w:bottom w:val="single" w:color="auto" w:sz="12" w:space="0"/>
                    <w:right w:val="single" w:color="auto" w:sz="4" w:space="0"/>
                    <w:tl2br w:val="nil"/>
                    <w:tr2bl w:val="nil"/>
                  </w:tcBorders>
                  <w:vAlign w:val="center"/>
                </w:tcPr>
                <w:p w14:paraId="1C321620">
                  <w:pPr>
                    <w:jc w:val="center"/>
                    <w:rPr>
                      <w:rFonts w:hint="default" w:ascii="Times New Roman" w:hAnsi="Times New Roman" w:cs="Times New Roman"/>
                    </w:rPr>
                  </w:pPr>
                  <w:r>
                    <w:rPr>
                      <w:rFonts w:hint="default" w:ascii="Times New Roman" w:hAnsi="Times New Roman" w:cs="Times New Roman"/>
                    </w:rPr>
                    <w:t>本项目废气经处理后达标排放；本环评要求建设单位积极配合环保部门进行重污染天气应对。</w:t>
                  </w:r>
                </w:p>
              </w:tc>
              <w:tc>
                <w:tcPr>
                  <w:tcW w:w="736" w:type="dxa"/>
                  <w:tcBorders>
                    <w:top w:val="single" w:color="auto" w:sz="4" w:space="0"/>
                    <w:left w:val="single" w:color="auto" w:sz="4" w:space="0"/>
                    <w:bottom w:val="single" w:color="auto" w:sz="12" w:space="0"/>
                    <w:right w:val="nil"/>
                    <w:tl2br w:val="nil"/>
                    <w:tr2bl w:val="nil"/>
                  </w:tcBorders>
                  <w:vAlign w:val="center"/>
                </w:tcPr>
                <w:p w14:paraId="37B163F7">
                  <w:pPr>
                    <w:jc w:val="center"/>
                    <w:rPr>
                      <w:rFonts w:hint="default" w:ascii="Times New Roman" w:hAnsi="Times New Roman" w:cs="Times New Roman"/>
                    </w:rPr>
                  </w:pPr>
                  <w:r>
                    <w:rPr>
                      <w:rFonts w:hint="default" w:ascii="Times New Roman" w:hAnsi="Times New Roman" w:cs="Times New Roman"/>
                    </w:rPr>
                    <w:t>符合</w:t>
                  </w:r>
                </w:p>
              </w:tc>
            </w:tr>
          </w:tbl>
          <w:p w14:paraId="3F305979">
            <w:pPr>
              <w:spacing w:after="2" w:line="360" w:lineRule="auto"/>
              <w:ind w:firstLine="480" w:firstLineChars="200"/>
              <w:rPr>
                <w:rFonts w:hint="default" w:ascii="Times New Roman" w:hAnsi="Times New Roman" w:cs="Times New Roman"/>
                <w:sz w:val="24"/>
                <w:szCs w:val="22"/>
              </w:rPr>
            </w:pPr>
            <w:r>
              <w:rPr>
                <w:rFonts w:hint="default" w:ascii="Times New Roman" w:hAnsi="Times New Roman" w:cs="Times New Roman"/>
                <w:sz w:val="24"/>
                <w:szCs w:val="22"/>
              </w:rPr>
              <w:t>根据上述内容可知，本项目符合《湖南省大气污染防治“守护蓝天”攻坚行动计划（2023-2025年）》（湘政办发〔2023〕34 号）相关要求。</w:t>
            </w:r>
          </w:p>
          <w:p w14:paraId="597DE1C0">
            <w:pPr>
              <w:spacing w:after="2" w:line="360" w:lineRule="auto"/>
              <w:ind w:firstLine="482" w:firstLineChars="200"/>
              <w:rPr>
                <w:rFonts w:hint="default" w:ascii="Times New Roman" w:hAnsi="Times New Roman" w:cs="Times New Roman"/>
                <w:sz w:val="24"/>
                <w:szCs w:val="22"/>
              </w:rPr>
            </w:pPr>
            <w:r>
              <w:rPr>
                <w:rFonts w:hint="default" w:ascii="Times New Roman" w:hAnsi="Times New Roman" w:cs="Times New Roman"/>
                <w:b/>
                <w:bCs/>
                <w:sz w:val="24"/>
                <w:szCs w:val="22"/>
              </w:rPr>
              <w:t>14、与《国家污染防治技术指导目录（2025年）》符合性分析</w:t>
            </w:r>
          </w:p>
          <w:p w14:paraId="237F3605">
            <w:pPr>
              <w:spacing w:after="2" w:line="360" w:lineRule="auto"/>
              <w:ind w:firstLine="480" w:firstLineChars="200"/>
              <w:rPr>
                <w:rFonts w:hint="default" w:ascii="Times New Roman" w:hAnsi="Times New Roman" w:cs="Times New Roman"/>
                <w:sz w:val="24"/>
                <w:szCs w:val="22"/>
              </w:rPr>
            </w:pPr>
            <w:r>
              <w:rPr>
                <w:rFonts w:hint="default" w:ascii="Times New Roman" w:hAnsi="Times New Roman" w:cs="Times New Roman"/>
                <w:sz w:val="24"/>
                <w:szCs w:val="22"/>
              </w:rPr>
              <w:t>根据《国家污染防治技术指导目录（2025年）》内容可知，鼓励类技术中推广技术为：烧结机头（球团）烟气袋式除尘技术，工业炉窑中低温烟气复合陶瓷纤维滤管尘硝协同治理技术，球团烟气污染物超低排放技术，低温吸收-孔径级配材料吸附油气净化技术、空调工件表面真空除油及回收利用技术；</w:t>
            </w:r>
          </w:p>
          <w:p w14:paraId="63F526CD">
            <w:pPr>
              <w:spacing w:after="2" w:line="360" w:lineRule="auto"/>
              <w:ind w:firstLine="480" w:firstLineChars="200"/>
              <w:rPr>
                <w:rFonts w:hint="default" w:ascii="Times New Roman" w:hAnsi="Times New Roman" w:cs="Times New Roman"/>
                <w:sz w:val="24"/>
                <w:szCs w:val="22"/>
              </w:rPr>
            </w:pPr>
            <w:r>
              <w:rPr>
                <w:rFonts w:hint="default" w:ascii="Times New Roman" w:hAnsi="Times New Roman" w:cs="Times New Roman"/>
                <w:sz w:val="24"/>
                <w:szCs w:val="22"/>
              </w:rPr>
              <w:t>鼓励类技术中示范技术为：入口渐扩段预荷电耦合小区域隔离振打电除尘技术，均流式静电除尘技术，水泥窑尘硝一箱化净化技术，碱回收炉烟气SCR（中低温）脱硝技术，炭素烟气多污染物协同治理技术，烧结矿竖冷窑废气余热发电及零排放技术，冷凝-吸附-催化油气回收净化技术，官能团接枝改性纤维净化恶臭气体技术，生物法恶臭气体治理技术，多层高分子轻质隔声/阻尼材料；</w:t>
            </w:r>
          </w:p>
          <w:p w14:paraId="0CA184B7">
            <w:pPr>
              <w:spacing w:after="2" w:line="360" w:lineRule="auto"/>
              <w:ind w:firstLine="480" w:firstLineChars="200"/>
              <w:rPr>
                <w:rFonts w:hint="default" w:ascii="Times New Roman" w:hAnsi="Times New Roman" w:cs="Times New Roman"/>
                <w:sz w:val="24"/>
                <w:szCs w:val="22"/>
              </w:rPr>
            </w:pPr>
            <w:r>
              <w:rPr>
                <w:rFonts w:hint="default" w:ascii="Times New Roman" w:hAnsi="Times New Roman" w:cs="Times New Roman"/>
                <w:sz w:val="24"/>
                <w:szCs w:val="22"/>
              </w:rPr>
              <w:t>低效类技术：洗涤、水膜（浴）、文丘里湿式除尘技术，低效干式除尘技术，正压反吸风类袋式除尘技术，烟气湿法除尘脱硫一体化技术，水喷淋脱硫技术，电子束法脱硫技术，烟道中喷洒脱硫剂的脱硫技术，无法评估治理效果的脱硫、脱硝技术，未配备吸收处理装置的氧化法脱硝技术，烟道中喷洒脱硝剂的脱硝技术，VOCs（挥发性有机物）洗涤吸收净化技术，VOCs光催化及其组合净化技术，VOCs低温等离子体及其组合净化技术，VOCs光解（光氧化）及其组合净化技术。</w:t>
            </w:r>
          </w:p>
          <w:p w14:paraId="06A32349">
            <w:pPr>
              <w:spacing w:after="2" w:line="360" w:lineRule="auto"/>
              <w:ind w:firstLine="480" w:firstLineChars="200"/>
              <w:rPr>
                <w:rFonts w:hint="default" w:ascii="Times New Roman" w:hAnsi="Times New Roman" w:cs="Times New Roman"/>
                <w:sz w:val="24"/>
              </w:rPr>
            </w:pPr>
            <w:r>
              <w:rPr>
                <w:rFonts w:hint="default" w:ascii="Times New Roman" w:hAnsi="Times New Roman" w:cs="Times New Roman"/>
                <w:sz w:val="24"/>
                <w:szCs w:val="22"/>
              </w:rPr>
              <w:t>本项目注塑废气经集气罩+两级活性炭吸附装置+15m排气筒（DA001）。</w:t>
            </w:r>
          </w:p>
          <w:p w14:paraId="7C28F9C8">
            <w:pPr>
              <w:spacing w:after="2" w:line="360" w:lineRule="auto"/>
              <w:ind w:firstLine="480" w:firstLineChars="200"/>
              <w:rPr>
                <w:rFonts w:hint="default" w:ascii="Times New Roman" w:hAnsi="Times New Roman" w:cs="Times New Roman"/>
                <w:sz w:val="24"/>
                <w:szCs w:val="22"/>
              </w:rPr>
            </w:pPr>
            <w:r>
              <w:rPr>
                <w:rFonts w:hint="default" w:ascii="Times New Roman" w:hAnsi="Times New Roman" w:cs="Times New Roman"/>
                <w:sz w:val="24"/>
                <w:szCs w:val="22"/>
              </w:rPr>
              <w:t>综上所述，本项目废气处理措施均不涉及《国家污染防治技术指导目录（2025年）》中鼓励类技术（推广技术）、鼓励类技术（示范技术）、低效类技术，故本项目不违反《国家污染防治技术指导目录（2025年）》相关要求。</w:t>
            </w:r>
          </w:p>
          <w:p w14:paraId="463D799A">
            <w:pPr>
              <w:spacing w:after="2" w:line="360" w:lineRule="auto"/>
              <w:ind w:firstLine="482" w:firstLineChars="200"/>
              <w:rPr>
                <w:rFonts w:hint="default" w:ascii="Times New Roman" w:hAnsi="Times New Roman" w:cs="Times New Roman"/>
                <w:sz w:val="24"/>
                <w:szCs w:val="22"/>
              </w:rPr>
            </w:pPr>
            <w:r>
              <w:rPr>
                <w:rFonts w:hint="default" w:ascii="Times New Roman" w:hAnsi="Times New Roman" w:cs="Times New Roman"/>
                <w:b/>
                <w:bCs/>
                <w:sz w:val="24"/>
                <w:szCs w:val="22"/>
              </w:rPr>
              <w:t>15、与《湖南省空气质量持续改善行动计划实施方案》符合性分析</w:t>
            </w:r>
          </w:p>
          <w:p w14:paraId="6C872CBA">
            <w:pPr>
              <w:spacing w:after="2" w:line="360" w:lineRule="auto"/>
              <w:ind w:firstLine="480" w:firstLineChars="200"/>
              <w:rPr>
                <w:rFonts w:hint="default" w:ascii="Times New Roman" w:hAnsi="Times New Roman" w:cs="Times New Roman"/>
                <w:sz w:val="24"/>
                <w:szCs w:val="22"/>
              </w:rPr>
            </w:pPr>
            <w:r>
              <w:rPr>
                <w:rFonts w:hint="default" w:ascii="Times New Roman" w:hAnsi="Times New Roman" w:cs="Times New Roman"/>
                <w:sz w:val="24"/>
                <w:szCs w:val="22"/>
              </w:rPr>
              <w:t>本项目与《湖南省空气质量持续改善行动计划实施方案》符合性分析情况见表1-13。</w:t>
            </w:r>
          </w:p>
          <w:p w14:paraId="40369780">
            <w:pPr>
              <w:spacing w:beforeLines="50"/>
              <w:jc w:val="center"/>
              <w:rPr>
                <w:rFonts w:hint="default" w:ascii="Times New Roman" w:hAnsi="Times New Roman" w:cs="Times New Roman"/>
                <w:b/>
                <w:szCs w:val="22"/>
              </w:rPr>
            </w:pPr>
            <w:r>
              <w:rPr>
                <w:rFonts w:hint="default" w:ascii="Times New Roman" w:hAnsi="Times New Roman" w:cs="Times New Roman"/>
                <w:b/>
                <w:szCs w:val="22"/>
              </w:rPr>
              <w:t>表1-13 项目与《湖南省空气质量持续改善行动计划实施方案》符合性分析情况</w:t>
            </w:r>
          </w:p>
          <w:tbl>
            <w:tblPr>
              <w:tblStyle w:val="36"/>
              <w:tblW w:w="7438"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74"/>
              <w:gridCol w:w="3666"/>
              <w:gridCol w:w="1942"/>
              <w:gridCol w:w="756"/>
            </w:tblGrid>
            <w:tr w14:paraId="61D6536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74" w:type="dxa"/>
                  <w:tcBorders>
                    <w:top w:val="single" w:color="auto" w:sz="12" w:space="0"/>
                    <w:left w:val="nil"/>
                    <w:bottom w:val="single" w:color="auto" w:sz="4" w:space="0"/>
                    <w:right w:val="single" w:color="auto" w:sz="4" w:space="0"/>
                    <w:tl2br w:val="nil"/>
                    <w:tr2bl w:val="nil"/>
                  </w:tcBorders>
                  <w:vAlign w:val="center"/>
                </w:tcPr>
                <w:p w14:paraId="5BF0D060">
                  <w:pPr>
                    <w:jc w:val="center"/>
                    <w:rPr>
                      <w:rFonts w:hint="default" w:ascii="Times New Roman" w:hAnsi="Times New Roman" w:cs="Times New Roman"/>
                      <w:b/>
                    </w:rPr>
                  </w:pPr>
                  <w:r>
                    <w:rPr>
                      <w:rFonts w:hint="default" w:ascii="Times New Roman" w:hAnsi="Times New Roman" w:cs="Times New Roman"/>
                      <w:b/>
                    </w:rPr>
                    <w:t>内容</w:t>
                  </w:r>
                </w:p>
              </w:tc>
              <w:tc>
                <w:tcPr>
                  <w:tcW w:w="3666" w:type="dxa"/>
                  <w:tcBorders>
                    <w:top w:val="single" w:color="auto" w:sz="12" w:space="0"/>
                    <w:left w:val="single" w:color="auto" w:sz="4" w:space="0"/>
                    <w:bottom w:val="single" w:color="auto" w:sz="4" w:space="0"/>
                    <w:right w:val="single" w:color="auto" w:sz="4" w:space="0"/>
                    <w:tl2br w:val="nil"/>
                    <w:tr2bl w:val="nil"/>
                  </w:tcBorders>
                  <w:vAlign w:val="center"/>
                </w:tcPr>
                <w:p w14:paraId="56A9ECCB">
                  <w:pPr>
                    <w:jc w:val="center"/>
                    <w:rPr>
                      <w:rFonts w:hint="default" w:ascii="Times New Roman" w:hAnsi="Times New Roman" w:cs="Times New Roman"/>
                      <w:b/>
                    </w:rPr>
                  </w:pPr>
                  <w:r>
                    <w:rPr>
                      <w:rFonts w:hint="default" w:ascii="Times New Roman" w:hAnsi="Times New Roman" w:cs="Times New Roman"/>
                      <w:b/>
                    </w:rPr>
                    <w:t>与本项目有关要求</w:t>
                  </w:r>
                </w:p>
              </w:tc>
              <w:tc>
                <w:tcPr>
                  <w:tcW w:w="1942" w:type="dxa"/>
                  <w:tcBorders>
                    <w:top w:val="single" w:color="auto" w:sz="12" w:space="0"/>
                    <w:left w:val="single" w:color="auto" w:sz="4" w:space="0"/>
                    <w:bottom w:val="single" w:color="auto" w:sz="4" w:space="0"/>
                    <w:right w:val="single" w:color="auto" w:sz="4" w:space="0"/>
                    <w:tl2br w:val="nil"/>
                    <w:tr2bl w:val="nil"/>
                  </w:tcBorders>
                  <w:vAlign w:val="center"/>
                </w:tcPr>
                <w:p w14:paraId="1670AC24">
                  <w:pPr>
                    <w:jc w:val="center"/>
                    <w:rPr>
                      <w:rFonts w:hint="default" w:ascii="Times New Roman" w:hAnsi="Times New Roman" w:cs="Times New Roman"/>
                      <w:b/>
                    </w:rPr>
                  </w:pPr>
                  <w:r>
                    <w:rPr>
                      <w:rFonts w:hint="default" w:ascii="Times New Roman" w:hAnsi="Times New Roman" w:cs="Times New Roman"/>
                      <w:b/>
                    </w:rPr>
                    <w:t>项目实际情况</w:t>
                  </w:r>
                </w:p>
              </w:tc>
              <w:tc>
                <w:tcPr>
                  <w:tcW w:w="756" w:type="dxa"/>
                  <w:tcBorders>
                    <w:top w:val="single" w:color="auto" w:sz="12" w:space="0"/>
                    <w:left w:val="single" w:color="auto" w:sz="4" w:space="0"/>
                    <w:bottom w:val="single" w:color="auto" w:sz="4" w:space="0"/>
                    <w:right w:val="nil"/>
                    <w:tl2br w:val="nil"/>
                    <w:tr2bl w:val="nil"/>
                  </w:tcBorders>
                  <w:vAlign w:val="center"/>
                </w:tcPr>
                <w:p w14:paraId="4D600609">
                  <w:pPr>
                    <w:jc w:val="center"/>
                    <w:rPr>
                      <w:rFonts w:hint="default" w:ascii="Times New Roman" w:hAnsi="Times New Roman" w:cs="Times New Roman"/>
                      <w:b/>
                    </w:rPr>
                  </w:pPr>
                  <w:r>
                    <w:rPr>
                      <w:rFonts w:hint="default" w:ascii="Times New Roman" w:hAnsi="Times New Roman" w:cs="Times New Roman"/>
                      <w:b/>
                    </w:rPr>
                    <w:t>是否符合</w:t>
                  </w:r>
                </w:p>
              </w:tc>
            </w:tr>
            <w:tr w14:paraId="1393FE1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74" w:type="dxa"/>
                  <w:tcBorders>
                    <w:top w:val="single" w:color="auto" w:sz="4" w:space="0"/>
                    <w:left w:val="nil"/>
                    <w:bottom w:val="single" w:color="auto" w:sz="4" w:space="0"/>
                    <w:right w:val="single" w:color="auto" w:sz="4" w:space="0"/>
                    <w:tl2br w:val="nil"/>
                    <w:tr2bl w:val="nil"/>
                  </w:tcBorders>
                  <w:vAlign w:val="center"/>
                </w:tcPr>
                <w:p w14:paraId="329DD781">
                  <w:pPr>
                    <w:jc w:val="center"/>
                    <w:rPr>
                      <w:rFonts w:hint="default" w:ascii="Times New Roman" w:hAnsi="Times New Roman" w:cs="Times New Roman"/>
                      <w:highlight w:val="yellow"/>
                    </w:rPr>
                  </w:pPr>
                  <w:r>
                    <w:rPr>
                      <w:rFonts w:hint="default" w:ascii="Times New Roman" w:hAnsi="Times New Roman" w:cs="Times New Roman"/>
                    </w:rPr>
                    <w:t>（一）加强“两高”项目管理</w:t>
                  </w:r>
                </w:p>
              </w:tc>
              <w:tc>
                <w:tcPr>
                  <w:tcW w:w="3666" w:type="dxa"/>
                  <w:tcBorders>
                    <w:top w:val="single" w:color="auto" w:sz="4" w:space="0"/>
                    <w:left w:val="single" w:color="auto" w:sz="4" w:space="0"/>
                    <w:bottom w:val="single" w:color="auto" w:sz="4" w:space="0"/>
                    <w:right w:val="single" w:color="auto" w:sz="4" w:space="0"/>
                    <w:tl2br w:val="nil"/>
                    <w:tr2bl w:val="nil"/>
                  </w:tcBorders>
                  <w:vAlign w:val="center"/>
                </w:tcPr>
                <w:p w14:paraId="05DA7D6B">
                  <w:pPr>
                    <w:jc w:val="center"/>
                    <w:rPr>
                      <w:rFonts w:hint="default" w:ascii="Times New Roman" w:hAnsi="Times New Roman" w:cs="Times New Roman"/>
                      <w:highlight w:val="yellow"/>
                    </w:rPr>
                  </w:pPr>
                  <w:r>
                    <w:rPr>
                      <w:rFonts w:hint="default" w:ascii="Times New Roman" w:hAnsi="Times New Roman" w:cs="Times New Roman"/>
                    </w:rPr>
                    <w:t>新改扩建项目严格落实国家和省级产业规划、产业政策、生态环境分区管控方案、规划环评、项目环评、节能审查、产能置换、重点污染物总量控制、污染物排放区域削减、碳排放达峰目标等相关要求，原则上达到国内清洁生产先进水平、采用清洁运输方式，主要产品能效达到标杆水平。涉及产能置换、能耗替代、煤耗替代和污染物总量控制的项目，被置换产能及其配套设施关停，能耗、煤耗、新增污染物总量削减替代措施落实后，新建项目方可投产。严禁新增钢铁产能，建立多元化废钢资源保障体系，持续提升钢铁工业的废钢使用量。</w:t>
                  </w:r>
                </w:p>
              </w:tc>
              <w:tc>
                <w:tcPr>
                  <w:tcW w:w="1942" w:type="dxa"/>
                  <w:tcBorders>
                    <w:top w:val="single" w:color="auto" w:sz="4" w:space="0"/>
                    <w:left w:val="single" w:color="auto" w:sz="4" w:space="0"/>
                    <w:bottom w:val="single" w:color="auto" w:sz="4" w:space="0"/>
                    <w:right w:val="single" w:color="auto" w:sz="4" w:space="0"/>
                    <w:tl2br w:val="nil"/>
                    <w:tr2bl w:val="nil"/>
                  </w:tcBorders>
                  <w:vAlign w:val="center"/>
                </w:tcPr>
                <w:p w14:paraId="6928622D">
                  <w:pPr>
                    <w:jc w:val="center"/>
                    <w:rPr>
                      <w:rFonts w:hint="default" w:ascii="Times New Roman" w:hAnsi="Times New Roman" w:cs="Times New Roman"/>
                    </w:rPr>
                  </w:pPr>
                  <w:r>
                    <w:rPr>
                      <w:rFonts w:hint="default" w:ascii="Times New Roman" w:hAnsi="Times New Roman" w:cs="Times New Roman"/>
                    </w:rPr>
                    <w:t>本项目属于</w:t>
                  </w:r>
                  <w:r>
                    <w:rPr>
                      <w:rFonts w:hint="default" w:ascii="Times New Roman" w:hAnsi="Times New Roman" w:eastAsia="宋体" w:cs="Times New Roman"/>
                    </w:rPr>
                    <w:t>C2926塑料零件及其他塑料制品制造</w:t>
                  </w:r>
                  <w:r>
                    <w:rPr>
                      <w:rFonts w:hint="default" w:ascii="Times New Roman" w:hAnsi="Times New Roman" w:eastAsia="宋体" w:cs="Times New Roman"/>
                      <w:lang w:val="en-US" w:eastAsia="zh-CN"/>
                    </w:rPr>
                    <w:t>和C3360金属表面处理及热处理加工</w:t>
                  </w:r>
                  <w:r>
                    <w:rPr>
                      <w:rFonts w:hint="default" w:ascii="Times New Roman" w:hAnsi="Times New Roman" w:cs="Times New Roman"/>
                    </w:rPr>
                    <w:t>，不属于“两高”项目，不涉及钢铁产能；建设项目符合国家和省级产业规划、产业政策、生态环境分区管控方案、规划环评、项目环评、节能审查、产能置换、重点污染物总量控制、污染物排放区域削减、碳排放达峰目标等相关要求。</w:t>
                  </w:r>
                </w:p>
              </w:tc>
              <w:tc>
                <w:tcPr>
                  <w:tcW w:w="756" w:type="dxa"/>
                  <w:tcBorders>
                    <w:top w:val="single" w:color="auto" w:sz="4" w:space="0"/>
                    <w:left w:val="single" w:color="auto" w:sz="4" w:space="0"/>
                    <w:bottom w:val="single" w:color="auto" w:sz="4" w:space="0"/>
                    <w:right w:val="nil"/>
                    <w:tl2br w:val="nil"/>
                    <w:tr2bl w:val="nil"/>
                  </w:tcBorders>
                  <w:vAlign w:val="center"/>
                </w:tcPr>
                <w:p w14:paraId="4386B0C7">
                  <w:pPr>
                    <w:jc w:val="center"/>
                    <w:rPr>
                      <w:rFonts w:hint="default" w:ascii="Times New Roman" w:hAnsi="Times New Roman" w:cs="Times New Roman"/>
                    </w:rPr>
                  </w:pPr>
                  <w:r>
                    <w:rPr>
                      <w:rFonts w:hint="default" w:ascii="Times New Roman" w:hAnsi="Times New Roman" w:cs="Times New Roman"/>
                    </w:rPr>
                    <w:t>符合</w:t>
                  </w:r>
                </w:p>
              </w:tc>
            </w:tr>
            <w:tr w14:paraId="4705C85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74" w:type="dxa"/>
                  <w:tcBorders>
                    <w:top w:val="single" w:color="auto" w:sz="4" w:space="0"/>
                    <w:left w:val="nil"/>
                    <w:bottom w:val="single" w:color="auto" w:sz="4" w:space="0"/>
                    <w:right w:val="single" w:color="auto" w:sz="4" w:space="0"/>
                    <w:tl2br w:val="nil"/>
                    <w:tr2bl w:val="nil"/>
                  </w:tcBorders>
                  <w:vAlign w:val="center"/>
                </w:tcPr>
                <w:p w14:paraId="1C75E3AD">
                  <w:pPr>
                    <w:jc w:val="center"/>
                    <w:rPr>
                      <w:rFonts w:hint="default" w:ascii="Times New Roman" w:hAnsi="Times New Roman" w:cs="Times New Roman"/>
                      <w:highlight w:val="yellow"/>
                    </w:rPr>
                  </w:pPr>
                  <w:r>
                    <w:rPr>
                      <w:rFonts w:hint="default" w:ascii="Times New Roman" w:hAnsi="Times New Roman" w:cs="Times New Roman"/>
                    </w:rPr>
                    <w:t>（二）加快退出重点行业落后产能</w:t>
                  </w:r>
                </w:p>
              </w:tc>
              <w:tc>
                <w:tcPr>
                  <w:tcW w:w="3666" w:type="dxa"/>
                  <w:tcBorders>
                    <w:top w:val="single" w:color="auto" w:sz="4" w:space="0"/>
                    <w:left w:val="single" w:color="auto" w:sz="4" w:space="0"/>
                    <w:bottom w:val="single" w:color="auto" w:sz="4" w:space="0"/>
                    <w:right w:val="single" w:color="auto" w:sz="4" w:space="0"/>
                    <w:tl2br w:val="nil"/>
                    <w:tr2bl w:val="nil"/>
                  </w:tcBorders>
                  <w:vAlign w:val="center"/>
                </w:tcPr>
                <w:p w14:paraId="716D4BE9">
                  <w:pPr>
                    <w:jc w:val="center"/>
                    <w:rPr>
                      <w:rFonts w:hint="default" w:ascii="Times New Roman" w:hAnsi="Times New Roman" w:cs="Times New Roman"/>
                      <w:highlight w:val="yellow"/>
                    </w:rPr>
                  </w:pPr>
                  <w:r>
                    <w:rPr>
                      <w:rFonts w:hint="default" w:ascii="Times New Roman" w:hAnsi="Times New Roman" w:cs="Times New Roman"/>
                    </w:rPr>
                    <w:t>严格执行《产业结构调整指导目录》，制定实施利用能耗、环保、质量、安全、技术等标准推动落后产能退出年度工作方案，加大重点行业落后产能淘汰力度，推动大规模设备更新，开展小型生物质锅炉清理整合。到 2025年，全省砖瓦窑企业全部完成综合整治，基本完成 2 蒸吨/小时及以下生物质锅炉淘汰。</w:t>
                  </w:r>
                </w:p>
              </w:tc>
              <w:tc>
                <w:tcPr>
                  <w:tcW w:w="1942" w:type="dxa"/>
                  <w:tcBorders>
                    <w:top w:val="single" w:color="auto" w:sz="4" w:space="0"/>
                    <w:left w:val="single" w:color="auto" w:sz="4" w:space="0"/>
                    <w:bottom w:val="single" w:color="auto" w:sz="4" w:space="0"/>
                    <w:right w:val="single" w:color="auto" w:sz="4" w:space="0"/>
                    <w:tl2br w:val="nil"/>
                    <w:tr2bl w:val="nil"/>
                  </w:tcBorders>
                  <w:vAlign w:val="center"/>
                </w:tcPr>
                <w:p w14:paraId="722EF240">
                  <w:pPr>
                    <w:jc w:val="center"/>
                    <w:rPr>
                      <w:rFonts w:hint="default" w:ascii="Times New Roman" w:hAnsi="Times New Roman" w:cs="Times New Roman"/>
                    </w:rPr>
                  </w:pPr>
                  <w:r>
                    <w:rPr>
                      <w:rFonts w:hint="default" w:ascii="Times New Roman" w:hAnsi="Times New Roman" w:cs="Times New Roman"/>
                    </w:rPr>
                    <w:t>本项目属于</w:t>
                  </w:r>
                  <w:r>
                    <w:rPr>
                      <w:rFonts w:hint="default" w:ascii="Times New Roman" w:hAnsi="Times New Roman" w:eastAsia="宋体" w:cs="Times New Roman"/>
                    </w:rPr>
                    <w:t>C2926塑料零件及其他塑料制品制造</w:t>
                  </w:r>
                  <w:r>
                    <w:rPr>
                      <w:rFonts w:hint="default" w:ascii="Times New Roman" w:hAnsi="Times New Roman" w:eastAsia="宋体" w:cs="Times New Roman"/>
                      <w:lang w:val="en-US" w:eastAsia="zh-CN"/>
                    </w:rPr>
                    <w:t>和C3360金属表面处理及热处理加工</w:t>
                  </w:r>
                  <w:r>
                    <w:rPr>
                      <w:rFonts w:hint="default" w:ascii="Times New Roman" w:hAnsi="Times New Roman" w:cs="Times New Roman"/>
                    </w:rPr>
                    <w:t>，不属于《产业结构调整指导目录（2024 年本）》中鼓励类、限制类和淘汰类；本项目涉及工艺、设备和产品均不在淘汰落后生产工艺装备目录中；本项目不涉及生物质锅炉。</w:t>
                  </w:r>
                </w:p>
              </w:tc>
              <w:tc>
                <w:tcPr>
                  <w:tcW w:w="756" w:type="dxa"/>
                  <w:tcBorders>
                    <w:top w:val="single" w:color="auto" w:sz="4" w:space="0"/>
                    <w:left w:val="single" w:color="auto" w:sz="4" w:space="0"/>
                    <w:bottom w:val="single" w:color="auto" w:sz="4" w:space="0"/>
                    <w:right w:val="nil"/>
                    <w:tl2br w:val="nil"/>
                    <w:tr2bl w:val="nil"/>
                  </w:tcBorders>
                  <w:vAlign w:val="center"/>
                </w:tcPr>
                <w:p w14:paraId="57A76981">
                  <w:pPr>
                    <w:jc w:val="center"/>
                    <w:rPr>
                      <w:rFonts w:hint="default" w:ascii="Times New Roman" w:hAnsi="Times New Roman" w:cs="Times New Roman"/>
                    </w:rPr>
                  </w:pPr>
                  <w:r>
                    <w:rPr>
                      <w:rFonts w:hint="default" w:ascii="Times New Roman" w:hAnsi="Times New Roman" w:cs="Times New Roman"/>
                    </w:rPr>
                    <w:t>符合</w:t>
                  </w:r>
                </w:p>
              </w:tc>
            </w:tr>
            <w:tr w14:paraId="0F993D2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74" w:type="dxa"/>
                  <w:tcBorders>
                    <w:top w:val="single" w:color="auto" w:sz="4" w:space="0"/>
                    <w:left w:val="nil"/>
                    <w:bottom w:val="single" w:color="auto" w:sz="4" w:space="0"/>
                    <w:right w:val="single" w:color="auto" w:sz="4" w:space="0"/>
                    <w:tl2br w:val="nil"/>
                    <w:tr2bl w:val="nil"/>
                  </w:tcBorders>
                  <w:vAlign w:val="center"/>
                </w:tcPr>
                <w:p w14:paraId="22B1F56C">
                  <w:pPr>
                    <w:jc w:val="center"/>
                    <w:rPr>
                      <w:rFonts w:hint="default" w:ascii="Times New Roman" w:hAnsi="Times New Roman" w:cs="Times New Roman"/>
                      <w:highlight w:val="yellow"/>
                    </w:rPr>
                  </w:pPr>
                  <w:r>
                    <w:rPr>
                      <w:rFonts w:hint="default" w:ascii="Times New Roman" w:hAnsi="Times New Roman" w:cs="Times New Roman"/>
                    </w:rPr>
                    <w:t>（三）全面开展传统产业和园区改造提升</w:t>
                  </w:r>
                </w:p>
              </w:tc>
              <w:tc>
                <w:tcPr>
                  <w:tcW w:w="3666" w:type="dxa"/>
                  <w:tcBorders>
                    <w:top w:val="single" w:color="auto" w:sz="4" w:space="0"/>
                    <w:left w:val="single" w:color="auto" w:sz="4" w:space="0"/>
                    <w:bottom w:val="single" w:color="auto" w:sz="4" w:space="0"/>
                    <w:right w:val="single" w:color="auto" w:sz="4" w:space="0"/>
                    <w:tl2br w:val="nil"/>
                    <w:tr2bl w:val="nil"/>
                  </w:tcBorders>
                  <w:vAlign w:val="center"/>
                </w:tcPr>
                <w:p w14:paraId="6294096B">
                  <w:pPr>
                    <w:jc w:val="center"/>
                    <w:rPr>
                      <w:rFonts w:hint="default" w:ascii="Times New Roman" w:hAnsi="Times New Roman" w:cs="Times New Roman"/>
                      <w:highlight w:val="yellow"/>
                    </w:rPr>
                  </w:pPr>
                  <w:r>
                    <w:rPr>
                      <w:rFonts w:hint="default" w:ascii="Times New Roman" w:hAnsi="Times New Roman" w:cs="Times New Roman"/>
                    </w:rPr>
                    <w:t>以石油化工、建材、矿业等传统产业为重点，推动工艺绿色升级、清洁生产改造。2024 年年底前中小微型传统制造企业集中的城市要制定涉气产业集群发展规划，严格项目审批，严防污染下乡。开展重点涉气产业集群和作坊式产业小集群排查整治，按照“四个一批”实施分类治理。到 2025年，制造业企业入园率达到 85%以上。实施园区节能环保提升工程，支持长沙、株洲、衡阳以及国家级园区开展清洁生产整体审核试点示范。引导各地因地制宜规划建设一批涉VOCs“绿岛”项目。</w:t>
                  </w:r>
                </w:p>
              </w:tc>
              <w:tc>
                <w:tcPr>
                  <w:tcW w:w="1942" w:type="dxa"/>
                  <w:tcBorders>
                    <w:top w:val="single" w:color="auto" w:sz="4" w:space="0"/>
                    <w:left w:val="single" w:color="auto" w:sz="4" w:space="0"/>
                    <w:bottom w:val="single" w:color="auto" w:sz="4" w:space="0"/>
                    <w:right w:val="single" w:color="auto" w:sz="4" w:space="0"/>
                    <w:tl2br w:val="nil"/>
                    <w:tr2bl w:val="nil"/>
                  </w:tcBorders>
                  <w:vAlign w:val="center"/>
                </w:tcPr>
                <w:p w14:paraId="1FC9C589">
                  <w:pPr>
                    <w:jc w:val="center"/>
                    <w:rPr>
                      <w:rFonts w:hint="default" w:ascii="Times New Roman" w:hAnsi="Times New Roman" w:cs="Times New Roman"/>
                    </w:rPr>
                  </w:pPr>
                  <w:r>
                    <w:rPr>
                      <w:rFonts w:hint="default" w:ascii="Times New Roman" w:hAnsi="Times New Roman" w:cs="Times New Roman"/>
                    </w:rPr>
                    <w:t>本项目位于衡阳市蒸湘区衡阳钢管深加工产业聚集区。本环评建议企业开展清洁生产工作。</w:t>
                  </w:r>
                </w:p>
              </w:tc>
              <w:tc>
                <w:tcPr>
                  <w:tcW w:w="756" w:type="dxa"/>
                  <w:tcBorders>
                    <w:top w:val="single" w:color="auto" w:sz="4" w:space="0"/>
                    <w:left w:val="single" w:color="auto" w:sz="4" w:space="0"/>
                    <w:bottom w:val="single" w:color="auto" w:sz="4" w:space="0"/>
                    <w:right w:val="nil"/>
                    <w:tl2br w:val="nil"/>
                    <w:tr2bl w:val="nil"/>
                  </w:tcBorders>
                  <w:vAlign w:val="center"/>
                </w:tcPr>
                <w:p w14:paraId="05413085">
                  <w:pPr>
                    <w:jc w:val="center"/>
                    <w:rPr>
                      <w:rFonts w:hint="default" w:ascii="Times New Roman" w:hAnsi="Times New Roman" w:cs="Times New Roman"/>
                    </w:rPr>
                  </w:pPr>
                  <w:r>
                    <w:rPr>
                      <w:rFonts w:hint="default" w:ascii="Times New Roman" w:hAnsi="Times New Roman" w:cs="Times New Roman"/>
                    </w:rPr>
                    <w:t>符合</w:t>
                  </w:r>
                </w:p>
              </w:tc>
            </w:tr>
            <w:tr w14:paraId="4F71684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74" w:type="dxa"/>
                  <w:tcBorders>
                    <w:top w:val="single" w:color="auto" w:sz="4" w:space="0"/>
                    <w:left w:val="nil"/>
                    <w:bottom w:val="single" w:color="auto" w:sz="4" w:space="0"/>
                    <w:right w:val="single" w:color="auto" w:sz="4" w:space="0"/>
                    <w:tl2br w:val="nil"/>
                    <w:tr2bl w:val="nil"/>
                  </w:tcBorders>
                  <w:vAlign w:val="center"/>
                </w:tcPr>
                <w:p w14:paraId="5A991B3E">
                  <w:pPr>
                    <w:jc w:val="center"/>
                    <w:rPr>
                      <w:rFonts w:hint="default" w:ascii="Times New Roman" w:hAnsi="Times New Roman" w:cs="Times New Roman"/>
                      <w:highlight w:val="yellow"/>
                    </w:rPr>
                  </w:pPr>
                  <w:r>
                    <w:rPr>
                      <w:rFonts w:hint="default" w:ascii="Times New Roman" w:hAnsi="Times New Roman" w:cs="Times New Roman"/>
                    </w:rPr>
                    <w:t>（四）推动低VOCs含量原辅材料和产品源头替代</w:t>
                  </w:r>
                </w:p>
              </w:tc>
              <w:tc>
                <w:tcPr>
                  <w:tcW w:w="3666" w:type="dxa"/>
                  <w:tcBorders>
                    <w:top w:val="single" w:color="auto" w:sz="4" w:space="0"/>
                    <w:left w:val="single" w:color="auto" w:sz="4" w:space="0"/>
                    <w:bottom w:val="single" w:color="auto" w:sz="4" w:space="0"/>
                    <w:right w:val="single" w:color="auto" w:sz="4" w:space="0"/>
                    <w:tl2br w:val="nil"/>
                    <w:tr2bl w:val="nil"/>
                  </w:tcBorders>
                  <w:vAlign w:val="center"/>
                </w:tcPr>
                <w:p w14:paraId="10DB2F6B">
                  <w:pPr>
                    <w:jc w:val="center"/>
                    <w:rPr>
                      <w:rFonts w:hint="default" w:ascii="Times New Roman" w:hAnsi="Times New Roman" w:cs="Times New Roman"/>
                    </w:rPr>
                  </w:pPr>
                  <w:r>
                    <w:rPr>
                      <w:rFonts w:hint="default" w:ascii="Times New Roman" w:hAnsi="Times New Roman" w:cs="Times New Roman"/>
                    </w:rPr>
                    <w:t>严格执行VOCs含量限值标准，严格控制生产和使用高 VOCs含量原辅材料建设项目。以工业涂装、包装印刷、家具制造和电子行业等为重点，指导企业制定低（无）VOCs含量原辅材料替代计划，大力推动“应替尽替”。室外构筑物防护和城市道路交通标志推广使用低（无）VOCs 含量涂料。</w:t>
                  </w:r>
                </w:p>
              </w:tc>
              <w:tc>
                <w:tcPr>
                  <w:tcW w:w="1942" w:type="dxa"/>
                  <w:tcBorders>
                    <w:top w:val="single" w:color="auto" w:sz="4" w:space="0"/>
                    <w:left w:val="single" w:color="auto" w:sz="4" w:space="0"/>
                    <w:bottom w:val="single" w:color="auto" w:sz="4" w:space="0"/>
                    <w:right w:val="single" w:color="auto" w:sz="4" w:space="0"/>
                    <w:tl2br w:val="nil"/>
                    <w:tr2bl w:val="nil"/>
                  </w:tcBorders>
                  <w:vAlign w:val="center"/>
                </w:tcPr>
                <w:p w14:paraId="2598C7C9">
                  <w:pPr>
                    <w:jc w:val="center"/>
                    <w:rPr>
                      <w:rFonts w:hint="default" w:ascii="Times New Roman" w:hAnsi="Times New Roman" w:cs="Times New Roman"/>
                    </w:rPr>
                  </w:pPr>
                  <w:r>
                    <w:rPr>
                      <w:rFonts w:hint="default" w:ascii="Times New Roman" w:hAnsi="Times New Roman" w:cs="Times New Roman"/>
                    </w:rPr>
                    <w:t>本项目属于C2929塑料零件及其他塑料制品制造，</w:t>
                  </w:r>
                  <w:r>
                    <w:rPr>
                      <w:rFonts w:hint="default" w:ascii="Times New Roman" w:hAnsi="Times New Roman" w:cs="Times New Roman"/>
                      <w:szCs w:val="21"/>
                    </w:rPr>
                    <w:t>本项目使用的聚乙烯塑料含VOCs的原料属于低VOCs原辅材料</w:t>
                  </w:r>
                  <w:r>
                    <w:rPr>
                      <w:rFonts w:hint="default" w:ascii="Times New Roman" w:hAnsi="Times New Roman" w:cs="Times New Roman"/>
                    </w:rPr>
                    <w:t>。</w:t>
                  </w:r>
                </w:p>
              </w:tc>
              <w:tc>
                <w:tcPr>
                  <w:tcW w:w="756" w:type="dxa"/>
                  <w:tcBorders>
                    <w:top w:val="single" w:color="auto" w:sz="4" w:space="0"/>
                    <w:left w:val="single" w:color="auto" w:sz="4" w:space="0"/>
                    <w:bottom w:val="single" w:color="auto" w:sz="4" w:space="0"/>
                    <w:right w:val="nil"/>
                    <w:tl2br w:val="nil"/>
                    <w:tr2bl w:val="nil"/>
                  </w:tcBorders>
                  <w:vAlign w:val="center"/>
                </w:tcPr>
                <w:p w14:paraId="7299A32D">
                  <w:pPr>
                    <w:jc w:val="center"/>
                    <w:rPr>
                      <w:rFonts w:hint="default" w:ascii="Times New Roman" w:hAnsi="Times New Roman" w:cs="Times New Roman"/>
                    </w:rPr>
                  </w:pPr>
                  <w:r>
                    <w:rPr>
                      <w:rFonts w:hint="default" w:ascii="Times New Roman" w:hAnsi="Times New Roman" w:cs="Times New Roman"/>
                    </w:rPr>
                    <w:t>符合</w:t>
                  </w:r>
                </w:p>
              </w:tc>
            </w:tr>
            <w:tr w14:paraId="60A05E9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74" w:type="dxa"/>
                  <w:tcBorders>
                    <w:top w:val="single" w:color="auto" w:sz="4" w:space="0"/>
                    <w:left w:val="nil"/>
                    <w:bottom w:val="single" w:color="auto" w:sz="12" w:space="0"/>
                    <w:right w:val="single" w:color="auto" w:sz="4" w:space="0"/>
                    <w:tl2br w:val="nil"/>
                    <w:tr2bl w:val="nil"/>
                  </w:tcBorders>
                  <w:vAlign w:val="center"/>
                </w:tcPr>
                <w:p w14:paraId="63C9E062">
                  <w:pPr>
                    <w:jc w:val="center"/>
                    <w:rPr>
                      <w:rFonts w:hint="default" w:ascii="Times New Roman" w:hAnsi="Times New Roman" w:cs="Times New Roman"/>
                      <w:highlight w:val="yellow"/>
                    </w:rPr>
                  </w:pPr>
                  <w:r>
                    <w:rPr>
                      <w:rFonts w:hint="default" w:ascii="Times New Roman" w:hAnsi="Times New Roman" w:cs="Times New Roman"/>
                    </w:rPr>
                    <w:t>（十六）深化VOCs全流程综合治理</w:t>
                  </w:r>
                </w:p>
              </w:tc>
              <w:tc>
                <w:tcPr>
                  <w:tcW w:w="3666" w:type="dxa"/>
                  <w:tcBorders>
                    <w:top w:val="single" w:color="auto" w:sz="4" w:space="0"/>
                    <w:left w:val="single" w:color="auto" w:sz="4" w:space="0"/>
                    <w:bottom w:val="single" w:color="auto" w:sz="12" w:space="0"/>
                    <w:right w:val="single" w:color="auto" w:sz="4" w:space="0"/>
                    <w:tl2br w:val="nil"/>
                    <w:tr2bl w:val="nil"/>
                  </w:tcBorders>
                  <w:vAlign w:val="center"/>
                </w:tcPr>
                <w:p w14:paraId="29BA66F3">
                  <w:pPr>
                    <w:jc w:val="center"/>
                    <w:rPr>
                      <w:rFonts w:hint="default" w:ascii="Times New Roman" w:hAnsi="Times New Roman" w:cs="Times New Roman"/>
                      <w:highlight w:val="yellow"/>
                    </w:rPr>
                  </w:pPr>
                  <w:r>
                    <w:rPr>
                      <w:rFonts w:hint="default" w:ascii="Times New Roman" w:hAnsi="Times New Roman" w:cs="Times New Roman"/>
                    </w:rPr>
                    <w:t>全面开展 VOCs 收集治理设施排查整治，加快淘汰不合规定、低效失效、无法稳定达标的治理设施。落实非正常工况作业产生的VOCs废气、污水处理场所高浓度有机废气、含 VOCs有机废水储罐和装置区集水井（池）有机废气收集处理要求。规范开展泄漏检测与修复，2025年年底前省级及以上石化、化工园区建立统一的泄漏检测与修复信息管理平台。</w:t>
                  </w:r>
                </w:p>
              </w:tc>
              <w:tc>
                <w:tcPr>
                  <w:tcW w:w="1942" w:type="dxa"/>
                  <w:tcBorders>
                    <w:top w:val="single" w:color="auto" w:sz="4" w:space="0"/>
                    <w:left w:val="single" w:color="auto" w:sz="4" w:space="0"/>
                    <w:bottom w:val="single" w:color="auto" w:sz="12" w:space="0"/>
                    <w:right w:val="single" w:color="auto" w:sz="4" w:space="0"/>
                    <w:tl2br w:val="nil"/>
                    <w:tr2bl w:val="nil"/>
                  </w:tcBorders>
                  <w:vAlign w:val="center"/>
                </w:tcPr>
                <w:p w14:paraId="620B6304">
                  <w:pPr>
                    <w:jc w:val="center"/>
                    <w:rPr>
                      <w:rFonts w:hint="default" w:ascii="Times New Roman" w:hAnsi="Times New Roman" w:cs="Times New Roman"/>
                    </w:rPr>
                  </w:pPr>
                  <w:r>
                    <w:rPr>
                      <w:rFonts w:hint="default" w:ascii="Times New Roman" w:hAnsi="Times New Roman" w:cs="Times New Roman"/>
                    </w:rPr>
                    <w:t>本项目位于衡阳市蒸湘区衡阳钢管深加工产业聚集区，不属于石化、化工园区；本项目注塑废气经</w:t>
                  </w:r>
                  <w:r>
                    <w:rPr>
                      <w:rFonts w:hint="default" w:ascii="Times New Roman" w:hAnsi="Times New Roman" w:cs="Times New Roman"/>
                      <w:szCs w:val="21"/>
                    </w:rPr>
                    <w:t>集气罩+两级活性炭吸附装置+15m排气筒（DA001）</w:t>
                  </w:r>
                  <w:r>
                    <w:rPr>
                      <w:rFonts w:hint="default" w:ascii="Times New Roman" w:hAnsi="Times New Roman" w:cs="Times New Roman"/>
                    </w:rPr>
                    <w:t xml:space="preserve">。 </w:t>
                  </w:r>
                </w:p>
              </w:tc>
              <w:tc>
                <w:tcPr>
                  <w:tcW w:w="756" w:type="dxa"/>
                  <w:tcBorders>
                    <w:top w:val="single" w:color="auto" w:sz="4" w:space="0"/>
                    <w:left w:val="single" w:color="auto" w:sz="4" w:space="0"/>
                    <w:bottom w:val="single" w:color="auto" w:sz="12" w:space="0"/>
                    <w:right w:val="nil"/>
                    <w:tl2br w:val="nil"/>
                    <w:tr2bl w:val="nil"/>
                  </w:tcBorders>
                  <w:vAlign w:val="center"/>
                </w:tcPr>
                <w:p w14:paraId="19C5C5CD">
                  <w:pPr>
                    <w:jc w:val="center"/>
                    <w:rPr>
                      <w:rFonts w:hint="default" w:ascii="Times New Roman" w:hAnsi="Times New Roman" w:cs="Times New Roman"/>
                    </w:rPr>
                  </w:pPr>
                  <w:r>
                    <w:rPr>
                      <w:rFonts w:hint="default" w:ascii="Times New Roman" w:hAnsi="Times New Roman" w:cs="Times New Roman"/>
                    </w:rPr>
                    <w:t>符合</w:t>
                  </w:r>
                </w:p>
              </w:tc>
            </w:tr>
          </w:tbl>
          <w:p w14:paraId="15E6208F">
            <w:pPr>
              <w:pStyle w:val="109"/>
              <w:rPr>
                <w:rFonts w:hint="default" w:ascii="Times New Roman" w:hAnsi="Times New Roman" w:cs="Times New Roman"/>
              </w:rPr>
            </w:pPr>
            <w:r>
              <w:rPr>
                <w:rFonts w:hint="default" w:ascii="Times New Roman" w:hAnsi="Times New Roman" w:cs="Times New Roman"/>
                <w:szCs w:val="22"/>
              </w:rPr>
              <w:t>根据上述内容可知，本项目符合《湖南省空气质量持续改善行动计划实施方案》（湘政办发〔2024〕33号）相关要求。</w:t>
            </w:r>
          </w:p>
          <w:p w14:paraId="3FF296A3">
            <w:pPr>
              <w:pStyle w:val="109"/>
              <w:ind w:firstLine="482"/>
              <w:rPr>
                <w:rFonts w:hint="default" w:ascii="Times New Roman" w:hAnsi="Times New Roman" w:cs="Times New Roman"/>
                <w:highlight w:val="yellow"/>
              </w:rPr>
            </w:pPr>
            <w:r>
              <w:rPr>
                <w:rFonts w:hint="default" w:ascii="Times New Roman" w:hAnsi="Times New Roman" w:cs="Times New Roman"/>
                <w:b/>
                <w:bCs/>
              </w:rPr>
              <w:t>16、环境相容性分析</w:t>
            </w:r>
          </w:p>
          <w:p w14:paraId="481CBFA2">
            <w:pPr>
              <w:pStyle w:val="109"/>
              <w:rPr>
                <w:rFonts w:hint="default" w:ascii="Times New Roman" w:hAnsi="Times New Roman" w:cs="Times New Roman"/>
              </w:rPr>
            </w:pPr>
            <w:r>
              <w:rPr>
                <w:rFonts w:hint="default" w:ascii="Times New Roman" w:hAnsi="Times New Roman" w:cs="Times New Roman"/>
              </w:rPr>
              <w:t>本项目位于衡阳市蒸湘区衡阳钢管深加工产业聚集区，项目拟建地用地性质为工业用地，周边用地类型以工业用地为主。且项目所在地周边居民较少。</w:t>
            </w:r>
          </w:p>
          <w:p w14:paraId="5FDF4545">
            <w:pPr>
              <w:pStyle w:val="109"/>
              <w:rPr>
                <w:rFonts w:hint="default" w:ascii="Times New Roman" w:hAnsi="Times New Roman" w:cs="Times New Roman"/>
                <w:color w:val="000000"/>
                <w:kern w:val="0"/>
              </w:rPr>
            </w:pPr>
            <w:r>
              <w:rPr>
                <w:rFonts w:hint="default" w:ascii="Times New Roman" w:hAnsi="Times New Roman" w:cs="Times New Roman"/>
              </w:rPr>
              <w:t>综上所述，本项目与周围环境相容。</w:t>
            </w:r>
          </w:p>
        </w:tc>
      </w:tr>
    </w:tbl>
    <w:p w14:paraId="19EA5D2F">
      <w:pPr>
        <w:spacing w:line="360" w:lineRule="auto"/>
        <w:rPr>
          <w:rFonts w:eastAsia="黑体"/>
          <w:color w:val="FF0000"/>
          <w:sz w:val="30"/>
        </w:rPr>
        <w:sectPr>
          <w:footerReference r:id="rId4" w:type="default"/>
          <w:pgSz w:w="11906" w:h="16838"/>
          <w:pgMar w:top="1701" w:right="1531" w:bottom="1701" w:left="1531" w:header="851" w:footer="1077" w:gutter="0"/>
          <w:pgNumType w:start="1"/>
          <w:cols w:space="720" w:num="1"/>
          <w:docGrid w:linePitch="312" w:charSpace="0"/>
        </w:sectPr>
      </w:pPr>
    </w:p>
    <w:p w14:paraId="403EA501">
      <w:pPr>
        <w:pStyle w:val="32"/>
        <w:spacing w:before="0" w:beforeAutospacing="0" w:after="0" w:afterAutospacing="0"/>
        <w:outlineLvl w:val="0"/>
        <w:rPr>
          <w:rFonts w:ascii="黑体" w:hAnsi="黑体" w:eastAsia="黑体"/>
          <w:snapToGrid w:val="0"/>
          <w:sz w:val="30"/>
          <w:szCs w:val="30"/>
        </w:rPr>
      </w:pPr>
      <w:bookmarkStart w:id="5" w:name="_Toc19842"/>
      <w:r>
        <w:rPr>
          <w:rFonts w:hint="eastAsia" w:ascii="黑体" w:hAnsi="黑体" w:eastAsia="黑体"/>
          <w:snapToGrid w:val="0"/>
          <w:sz w:val="30"/>
          <w:szCs w:val="30"/>
        </w:rPr>
        <w:t>二、建设项目工程分析</w:t>
      </w:r>
      <w:bookmarkEnd w:id="5"/>
    </w:p>
    <w:tbl>
      <w:tblPr>
        <w:tblStyle w:val="36"/>
        <w:tblW w:w="9061"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57"/>
        <w:gridCol w:w="8304"/>
      </w:tblGrid>
      <w:tr w14:paraId="6EF36EB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57" w:type="dxa"/>
            <w:vAlign w:val="center"/>
          </w:tcPr>
          <w:p w14:paraId="51036BC6">
            <w:pPr>
              <w:rPr>
                <w:sz w:val="24"/>
                <w:szCs w:val="32"/>
              </w:rPr>
            </w:pPr>
            <w:r>
              <w:rPr>
                <w:rFonts w:hint="eastAsia"/>
                <w:szCs w:val="21"/>
              </w:rPr>
              <w:t>建设内容</w:t>
            </w:r>
          </w:p>
        </w:tc>
        <w:tc>
          <w:tcPr>
            <w:tcW w:w="8304" w:type="dxa"/>
            <w:vAlign w:val="center"/>
          </w:tcPr>
          <w:p w14:paraId="5473A5FA">
            <w:pPr>
              <w:pStyle w:val="34"/>
              <w:spacing w:beforeLines="0"/>
              <w:ind w:firstLine="482"/>
              <w:rPr>
                <w:b/>
                <w:bCs/>
                <w:szCs w:val="24"/>
              </w:rPr>
            </w:pPr>
            <w:r>
              <w:rPr>
                <w:b/>
                <w:bCs/>
                <w:szCs w:val="24"/>
              </w:rPr>
              <w:t>1</w:t>
            </w:r>
            <w:r>
              <w:rPr>
                <w:rFonts w:hint="eastAsia"/>
                <w:b/>
                <w:bCs/>
                <w:szCs w:val="24"/>
              </w:rPr>
              <w:t>、项目由来</w:t>
            </w:r>
          </w:p>
          <w:p w14:paraId="20DE601B">
            <w:pPr>
              <w:spacing w:line="360" w:lineRule="auto"/>
              <w:ind w:firstLine="480" w:firstLineChars="200"/>
              <w:rPr>
                <w:sz w:val="24"/>
              </w:rPr>
            </w:pPr>
            <w:r>
              <w:rPr>
                <w:rFonts w:hint="eastAsia"/>
                <w:sz w:val="24"/>
              </w:rPr>
              <w:t>衡阳鸿铭科技股份有限公司为衡阳鸿鑫实业有限公司全资子公司，衡阳鸿铭科技股份有限公司成立于2006年12月25日，主要经营范围：螺纹密封脂、除锈剂、乳化剂、润滑剂、除锈涂料、模具、橡胶制品的研发、生产、销售和技术服务；机械加工；劳保用品的生产及销售。</w:t>
            </w:r>
            <w:r>
              <w:rPr>
                <w:sz w:val="24"/>
              </w:rPr>
              <w:t>(除依法须经批准的项目外，凭营业执照依法自主开展经营活动)</w:t>
            </w:r>
            <w:r>
              <w:rPr>
                <w:rFonts w:hint="eastAsia"/>
                <w:sz w:val="24"/>
              </w:rPr>
              <w:t>。</w:t>
            </w:r>
          </w:p>
          <w:p w14:paraId="73E8B757">
            <w:pPr>
              <w:spacing w:line="360" w:lineRule="auto"/>
              <w:ind w:firstLine="480" w:firstLineChars="200"/>
              <w:rPr>
                <w:rFonts w:hint="eastAsia" w:ascii="Times New Roman" w:hAnsi="Times New Roman" w:eastAsia="宋体" w:cs="Times New Roman"/>
                <w:color w:val="auto"/>
                <w:sz w:val="24"/>
                <w:lang w:val="en-US" w:eastAsia="zh-CN"/>
              </w:rPr>
            </w:pPr>
            <w:r>
              <w:rPr>
                <w:rFonts w:hint="eastAsia"/>
                <w:color w:val="auto"/>
                <w:sz w:val="24"/>
                <w:lang w:val="en-US" w:eastAsia="zh-CN"/>
              </w:rPr>
              <w:t>原环评拟建设一条年产2000吨除锈涂料生产线、一条年产100万套螺纹保护器生产线，实际未建设年产2000吨除锈涂料生产线。由于</w:t>
            </w:r>
            <w:r>
              <w:rPr>
                <w:rFonts w:hint="eastAsia" w:ascii="Times New Roman" w:hAnsi="Times New Roman" w:eastAsia="宋体" w:cs="Times New Roman"/>
                <w:color w:val="auto"/>
                <w:sz w:val="24"/>
                <w:lang w:val="en-US" w:eastAsia="zh-CN"/>
              </w:rPr>
              <w:t>本项目未单独办理</w:t>
            </w:r>
            <w:r>
              <w:rPr>
                <w:rFonts w:hint="eastAsia" w:cs="Times New Roman"/>
                <w:color w:val="auto"/>
                <w:sz w:val="24"/>
                <w:lang w:val="en-US" w:eastAsia="zh-CN"/>
              </w:rPr>
              <w:t>环评手续，且市场不景气，产品滞销等问题，企业决定投资500万元在</w:t>
            </w:r>
            <w:r>
              <w:rPr>
                <w:rFonts w:hint="eastAsia"/>
                <w:color w:val="auto"/>
                <w:sz w:val="24"/>
              </w:rPr>
              <w:t>衡阳市蒸湘区衡阳钢管深加工产业聚集区</w:t>
            </w:r>
            <w:r>
              <w:rPr>
                <w:rFonts w:hint="eastAsia"/>
                <w:color w:val="auto"/>
                <w:sz w:val="24"/>
                <w:lang w:eastAsia="zh-CN"/>
              </w:rPr>
              <w:t>（</w:t>
            </w:r>
            <w:r>
              <w:rPr>
                <w:rFonts w:hint="eastAsia"/>
                <w:color w:val="auto"/>
                <w:sz w:val="24"/>
                <w:lang w:val="en-US" w:eastAsia="zh-CN"/>
              </w:rPr>
              <w:t>原地改建</w:t>
            </w:r>
            <w:r>
              <w:rPr>
                <w:rFonts w:hint="eastAsia"/>
                <w:color w:val="auto"/>
                <w:sz w:val="24"/>
                <w:lang w:eastAsia="zh-CN"/>
              </w:rPr>
              <w:t>）</w:t>
            </w:r>
            <w:r>
              <w:rPr>
                <w:rFonts w:hint="eastAsia" w:cs="Times New Roman"/>
                <w:color w:val="auto"/>
                <w:sz w:val="24"/>
                <w:lang w:val="en-US" w:eastAsia="zh-CN"/>
              </w:rPr>
              <w:t>将年产100万套螺纹保护器调整为</w:t>
            </w:r>
            <w:r>
              <w:rPr>
                <w:rFonts w:hint="eastAsia"/>
                <w:color w:val="auto"/>
                <w:sz w:val="24"/>
                <w:lang w:val="en-US" w:eastAsia="zh-CN"/>
              </w:rPr>
              <w:t>年产80万套螺纹保护器</w:t>
            </w:r>
            <w:r>
              <w:rPr>
                <w:rFonts w:hint="eastAsia" w:cs="Times New Roman"/>
                <w:color w:val="auto"/>
                <w:sz w:val="24"/>
                <w:lang w:val="en-US" w:eastAsia="zh-CN"/>
              </w:rPr>
              <w:t>。因此企业单独办理环评手续，</w:t>
            </w:r>
            <w:r>
              <w:rPr>
                <w:rFonts w:hint="eastAsia" w:ascii="Times New Roman" w:hAnsi="Times New Roman" w:eastAsia="宋体" w:cs="Times New Roman"/>
                <w:color w:val="auto"/>
                <w:sz w:val="24"/>
                <w:lang w:val="en-US" w:eastAsia="zh-CN"/>
              </w:rPr>
              <w:t>本项目</w:t>
            </w:r>
            <w:r>
              <w:rPr>
                <w:rFonts w:hint="eastAsia" w:cs="Times New Roman"/>
                <w:color w:val="auto"/>
                <w:sz w:val="24"/>
                <w:lang w:val="en-US" w:eastAsia="zh-CN"/>
              </w:rPr>
              <w:t>原来</w:t>
            </w:r>
            <w:r>
              <w:rPr>
                <w:rFonts w:hint="eastAsia" w:ascii="Times New Roman" w:hAnsi="Times New Roman" w:eastAsia="宋体" w:cs="Times New Roman"/>
                <w:color w:val="auto"/>
                <w:sz w:val="24"/>
                <w:lang w:val="en-US" w:eastAsia="zh-CN"/>
              </w:rPr>
              <w:t>未单独办理</w:t>
            </w:r>
            <w:r>
              <w:rPr>
                <w:rFonts w:hint="eastAsia" w:cs="Times New Roman"/>
                <w:color w:val="auto"/>
                <w:sz w:val="24"/>
                <w:lang w:val="en-US" w:eastAsia="zh-CN"/>
              </w:rPr>
              <w:t>环评手续</w:t>
            </w:r>
            <w:r>
              <w:rPr>
                <w:rFonts w:hint="eastAsia" w:ascii="Times New Roman" w:hAnsi="Times New Roman" w:eastAsia="宋体" w:cs="Times New Roman"/>
                <w:color w:val="auto"/>
                <w:sz w:val="24"/>
                <w:lang w:val="en-US" w:eastAsia="zh-CN"/>
              </w:rPr>
              <w:t>，环保手续由蒸湘区</w:t>
            </w:r>
            <w:r>
              <w:rPr>
                <w:rFonts w:hint="eastAsia" w:ascii="Times New Roman" w:hAnsi="Times New Roman" w:eastAsia="宋体" w:cs="Times New Roman"/>
                <w:color w:val="auto"/>
                <w:sz w:val="24"/>
              </w:rPr>
              <w:t>衡阳钢管深加工产业聚集区</w:t>
            </w:r>
            <w:r>
              <w:rPr>
                <w:rFonts w:hint="eastAsia" w:ascii="Times New Roman" w:hAnsi="Times New Roman" w:eastAsia="宋体" w:cs="Times New Roman"/>
                <w:color w:val="auto"/>
                <w:sz w:val="24"/>
                <w:lang w:val="en-US" w:eastAsia="zh-CN"/>
              </w:rPr>
              <w:t>办理整个园区的规划环评及验收详见附件3、附件4</w:t>
            </w:r>
            <w:r>
              <w:rPr>
                <w:rFonts w:hint="eastAsia" w:cs="Times New Roman"/>
                <w:color w:val="auto"/>
                <w:sz w:val="24"/>
                <w:lang w:val="en-US" w:eastAsia="zh-CN"/>
              </w:rPr>
              <w:t>。</w:t>
            </w:r>
          </w:p>
          <w:p w14:paraId="21C43300">
            <w:pPr>
              <w:spacing w:line="360" w:lineRule="auto"/>
              <w:ind w:firstLine="480" w:firstLineChars="200"/>
              <w:rPr>
                <w:sz w:val="24"/>
              </w:rPr>
            </w:pPr>
            <w:r>
              <w:rPr>
                <w:rFonts w:hint="eastAsia"/>
                <w:sz w:val="24"/>
              </w:rPr>
              <w:t>根据《中华人民共和国环境保护法》（2015年1月1日）、《中华人民共和国环境影响评价法》（2018年12月）、《建设项目环境保护管理条例》（2017 年7月16日修订、2017年10月1日施行）、《建设项目环境影响评价分类管理名录（2021年1月1日施行）》等有关法律和规定，本项目属于名录 “</w:t>
            </w:r>
            <w:r>
              <w:rPr>
                <w:sz w:val="24"/>
              </w:rPr>
              <w:t>二十六</w:t>
            </w:r>
            <w:r>
              <w:rPr>
                <w:rFonts w:hint="eastAsia"/>
                <w:sz w:val="24"/>
              </w:rPr>
              <w:t>、</w:t>
            </w:r>
            <w:r>
              <w:rPr>
                <w:sz w:val="24"/>
              </w:rPr>
              <w:t>橡胶和塑料制品业29</w:t>
            </w:r>
            <w:r>
              <w:rPr>
                <w:rFonts w:hint="eastAsia"/>
                <w:sz w:val="24"/>
              </w:rPr>
              <w:t>-</w:t>
            </w:r>
            <w:r>
              <w:rPr>
                <w:sz w:val="24"/>
              </w:rPr>
              <w:t>53塑料制品业</w:t>
            </w:r>
            <w:r>
              <w:rPr>
                <w:rFonts w:hint="eastAsia"/>
                <w:sz w:val="24"/>
              </w:rPr>
              <w:t>292-其他（年用非溶剂型低VOCs含量涂料10吨以下的除外）</w:t>
            </w:r>
            <w:r>
              <w:rPr>
                <w:rFonts w:hint="eastAsia"/>
                <w:sz w:val="24"/>
                <w:lang w:val="en-US" w:eastAsia="zh-CN"/>
              </w:rPr>
              <w:t>和三十、金属制品业、C3360金属表面处理及热处理加工</w:t>
            </w:r>
            <w:r>
              <w:rPr>
                <w:rFonts w:hint="eastAsia"/>
                <w:sz w:val="24"/>
              </w:rPr>
              <w:t>（年用非溶剂型低VOCs含量涂料10吨以下的除外）”，因此，本项目应当编制报告表。根据建设单位提供的相关基础资料，按照环评技术导则要求，编制了《</w:t>
            </w:r>
            <w:r>
              <w:rPr>
                <w:rFonts w:hint="eastAsia"/>
                <w:sz w:val="24"/>
                <w:lang w:eastAsia="zh-CN"/>
              </w:rPr>
              <w:t xml:space="preserve">年产80万套螺纹保护器改建项目 </w:t>
            </w:r>
            <w:r>
              <w:rPr>
                <w:rFonts w:hint="eastAsia"/>
                <w:sz w:val="24"/>
              </w:rPr>
              <w:t>环境影响报告表》。</w:t>
            </w:r>
          </w:p>
          <w:p w14:paraId="5ACB36B2">
            <w:pPr>
              <w:pStyle w:val="34"/>
              <w:spacing w:beforeLines="0"/>
              <w:ind w:firstLine="482"/>
              <w:rPr>
                <w:b/>
                <w:bCs/>
                <w:szCs w:val="24"/>
              </w:rPr>
            </w:pPr>
            <w:r>
              <w:rPr>
                <w:b/>
                <w:bCs/>
                <w:szCs w:val="24"/>
              </w:rPr>
              <w:t>2、项目概况</w:t>
            </w:r>
          </w:p>
          <w:p w14:paraId="278E5EDC">
            <w:pPr>
              <w:pStyle w:val="22"/>
              <w:tabs>
                <w:tab w:val="left" w:pos="7474"/>
              </w:tabs>
              <w:spacing w:after="0" w:line="360" w:lineRule="auto"/>
              <w:ind w:left="0" w:leftChars="0" w:firstLine="480" w:firstLineChars="200"/>
              <w:rPr>
                <w:rFonts w:hint="eastAsia" w:ascii="Times New Roman" w:hAnsi="Times New Roman" w:eastAsia="宋体"/>
                <w:sz w:val="24"/>
                <w:szCs w:val="24"/>
                <w:lang w:eastAsia="zh-CN"/>
              </w:rPr>
            </w:pPr>
            <w:r>
              <w:rPr>
                <w:rFonts w:ascii="Times New Roman" w:hAnsi="Times New Roman"/>
                <w:sz w:val="24"/>
                <w:szCs w:val="24"/>
              </w:rPr>
              <w:t>项目名称：</w:t>
            </w:r>
            <w:r>
              <w:rPr>
                <w:rFonts w:hint="eastAsia" w:ascii="Times New Roman" w:hAnsi="Times New Roman"/>
                <w:sz w:val="24"/>
                <w:szCs w:val="24"/>
                <w:lang w:eastAsia="zh-CN"/>
              </w:rPr>
              <w:t xml:space="preserve">年产80万套螺纹保护器改建项目 </w:t>
            </w:r>
          </w:p>
          <w:p w14:paraId="70293144">
            <w:pPr>
              <w:pStyle w:val="22"/>
              <w:spacing w:after="0" w:line="360" w:lineRule="auto"/>
              <w:ind w:left="0" w:leftChars="0" w:firstLine="480" w:firstLineChars="200"/>
              <w:rPr>
                <w:rFonts w:ascii="Times New Roman" w:hAnsi="Times New Roman"/>
                <w:sz w:val="24"/>
                <w:szCs w:val="24"/>
              </w:rPr>
            </w:pPr>
            <w:r>
              <w:rPr>
                <w:rFonts w:ascii="Times New Roman" w:hAnsi="Times New Roman"/>
                <w:sz w:val="24"/>
                <w:szCs w:val="24"/>
              </w:rPr>
              <w:t>建设地点：</w:t>
            </w:r>
            <w:r>
              <w:rPr>
                <w:rFonts w:hint="eastAsia" w:ascii="Times New Roman" w:hAnsi="Times New Roman"/>
                <w:sz w:val="24"/>
                <w:szCs w:val="24"/>
              </w:rPr>
              <w:t>衡阳市蒸湘区衡阳钢管深加工产业聚集区</w:t>
            </w:r>
          </w:p>
          <w:p w14:paraId="6AF35DB8">
            <w:pPr>
              <w:pStyle w:val="22"/>
              <w:spacing w:after="0" w:line="360" w:lineRule="auto"/>
              <w:ind w:left="0" w:leftChars="0" w:firstLine="480" w:firstLineChars="200"/>
              <w:rPr>
                <w:rFonts w:ascii="Times New Roman" w:hAnsi="Times New Roman"/>
                <w:sz w:val="24"/>
                <w:szCs w:val="24"/>
              </w:rPr>
            </w:pPr>
            <w:r>
              <w:rPr>
                <w:rFonts w:ascii="Times New Roman" w:hAnsi="Times New Roman"/>
                <w:sz w:val="24"/>
                <w:szCs w:val="24"/>
              </w:rPr>
              <w:t>建设单位：</w:t>
            </w:r>
            <w:r>
              <w:rPr>
                <w:rFonts w:hint="eastAsia" w:ascii="Times New Roman" w:hAnsi="Times New Roman"/>
                <w:sz w:val="24"/>
                <w:szCs w:val="24"/>
              </w:rPr>
              <w:t>衡阳鸿铭科技股份有限公司</w:t>
            </w:r>
          </w:p>
          <w:p w14:paraId="59108136">
            <w:pPr>
              <w:pStyle w:val="22"/>
              <w:spacing w:after="0" w:line="360" w:lineRule="auto"/>
              <w:ind w:left="0" w:leftChars="0" w:firstLine="480" w:firstLineChars="200"/>
              <w:rPr>
                <w:rFonts w:ascii="Times New Roman" w:hAnsi="Times New Roman"/>
                <w:sz w:val="24"/>
                <w:szCs w:val="24"/>
              </w:rPr>
            </w:pPr>
            <w:r>
              <w:rPr>
                <w:rFonts w:ascii="Times New Roman" w:hAnsi="Times New Roman"/>
                <w:sz w:val="24"/>
                <w:szCs w:val="24"/>
              </w:rPr>
              <w:t>建设性质：</w:t>
            </w:r>
            <w:r>
              <w:rPr>
                <w:rFonts w:hint="eastAsia" w:ascii="Times New Roman" w:hAnsi="Times New Roman"/>
                <w:sz w:val="24"/>
                <w:szCs w:val="24"/>
              </w:rPr>
              <w:t>改建</w:t>
            </w:r>
          </w:p>
          <w:p w14:paraId="4873BC0A">
            <w:pPr>
              <w:pStyle w:val="22"/>
              <w:spacing w:after="0" w:line="360" w:lineRule="auto"/>
              <w:ind w:left="0" w:leftChars="0" w:firstLine="480" w:firstLineChars="200"/>
              <w:rPr>
                <w:rFonts w:ascii="Times New Roman" w:hAnsi="Times New Roman"/>
                <w:sz w:val="24"/>
                <w:szCs w:val="24"/>
              </w:rPr>
            </w:pPr>
            <w:r>
              <w:rPr>
                <w:rFonts w:ascii="Times New Roman" w:hAnsi="Times New Roman"/>
                <w:sz w:val="24"/>
                <w:szCs w:val="24"/>
              </w:rPr>
              <w:t>总投资：</w:t>
            </w:r>
            <w:r>
              <w:rPr>
                <w:rFonts w:hint="eastAsia" w:ascii="Times New Roman" w:hAnsi="Times New Roman"/>
                <w:sz w:val="24"/>
                <w:szCs w:val="24"/>
              </w:rPr>
              <w:t>500</w:t>
            </w:r>
            <w:r>
              <w:rPr>
                <w:rFonts w:ascii="Times New Roman" w:hAnsi="Times New Roman"/>
                <w:sz w:val="24"/>
                <w:szCs w:val="24"/>
              </w:rPr>
              <w:t>万元</w:t>
            </w:r>
          </w:p>
          <w:p w14:paraId="7BCB30AB">
            <w:pPr>
              <w:pStyle w:val="22"/>
              <w:spacing w:after="0" w:line="360" w:lineRule="auto"/>
              <w:ind w:left="0" w:leftChars="0" w:firstLine="480" w:firstLineChars="200"/>
              <w:rPr>
                <w:rFonts w:ascii="Times New Roman" w:hAnsi="Times New Roman"/>
                <w:sz w:val="24"/>
                <w:szCs w:val="24"/>
                <w:vertAlign w:val="superscript"/>
              </w:rPr>
            </w:pPr>
            <w:r>
              <w:rPr>
                <w:rFonts w:ascii="Times New Roman" w:hAnsi="Times New Roman"/>
                <w:sz w:val="24"/>
                <w:szCs w:val="24"/>
              </w:rPr>
              <w:t>占地面积：</w:t>
            </w:r>
            <w:r>
              <w:rPr>
                <w:rFonts w:hint="eastAsia" w:ascii="Times New Roman" w:hAnsi="Times New Roman"/>
                <w:sz w:val="24"/>
                <w:szCs w:val="24"/>
              </w:rPr>
              <w:t>8750</w:t>
            </w:r>
            <w:r>
              <w:rPr>
                <w:rFonts w:ascii="Times New Roman" w:hAnsi="Times New Roman"/>
                <w:sz w:val="24"/>
                <w:szCs w:val="24"/>
              </w:rPr>
              <w:t>m</w:t>
            </w:r>
            <w:r>
              <w:rPr>
                <w:rFonts w:ascii="Times New Roman" w:hAnsi="Times New Roman"/>
                <w:sz w:val="24"/>
                <w:szCs w:val="24"/>
                <w:vertAlign w:val="superscript"/>
              </w:rPr>
              <w:t>2</w:t>
            </w:r>
          </w:p>
          <w:p w14:paraId="4D462790">
            <w:pPr>
              <w:pStyle w:val="22"/>
              <w:spacing w:after="0" w:line="360" w:lineRule="auto"/>
              <w:ind w:left="0" w:leftChars="0" w:firstLine="480" w:firstLineChars="200"/>
              <w:rPr>
                <w:rFonts w:ascii="Times New Roman" w:hAnsi="Times New Roman"/>
                <w:sz w:val="24"/>
                <w:szCs w:val="24"/>
              </w:rPr>
            </w:pPr>
            <w:r>
              <w:rPr>
                <w:rFonts w:hint="eastAsia" w:ascii="Times New Roman" w:hAnsi="Times New Roman"/>
                <w:sz w:val="24"/>
                <w:szCs w:val="24"/>
              </w:rPr>
              <w:t>产品方案：</w:t>
            </w:r>
            <w:r>
              <w:rPr>
                <w:rFonts w:hint="eastAsia" w:ascii="Times New Roman" w:hAnsi="Times New Roman"/>
                <w:sz w:val="24"/>
                <w:szCs w:val="24"/>
                <w:lang w:eastAsia="zh-CN"/>
              </w:rPr>
              <w:t>年产80万套螺纹保护器</w:t>
            </w:r>
            <w:r>
              <w:rPr>
                <w:rFonts w:hint="eastAsia" w:ascii="Times New Roman" w:hAnsi="Times New Roman"/>
                <w:sz w:val="24"/>
                <w:szCs w:val="24"/>
              </w:rPr>
              <w:t>。</w:t>
            </w:r>
          </w:p>
          <w:p w14:paraId="5797CFE9">
            <w:pPr>
              <w:pStyle w:val="34"/>
              <w:spacing w:beforeLines="0"/>
              <w:ind w:firstLine="482"/>
              <w:rPr>
                <w:b/>
                <w:bCs/>
                <w:szCs w:val="24"/>
              </w:rPr>
            </w:pPr>
            <w:r>
              <w:rPr>
                <w:rFonts w:hint="eastAsia"/>
                <w:b/>
                <w:bCs/>
                <w:szCs w:val="24"/>
              </w:rPr>
              <w:t>3、项目主要建设内容</w:t>
            </w:r>
          </w:p>
          <w:p w14:paraId="04386E2D">
            <w:pPr>
              <w:spacing w:line="360" w:lineRule="auto"/>
              <w:ind w:firstLine="480" w:firstLineChars="200"/>
              <w:rPr>
                <w:b/>
                <w:bCs/>
                <w:spacing w:val="2"/>
                <w:szCs w:val="21"/>
              </w:rPr>
            </w:pPr>
            <w:r>
              <w:rPr>
                <w:rFonts w:hint="eastAsia"/>
                <w:sz w:val="24"/>
              </w:rPr>
              <w:t>本项目位于衡阳市蒸湘区衡阳钢管深加工产业聚集区，租赁衡阳鸿鑫实业有限公司现有厂房作为生产厂房，租赁合同见附件5。</w:t>
            </w:r>
            <w:r>
              <w:rPr>
                <w:sz w:val="24"/>
              </w:rPr>
              <w:t>项目占地面积</w:t>
            </w:r>
            <w:r>
              <w:rPr>
                <w:rFonts w:hint="eastAsia"/>
                <w:sz w:val="24"/>
              </w:rPr>
              <w:t>为8750</w:t>
            </w:r>
            <w:r>
              <w:rPr>
                <w:sz w:val="24"/>
              </w:rPr>
              <w:t>m</w:t>
            </w:r>
            <w:r>
              <w:rPr>
                <w:sz w:val="24"/>
                <w:vertAlign w:val="superscript"/>
              </w:rPr>
              <w:t>2</w:t>
            </w:r>
            <w:r>
              <w:rPr>
                <w:rFonts w:hint="eastAsia"/>
                <w:sz w:val="24"/>
              </w:rPr>
              <w:t>，项目主要工程内容见表2-1：</w:t>
            </w:r>
          </w:p>
          <w:p w14:paraId="6D4F9A90">
            <w:pPr>
              <w:pStyle w:val="22"/>
              <w:spacing w:after="0" w:line="240" w:lineRule="auto"/>
              <w:ind w:firstLine="430" w:firstLineChars="200"/>
              <w:jc w:val="center"/>
              <w:rPr>
                <w:rFonts w:ascii="Times New Roman" w:hAnsi="Times New Roman"/>
                <w:b/>
                <w:bCs/>
                <w:spacing w:val="2"/>
                <w:szCs w:val="21"/>
              </w:rPr>
            </w:pPr>
            <w:r>
              <w:rPr>
                <w:rFonts w:ascii="Times New Roman" w:hAnsi="Times New Roman"/>
                <w:b/>
                <w:bCs/>
                <w:spacing w:val="2"/>
                <w:szCs w:val="21"/>
              </w:rPr>
              <w:t>表</w:t>
            </w:r>
            <w:r>
              <w:rPr>
                <w:rFonts w:hint="eastAsia" w:ascii="Times New Roman" w:hAnsi="Times New Roman"/>
                <w:b/>
                <w:bCs/>
                <w:szCs w:val="21"/>
              </w:rPr>
              <w:t xml:space="preserve">2-1   </w:t>
            </w:r>
            <w:r>
              <w:rPr>
                <w:rFonts w:ascii="Times New Roman" w:hAnsi="Times New Roman"/>
                <w:b/>
                <w:bCs/>
                <w:spacing w:val="50"/>
                <w:szCs w:val="21"/>
              </w:rPr>
              <w:t xml:space="preserve"> </w:t>
            </w:r>
            <w:r>
              <w:rPr>
                <w:rFonts w:hint="eastAsia" w:ascii="宋体" w:hAnsi="宋体" w:cs="宋体"/>
                <w:b/>
                <w:bCs/>
                <w:szCs w:val="21"/>
              </w:rPr>
              <w:t>项目主要工程内容一览表</w:t>
            </w:r>
          </w:p>
          <w:tbl>
            <w:tblPr>
              <w:tblStyle w:val="36"/>
              <w:tblW w:w="805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 w:type="dxa"/>
                <w:bottom w:w="0" w:type="dxa"/>
                <w:right w:w="10" w:type="dxa"/>
              </w:tblCellMar>
            </w:tblPr>
            <w:tblGrid>
              <w:gridCol w:w="645"/>
              <w:gridCol w:w="1200"/>
              <w:gridCol w:w="2563"/>
              <w:gridCol w:w="2573"/>
              <w:gridCol w:w="1077"/>
            </w:tblGrid>
            <w:tr w14:paraId="62027EF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trHeight w:val="209" w:hRule="atLeast"/>
                <w:jc w:val="center"/>
              </w:trPr>
              <w:tc>
                <w:tcPr>
                  <w:tcW w:w="645" w:type="dxa"/>
                  <w:vMerge w:val="restart"/>
                  <w:shd w:val="clear" w:color="auto" w:fill="auto"/>
                  <w:vAlign w:val="center"/>
                </w:tcPr>
                <w:p w14:paraId="1B720B88">
                  <w:pPr>
                    <w:jc w:val="center"/>
                    <w:rPr>
                      <w:b/>
                      <w:szCs w:val="21"/>
                      <w:lang w:val="zh-TW" w:eastAsia="zh-TW" w:bidi="zh-TW"/>
                    </w:rPr>
                  </w:pPr>
                  <w:r>
                    <w:rPr>
                      <w:b/>
                      <w:szCs w:val="21"/>
                      <w:lang w:val="zh-TW" w:eastAsia="zh-TW" w:bidi="zh-TW"/>
                    </w:rPr>
                    <w:t>项目</w:t>
                  </w:r>
                </w:p>
              </w:tc>
              <w:tc>
                <w:tcPr>
                  <w:tcW w:w="1200" w:type="dxa"/>
                  <w:vMerge w:val="restart"/>
                  <w:shd w:val="clear" w:color="auto" w:fill="FFFFFF"/>
                  <w:vAlign w:val="center"/>
                </w:tcPr>
                <w:p w14:paraId="7335E06D">
                  <w:pPr>
                    <w:jc w:val="center"/>
                    <w:rPr>
                      <w:rStyle w:val="456"/>
                      <w:rFonts w:ascii="Times New Roman" w:hAnsi="Times New Roman" w:cs="Times New Roman"/>
                      <w:b/>
                      <w:color w:val="auto"/>
                      <w:sz w:val="21"/>
                      <w:szCs w:val="21"/>
                    </w:rPr>
                  </w:pPr>
                  <w:r>
                    <w:rPr>
                      <w:rStyle w:val="456"/>
                      <w:rFonts w:ascii="Times New Roman" w:hAnsi="Times New Roman" w:cs="Times New Roman"/>
                      <w:b/>
                      <w:color w:val="auto"/>
                      <w:sz w:val="21"/>
                      <w:szCs w:val="21"/>
                    </w:rPr>
                    <w:t>主要组成</w:t>
                  </w:r>
                </w:p>
              </w:tc>
              <w:tc>
                <w:tcPr>
                  <w:tcW w:w="5136" w:type="dxa"/>
                  <w:gridSpan w:val="2"/>
                  <w:shd w:val="clear" w:color="auto" w:fill="FFFFFF"/>
                  <w:vAlign w:val="center"/>
                </w:tcPr>
                <w:p w14:paraId="0209D35A">
                  <w:pPr>
                    <w:jc w:val="center"/>
                  </w:pPr>
                  <w:r>
                    <w:t>工程建设内容及规模</w:t>
                  </w:r>
                </w:p>
              </w:tc>
              <w:tc>
                <w:tcPr>
                  <w:tcW w:w="1077" w:type="dxa"/>
                  <w:shd w:val="clear" w:color="auto" w:fill="FFFFFF"/>
                  <w:vAlign w:val="center"/>
                </w:tcPr>
                <w:p w14:paraId="25BFFA52">
                  <w:pPr>
                    <w:jc w:val="center"/>
                  </w:pPr>
                  <w:r>
                    <w:rPr>
                      <w:rFonts w:hint="eastAsia"/>
                    </w:rPr>
                    <w:t>备注</w:t>
                  </w:r>
                </w:p>
              </w:tc>
            </w:tr>
            <w:tr w14:paraId="21B41D9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trHeight w:val="92" w:hRule="atLeast"/>
                <w:jc w:val="center"/>
              </w:trPr>
              <w:tc>
                <w:tcPr>
                  <w:tcW w:w="645" w:type="dxa"/>
                  <w:vMerge w:val="continue"/>
                  <w:shd w:val="clear" w:color="auto" w:fill="auto"/>
                  <w:vAlign w:val="center"/>
                </w:tcPr>
                <w:p w14:paraId="2EE7E661">
                  <w:pPr>
                    <w:jc w:val="center"/>
                    <w:rPr>
                      <w:b/>
                      <w:szCs w:val="21"/>
                      <w:lang w:val="zh-TW" w:eastAsia="zh-TW" w:bidi="zh-TW"/>
                    </w:rPr>
                  </w:pPr>
                </w:p>
              </w:tc>
              <w:tc>
                <w:tcPr>
                  <w:tcW w:w="1200" w:type="dxa"/>
                  <w:vMerge w:val="continue"/>
                  <w:shd w:val="clear" w:color="auto" w:fill="FFFFFF"/>
                  <w:vAlign w:val="center"/>
                </w:tcPr>
                <w:p w14:paraId="6BE8A5BB">
                  <w:pPr>
                    <w:jc w:val="center"/>
                    <w:rPr>
                      <w:rStyle w:val="456"/>
                      <w:rFonts w:ascii="Times New Roman" w:hAnsi="Times New Roman" w:cs="Times New Roman"/>
                      <w:b/>
                      <w:color w:val="auto"/>
                      <w:sz w:val="21"/>
                      <w:szCs w:val="21"/>
                    </w:rPr>
                  </w:pPr>
                </w:p>
              </w:tc>
              <w:tc>
                <w:tcPr>
                  <w:tcW w:w="2563" w:type="dxa"/>
                  <w:shd w:val="clear" w:color="auto" w:fill="FFFFFF"/>
                  <w:vAlign w:val="center"/>
                </w:tcPr>
                <w:p w14:paraId="19ECCAF7">
                  <w:pPr>
                    <w:pStyle w:val="17"/>
                    <w:spacing w:after="0"/>
                    <w:ind w:left="0" w:leftChars="0"/>
                    <w:jc w:val="center"/>
                  </w:pPr>
                  <w:r>
                    <w:rPr>
                      <w:rFonts w:hint="eastAsia"/>
                      <w:bCs/>
                      <w:sz w:val="21"/>
                      <w:szCs w:val="21"/>
                    </w:rPr>
                    <w:t>现有工程建设内容</w:t>
                  </w:r>
                </w:p>
              </w:tc>
              <w:tc>
                <w:tcPr>
                  <w:tcW w:w="2573" w:type="dxa"/>
                  <w:shd w:val="clear" w:color="auto" w:fill="FFFFFF"/>
                  <w:vAlign w:val="center"/>
                </w:tcPr>
                <w:p w14:paraId="2980AF52">
                  <w:pPr>
                    <w:pStyle w:val="17"/>
                    <w:spacing w:after="0"/>
                    <w:ind w:left="0" w:leftChars="0"/>
                    <w:jc w:val="center"/>
                  </w:pPr>
                  <w:r>
                    <w:rPr>
                      <w:rFonts w:hint="eastAsia"/>
                      <w:bCs/>
                      <w:sz w:val="21"/>
                      <w:szCs w:val="21"/>
                    </w:rPr>
                    <w:t>改建工程建设内容</w:t>
                  </w:r>
                </w:p>
              </w:tc>
              <w:tc>
                <w:tcPr>
                  <w:tcW w:w="1077" w:type="dxa"/>
                  <w:shd w:val="clear" w:color="auto" w:fill="FFFFFF"/>
                  <w:vAlign w:val="center"/>
                </w:tcPr>
                <w:p w14:paraId="48622F17">
                  <w:pPr>
                    <w:pStyle w:val="17"/>
                    <w:spacing w:after="0"/>
                    <w:ind w:left="0" w:leftChars="0"/>
                    <w:jc w:val="center"/>
                    <w:rPr>
                      <w:bCs/>
                      <w:sz w:val="21"/>
                      <w:szCs w:val="21"/>
                    </w:rPr>
                  </w:pPr>
                </w:p>
              </w:tc>
            </w:tr>
            <w:tr w14:paraId="46C062C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trHeight w:val="510" w:hRule="atLeast"/>
                <w:jc w:val="center"/>
              </w:trPr>
              <w:tc>
                <w:tcPr>
                  <w:tcW w:w="645" w:type="dxa"/>
                  <w:shd w:val="clear" w:color="auto" w:fill="auto"/>
                  <w:vAlign w:val="center"/>
                </w:tcPr>
                <w:p w14:paraId="2C02D16D">
                  <w:pPr>
                    <w:jc w:val="center"/>
                    <w:rPr>
                      <w:szCs w:val="21"/>
                      <w:lang w:val="zh-TW" w:eastAsia="zh-TW" w:bidi="zh-TW"/>
                    </w:rPr>
                  </w:pPr>
                  <w:r>
                    <w:rPr>
                      <w:szCs w:val="21"/>
                      <w:lang w:val="zh-TW" w:eastAsia="zh-TW" w:bidi="zh-TW"/>
                    </w:rPr>
                    <w:t>主体工程</w:t>
                  </w:r>
                </w:p>
              </w:tc>
              <w:tc>
                <w:tcPr>
                  <w:tcW w:w="1200" w:type="dxa"/>
                  <w:shd w:val="clear" w:color="auto" w:fill="FFFFFF"/>
                  <w:vAlign w:val="center"/>
                </w:tcPr>
                <w:p w14:paraId="2A59990E">
                  <w:pPr>
                    <w:pStyle w:val="183"/>
                    <w:widowControl/>
                    <w:adjustRightInd/>
                    <w:snapToGrid/>
                    <w:spacing w:before="120"/>
                    <w:textAlignment w:val="baseline"/>
                    <w:rPr>
                      <w:szCs w:val="21"/>
                    </w:rPr>
                  </w:pPr>
                  <w:r>
                    <w:rPr>
                      <w:szCs w:val="21"/>
                    </w:rPr>
                    <w:t>生产车间</w:t>
                  </w:r>
                </w:p>
              </w:tc>
              <w:tc>
                <w:tcPr>
                  <w:tcW w:w="2563" w:type="dxa"/>
                  <w:shd w:val="clear" w:color="auto" w:fill="FFFFFF"/>
                  <w:vAlign w:val="center"/>
                </w:tcPr>
                <w:p w14:paraId="3521EF45">
                  <w:pPr>
                    <w:pStyle w:val="183"/>
                    <w:widowControl/>
                    <w:adjustRightInd/>
                    <w:snapToGrid/>
                    <w:spacing w:before="120"/>
                    <w:textAlignment w:val="baseline"/>
                  </w:pPr>
                  <w:r>
                    <w:rPr>
                      <w:bCs/>
                      <w:szCs w:val="21"/>
                    </w:rPr>
                    <w:t>建筑面积为</w:t>
                  </w:r>
                  <w:r>
                    <w:rPr>
                      <w:rFonts w:hint="eastAsia"/>
                      <w:szCs w:val="21"/>
                    </w:rPr>
                    <w:t>65</w:t>
                  </w:r>
                  <w:r>
                    <w:rPr>
                      <w:rFonts w:hint="eastAsia"/>
                      <w:szCs w:val="21"/>
                      <w:lang w:val="en-US" w:eastAsia="zh-CN"/>
                    </w:rPr>
                    <w:t>25</w:t>
                  </w:r>
                  <w:r>
                    <w:rPr>
                      <w:szCs w:val="21"/>
                    </w:rPr>
                    <w:t>m</w:t>
                  </w:r>
                  <w:r>
                    <w:rPr>
                      <w:szCs w:val="21"/>
                      <w:vertAlign w:val="superscript"/>
                    </w:rPr>
                    <w:t>2</w:t>
                  </w:r>
                  <w:r>
                    <w:rPr>
                      <w:bCs/>
                      <w:szCs w:val="21"/>
                    </w:rPr>
                    <w:t>，</w:t>
                  </w:r>
                  <w:r>
                    <w:rPr>
                      <w:szCs w:val="21"/>
                    </w:rPr>
                    <w:t>包括</w:t>
                  </w:r>
                  <w:r>
                    <w:rPr>
                      <w:rFonts w:hint="eastAsia"/>
                      <w:szCs w:val="21"/>
                    </w:rPr>
                    <w:t>注塑区、氩焊区、喷塑区、螺纹及压装区等</w:t>
                  </w:r>
                </w:p>
              </w:tc>
              <w:tc>
                <w:tcPr>
                  <w:tcW w:w="2573" w:type="dxa"/>
                  <w:shd w:val="clear" w:color="auto" w:fill="FFFFFF"/>
                  <w:vAlign w:val="center"/>
                </w:tcPr>
                <w:p w14:paraId="58378E1D">
                  <w:pPr>
                    <w:pStyle w:val="183"/>
                    <w:widowControl/>
                    <w:adjustRightInd/>
                    <w:snapToGrid/>
                    <w:spacing w:before="120"/>
                    <w:textAlignment w:val="baseline"/>
                  </w:pPr>
                  <w:r>
                    <w:rPr>
                      <w:bCs/>
                      <w:szCs w:val="21"/>
                    </w:rPr>
                    <w:t>建筑面积为</w:t>
                  </w:r>
                  <w:r>
                    <w:rPr>
                      <w:rFonts w:hint="eastAsia"/>
                      <w:szCs w:val="21"/>
                    </w:rPr>
                    <w:t>65</w:t>
                  </w:r>
                  <w:r>
                    <w:rPr>
                      <w:rFonts w:hint="eastAsia"/>
                      <w:szCs w:val="21"/>
                      <w:lang w:val="en-US" w:eastAsia="zh-CN"/>
                    </w:rPr>
                    <w:t>25</w:t>
                  </w:r>
                  <w:r>
                    <w:rPr>
                      <w:szCs w:val="21"/>
                    </w:rPr>
                    <w:t>m</w:t>
                  </w:r>
                  <w:r>
                    <w:rPr>
                      <w:szCs w:val="21"/>
                      <w:vertAlign w:val="superscript"/>
                    </w:rPr>
                    <w:t>2</w:t>
                  </w:r>
                  <w:r>
                    <w:rPr>
                      <w:bCs/>
                      <w:szCs w:val="21"/>
                    </w:rPr>
                    <w:t>，</w:t>
                  </w:r>
                  <w:r>
                    <w:rPr>
                      <w:szCs w:val="21"/>
                    </w:rPr>
                    <w:t>包括</w:t>
                  </w:r>
                  <w:r>
                    <w:rPr>
                      <w:rFonts w:hint="eastAsia"/>
                      <w:szCs w:val="21"/>
                    </w:rPr>
                    <w:t>注塑区、氩焊区、喷塑区、螺纹及压装区等</w:t>
                  </w:r>
                </w:p>
              </w:tc>
              <w:tc>
                <w:tcPr>
                  <w:tcW w:w="1077" w:type="dxa"/>
                  <w:shd w:val="clear" w:color="auto" w:fill="FFFFFF"/>
                  <w:vAlign w:val="center"/>
                </w:tcPr>
                <w:p w14:paraId="7847F4AD">
                  <w:pPr>
                    <w:jc w:val="center"/>
                  </w:pPr>
                  <w:r>
                    <w:rPr>
                      <w:rFonts w:hint="eastAsia"/>
                    </w:rPr>
                    <w:t>依托原有</w:t>
                  </w:r>
                </w:p>
              </w:tc>
            </w:tr>
            <w:tr w14:paraId="7C22F07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trHeight w:val="425" w:hRule="atLeast"/>
                <w:jc w:val="center"/>
              </w:trPr>
              <w:tc>
                <w:tcPr>
                  <w:tcW w:w="645" w:type="dxa"/>
                  <w:shd w:val="clear" w:color="auto" w:fill="auto"/>
                  <w:vAlign w:val="center"/>
                </w:tcPr>
                <w:p w14:paraId="7A7B9FE1">
                  <w:pPr>
                    <w:jc w:val="center"/>
                    <w:rPr>
                      <w:szCs w:val="21"/>
                      <w:lang w:val="zh-TW" w:eastAsia="zh-TW" w:bidi="zh-TW"/>
                    </w:rPr>
                  </w:pPr>
                  <w:r>
                    <w:rPr>
                      <w:rFonts w:hint="eastAsia"/>
                      <w:szCs w:val="21"/>
                      <w:lang w:val="zh-TW" w:eastAsia="zh-TW" w:bidi="zh-TW"/>
                    </w:rPr>
                    <w:t>辅助工程</w:t>
                  </w:r>
                </w:p>
              </w:tc>
              <w:tc>
                <w:tcPr>
                  <w:tcW w:w="1200" w:type="dxa"/>
                  <w:shd w:val="clear" w:color="auto" w:fill="FFFFFF"/>
                  <w:vAlign w:val="center"/>
                </w:tcPr>
                <w:p w14:paraId="2D3E606C">
                  <w:pPr>
                    <w:pStyle w:val="183"/>
                    <w:widowControl/>
                    <w:adjustRightInd/>
                    <w:snapToGrid/>
                    <w:spacing w:before="120"/>
                    <w:textAlignment w:val="baseline"/>
                    <w:rPr>
                      <w:szCs w:val="21"/>
                    </w:rPr>
                  </w:pPr>
                  <w:r>
                    <w:rPr>
                      <w:szCs w:val="21"/>
                    </w:rPr>
                    <w:t>办公</w:t>
                  </w:r>
                  <w:r>
                    <w:rPr>
                      <w:rFonts w:hint="eastAsia"/>
                      <w:szCs w:val="21"/>
                    </w:rPr>
                    <w:t>室</w:t>
                  </w:r>
                </w:p>
              </w:tc>
              <w:tc>
                <w:tcPr>
                  <w:tcW w:w="2563" w:type="dxa"/>
                  <w:shd w:val="clear" w:color="auto" w:fill="FFFFFF"/>
                  <w:vAlign w:val="center"/>
                </w:tcPr>
                <w:p w14:paraId="4479E894">
                  <w:pPr>
                    <w:pStyle w:val="183"/>
                    <w:widowControl/>
                    <w:adjustRightInd/>
                    <w:snapToGrid/>
                    <w:spacing w:before="120"/>
                    <w:textAlignment w:val="baseline"/>
                    <w:rPr>
                      <w:szCs w:val="24"/>
                    </w:rPr>
                  </w:pPr>
                  <w:r>
                    <w:rPr>
                      <w:rFonts w:hint="eastAsia"/>
                      <w:szCs w:val="21"/>
                    </w:rPr>
                    <w:t>设置在车间内，</w:t>
                  </w:r>
                  <w:r>
                    <w:rPr>
                      <w:bCs/>
                      <w:szCs w:val="21"/>
                    </w:rPr>
                    <w:t>面积</w:t>
                  </w:r>
                  <w:r>
                    <w:rPr>
                      <w:rFonts w:hint="eastAsia"/>
                      <w:bCs/>
                      <w:szCs w:val="21"/>
                    </w:rPr>
                    <w:t>约100</w:t>
                  </w:r>
                  <w:r>
                    <w:rPr>
                      <w:bCs/>
                      <w:szCs w:val="21"/>
                    </w:rPr>
                    <w:t>m</w:t>
                  </w:r>
                  <w:r>
                    <w:rPr>
                      <w:bCs/>
                      <w:szCs w:val="21"/>
                      <w:vertAlign w:val="superscript"/>
                    </w:rPr>
                    <w:t>2</w:t>
                  </w:r>
                </w:p>
              </w:tc>
              <w:tc>
                <w:tcPr>
                  <w:tcW w:w="2573" w:type="dxa"/>
                  <w:shd w:val="clear" w:color="auto" w:fill="FFFFFF"/>
                  <w:vAlign w:val="center"/>
                </w:tcPr>
                <w:p w14:paraId="6720A42D">
                  <w:pPr>
                    <w:pStyle w:val="183"/>
                    <w:widowControl/>
                    <w:adjustRightInd/>
                    <w:snapToGrid/>
                    <w:spacing w:before="120"/>
                    <w:textAlignment w:val="baseline"/>
                    <w:rPr>
                      <w:szCs w:val="24"/>
                    </w:rPr>
                  </w:pPr>
                  <w:r>
                    <w:rPr>
                      <w:rFonts w:hint="eastAsia"/>
                      <w:szCs w:val="21"/>
                    </w:rPr>
                    <w:t>设置在车间内，</w:t>
                  </w:r>
                  <w:r>
                    <w:rPr>
                      <w:bCs/>
                      <w:szCs w:val="21"/>
                    </w:rPr>
                    <w:t>面积</w:t>
                  </w:r>
                  <w:r>
                    <w:rPr>
                      <w:rFonts w:hint="eastAsia"/>
                      <w:bCs/>
                      <w:szCs w:val="21"/>
                    </w:rPr>
                    <w:t>约100</w:t>
                  </w:r>
                  <w:r>
                    <w:rPr>
                      <w:bCs/>
                      <w:szCs w:val="21"/>
                    </w:rPr>
                    <w:t>m</w:t>
                  </w:r>
                  <w:r>
                    <w:rPr>
                      <w:bCs/>
                      <w:szCs w:val="21"/>
                      <w:vertAlign w:val="superscript"/>
                    </w:rPr>
                    <w:t>2</w:t>
                  </w:r>
                </w:p>
              </w:tc>
              <w:tc>
                <w:tcPr>
                  <w:tcW w:w="1077" w:type="dxa"/>
                  <w:shd w:val="clear" w:color="auto" w:fill="FFFFFF"/>
                  <w:vAlign w:val="center"/>
                </w:tcPr>
                <w:p w14:paraId="0D765D53">
                  <w:pPr>
                    <w:jc w:val="center"/>
                  </w:pPr>
                  <w:r>
                    <w:rPr>
                      <w:rFonts w:hint="eastAsia"/>
                    </w:rPr>
                    <w:t>依托原有</w:t>
                  </w:r>
                </w:p>
              </w:tc>
            </w:tr>
            <w:tr w14:paraId="0A491B5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trHeight w:val="291" w:hRule="atLeast"/>
                <w:jc w:val="center"/>
              </w:trPr>
              <w:tc>
                <w:tcPr>
                  <w:tcW w:w="645" w:type="dxa"/>
                  <w:vMerge w:val="restart"/>
                  <w:shd w:val="clear" w:color="auto" w:fill="auto"/>
                  <w:vAlign w:val="center"/>
                </w:tcPr>
                <w:p w14:paraId="243FE37F">
                  <w:pPr>
                    <w:jc w:val="center"/>
                    <w:rPr>
                      <w:szCs w:val="21"/>
                      <w:lang w:bidi="zh-TW"/>
                    </w:rPr>
                  </w:pPr>
                  <w:r>
                    <w:rPr>
                      <w:rFonts w:hint="eastAsia"/>
                      <w:szCs w:val="21"/>
                      <w:lang w:bidi="zh-TW"/>
                    </w:rPr>
                    <w:t>储运工程</w:t>
                  </w:r>
                </w:p>
              </w:tc>
              <w:tc>
                <w:tcPr>
                  <w:tcW w:w="1200" w:type="dxa"/>
                  <w:shd w:val="clear" w:color="auto" w:fill="FFFFFF"/>
                  <w:vAlign w:val="center"/>
                </w:tcPr>
                <w:p w14:paraId="4E106504">
                  <w:pPr>
                    <w:pStyle w:val="183"/>
                    <w:widowControl/>
                    <w:adjustRightInd/>
                    <w:snapToGrid/>
                    <w:spacing w:before="120"/>
                    <w:textAlignment w:val="baseline"/>
                    <w:rPr>
                      <w:szCs w:val="21"/>
                    </w:rPr>
                  </w:pPr>
                  <w:r>
                    <w:rPr>
                      <w:szCs w:val="21"/>
                    </w:rPr>
                    <w:t>原料堆放区</w:t>
                  </w:r>
                </w:p>
              </w:tc>
              <w:tc>
                <w:tcPr>
                  <w:tcW w:w="2563" w:type="dxa"/>
                  <w:shd w:val="clear" w:color="auto" w:fill="FFFFFF"/>
                  <w:vAlign w:val="center"/>
                </w:tcPr>
                <w:p w14:paraId="28C3DB20">
                  <w:pPr>
                    <w:pStyle w:val="183"/>
                    <w:widowControl/>
                    <w:adjustRightInd/>
                    <w:snapToGrid/>
                    <w:spacing w:before="120"/>
                    <w:textAlignment w:val="baseline"/>
                    <w:rPr>
                      <w:szCs w:val="21"/>
                    </w:rPr>
                  </w:pPr>
                  <w:r>
                    <w:rPr>
                      <w:rFonts w:hint="eastAsia"/>
                      <w:szCs w:val="21"/>
                    </w:rPr>
                    <w:t>设置在车间内，</w:t>
                  </w:r>
                  <w:r>
                    <w:rPr>
                      <w:szCs w:val="21"/>
                    </w:rPr>
                    <w:t>面积</w:t>
                  </w:r>
                  <w:r>
                    <w:rPr>
                      <w:rFonts w:hint="eastAsia"/>
                      <w:szCs w:val="21"/>
                    </w:rPr>
                    <w:t>约</w:t>
                  </w:r>
                  <w:r>
                    <w:rPr>
                      <w:bCs/>
                      <w:szCs w:val="21"/>
                    </w:rPr>
                    <w:t>为</w:t>
                  </w:r>
                  <w:r>
                    <w:rPr>
                      <w:rFonts w:hint="eastAsia"/>
                      <w:bCs/>
                      <w:szCs w:val="21"/>
                    </w:rPr>
                    <w:t>55</w:t>
                  </w:r>
                  <w:r>
                    <w:rPr>
                      <w:rFonts w:hint="eastAsia"/>
                      <w:szCs w:val="21"/>
                    </w:rPr>
                    <w:t>0</w:t>
                  </w:r>
                  <w:r>
                    <w:rPr>
                      <w:szCs w:val="21"/>
                    </w:rPr>
                    <w:t>m</w:t>
                  </w:r>
                  <w:r>
                    <w:rPr>
                      <w:szCs w:val="21"/>
                      <w:vertAlign w:val="superscript"/>
                    </w:rPr>
                    <w:t>2</w:t>
                  </w:r>
                  <w:r>
                    <w:rPr>
                      <w:bCs/>
                      <w:szCs w:val="21"/>
                    </w:rPr>
                    <w:t>，堆存</w:t>
                  </w:r>
                  <w:r>
                    <w:rPr>
                      <w:rFonts w:hint="eastAsia"/>
                      <w:bCs/>
                      <w:szCs w:val="21"/>
                    </w:rPr>
                    <w:t>钢材、打包带、打包膜等</w:t>
                  </w:r>
                </w:p>
              </w:tc>
              <w:tc>
                <w:tcPr>
                  <w:tcW w:w="2573" w:type="dxa"/>
                  <w:shd w:val="clear" w:color="auto" w:fill="FFFFFF"/>
                  <w:vAlign w:val="center"/>
                </w:tcPr>
                <w:p w14:paraId="27BDBB60">
                  <w:pPr>
                    <w:pStyle w:val="183"/>
                    <w:widowControl/>
                    <w:adjustRightInd/>
                    <w:snapToGrid/>
                    <w:spacing w:before="120"/>
                    <w:textAlignment w:val="baseline"/>
                    <w:rPr>
                      <w:szCs w:val="21"/>
                    </w:rPr>
                  </w:pPr>
                  <w:r>
                    <w:rPr>
                      <w:rFonts w:hint="eastAsia"/>
                      <w:szCs w:val="21"/>
                    </w:rPr>
                    <w:t>设置在车间内，</w:t>
                  </w:r>
                  <w:r>
                    <w:rPr>
                      <w:szCs w:val="21"/>
                    </w:rPr>
                    <w:t>面积</w:t>
                  </w:r>
                  <w:r>
                    <w:rPr>
                      <w:rFonts w:hint="eastAsia"/>
                      <w:szCs w:val="21"/>
                    </w:rPr>
                    <w:t>约</w:t>
                  </w:r>
                  <w:r>
                    <w:rPr>
                      <w:bCs/>
                      <w:szCs w:val="21"/>
                    </w:rPr>
                    <w:t>为</w:t>
                  </w:r>
                  <w:r>
                    <w:rPr>
                      <w:rFonts w:hint="eastAsia"/>
                      <w:bCs/>
                      <w:szCs w:val="21"/>
                    </w:rPr>
                    <w:t>55</w:t>
                  </w:r>
                  <w:r>
                    <w:rPr>
                      <w:rFonts w:hint="eastAsia"/>
                      <w:szCs w:val="21"/>
                    </w:rPr>
                    <w:t>0</w:t>
                  </w:r>
                  <w:r>
                    <w:rPr>
                      <w:szCs w:val="21"/>
                    </w:rPr>
                    <w:t>m</w:t>
                  </w:r>
                  <w:r>
                    <w:rPr>
                      <w:szCs w:val="21"/>
                      <w:vertAlign w:val="superscript"/>
                    </w:rPr>
                    <w:t>2</w:t>
                  </w:r>
                  <w:r>
                    <w:rPr>
                      <w:bCs/>
                      <w:szCs w:val="21"/>
                    </w:rPr>
                    <w:t>，堆存</w:t>
                  </w:r>
                  <w:r>
                    <w:rPr>
                      <w:rFonts w:hint="eastAsia"/>
                      <w:bCs/>
                      <w:szCs w:val="21"/>
                    </w:rPr>
                    <w:t>钢材、打包带、打包膜等</w:t>
                  </w:r>
                </w:p>
              </w:tc>
              <w:tc>
                <w:tcPr>
                  <w:tcW w:w="1077" w:type="dxa"/>
                  <w:shd w:val="clear" w:color="auto" w:fill="FFFFFF"/>
                  <w:vAlign w:val="center"/>
                </w:tcPr>
                <w:p w14:paraId="72DF6F13">
                  <w:pPr>
                    <w:jc w:val="center"/>
                  </w:pPr>
                  <w:r>
                    <w:rPr>
                      <w:rFonts w:hint="eastAsia"/>
                    </w:rPr>
                    <w:t>依托原有</w:t>
                  </w:r>
                </w:p>
              </w:tc>
            </w:tr>
            <w:tr w14:paraId="77F990C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trHeight w:val="159" w:hRule="atLeast"/>
                <w:jc w:val="center"/>
              </w:trPr>
              <w:tc>
                <w:tcPr>
                  <w:tcW w:w="645" w:type="dxa"/>
                  <w:vMerge w:val="continue"/>
                  <w:shd w:val="clear" w:color="auto" w:fill="auto"/>
                  <w:vAlign w:val="center"/>
                </w:tcPr>
                <w:p w14:paraId="65CED1A5">
                  <w:pPr>
                    <w:jc w:val="center"/>
                    <w:rPr>
                      <w:szCs w:val="21"/>
                      <w:lang w:bidi="zh-TW"/>
                    </w:rPr>
                  </w:pPr>
                </w:p>
              </w:tc>
              <w:tc>
                <w:tcPr>
                  <w:tcW w:w="1200" w:type="dxa"/>
                  <w:shd w:val="clear" w:color="auto" w:fill="FFFFFF"/>
                  <w:vAlign w:val="center"/>
                </w:tcPr>
                <w:p w14:paraId="62FB467F">
                  <w:pPr>
                    <w:pStyle w:val="183"/>
                    <w:widowControl/>
                    <w:adjustRightInd/>
                    <w:snapToGrid/>
                    <w:spacing w:before="120"/>
                    <w:textAlignment w:val="baseline"/>
                    <w:rPr>
                      <w:szCs w:val="21"/>
                    </w:rPr>
                  </w:pPr>
                  <w:r>
                    <w:rPr>
                      <w:szCs w:val="21"/>
                    </w:rPr>
                    <w:t>成品堆放区</w:t>
                  </w:r>
                </w:p>
              </w:tc>
              <w:tc>
                <w:tcPr>
                  <w:tcW w:w="2563" w:type="dxa"/>
                  <w:shd w:val="clear" w:color="auto" w:fill="FFFFFF"/>
                  <w:vAlign w:val="center"/>
                </w:tcPr>
                <w:p w14:paraId="745C1BBE">
                  <w:pPr>
                    <w:pStyle w:val="183"/>
                    <w:widowControl/>
                    <w:adjustRightInd/>
                    <w:snapToGrid/>
                    <w:spacing w:before="120"/>
                    <w:textAlignment w:val="baseline"/>
                    <w:rPr>
                      <w:szCs w:val="21"/>
                    </w:rPr>
                  </w:pPr>
                  <w:r>
                    <w:rPr>
                      <w:rFonts w:hint="eastAsia"/>
                      <w:szCs w:val="21"/>
                    </w:rPr>
                    <w:t>设置在车间内，</w:t>
                  </w:r>
                  <w:r>
                    <w:rPr>
                      <w:szCs w:val="21"/>
                    </w:rPr>
                    <w:t>面积</w:t>
                  </w:r>
                  <w:r>
                    <w:rPr>
                      <w:rFonts w:hint="eastAsia"/>
                      <w:szCs w:val="21"/>
                    </w:rPr>
                    <w:t>约</w:t>
                  </w:r>
                  <w:r>
                    <w:rPr>
                      <w:bCs/>
                      <w:szCs w:val="21"/>
                    </w:rPr>
                    <w:t>为</w:t>
                  </w:r>
                  <w:r>
                    <w:rPr>
                      <w:rFonts w:hint="eastAsia"/>
                      <w:szCs w:val="21"/>
                    </w:rPr>
                    <w:t>700</w:t>
                  </w:r>
                  <w:r>
                    <w:rPr>
                      <w:szCs w:val="21"/>
                    </w:rPr>
                    <w:t>m</w:t>
                  </w:r>
                  <w:r>
                    <w:rPr>
                      <w:szCs w:val="21"/>
                      <w:vertAlign w:val="superscript"/>
                    </w:rPr>
                    <w:t>2</w:t>
                  </w:r>
                  <w:r>
                    <w:rPr>
                      <w:szCs w:val="21"/>
                    </w:rPr>
                    <w:t>，</w:t>
                  </w:r>
                  <w:r>
                    <w:rPr>
                      <w:bCs/>
                      <w:szCs w:val="21"/>
                    </w:rPr>
                    <w:t>堆存</w:t>
                  </w:r>
                  <w:r>
                    <w:rPr>
                      <w:rFonts w:hint="eastAsia"/>
                      <w:bCs/>
                      <w:szCs w:val="21"/>
                    </w:rPr>
                    <w:t>钢管</w:t>
                  </w:r>
                  <w:r>
                    <w:rPr>
                      <w:bCs/>
                      <w:szCs w:val="21"/>
                    </w:rPr>
                    <w:t>管螺纹保护器</w:t>
                  </w:r>
                  <w:r>
                    <w:rPr>
                      <w:szCs w:val="21"/>
                    </w:rPr>
                    <w:t>成品</w:t>
                  </w:r>
                </w:p>
              </w:tc>
              <w:tc>
                <w:tcPr>
                  <w:tcW w:w="2573" w:type="dxa"/>
                  <w:shd w:val="clear" w:color="auto" w:fill="FFFFFF"/>
                  <w:vAlign w:val="center"/>
                </w:tcPr>
                <w:p w14:paraId="0B7BDB0E">
                  <w:pPr>
                    <w:pStyle w:val="183"/>
                    <w:widowControl/>
                    <w:adjustRightInd/>
                    <w:snapToGrid/>
                    <w:spacing w:before="120"/>
                    <w:textAlignment w:val="baseline"/>
                    <w:rPr>
                      <w:szCs w:val="21"/>
                    </w:rPr>
                  </w:pPr>
                  <w:r>
                    <w:rPr>
                      <w:rFonts w:hint="eastAsia"/>
                      <w:szCs w:val="21"/>
                    </w:rPr>
                    <w:t>设置在车间内，</w:t>
                  </w:r>
                  <w:r>
                    <w:rPr>
                      <w:szCs w:val="21"/>
                    </w:rPr>
                    <w:t>面积</w:t>
                  </w:r>
                  <w:r>
                    <w:rPr>
                      <w:rFonts w:hint="eastAsia"/>
                      <w:szCs w:val="21"/>
                    </w:rPr>
                    <w:t>约</w:t>
                  </w:r>
                  <w:r>
                    <w:rPr>
                      <w:bCs/>
                      <w:szCs w:val="21"/>
                    </w:rPr>
                    <w:t>为</w:t>
                  </w:r>
                  <w:r>
                    <w:rPr>
                      <w:rFonts w:hint="eastAsia"/>
                      <w:szCs w:val="21"/>
                    </w:rPr>
                    <w:t>700</w:t>
                  </w:r>
                  <w:r>
                    <w:rPr>
                      <w:szCs w:val="21"/>
                    </w:rPr>
                    <w:t>m</w:t>
                  </w:r>
                  <w:r>
                    <w:rPr>
                      <w:szCs w:val="21"/>
                      <w:vertAlign w:val="superscript"/>
                    </w:rPr>
                    <w:t>2</w:t>
                  </w:r>
                  <w:r>
                    <w:rPr>
                      <w:szCs w:val="21"/>
                    </w:rPr>
                    <w:t>，</w:t>
                  </w:r>
                  <w:r>
                    <w:rPr>
                      <w:bCs/>
                      <w:szCs w:val="21"/>
                    </w:rPr>
                    <w:t>堆存</w:t>
                  </w:r>
                  <w:r>
                    <w:rPr>
                      <w:rFonts w:hint="eastAsia"/>
                      <w:bCs/>
                      <w:szCs w:val="21"/>
                    </w:rPr>
                    <w:t>钢管</w:t>
                  </w:r>
                  <w:r>
                    <w:rPr>
                      <w:bCs/>
                      <w:szCs w:val="21"/>
                    </w:rPr>
                    <w:t>管螺纹保护器</w:t>
                  </w:r>
                  <w:r>
                    <w:rPr>
                      <w:szCs w:val="21"/>
                    </w:rPr>
                    <w:t>成品</w:t>
                  </w:r>
                </w:p>
              </w:tc>
              <w:tc>
                <w:tcPr>
                  <w:tcW w:w="1077" w:type="dxa"/>
                  <w:shd w:val="clear" w:color="auto" w:fill="FFFFFF"/>
                  <w:vAlign w:val="center"/>
                </w:tcPr>
                <w:p w14:paraId="088C75A8">
                  <w:pPr>
                    <w:jc w:val="center"/>
                  </w:pPr>
                  <w:r>
                    <w:rPr>
                      <w:rFonts w:hint="eastAsia"/>
                    </w:rPr>
                    <w:t>依托原有</w:t>
                  </w:r>
                </w:p>
              </w:tc>
            </w:tr>
            <w:tr w14:paraId="0EB9F52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trHeight w:val="208" w:hRule="atLeast"/>
                <w:jc w:val="center"/>
              </w:trPr>
              <w:tc>
                <w:tcPr>
                  <w:tcW w:w="645" w:type="dxa"/>
                  <w:vMerge w:val="continue"/>
                  <w:shd w:val="clear" w:color="auto" w:fill="auto"/>
                  <w:vAlign w:val="center"/>
                </w:tcPr>
                <w:p w14:paraId="2EAD446F">
                  <w:pPr>
                    <w:jc w:val="center"/>
                    <w:rPr>
                      <w:szCs w:val="21"/>
                      <w:lang w:bidi="zh-TW"/>
                    </w:rPr>
                  </w:pPr>
                </w:p>
              </w:tc>
              <w:tc>
                <w:tcPr>
                  <w:tcW w:w="1200" w:type="dxa"/>
                  <w:shd w:val="clear" w:color="auto" w:fill="FFFFFF"/>
                  <w:vAlign w:val="center"/>
                </w:tcPr>
                <w:p w14:paraId="6485D2DA">
                  <w:pPr>
                    <w:pStyle w:val="183"/>
                    <w:widowControl/>
                    <w:adjustRightInd/>
                    <w:snapToGrid/>
                    <w:spacing w:before="120"/>
                    <w:textAlignment w:val="baseline"/>
                    <w:rPr>
                      <w:szCs w:val="21"/>
                    </w:rPr>
                  </w:pPr>
                  <w:r>
                    <w:rPr>
                      <w:rFonts w:hint="eastAsia"/>
                      <w:szCs w:val="21"/>
                    </w:rPr>
                    <w:t>半成品堆放区</w:t>
                  </w:r>
                </w:p>
              </w:tc>
              <w:tc>
                <w:tcPr>
                  <w:tcW w:w="2563" w:type="dxa"/>
                  <w:shd w:val="clear" w:color="auto" w:fill="FFFFFF"/>
                  <w:vAlign w:val="center"/>
                </w:tcPr>
                <w:p w14:paraId="6FB24F8A">
                  <w:pPr>
                    <w:pStyle w:val="183"/>
                    <w:widowControl/>
                    <w:adjustRightInd/>
                    <w:snapToGrid/>
                    <w:spacing w:before="120"/>
                    <w:textAlignment w:val="baseline"/>
                    <w:rPr>
                      <w:szCs w:val="21"/>
                    </w:rPr>
                  </w:pPr>
                  <w:r>
                    <w:rPr>
                      <w:rFonts w:hint="eastAsia"/>
                      <w:szCs w:val="21"/>
                    </w:rPr>
                    <w:t>设置在车间内，面积为750m</w:t>
                  </w:r>
                  <w:r>
                    <w:rPr>
                      <w:rFonts w:hint="eastAsia"/>
                      <w:szCs w:val="21"/>
                      <w:vertAlign w:val="superscript"/>
                    </w:rPr>
                    <w:t>2</w:t>
                  </w:r>
                  <w:r>
                    <w:rPr>
                      <w:rFonts w:hint="eastAsia"/>
                      <w:szCs w:val="21"/>
                    </w:rPr>
                    <w:t>，堆存未车螺纹的钢管套</w:t>
                  </w:r>
                </w:p>
              </w:tc>
              <w:tc>
                <w:tcPr>
                  <w:tcW w:w="2573" w:type="dxa"/>
                  <w:shd w:val="clear" w:color="auto" w:fill="FFFFFF"/>
                  <w:vAlign w:val="center"/>
                </w:tcPr>
                <w:p w14:paraId="34091E14">
                  <w:pPr>
                    <w:pStyle w:val="183"/>
                    <w:widowControl/>
                    <w:adjustRightInd/>
                    <w:snapToGrid/>
                    <w:spacing w:before="120"/>
                    <w:textAlignment w:val="baseline"/>
                    <w:rPr>
                      <w:szCs w:val="21"/>
                    </w:rPr>
                  </w:pPr>
                  <w:r>
                    <w:rPr>
                      <w:rFonts w:hint="eastAsia"/>
                      <w:szCs w:val="21"/>
                    </w:rPr>
                    <w:t>设置在车间内，面积为750m</w:t>
                  </w:r>
                  <w:r>
                    <w:rPr>
                      <w:rFonts w:hint="eastAsia"/>
                      <w:szCs w:val="21"/>
                      <w:vertAlign w:val="superscript"/>
                    </w:rPr>
                    <w:t>2</w:t>
                  </w:r>
                  <w:r>
                    <w:rPr>
                      <w:rFonts w:hint="eastAsia"/>
                      <w:szCs w:val="21"/>
                    </w:rPr>
                    <w:t>，堆存未车螺纹的钢管套</w:t>
                  </w:r>
                </w:p>
              </w:tc>
              <w:tc>
                <w:tcPr>
                  <w:tcW w:w="1077" w:type="dxa"/>
                  <w:shd w:val="clear" w:color="auto" w:fill="FFFFFF"/>
                  <w:vAlign w:val="center"/>
                </w:tcPr>
                <w:p w14:paraId="3E5711F3">
                  <w:pPr>
                    <w:jc w:val="center"/>
                  </w:pPr>
                  <w:r>
                    <w:rPr>
                      <w:rFonts w:hint="eastAsia"/>
                    </w:rPr>
                    <w:t>依托原有</w:t>
                  </w:r>
                </w:p>
              </w:tc>
            </w:tr>
            <w:tr w14:paraId="5856541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trHeight w:val="649" w:hRule="atLeast"/>
                <w:jc w:val="center"/>
              </w:trPr>
              <w:tc>
                <w:tcPr>
                  <w:tcW w:w="645" w:type="dxa"/>
                  <w:vMerge w:val="continue"/>
                  <w:shd w:val="clear" w:color="auto" w:fill="auto"/>
                  <w:vAlign w:val="center"/>
                </w:tcPr>
                <w:p w14:paraId="02951D06">
                  <w:pPr>
                    <w:jc w:val="center"/>
                    <w:rPr>
                      <w:szCs w:val="21"/>
                      <w:lang w:bidi="zh-TW"/>
                    </w:rPr>
                  </w:pPr>
                </w:p>
              </w:tc>
              <w:tc>
                <w:tcPr>
                  <w:tcW w:w="1200" w:type="dxa"/>
                  <w:shd w:val="clear" w:color="auto" w:fill="FFFFFF"/>
                  <w:vAlign w:val="center"/>
                </w:tcPr>
                <w:p w14:paraId="72745B21">
                  <w:pPr>
                    <w:pStyle w:val="183"/>
                    <w:widowControl/>
                    <w:adjustRightInd/>
                    <w:snapToGrid/>
                    <w:spacing w:before="120"/>
                    <w:textAlignment w:val="baseline"/>
                    <w:rPr>
                      <w:szCs w:val="21"/>
                    </w:rPr>
                  </w:pPr>
                  <w:r>
                    <w:rPr>
                      <w:rFonts w:hint="eastAsia"/>
                      <w:szCs w:val="21"/>
                    </w:rPr>
                    <w:t>五金仓库</w:t>
                  </w:r>
                </w:p>
              </w:tc>
              <w:tc>
                <w:tcPr>
                  <w:tcW w:w="2563" w:type="dxa"/>
                  <w:shd w:val="clear" w:color="auto" w:fill="FFFFFF"/>
                  <w:vAlign w:val="center"/>
                </w:tcPr>
                <w:p w14:paraId="3BEFA841">
                  <w:pPr>
                    <w:pStyle w:val="183"/>
                    <w:widowControl/>
                    <w:adjustRightInd/>
                    <w:snapToGrid/>
                    <w:spacing w:before="120"/>
                    <w:textAlignment w:val="baseline"/>
                    <w:rPr>
                      <w:szCs w:val="21"/>
                    </w:rPr>
                  </w:pPr>
                  <w:r>
                    <w:rPr>
                      <w:rFonts w:hint="eastAsia"/>
                      <w:szCs w:val="21"/>
                    </w:rPr>
                    <w:t>设置在车间内，面积约为100m</w:t>
                  </w:r>
                  <w:r>
                    <w:rPr>
                      <w:rFonts w:hint="eastAsia"/>
                      <w:szCs w:val="21"/>
                      <w:vertAlign w:val="superscript"/>
                    </w:rPr>
                    <w:t>2</w:t>
                  </w:r>
                  <w:r>
                    <w:rPr>
                      <w:rFonts w:hint="eastAsia"/>
                      <w:szCs w:val="21"/>
                    </w:rPr>
                    <w:t>。主要存放维修器材、乳化油、齿轮油等。</w:t>
                  </w:r>
                </w:p>
              </w:tc>
              <w:tc>
                <w:tcPr>
                  <w:tcW w:w="2573" w:type="dxa"/>
                  <w:shd w:val="clear" w:color="auto" w:fill="FFFFFF"/>
                  <w:vAlign w:val="center"/>
                </w:tcPr>
                <w:p w14:paraId="425B1360">
                  <w:pPr>
                    <w:pStyle w:val="183"/>
                    <w:widowControl/>
                    <w:adjustRightInd/>
                    <w:snapToGrid/>
                    <w:spacing w:before="120"/>
                    <w:textAlignment w:val="baseline"/>
                    <w:rPr>
                      <w:szCs w:val="21"/>
                    </w:rPr>
                  </w:pPr>
                  <w:r>
                    <w:rPr>
                      <w:rFonts w:hint="eastAsia"/>
                      <w:szCs w:val="21"/>
                    </w:rPr>
                    <w:t>设置在车间内，面积约为100m</w:t>
                  </w:r>
                  <w:r>
                    <w:rPr>
                      <w:rFonts w:hint="eastAsia"/>
                      <w:szCs w:val="21"/>
                      <w:vertAlign w:val="superscript"/>
                    </w:rPr>
                    <w:t>2</w:t>
                  </w:r>
                  <w:r>
                    <w:rPr>
                      <w:rFonts w:hint="eastAsia"/>
                      <w:szCs w:val="21"/>
                    </w:rPr>
                    <w:t>。主要存放维修器材、乳化油、齿轮油等。</w:t>
                  </w:r>
                </w:p>
              </w:tc>
              <w:tc>
                <w:tcPr>
                  <w:tcW w:w="1077" w:type="dxa"/>
                  <w:shd w:val="clear" w:color="auto" w:fill="FFFFFF"/>
                  <w:vAlign w:val="center"/>
                </w:tcPr>
                <w:p w14:paraId="41DB7324">
                  <w:pPr>
                    <w:jc w:val="center"/>
                  </w:pPr>
                  <w:r>
                    <w:rPr>
                      <w:rFonts w:hint="eastAsia"/>
                    </w:rPr>
                    <w:t>依托原有</w:t>
                  </w:r>
                </w:p>
              </w:tc>
            </w:tr>
            <w:tr w14:paraId="01F2147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trHeight w:val="227" w:hRule="atLeast"/>
                <w:jc w:val="center"/>
              </w:trPr>
              <w:tc>
                <w:tcPr>
                  <w:tcW w:w="645" w:type="dxa"/>
                  <w:vMerge w:val="continue"/>
                  <w:shd w:val="clear" w:color="auto" w:fill="auto"/>
                  <w:vAlign w:val="center"/>
                </w:tcPr>
                <w:p w14:paraId="69225496">
                  <w:pPr>
                    <w:jc w:val="center"/>
                    <w:rPr>
                      <w:szCs w:val="21"/>
                      <w:lang w:bidi="zh-TW"/>
                    </w:rPr>
                  </w:pPr>
                </w:p>
              </w:tc>
              <w:tc>
                <w:tcPr>
                  <w:tcW w:w="1200" w:type="dxa"/>
                  <w:shd w:val="clear" w:color="auto" w:fill="FFFFFF"/>
                  <w:vAlign w:val="center"/>
                </w:tcPr>
                <w:p w14:paraId="6BE2DB63">
                  <w:pPr>
                    <w:pStyle w:val="183"/>
                    <w:widowControl/>
                    <w:adjustRightInd/>
                    <w:snapToGrid/>
                    <w:spacing w:before="120"/>
                    <w:textAlignment w:val="baseline"/>
                    <w:rPr>
                      <w:rFonts w:hint="eastAsia" w:eastAsia="宋体"/>
                      <w:szCs w:val="21"/>
                      <w:lang w:val="en-US" w:eastAsia="zh-CN"/>
                    </w:rPr>
                  </w:pPr>
                  <w:r>
                    <w:rPr>
                      <w:rFonts w:hint="eastAsia"/>
                      <w:szCs w:val="21"/>
                      <w:lang w:val="en-US" w:eastAsia="zh-CN"/>
                    </w:rPr>
                    <w:t>固废暂存间</w:t>
                  </w:r>
                </w:p>
              </w:tc>
              <w:tc>
                <w:tcPr>
                  <w:tcW w:w="2563" w:type="dxa"/>
                  <w:shd w:val="clear" w:color="auto" w:fill="FFFFFF"/>
                  <w:vAlign w:val="center"/>
                </w:tcPr>
                <w:p w14:paraId="155A8AFB">
                  <w:pPr>
                    <w:keepNext w:val="0"/>
                    <w:keepLines w:val="0"/>
                    <w:pageBreakBefore w:val="0"/>
                    <w:tabs>
                      <w:tab w:val="left" w:pos="3255"/>
                    </w:tabs>
                    <w:kinsoku/>
                    <w:wordWrap/>
                    <w:overflowPunct/>
                    <w:topLinePunct w:val="0"/>
                    <w:autoSpaceDE/>
                    <w:autoSpaceDN/>
                    <w:bidi w:val="0"/>
                    <w:adjustRightInd w:val="0"/>
                    <w:snapToGrid w:val="0"/>
                    <w:spacing w:line="260" w:lineRule="exact"/>
                    <w:jc w:val="center"/>
                    <w:textAlignment w:val="auto"/>
                    <w:rPr>
                      <w:rFonts w:hint="default" w:eastAsia="宋体"/>
                      <w:szCs w:val="21"/>
                      <w:lang w:val="en-US" w:eastAsia="zh-CN"/>
                    </w:rPr>
                  </w:pPr>
                  <w:r>
                    <w:rPr>
                      <w:rFonts w:hint="eastAsia" w:ascii="Times New Roman" w:hAnsi="Times New Roman" w:eastAsia="宋体" w:cs="Times New Roman"/>
                      <w:kern w:val="2"/>
                      <w:sz w:val="21"/>
                      <w:szCs w:val="21"/>
                      <w:lang w:val="en-US" w:eastAsia="zh-CN" w:bidi="ar-SA"/>
                    </w:rPr>
                    <w:t>设置在车间内面积约15</w:t>
                  </w:r>
                  <w:r>
                    <w:rPr>
                      <w:rFonts w:hint="default" w:ascii="Times New Roman" w:hAnsi="Times New Roman" w:eastAsia="宋体" w:cs="Times New Roman"/>
                      <w:kern w:val="2"/>
                      <w:sz w:val="21"/>
                      <w:szCs w:val="21"/>
                      <w:lang w:val="en-US" w:eastAsia="zh-CN" w:bidi="ar-SA"/>
                    </w:rPr>
                    <w:t>m</w:t>
                  </w:r>
                  <w:r>
                    <w:rPr>
                      <w:rFonts w:hint="default" w:ascii="Times New Roman" w:hAnsi="Times New Roman" w:eastAsia="宋体" w:cs="Times New Roman"/>
                      <w:kern w:val="2"/>
                      <w:sz w:val="21"/>
                      <w:szCs w:val="21"/>
                      <w:vertAlign w:val="superscript"/>
                      <w:lang w:val="en-US" w:eastAsia="zh-CN" w:bidi="ar-SA"/>
                    </w:rPr>
                    <w:t>2</w:t>
                  </w:r>
                  <w:r>
                    <w:rPr>
                      <w:rFonts w:hint="eastAsia" w:ascii="Times New Roman" w:hAnsi="Times New Roman" w:eastAsia="宋体" w:cs="Times New Roman"/>
                      <w:kern w:val="2"/>
                      <w:sz w:val="21"/>
                      <w:szCs w:val="21"/>
                      <w:lang w:val="en-US" w:eastAsia="zh-CN" w:bidi="ar-SA"/>
                    </w:rPr>
                    <w:t>，主要用于暂存一般固体废物</w:t>
                  </w:r>
                </w:p>
              </w:tc>
              <w:tc>
                <w:tcPr>
                  <w:tcW w:w="2573" w:type="dxa"/>
                  <w:shd w:val="clear" w:color="auto" w:fill="FFFFFF"/>
                  <w:vAlign w:val="center"/>
                </w:tcPr>
                <w:p w14:paraId="228051DB">
                  <w:pPr>
                    <w:keepNext w:val="0"/>
                    <w:keepLines w:val="0"/>
                    <w:pageBreakBefore w:val="0"/>
                    <w:tabs>
                      <w:tab w:val="left" w:pos="3255"/>
                    </w:tabs>
                    <w:kinsoku/>
                    <w:wordWrap/>
                    <w:overflowPunct/>
                    <w:topLinePunct w:val="0"/>
                    <w:autoSpaceDE/>
                    <w:autoSpaceDN/>
                    <w:bidi w:val="0"/>
                    <w:adjustRightInd w:val="0"/>
                    <w:snapToGrid w:val="0"/>
                    <w:spacing w:line="260" w:lineRule="exact"/>
                    <w:jc w:val="center"/>
                    <w:textAlignment w:val="auto"/>
                    <w:rPr>
                      <w:rFonts w:hint="eastAsia"/>
                      <w:szCs w:val="21"/>
                    </w:rPr>
                  </w:pPr>
                  <w:r>
                    <w:rPr>
                      <w:rFonts w:hint="eastAsia" w:ascii="Times New Roman" w:hAnsi="Times New Roman" w:eastAsia="宋体" w:cs="Times New Roman"/>
                      <w:kern w:val="2"/>
                      <w:sz w:val="21"/>
                      <w:szCs w:val="21"/>
                      <w:lang w:val="en-US" w:eastAsia="zh-CN" w:bidi="ar-SA"/>
                    </w:rPr>
                    <w:t>设置在车间内面积约15</w:t>
                  </w:r>
                  <w:r>
                    <w:rPr>
                      <w:rFonts w:hint="default" w:ascii="Times New Roman" w:hAnsi="Times New Roman" w:eastAsia="宋体" w:cs="Times New Roman"/>
                      <w:kern w:val="2"/>
                      <w:sz w:val="21"/>
                      <w:szCs w:val="21"/>
                      <w:lang w:val="en-US" w:eastAsia="zh-CN" w:bidi="ar-SA"/>
                    </w:rPr>
                    <w:t>m</w:t>
                  </w:r>
                  <w:r>
                    <w:rPr>
                      <w:rFonts w:hint="default" w:ascii="Times New Roman" w:hAnsi="Times New Roman" w:eastAsia="宋体" w:cs="Times New Roman"/>
                      <w:kern w:val="2"/>
                      <w:sz w:val="21"/>
                      <w:szCs w:val="21"/>
                      <w:vertAlign w:val="superscript"/>
                      <w:lang w:val="en-US" w:eastAsia="zh-CN" w:bidi="ar-SA"/>
                    </w:rPr>
                    <w:t>2</w:t>
                  </w:r>
                  <w:r>
                    <w:rPr>
                      <w:rFonts w:hint="eastAsia" w:ascii="Times New Roman" w:hAnsi="Times New Roman" w:eastAsia="宋体" w:cs="Times New Roman"/>
                      <w:kern w:val="2"/>
                      <w:sz w:val="21"/>
                      <w:szCs w:val="21"/>
                      <w:lang w:val="en-US" w:eastAsia="zh-CN" w:bidi="ar-SA"/>
                    </w:rPr>
                    <w:t>，主要用于暂存一般固体废物</w:t>
                  </w:r>
                </w:p>
              </w:tc>
              <w:tc>
                <w:tcPr>
                  <w:tcW w:w="1077" w:type="dxa"/>
                  <w:shd w:val="clear" w:color="auto" w:fill="FFFFFF"/>
                  <w:vAlign w:val="center"/>
                </w:tcPr>
                <w:p w14:paraId="24D61CF4">
                  <w:pPr>
                    <w:jc w:val="center"/>
                    <w:rPr>
                      <w:rFonts w:hint="default" w:eastAsia="宋体"/>
                      <w:lang w:val="en-US" w:eastAsia="zh-CN"/>
                    </w:rPr>
                  </w:pPr>
                  <w:r>
                    <w:rPr>
                      <w:rFonts w:hint="eastAsia"/>
                      <w:lang w:val="en-US" w:eastAsia="zh-CN"/>
                    </w:rPr>
                    <w:t>依托原有</w:t>
                  </w:r>
                </w:p>
              </w:tc>
            </w:tr>
            <w:tr w14:paraId="7D63F7E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trHeight w:val="144" w:hRule="atLeast"/>
                <w:jc w:val="center"/>
              </w:trPr>
              <w:tc>
                <w:tcPr>
                  <w:tcW w:w="645" w:type="dxa"/>
                  <w:vMerge w:val="continue"/>
                  <w:shd w:val="clear" w:color="auto" w:fill="auto"/>
                  <w:vAlign w:val="center"/>
                </w:tcPr>
                <w:p w14:paraId="61A4A672">
                  <w:pPr>
                    <w:jc w:val="center"/>
                    <w:rPr>
                      <w:szCs w:val="21"/>
                      <w:lang w:bidi="zh-TW"/>
                    </w:rPr>
                  </w:pPr>
                </w:p>
              </w:tc>
              <w:tc>
                <w:tcPr>
                  <w:tcW w:w="1200" w:type="dxa"/>
                  <w:shd w:val="clear" w:color="auto" w:fill="FFFFFF"/>
                  <w:vAlign w:val="center"/>
                </w:tcPr>
                <w:p w14:paraId="02B6ADC0">
                  <w:pPr>
                    <w:pStyle w:val="183"/>
                    <w:widowControl/>
                    <w:adjustRightInd/>
                    <w:snapToGrid/>
                    <w:spacing w:before="120"/>
                    <w:textAlignment w:val="baseline"/>
                    <w:rPr>
                      <w:rFonts w:hint="default" w:eastAsia="宋体"/>
                      <w:szCs w:val="21"/>
                      <w:lang w:val="en-US" w:eastAsia="zh-CN"/>
                    </w:rPr>
                  </w:pPr>
                  <w:r>
                    <w:rPr>
                      <w:rFonts w:hint="eastAsia"/>
                      <w:szCs w:val="21"/>
                      <w:lang w:val="en-US" w:eastAsia="zh-CN"/>
                    </w:rPr>
                    <w:t>危废暂存间</w:t>
                  </w:r>
                </w:p>
              </w:tc>
              <w:tc>
                <w:tcPr>
                  <w:tcW w:w="2563" w:type="dxa"/>
                  <w:shd w:val="clear" w:color="auto" w:fill="FFFFFF"/>
                  <w:vAlign w:val="center"/>
                </w:tcPr>
                <w:p w14:paraId="49D2FBE5">
                  <w:pPr>
                    <w:keepNext w:val="0"/>
                    <w:keepLines w:val="0"/>
                    <w:pageBreakBefore w:val="0"/>
                    <w:tabs>
                      <w:tab w:val="left" w:pos="3255"/>
                    </w:tabs>
                    <w:kinsoku/>
                    <w:wordWrap/>
                    <w:overflowPunct/>
                    <w:topLinePunct w:val="0"/>
                    <w:autoSpaceDE/>
                    <w:autoSpaceDN/>
                    <w:bidi w:val="0"/>
                    <w:adjustRightInd w:val="0"/>
                    <w:snapToGrid w:val="0"/>
                    <w:spacing w:line="260" w:lineRule="exact"/>
                    <w:jc w:val="center"/>
                    <w:textAlignment w:val="auto"/>
                    <w:rPr>
                      <w:rFonts w:hint="eastAsia"/>
                      <w:szCs w:val="21"/>
                    </w:rPr>
                  </w:pPr>
                  <w:r>
                    <w:rPr>
                      <w:rFonts w:hint="eastAsia" w:ascii="Times New Roman" w:hAnsi="Times New Roman" w:eastAsia="宋体" w:cs="Times New Roman"/>
                      <w:kern w:val="2"/>
                      <w:sz w:val="21"/>
                      <w:szCs w:val="21"/>
                      <w:lang w:val="en-US" w:eastAsia="zh-CN" w:bidi="ar-SA"/>
                    </w:rPr>
                    <w:t>设置在车间内面积约10</w:t>
                  </w:r>
                  <w:r>
                    <w:rPr>
                      <w:rFonts w:hint="default" w:ascii="Times New Roman" w:hAnsi="Times New Roman" w:eastAsia="宋体" w:cs="Times New Roman"/>
                      <w:kern w:val="2"/>
                      <w:sz w:val="21"/>
                      <w:szCs w:val="21"/>
                      <w:lang w:val="en-US" w:eastAsia="zh-CN" w:bidi="ar-SA"/>
                    </w:rPr>
                    <w:t>m</w:t>
                  </w:r>
                  <w:r>
                    <w:rPr>
                      <w:rFonts w:hint="default" w:ascii="Times New Roman" w:hAnsi="Times New Roman" w:eastAsia="宋体" w:cs="Times New Roman"/>
                      <w:kern w:val="2"/>
                      <w:sz w:val="21"/>
                      <w:szCs w:val="21"/>
                      <w:vertAlign w:val="superscript"/>
                      <w:lang w:val="en-US" w:eastAsia="zh-CN" w:bidi="ar-SA"/>
                    </w:rPr>
                    <w:t>2</w:t>
                  </w:r>
                  <w:r>
                    <w:rPr>
                      <w:rFonts w:hint="eastAsia" w:ascii="Times New Roman" w:hAnsi="Times New Roman" w:eastAsia="宋体" w:cs="Times New Roman"/>
                      <w:kern w:val="2"/>
                      <w:sz w:val="21"/>
                      <w:szCs w:val="21"/>
                      <w:lang w:val="en-US" w:eastAsia="zh-CN" w:bidi="ar-SA"/>
                    </w:rPr>
                    <w:t>，主要用于暂存危险废物</w:t>
                  </w:r>
                </w:p>
              </w:tc>
              <w:tc>
                <w:tcPr>
                  <w:tcW w:w="2573" w:type="dxa"/>
                  <w:shd w:val="clear" w:color="auto" w:fill="FFFFFF"/>
                  <w:vAlign w:val="center"/>
                </w:tcPr>
                <w:p w14:paraId="25D86542">
                  <w:pPr>
                    <w:keepNext w:val="0"/>
                    <w:keepLines w:val="0"/>
                    <w:pageBreakBefore w:val="0"/>
                    <w:tabs>
                      <w:tab w:val="left" w:pos="3255"/>
                    </w:tabs>
                    <w:kinsoku/>
                    <w:wordWrap/>
                    <w:overflowPunct/>
                    <w:topLinePunct w:val="0"/>
                    <w:autoSpaceDE/>
                    <w:autoSpaceDN/>
                    <w:bidi w:val="0"/>
                    <w:adjustRightInd w:val="0"/>
                    <w:snapToGrid w:val="0"/>
                    <w:spacing w:line="260" w:lineRule="exact"/>
                    <w:jc w:val="center"/>
                    <w:textAlignment w:val="auto"/>
                    <w:rPr>
                      <w:rFonts w:hint="eastAsia"/>
                      <w:szCs w:val="21"/>
                    </w:rPr>
                  </w:pPr>
                  <w:r>
                    <w:rPr>
                      <w:rFonts w:hint="eastAsia" w:ascii="Times New Roman" w:hAnsi="Times New Roman" w:eastAsia="宋体" w:cs="Times New Roman"/>
                      <w:kern w:val="2"/>
                      <w:sz w:val="21"/>
                      <w:szCs w:val="21"/>
                      <w:lang w:val="en-US" w:eastAsia="zh-CN" w:bidi="ar-SA"/>
                    </w:rPr>
                    <w:t>设置在车间内面积约10</w:t>
                  </w:r>
                  <w:r>
                    <w:rPr>
                      <w:rFonts w:hint="default" w:ascii="Times New Roman" w:hAnsi="Times New Roman" w:eastAsia="宋体" w:cs="Times New Roman"/>
                      <w:kern w:val="2"/>
                      <w:sz w:val="21"/>
                      <w:szCs w:val="21"/>
                      <w:lang w:val="en-US" w:eastAsia="zh-CN" w:bidi="ar-SA"/>
                    </w:rPr>
                    <w:t>m</w:t>
                  </w:r>
                  <w:r>
                    <w:rPr>
                      <w:rFonts w:hint="default" w:ascii="Times New Roman" w:hAnsi="Times New Roman" w:eastAsia="宋体" w:cs="Times New Roman"/>
                      <w:kern w:val="2"/>
                      <w:sz w:val="21"/>
                      <w:szCs w:val="21"/>
                      <w:vertAlign w:val="superscript"/>
                      <w:lang w:val="en-US" w:eastAsia="zh-CN" w:bidi="ar-SA"/>
                    </w:rPr>
                    <w:t>2</w:t>
                  </w:r>
                  <w:r>
                    <w:rPr>
                      <w:rFonts w:hint="eastAsia" w:ascii="Times New Roman" w:hAnsi="Times New Roman" w:eastAsia="宋体" w:cs="Times New Roman"/>
                      <w:kern w:val="2"/>
                      <w:sz w:val="21"/>
                      <w:szCs w:val="21"/>
                      <w:lang w:val="en-US" w:eastAsia="zh-CN" w:bidi="ar-SA"/>
                    </w:rPr>
                    <w:t>，主要用于暂存危险废物</w:t>
                  </w:r>
                </w:p>
              </w:tc>
              <w:tc>
                <w:tcPr>
                  <w:tcW w:w="1077" w:type="dxa"/>
                  <w:shd w:val="clear" w:color="auto" w:fill="FFFFFF"/>
                  <w:vAlign w:val="center"/>
                </w:tcPr>
                <w:p w14:paraId="0520A302">
                  <w:pPr>
                    <w:jc w:val="center"/>
                    <w:rPr>
                      <w:rFonts w:hint="eastAsia"/>
                    </w:rPr>
                  </w:pPr>
                  <w:r>
                    <w:rPr>
                      <w:rFonts w:hint="eastAsia"/>
                      <w:lang w:val="en-US" w:eastAsia="zh-CN"/>
                    </w:rPr>
                    <w:t>依托原有</w:t>
                  </w:r>
                </w:p>
              </w:tc>
            </w:tr>
            <w:tr w14:paraId="2862D2F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trHeight w:val="249" w:hRule="atLeast"/>
                <w:jc w:val="center"/>
              </w:trPr>
              <w:tc>
                <w:tcPr>
                  <w:tcW w:w="645" w:type="dxa"/>
                  <w:vMerge w:val="restart"/>
                  <w:shd w:val="clear" w:color="auto" w:fill="auto"/>
                  <w:vAlign w:val="center"/>
                </w:tcPr>
                <w:p w14:paraId="7DDF6E76">
                  <w:pPr>
                    <w:jc w:val="center"/>
                    <w:rPr>
                      <w:szCs w:val="21"/>
                      <w:lang w:val="zh-TW" w:eastAsia="zh-TW" w:bidi="zh-TW"/>
                    </w:rPr>
                  </w:pPr>
                  <w:r>
                    <w:rPr>
                      <w:rStyle w:val="456"/>
                      <w:rFonts w:ascii="Times New Roman" w:hAnsi="Times New Roman" w:cs="Times New Roman"/>
                      <w:color w:val="auto"/>
                      <w:sz w:val="21"/>
                      <w:szCs w:val="21"/>
                    </w:rPr>
                    <w:t>公用工程</w:t>
                  </w:r>
                </w:p>
              </w:tc>
              <w:tc>
                <w:tcPr>
                  <w:tcW w:w="1200" w:type="dxa"/>
                  <w:shd w:val="clear" w:color="auto" w:fill="FFFFFF"/>
                  <w:vAlign w:val="center"/>
                </w:tcPr>
                <w:p w14:paraId="0E01E300">
                  <w:pPr>
                    <w:ind w:left="425" w:hanging="425"/>
                    <w:jc w:val="center"/>
                    <w:rPr>
                      <w:rStyle w:val="456"/>
                      <w:rFonts w:ascii="Times New Roman" w:hAnsi="Times New Roman" w:eastAsia="宋体" w:cs="Times New Roman"/>
                      <w:color w:val="auto"/>
                      <w:sz w:val="21"/>
                      <w:szCs w:val="21"/>
                    </w:rPr>
                  </w:pPr>
                  <w:r>
                    <w:rPr>
                      <w:szCs w:val="21"/>
                    </w:rPr>
                    <w:t xml:space="preserve">供电系统 </w:t>
                  </w:r>
                </w:p>
              </w:tc>
              <w:tc>
                <w:tcPr>
                  <w:tcW w:w="2563" w:type="dxa"/>
                  <w:shd w:val="clear" w:color="auto" w:fill="FFFFFF"/>
                  <w:vAlign w:val="center"/>
                </w:tcPr>
                <w:p w14:paraId="1ECA24B0">
                  <w:pPr>
                    <w:ind w:left="425" w:hanging="425"/>
                  </w:pPr>
                  <w:r>
                    <w:rPr>
                      <w:szCs w:val="21"/>
                    </w:rPr>
                    <w:t>市政电网供电。</w:t>
                  </w:r>
                </w:p>
              </w:tc>
              <w:tc>
                <w:tcPr>
                  <w:tcW w:w="2573" w:type="dxa"/>
                  <w:shd w:val="clear" w:color="auto" w:fill="FFFFFF"/>
                  <w:vAlign w:val="center"/>
                </w:tcPr>
                <w:p w14:paraId="6C9CE9EF">
                  <w:pPr>
                    <w:ind w:left="425" w:hanging="425"/>
                  </w:pPr>
                  <w:r>
                    <w:rPr>
                      <w:szCs w:val="21"/>
                    </w:rPr>
                    <w:t>市政电网供电。</w:t>
                  </w:r>
                </w:p>
              </w:tc>
              <w:tc>
                <w:tcPr>
                  <w:tcW w:w="1077" w:type="dxa"/>
                  <w:shd w:val="clear" w:color="auto" w:fill="FFFFFF"/>
                  <w:vAlign w:val="center"/>
                </w:tcPr>
                <w:p w14:paraId="19948139">
                  <w:pPr>
                    <w:jc w:val="center"/>
                  </w:pPr>
                  <w:r>
                    <w:rPr>
                      <w:rFonts w:hint="eastAsia"/>
                    </w:rPr>
                    <w:t>依托原有</w:t>
                  </w:r>
                </w:p>
              </w:tc>
            </w:tr>
            <w:tr w14:paraId="6E667F5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trHeight w:val="357" w:hRule="atLeast"/>
                <w:jc w:val="center"/>
              </w:trPr>
              <w:tc>
                <w:tcPr>
                  <w:tcW w:w="645" w:type="dxa"/>
                  <w:vMerge w:val="continue"/>
                  <w:shd w:val="clear" w:color="auto" w:fill="auto"/>
                  <w:vAlign w:val="center"/>
                </w:tcPr>
                <w:p w14:paraId="2FBC3738">
                  <w:pPr>
                    <w:jc w:val="center"/>
                    <w:rPr>
                      <w:szCs w:val="21"/>
                      <w:lang w:val="zh-TW" w:eastAsia="zh-TW" w:bidi="zh-TW"/>
                    </w:rPr>
                  </w:pPr>
                </w:p>
              </w:tc>
              <w:tc>
                <w:tcPr>
                  <w:tcW w:w="1200" w:type="dxa"/>
                  <w:shd w:val="clear" w:color="auto" w:fill="FFFFFF"/>
                  <w:vAlign w:val="center"/>
                </w:tcPr>
                <w:p w14:paraId="4CCA1094">
                  <w:pPr>
                    <w:ind w:left="425" w:hanging="425"/>
                    <w:jc w:val="center"/>
                    <w:rPr>
                      <w:rStyle w:val="456"/>
                      <w:rFonts w:ascii="Times New Roman" w:hAnsi="Times New Roman" w:eastAsia="宋体" w:cs="Times New Roman"/>
                      <w:color w:val="auto"/>
                      <w:sz w:val="21"/>
                      <w:szCs w:val="21"/>
                    </w:rPr>
                  </w:pPr>
                  <w:r>
                    <w:rPr>
                      <w:szCs w:val="21"/>
                    </w:rPr>
                    <w:t>供气系统</w:t>
                  </w:r>
                </w:p>
              </w:tc>
              <w:tc>
                <w:tcPr>
                  <w:tcW w:w="2563" w:type="dxa"/>
                  <w:shd w:val="clear" w:color="auto" w:fill="FFFFFF"/>
                  <w:vAlign w:val="center"/>
                </w:tcPr>
                <w:p w14:paraId="5198E6BA">
                  <w:pPr>
                    <w:ind w:left="425" w:hanging="425"/>
                  </w:pPr>
                  <w:r>
                    <w:rPr>
                      <w:szCs w:val="21"/>
                    </w:rPr>
                    <w:t>市政天然气管道提供</w:t>
                  </w:r>
                </w:p>
              </w:tc>
              <w:tc>
                <w:tcPr>
                  <w:tcW w:w="2573" w:type="dxa"/>
                  <w:shd w:val="clear" w:color="auto" w:fill="FFFFFF"/>
                  <w:vAlign w:val="center"/>
                </w:tcPr>
                <w:p w14:paraId="067E8CEB">
                  <w:pPr>
                    <w:ind w:left="425" w:hanging="425"/>
                  </w:pPr>
                  <w:r>
                    <w:rPr>
                      <w:szCs w:val="21"/>
                    </w:rPr>
                    <w:t>市政天然气管道提供</w:t>
                  </w:r>
                </w:p>
              </w:tc>
              <w:tc>
                <w:tcPr>
                  <w:tcW w:w="1077" w:type="dxa"/>
                  <w:shd w:val="clear" w:color="auto" w:fill="FFFFFF"/>
                  <w:vAlign w:val="center"/>
                </w:tcPr>
                <w:p w14:paraId="4196D3D1">
                  <w:pPr>
                    <w:jc w:val="center"/>
                  </w:pPr>
                  <w:r>
                    <w:rPr>
                      <w:rFonts w:hint="eastAsia"/>
                    </w:rPr>
                    <w:t>依托原有</w:t>
                  </w:r>
                </w:p>
              </w:tc>
            </w:tr>
            <w:tr w14:paraId="3CEF4F9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trHeight w:val="90" w:hRule="atLeast"/>
                <w:jc w:val="center"/>
              </w:trPr>
              <w:tc>
                <w:tcPr>
                  <w:tcW w:w="645" w:type="dxa"/>
                  <w:vMerge w:val="continue"/>
                  <w:shd w:val="clear" w:color="auto" w:fill="auto"/>
                  <w:vAlign w:val="center"/>
                </w:tcPr>
                <w:p w14:paraId="71A0C176">
                  <w:pPr>
                    <w:jc w:val="center"/>
                    <w:rPr>
                      <w:szCs w:val="21"/>
                      <w:lang w:val="zh-TW" w:eastAsia="zh-TW" w:bidi="zh-TW"/>
                    </w:rPr>
                  </w:pPr>
                </w:p>
              </w:tc>
              <w:tc>
                <w:tcPr>
                  <w:tcW w:w="1200" w:type="dxa"/>
                  <w:shd w:val="clear" w:color="auto" w:fill="FFFFFF"/>
                  <w:vAlign w:val="center"/>
                </w:tcPr>
                <w:p w14:paraId="5C92FA6C">
                  <w:pPr>
                    <w:ind w:left="425" w:hanging="425"/>
                    <w:jc w:val="center"/>
                    <w:rPr>
                      <w:rStyle w:val="456"/>
                      <w:rFonts w:ascii="Times New Roman" w:hAnsi="Times New Roman" w:eastAsia="宋体" w:cs="Times New Roman"/>
                      <w:color w:val="auto"/>
                      <w:sz w:val="21"/>
                      <w:szCs w:val="21"/>
                    </w:rPr>
                  </w:pPr>
                  <w:r>
                    <w:rPr>
                      <w:szCs w:val="21"/>
                    </w:rPr>
                    <w:t xml:space="preserve">供水系统 </w:t>
                  </w:r>
                </w:p>
              </w:tc>
              <w:tc>
                <w:tcPr>
                  <w:tcW w:w="2563" w:type="dxa"/>
                  <w:shd w:val="clear" w:color="auto" w:fill="FFFFFF"/>
                  <w:vAlign w:val="center"/>
                </w:tcPr>
                <w:p w14:paraId="2ACADEA3">
                  <w:pPr>
                    <w:ind w:left="425" w:hanging="425"/>
                  </w:pPr>
                  <w:r>
                    <w:rPr>
                      <w:szCs w:val="21"/>
                    </w:rPr>
                    <w:t>市政供水管网供水。</w:t>
                  </w:r>
                </w:p>
              </w:tc>
              <w:tc>
                <w:tcPr>
                  <w:tcW w:w="2573" w:type="dxa"/>
                  <w:shd w:val="clear" w:color="auto" w:fill="FFFFFF"/>
                  <w:vAlign w:val="center"/>
                </w:tcPr>
                <w:p w14:paraId="7D0605DC">
                  <w:pPr>
                    <w:ind w:left="425" w:hanging="425"/>
                  </w:pPr>
                  <w:r>
                    <w:rPr>
                      <w:szCs w:val="21"/>
                    </w:rPr>
                    <w:t>市政供水管网供水。</w:t>
                  </w:r>
                </w:p>
              </w:tc>
              <w:tc>
                <w:tcPr>
                  <w:tcW w:w="1077" w:type="dxa"/>
                  <w:shd w:val="clear" w:color="auto" w:fill="FFFFFF"/>
                  <w:vAlign w:val="center"/>
                </w:tcPr>
                <w:p w14:paraId="158D3E75">
                  <w:pPr>
                    <w:jc w:val="center"/>
                  </w:pPr>
                  <w:r>
                    <w:rPr>
                      <w:rFonts w:hint="eastAsia"/>
                    </w:rPr>
                    <w:t>依托原有</w:t>
                  </w:r>
                </w:p>
              </w:tc>
            </w:tr>
            <w:tr w14:paraId="7FADBBE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trHeight w:val="328" w:hRule="atLeast"/>
                <w:jc w:val="center"/>
              </w:trPr>
              <w:tc>
                <w:tcPr>
                  <w:tcW w:w="645" w:type="dxa"/>
                  <w:vMerge w:val="restart"/>
                  <w:shd w:val="clear" w:color="auto" w:fill="auto"/>
                  <w:vAlign w:val="center"/>
                </w:tcPr>
                <w:p w14:paraId="0CC1FA92">
                  <w:pPr>
                    <w:jc w:val="center"/>
                    <w:rPr>
                      <w:rStyle w:val="456"/>
                      <w:rFonts w:ascii="Times New Roman" w:hAnsi="Times New Roman" w:cs="Times New Roman"/>
                      <w:color w:val="auto"/>
                      <w:sz w:val="21"/>
                      <w:szCs w:val="21"/>
                    </w:rPr>
                  </w:pPr>
                  <w:r>
                    <w:rPr>
                      <w:rStyle w:val="456"/>
                      <w:rFonts w:ascii="Times New Roman" w:hAnsi="Times New Roman" w:cs="Times New Roman"/>
                      <w:color w:val="auto"/>
                      <w:sz w:val="21"/>
                      <w:szCs w:val="21"/>
                    </w:rPr>
                    <w:t>环保工程</w:t>
                  </w:r>
                </w:p>
              </w:tc>
              <w:tc>
                <w:tcPr>
                  <w:tcW w:w="1200" w:type="dxa"/>
                  <w:vMerge w:val="restart"/>
                  <w:shd w:val="clear" w:color="auto" w:fill="FFFFFF"/>
                  <w:vAlign w:val="center"/>
                </w:tcPr>
                <w:p w14:paraId="550F18A8">
                  <w:pPr>
                    <w:pStyle w:val="183"/>
                    <w:widowControl/>
                    <w:adjustRightInd/>
                    <w:snapToGrid/>
                    <w:spacing w:before="120"/>
                    <w:textAlignment w:val="baseline"/>
                    <w:rPr>
                      <w:szCs w:val="21"/>
                    </w:rPr>
                  </w:pPr>
                  <w:r>
                    <w:rPr>
                      <w:bCs/>
                      <w:szCs w:val="21"/>
                    </w:rPr>
                    <w:t>废水处理</w:t>
                  </w:r>
                </w:p>
              </w:tc>
              <w:tc>
                <w:tcPr>
                  <w:tcW w:w="2563" w:type="dxa"/>
                  <w:shd w:val="clear" w:color="auto" w:fill="FFFFFF"/>
                  <w:vAlign w:val="center"/>
                </w:tcPr>
                <w:p w14:paraId="5C2E6B9C">
                  <w:pPr>
                    <w:pStyle w:val="183"/>
                    <w:widowControl/>
                    <w:adjustRightInd/>
                    <w:snapToGrid/>
                    <w:spacing w:beforeLines="0"/>
                    <w:jc w:val="left"/>
                    <w:textAlignment w:val="baseline"/>
                    <w:rPr>
                      <w:rFonts w:hint="eastAsia" w:eastAsia="宋体"/>
                      <w:szCs w:val="24"/>
                      <w:lang w:eastAsia="zh-CN"/>
                    </w:rPr>
                  </w:pPr>
                  <w:r>
                    <w:rPr>
                      <w:rFonts w:hint="eastAsia"/>
                      <w:szCs w:val="21"/>
                      <w:lang w:eastAsia="zh-CN"/>
                    </w:rPr>
                    <w:t>生活污水依托衡钢原有的化粪池处理后经厂区污水管网排入衡钢西区污水处理厂处理达到《污水综合排放标准》（GB8978-1996）表4 中三级标准，排入幸福河，然后进入铜桥港污水处理厂进一步处理，处理后排入湘江。</w:t>
                  </w:r>
                </w:p>
              </w:tc>
              <w:tc>
                <w:tcPr>
                  <w:tcW w:w="2573" w:type="dxa"/>
                  <w:shd w:val="clear" w:color="auto" w:fill="FFFFFF"/>
                  <w:vAlign w:val="center"/>
                </w:tcPr>
                <w:p w14:paraId="6124AB5B">
                  <w:pPr>
                    <w:pStyle w:val="183"/>
                    <w:widowControl/>
                    <w:adjustRightInd/>
                    <w:snapToGrid/>
                    <w:spacing w:before="120"/>
                    <w:textAlignment w:val="baseline"/>
                    <w:rPr>
                      <w:rFonts w:hint="eastAsia" w:eastAsia="宋体"/>
                      <w:szCs w:val="24"/>
                      <w:lang w:eastAsia="zh-CN"/>
                    </w:rPr>
                  </w:pPr>
                  <w:r>
                    <w:rPr>
                      <w:rFonts w:hint="eastAsia"/>
                      <w:szCs w:val="21"/>
                      <w:lang w:eastAsia="zh-CN"/>
                    </w:rPr>
                    <w:t>生活污水依托衡钢原有的化粪池处理后经厂区污水管网排入衡钢西区污水处理厂处理达到《污水综合排放标准》（GB8978-1996）表4 中三级标准，排入幸福河，然后进入铜桥港污水处理厂进一步处理，处理后排入湘江。</w:t>
                  </w:r>
                </w:p>
              </w:tc>
              <w:tc>
                <w:tcPr>
                  <w:tcW w:w="1077" w:type="dxa"/>
                  <w:shd w:val="clear" w:color="auto" w:fill="FFFFFF"/>
                  <w:vAlign w:val="center"/>
                </w:tcPr>
                <w:p w14:paraId="394AC18E">
                  <w:pPr>
                    <w:jc w:val="center"/>
                  </w:pPr>
                  <w:r>
                    <w:rPr>
                      <w:rFonts w:hint="eastAsia"/>
                    </w:rPr>
                    <w:t>依托原有</w:t>
                  </w:r>
                </w:p>
              </w:tc>
            </w:tr>
            <w:tr w14:paraId="754741E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trHeight w:val="315" w:hRule="atLeast"/>
                <w:jc w:val="center"/>
              </w:trPr>
              <w:tc>
                <w:tcPr>
                  <w:tcW w:w="645" w:type="dxa"/>
                  <w:vMerge w:val="continue"/>
                  <w:shd w:val="clear" w:color="auto" w:fill="auto"/>
                  <w:vAlign w:val="center"/>
                </w:tcPr>
                <w:p w14:paraId="572E92FC">
                  <w:pPr>
                    <w:jc w:val="center"/>
                    <w:rPr>
                      <w:rStyle w:val="456"/>
                      <w:rFonts w:ascii="Times New Roman" w:hAnsi="Times New Roman" w:cs="Times New Roman"/>
                      <w:color w:val="auto"/>
                      <w:sz w:val="21"/>
                      <w:szCs w:val="21"/>
                    </w:rPr>
                  </w:pPr>
                </w:p>
              </w:tc>
              <w:tc>
                <w:tcPr>
                  <w:tcW w:w="1200" w:type="dxa"/>
                  <w:vMerge w:val="continue"/>
                  <w:shd w:val="clear" w:color="auto" w:fill="FFFFFF"/>
                  <w:vAlign w:val="center"/>
                </w:tcPr>
                <w:p w14:paraId="3077CED4">
                  <w:pPr>
                    <w:pStyle w:val="183"/>
                    <w:widowControl/>
                    <w:adjustRightInd/>
                    <w:snapToGrid/>
                    <w:spacing w:before="120"/>
                    <w:textAlignment w:val="baseline"/>
                    <w:rPr>
                      <w:szCs w:val="21"/>
                    </w:rPr>
                  </w:pPr>
                </w:p>
              </w:tc>
              <w:tc>
                <w:tcPr>
                  <w:tcW w:w="2563" w:type="dxa"/>
                  <w:shd w:val="clear" w:color="auto" w:fill="FFFFFF"/>
                  <w:vAlign w:val="center"/>
                </w:tcPr>
                <w:p w14:paraId="6104FC37">
                  <w:pPr>
                    <w:pStyle w:val="183"/>
                    <w:widowControl/>
                    <w:adjustRightInd/>
                    <w:snapToGrid/>
                    <w:spacing w:before="120"/>
                    <w:textAlignment w:val="baseline"/>
                    <w:rPr>
                      <w:szCs w:val="24"/>
                    </w:rPr>
                  </w:pPr>
                  <w:r>
                    <w:rPr>
                      <w:rFonts w:hint="eastAsia"/>
                      <w:bCs/>
                      <w:szCs w:val="21"/>
                    </w:rPr>
                    <w:t>冷却水</w:t>
                  </w:r>
                  <w:r>
                    <w:rPr>
                      <w:rFonts w:hint="eastAsia"/>
                      <w:szCs w:val="21"/>
                    </w:rPr>
                    <w:t>经冷凝塔处理后，</w:t>
                  </w:r>
                  <w:r>
                    <w:rPr>
                      <w:rFonts w:hint="eastAsia"/>
                      <w:szCs w:val="21"/>
                      <w:lang w:val="en-US" w:eastAsia="zh-CN"/>
                    </w:rPr>
                    <w:t>循环使用</w:t>
                  </w:r>
                  <w:r>
                    <w:rPr>
                      <w:rFonts w:hint="eastAsia"/>
                      <w:szCs w:val="21"/>
                    </w:rPr>
                    <w:t>，不外排。</w:t>
                  </w:r>
                </w:p>
              </w:tc>
              <w:tc>
                <w:tcPr>
                  <w:tcW w:w="2573" w:type="dxa"/>
                  <w:shd w:val="clear" w:color="auto" w:fill="FFFFFF"/>
                  <w:vAlign w:val="center"/>
                </w:tcPr>
                <w:p w14:paraId="241AD8A9">
                  <w:pPr>
                    <w:pStyle w:val="183"/>
                    <w:widowControl/>
                    <w:adjustRightInd/>
                    <w:snapToGrid/>
                    <w:spacing w:before="120"/>
                    <w:textAlignment w:val="baseline"/>
                    <w:rPr>
                      <w:szCs w:val="24"/>
                    </w:rPr>
                  </w:pPr>
                  <w:r>
                    <w:rPr>
                      <w:rFonts w:hint="eastAsia"/>
                      <w:bCs/>
                      <w:szCs w:val="21"/>
                    </w:rPr>
                    <w:t>冷却水</w:t>
                  </w:r>
                  <w:r>
                    <w:rPr>
                      <w:rFonts w:hint="eastAsia"/>
                      <w:szCs w:val="21"/>
                    </w:rPr>
                    <w:t>经冷凝塔处理后，</w:t>
                  </w:r>
                  <w:r>
                    <w:rPr>
                      <w:rFonts w:hint="eastAsia"/>
                      <w:szCs w:val="21"/>
                      <w:lang w:val="en-US" w:eastAsia="zh-CN"/>
                    </w:rPr>
                    <w:t>循环使用</w:t>
                  </w:r>
                  <w:r>
                    <w:rPr>
                      <w:rFonts w:hint="eastAsia"/>
                      <w:szCs w:val="21"/>
                    </w:rPr>
                    <w:t>，不外排。</w:t>
                  </w:r>
                </w:p>
              </w:tc>
              <w:tc>
                <w:tcPr>
                  <w:tcW w:w="1077" w:type="dxa"/>
                  <w:shd w:val="clear" w:color="auto" w:fill="FFFFFF"/>
                  <w:vAlign w:val="center"/>
                </w:tcPr>
                <w:p w14:paraId="721074CF">
                  <w:pPr>
                    <w:jc w:val="center"/>
                  </w:pPr>
                  <w:r>
                    <w:rPr>
                      <w:rFonts w:hint="eastAsia"/>
                    </w:rPr>
                    <w:t>依托原有</w:t>
                  </w:r>
                </w:p>
              </w:tc>
            </w:tr>
            <w:tr w14:paraId="4F3850E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trHeight w:val="312" w:hRule="atLeast"/>
                <w:jc w:val="center"/>
              </w:trPr>
              <w:tc>
                <w:tcPr>
                  <w:tcW w:w="645" w:type="dxa"/>
                  <w:vMerge w:val="continue"/>
                  <w:shd w:val="clear" w:color="auto" w:fill="auto"/>
                  <w:vAlign w:val="center"/>
                </w:tcPr>
                <w:p w14:paraId="7B85DA92">
                  <w:pPr>
                    <w:jc w:val="center"/>
                    <w:rPr>
                      <w:color w:val="000000"/>
                      <w:szCs w:val="21"/>
                      <w:lang w:val="zh-TW" w:eastAsia="zh-TW" w:bidi="zh-TW"/>
                    </w:rPr>
                  </w:pPr>
                </w:p>
              </w:tc>
              <w:tc>
                <w:tcPr>
                  <w:tcW w:w="1200" w:type="dxa"/>
                  <w:vMerge w:val="restart"/>
                  <w:shd w:val="clear" w:color="auto" w:fill="FFFFFF"/>
                  <w:vAlign w:val="center"/>
                </w:tcPr>
                <w:p w14:paraId="5D11CBC5">
                  <w:pPr>
                    <w:pStyle w:val="183"/>
                    <w:widowControl/>
                    <w:adjustRightInd/>
                    <w:snapToGrid/>
                    <w:spacing w:before="120"/>
                    <w:textAlignment w:val="baseline"/>
                    <w:rPr>
                      <w:bCs/>
                      <w:szCs w:val="21"/>
                    </w:rPr>
                  </w:pPr>
                  <w:r>
                    <w:rPr>
                      <w:szCs w:val="21"/>
                    </w:rPr>
                    <w:t>废气处理</w:t>
                  </w:r>
                </w:p>
              </w:tc>
              <w:tc>
                <w:tcPr>
                  <w:tcW w:w="2563" w:type="dxa"/>
                  <w:shd w:val="clear" w:color="auto" w:fill="FFFFFF"/>
                  <w:vAlign w:val="center"/>
                </w:tcPr>
                <w:p w14:paraId="34E7BA21">
                  <w:pPr>
                    <w:pStyle w:val="183"/>
                    <w:widowControl/>
                    <w:adjustRightInd/>
                    <w:snapToGrid/>
                    <w:spacing w:before="120"/>
                    <w:textAlignment w:val="baseline"/>
                    <w:rPr>
                      <w:szCs w:val="24"/>
                    </w:rPr>
                  </w:pPr>
                  <w:r>
                    <w:rPr>
                      <w:rFonts w:hint="eastAsia"/>
                      <w:szCs w:val="21"/>
                    </w:rPr>
                    <w:t>注塑废气经</w:t>
                  </w:r>
                  <w:r>
                    <w:rPr>
                      <w:rFonts w:hint="eastAsia"/>
                      <w:szCs w:val="21"/>
                      <w:lang w:val="en-US" w:eastAsia="zh-CN"/>
                    </w:rPr>
                    <w:t>集气罩+</w:t>
                  </w:r>
                  <w:r>
                    <w:rPr>
                      <w:rFonts w:hint="eastAsia"/>
                      <w:szCs w:val="21"/>
                    </w:rPr>
                    <w:t>UV光解（TA001）+活性炭吸附（TA002）处理后由15m高排气筒排放DA001</w:t>
                  </w:r>
                </w:p>
              </w:tc>
              <w:tc>
                <w:tcPr>
                  <w:tcW w:w="2573" w:type="dxa"/>
                  <w:shd w:val="clear" w:color="auto" w:fill="FFFFFF"/>
                  <w:vAlign w:val="center"/>
                </w:tcPr>
                <w:p w14:paraId="78F68F98">
                  <w:pPr>
                    <w:pStyle w:val="183"/>
                    <w:widowControl/>
                    <w:adjustRightInd/>
                    <w:snapToGrid/>
                    <w:spacing w:before="120"/>
                    <w:textAlignment w:val="baseline"/>
                    <w:rPr>
                      <w:szCs w:val="24"/>
                    </w:rPr>
                  </w:pPr>
                  <w:r>
                    <w:rPr>
                      <w:rFonts w:hint="eastAsia"/>
                      <w:szCs w:val="21"/>
                    </w:rPr>
                    <w:t>注塑废气经集气罩+两级活性炭吸附装置处理后由15m高排气筒排放（DA001）</w:t>
                  </w:r>
                </w:p>
              </w:tc>
              <w:tc>
                <w:tcPr>
                  <w:tcW w:w="1077" w:type="dxa"/>
                  <w:shd w:val="clear" w:color="auto" w:fill="FFFFFF"/>
                  <w:vAlign w:val="center"/>
                </w:tcPr>
                <w:p w14:paraId="597AF926">
                  <w:pPr>
                    <w:jc w:val="center"/>
                  </w:pPr>
                  <w:r>
                    <w:rPr>
                      <w:rFonts w:hint="eastAsia"/>
                    </w:rPr>
                    <w:t>改建后将原有UV光解拆除，改造为两级活性炭吸附装置</w:t>
                  </w:r>
                </w:p>
              </w:tc>
            </w:tr>
            <w:tr w14:paraId="142DD95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trHeight w:val="442" w:hRule="atLeast"/>
                <w:jc w:val="center"/>
              </w:trPr>
              <w:tc>
                <w:tcPr>
                  <w:tcW w:w="645" w:type="dxa"/>
                  <w:vMerge w:val="continue"/>
                  <w:shd w:val="clear" w:color="auto" w:fill="auto"/>
                  <w:vAlign w:val="center"/>
                </w:tcPr>
                <w:p w14:paraId="159E169F">
                  <w:pPr>
                    <w:jc w:val="center"/>
                    <w:rPr>
                      <w:color w:val="000000"/>
                      <w:szCs w:val="21"/>
                      <w:lang w:val="zh-TW" w:eastAsia="zh-TW" w:bidi="zh-TW"/>
                    </w:rPr>
                  </w:pPr>
                </w:p>
              </w:tc>
              <w:tc>
                <w:tcPr>
                  <w:tcW w:w="1200" w:type="dxa"/>
                  <w:vMerge w:val="continue"/>
                  <w:shd w:val="clear" w:color="auto" w:fill="FFFFFF"/>
                  <w:vAlign w:val="center"/>
                </w:tcPr>
                <w:p w14:paraId="3D95F826">
                  <w:pPr>
                    <w:pStyle w:val="183"/>
                    <w:widowControl/>
                    <w:adjustRightInd/>
                    <w:snapToGrid/>
                    <w:spacing w:before="120"/>
                    <w:textAlignment w:val="baseline"/>
                    <w:rPr>
                      <w:bCs/>
                      <w:szCs w:val="21"/>
                    </w:rPr>
                  </w:pPr>
                </w:p>
              </w:tc>
              <w:tc>
                <w:tcPr>
                  <w:tcW w:w="2563" w:type="dxa"/>
                  <w:shd w:val="clear" w:color="auto" w:fill="FFFFFF"/>
                  <w:vAlign w:val="center"/>
                </w:tcPr>
                <w:p w14:paraId="0B3237D9">
                  <w:pPr>
                    <w:pStyle w:val="183"/>
                    <w:widowControl/>
                    <w:adjustRightInd/>
                    <w:snapToGrid/>
                    <w:spacing w:before="120"/>
                    <w:textAlignment w:val="baseline"/>
                    <w:rPr>
                      <w:szCs w:val="24"/>
                    </w:rPr>
                  </w:pPr>
                  <w:r>
                    <w:rPr>
                      <w:rFonts w:hint="eastAsia"/>
                      <w:szCs w:val="21"/>
                    </w:rPr>
                    <w:t>喷塑粉尘经</w:t>
                  </w:r>
                  <w:r>
                    <w:rPr>
                      <w:rFonts w:hint="eastAsia"/>
                      <w:szCs w:val="21"/>
                      <w:lang w:val="en-US" w:eastAsia="zh-CN"/>
                    </w:rPr>
                    <w:t>旋风除尘+滤芯除尘器+</w:t>
                  </w:r>
                  <w:r>
                    <w:rPr>
                      <w:rFonts w:hint="eastAsia"/>
                      <w:szCs w:val="21"/>
                    </w:rPr>
                    <w:t>UV光解（TA003）+活性炭吸附（TA004）处理后由15m排气筒排放（DA002）</w:t>
                  </w:r>
                </w:p>
              </w:tc>
              <w:tc>
                <w:tcPr>
                  <w:tcW w:w="2573" w:type="dxa"/>
                  <w:shd w:val="clear" w:color="auto" w:fill="FFFFFF"/>
                  <w:vAlign w:val="center"/>
                </w:tcPr>
                <w:p w14:paraId="102C29E3">
                  <w:pPr>
                    <w:pStyle w:val="183"/>
                    <w:widowControl/>
                    <w:adjustRightInd/>
                    <w:snapToGrid/>
                    <w:spacing w:before="120"/>
                    <w:textAlignment w:val="baseline"/>
                    <w:rPr>
                      <w:szCs w:val="24"/>
                    </w:rPr>
                  </w:pPr>
                  <w:r>
                    <w:rPr>
                      <w:rFonts w:hint="eastAsia"/>
                      <w:szCs w:val="21"/>
                    </w:rPr>
                    <w:t>喷塑粉尘经</w:t>
                  </w:r>
                  <w:r>
                    <w:rPr>
                      <w:rFonts w:hint="eastAsia"/>
                      <w:szCs w:val="21"/>
                      <w:lang w:val="en-US" w:eastAsia="zh-CN"/>
                    </w:rPr>
                    <w:t>旋风除尘+滤芯除尘器+</w:t>
                  </w:r>
                  <w:r>
                    <w:rPr>
                      <w:rFonts w:hint="eastAsia"/>
                      <w:szCs w:val="21"/>
                    </w:rPr>
                    <w:t>集气罩+两级活性炭吸附装置处理后由15m排气筒排放（DA002）</w:t>
                  </w:r>
                </w:p>
              </w:tc>
              <w:tc>
                <w:tcPr>
                  <w:tcW w:w="1077" w:type="dxa"/>
                  <w:shd w:val="clear" w:color="auto" w:fill="FFFFFF"/>
                  <w:vAlign w:val="center"/>
                </w:tcPr>
                <w:p w14:paraId="693A445F">
                  <w:pPr>
                    <w:jc w:val="center"/>
                  </w:pPr>
                  <w:r>
                    <w:rPr>
                      <w:rFonts w:hint="eastAsia"/>
                    </w:rPr>
                    <w:t>改建后将原有UV光解装置拆除，改造为两级活性炭吸附装置</w:t>
                  </w:r>
                </w:p>
              </w:tc>
            </w:tr>
            <w:tr w14:paraId="2715539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trHeight w:val="283" w:hRule="atLeast"/>
                <w:jc w:val="center"/>
              </w:trPr>
              <w:tc>
                <w:tcPr>
                  <w:tcW w:w="645" w:type="dxa"/>
                  <w:vMerge w:val="continue"/>
                  <w:shd w:val="clear" w:color="auto" w:fill="auto"/>
                  <w:vAlign w:val="center"/>
                </w:tcPr>
                <w:p w14:paraId="1DDA0FE8">
                  <w:pPr>
                    <w:jc w:val="center"/>
                    <w:rPr>
                      <w:color w:val="000000"/>
                      <w:szCs w:val="21"/>
                      <w:lang w:val="zh-TW" w:eastAsia="zh-TW" w:bidi="zh-TW"/>
                    </w:rPr>
                  </w:pPr>
                </w:p>
              </w:tc>
              <w:tc>
                <w:tcPr>
                  <w:tcW w:w="1200" w:type="dxa"/>
                  <w:vMerge w:val="continue"/>
                  <w:shd w:val="clear" w:color="auto" w:fill="FFFFFF"/>
                  <w:vAlign w:val="center"/>
                </w:tcPr>
                <w:p w14:paraId="6D38EDEE">
                  <w:pPr>
                    <w:pStyle w:val="183"/>
                    <w:widowControl/>
                    <w:adjustRightInd/>
                    <w:snapToGrid/>
                    <w:spacing w:before="120"/>
                    <w:textAlignment w:val="baseline"/>
                    <w:rPr>
                      <w:bCs/>
                      <w:szCs w:val="21"/>
                    </w:rPr>
                  </w:pPr>
                </w:p>
              </w:tc>
              <w:tc>
                <w:tcPr>
                  <w:tcW w:w="2563" w:type="dxa"/>
                  <w:shd w:val="clear" w:color="auto" w:fill="FFFFFF"/>
                  <w:vAlign w:val="center"/>
                </w:tcPr>
                <w:p w14:paraId="6CB80B07">
                  <w:pPr>
                    <w:pStyle w:val="183"/>
                    <w:widowControl/>
                    <w:adjustRightInd/>
                    <w:snapToGrid/>
                    <w:spacing w:before="120"/>
                    <w:textAlignment w:val="baseline"/>
                    <w:rPr>
                      <w:szCs w:val="24"/>
                      <w:lang w:val="zh-TW" w:eastAsia="zh-TW"/>
                    </w:rPr>
                  </w:pPr>
                  <w:r>
                    <w:rPr>
                      <w:rFonts w:hint="eastAsia"/>
                      <w:szCs w:val="21"/>
                    </w:rPr>
                    <w:t>天然气燃烧废气经</w:t>
                  </w:r>
                  <w:r>
                    <w:rPr>
                      <w:rFonts w:hint="eastAsia"/>
                      <w:szCs w:val="21"/>
                      <w:lang w:val="en-US" w:eastAsia="zh-CN"/>
                    </w:rPr>
                    <w:t>排气管+8</w:t>
                  </w:r>
                  <w:r>
                    <w:rPr>
                      <w:rFonts w:hint="eastAsia"/>
                      <w:szCs w:val="21"/>
                    </w:rPr>
                    <w:t>m排气筒排放（DA003）</w:t>
                  </w:r>
                </w:p>
              </w:tc>
              <w:tc>
                <w:tcPr>
                  <w:tcW w:w="2573" w:type="dxa"/>
                  <w:shd w:val="clear" w:color="auto" w:fill="FFFFFF"/>
                  <w:vAlign w:val="center"/>
                </w:tcPr>
                <w:p w14:paraId="5CE65C97">
                  <w:pPr>
                    <w:pStyle w:val="183"/>
                    <w:widowControl/>
                    <w:adjustRightInd/>
                    <w:snapToGrid/>
                    <w:spacing w:before="120"/>
                    <w:textAlignment w:val="baseline"/>
                    <w:rPr>
                      <w:szCs w:val="24"/>
                      <w:lang w:val="zh-TW" w:eastAsia="zh-TW"/>
                    </w:rPr>
                  </w:pPr>
                  <w:r>
                    <w:rPr>
                      <w:rFonts w:hint="eastAsia"/>
                      <w:szCs w:val="21"/>
                    </w:rPr>
                    <w:t>天然气燃烧废气经</w:t>
                  </w:r>
                  <w:r>
                    <w:rPr>
                      <w:rFonts w:hint="eastAsia"/>
                      <w:szCs w:val="21"/>
                      <w:lang w:val="en-US" w:eastAsia="zh-CN"/>
                    </w:rPr>
                    <w:t>排气管+8</w:t>
                  </w:r>
                  <w:r>
                    <w:rPr>
                      <w:rFonts w:hint="eastAsia"/>
                      <w:szCs w:val="21"/>
                    </w:rPr>
                    <w:t>m排气筒排放（DA003）</w:t>
                  </w:r>
                </w:p>
              </w:tc>
              <w:tc>
                <w:tcPr>
                  <w:tcW w:w="1077" w:type="dxa"/>
                  <w:shd w:val="clear" w:color="auto" w:fill="FFFFFF"/>
                  <w:vAlign w:val="center"/>
                </w:tcPr>
                <w:p w14:paraId="48446EB0">
                  <w:pPr>
                    <w:jc w:val="center"/>
                  </w:pPr>
                  <w:r>
                    <w:rPr>
                      <w:rFonts w:hint="eastAsia"/>
                    </w:rPr>
                    <w:t>依托原有</w:t>
                  </w:r>
                </w:p>
              </w:tc>
            </w:tr>
            <w:tr w14:paraId="26172A2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trHeight w:val="282" w:hRule="atLeast"/>
                <w:jc w:val="center"/>
              </w:trPr>
              <w:tc>
                <w:tcPr>
                  <w:tcW w:w="645" w:type="dxa"/>
                  <w:vMerge w:val="continue"/>
                  <w:shd w:val="clear" w:color="auto" w:fill="auto"/>
                  <w:vAlign w:val="center"/>
                </w:tcPr>
                <w:p w14:paraId="02CCFD21">
                  <w:pPr>
                    <w:jc w:val="center"/>
                    <w:rPr>
                      <w:color w:val="000000"/>
                      <w:szCs w:val="21"/>
                      <w:lang w:val="zh-TW" w:eastAsia="zh-TW" w:bidi="zh-TW"/>
                    </w:rPr>
                  </w:pPr>
                </w:p>
              </w:tc>
              <w:tc>
                <w:tcPr>
                  <w:tcW w:w="1200" w:type="dxa"/>
                  <w:vMerge w:val="continue"/>
                  <w:shd w:val="clear" w:color="auto" w:fill="FFFFFF"/>
                  <w:vAlign w:val="center"/>
                </w:tcPr>
                <w:p w14:paraId="6143BCC5">
                  <w:pPr>
                    <w:pStyle w:val="183"/>
                    <w:widowControl/>
                    <w:adjustRightInd/>
                    <w:snapToGrid/>
                    <w:spacing w:before="120"/>
                    <w:textAlignment w:val="baseline"/>
                    <w:rPr>
                      <w:bCs/>
                      <w:szCs w:val="21"/>
                    </w:rPr>
                  </w:pPr>
                </w:p>
              </w:tc>
              <w:tc>
                <w:tcPr>
                  <w:tcW w:w="2563" w:type="dxa"/>
                  <w:shd w:val="clear" w:color="auto" w:fill="FFFFFF"/>
                  <w:vAlign w:val="center"/>
                </w:tcPr>
                <w:p w14:paraId="17296FCB">
                  <w:pPr>
                    <w:pStyle w:val="183"/>
                    <w:widowControl/>
                    <w:adjustRightInd/>
                    <w:snapToGrid/>
                    <w:spacing w:before="120"/>
                    <w:textAlignment w:val="baseline"/>
                  </w:pPr>
                  <w:r>
                    <w:rPr>
                      <w:rFonts w:hint="eastAsia"/>
                      <w:szCs w:val="21"/>
                    </w:rPr>
                    <w:t>焊接烟尘经移动式焊接烟尘净化器</w:t>
                  </w:r>
                </w:p>
              </w:tc>
              <w:tc>
                <w:tcPr>
                  <w:tcW w:w="2573" w:type="dxa"/>
                  <w:shd w:val="clear" w:color="auto" w:fill="FFFFFF"/>
                  <w:vAlign w:val="center"/>
                </w:tcPr>
                <w:p w14:paraId="60973468">
                  <w:pPr>
                    <w:pStyle w:val="183"/>
                    <w:widowControl/>
                    <w:adjustRightInd/>
                    <w:snapToGrid/>
                    <w:spacing w:before="120"/>
                    <w:textAlignment w:val="baseline"/>
                  </w:pPr>
                  <w:r>
                    <w:rPr>
                      <w:rFonts w:hint="eastAsia"/>
                      <w:szCs w:val="21"/>
                    </w:rPr>
                    <w:t>焊接烟尘经移动式焊接烟尘净化器</w:t>
                  </w:r>
                </w:p>
              </w:tc>
              <w:tc>
                <w:tcPr>
                  <w:tcW w:w="1077" w:type="dxa"/>
                  <w:shd w:val="clear" w:color="auto" w:fill="FFFFFF"/>
                  <w:vAlign w:val="center"/>
                </w:tcPr>
                <w:p w14:paraId="55A1722B">
                  <w:pPr>
                    <w:jc w:val="center"/>
                  </w:pPr>
                  <w:r>
                    <w:rPr>
                      <w:rFonts w:hint="eastAsia"/>
                    </w:rPr>
                    <w:t>依托原有</w:t>
                  </w:r>
                </w:p>
              </w:tc>
            </w:tr>
            <w:tr w14:paraId="4A2CE21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trHeight w:val="282" w:hRule="atLeast"/>
                <w:jc w:val="center"/>
              </w:trPr>
              <w:tc>
                <w:tcPr>
                  <w:tcW w:w="645" w:type="dxa"/>
                  <w:vMerge w:val="continue"/>
                  <w:shd w:val="clear" w:color="auto" w:fill="auto"/>
                  <w:vAlign w:val="center"/>
                </w:tcPr>
                <w:p w14:paraId="5E8052D1">
                  <w:pPr>
                    <w:jc w:val="center"/>
                    <w:rPr>
                      <w:color w:val="000000"/>
                      <w:szCs w:val="21"/>
                      <w:lang w:val="zh-TW" w:eastAsia="zh-TW" w:bidi="zh-TW"/>
                    </w:rPr>
                  </w:pPr>
                </w:p>
              </w:tc>
              <w:tc>
                <w:tcPr>
                  <w:tcW w:w="1200" w:type="dxa"/>
                  <w:shd w:val="clear" w:color="auto" w:fill="FFFFFF"/>
                  <w:vAlign w:val="center"/>
                </w:tcPr>
                <w:p w14:paraId="4A33918B">
                  <w:pPr>
                    <w:pStyle w:val="183"/>
                    <w:widowControl/>
                    <w:adjustRightInd/>
                    <w:snapToGrid/>
                    <w:spacing w:before="120"/>
                    <w:textAlignment w:val="baseline"/>
                    <w:rPr>
                      <w:bCs/>
                      <w:szCs w:val="21"/>
                    </w:rPr>
                  </w:pPr>
                  <w:r>
                    <w:rPr>
                      <w:bCs/>
                      <w:szCs w:val="21"/>
                    </w:rPr>
                    <w:t>噪声治理</w:t>
                  </w:r>
                </w:p>
              </w:tc>
              <w:tc>
                <w:tcPr>
                  <w:tcW w:w="5136" w:type="dxa"/>
                  <w:gridSpan w:val="2"/>
                  <w:shd w:val="clear" w:color="auto" w:fill="FFFFFF"/>
                  <w:vAlign w:val="center"/>
                </w:tcPr>
                <w:p w14:paraId="4B5EF003">
                  <w:pPr>
                    <w:pStyle w:val="183"/>
                    <w:widowControl/>
                    <w:adjustRightInd/>
                    <w:snapToGrid/>
                    <w:spacing w:beforeLines="0"/>
                    <w:textAlignment w:val="baseline"/>
                  </w:pPr>
                  <w:r>
                    <w:rPr>
                      <w:szCs w:val="21"/>
                    </w:rPr>
                    <w:t>采取降噪、厂房隔声、基础减振等措施</w:t>
                  </w:r>
                </w:p>
              </w:tc>
              <w:tc>
                <w:tcPr>
                  <w:tcW w:w="1077" w:type="dxa"/>
                  <w:shd w:val="clear" w:color="auto" w:fill="FFFFFF"/>
                  <w:vAlign w:val="center"/>
                </w:tcPr>
                <w:p w14:paraId="7AC2D7F6">
                  <w:pPr>
                    <w:jc w:val="center"/>
                  </w:pPr>
                  <w:r>
                    <w:rPr>
                      <w:rFonts w:hint="eastAsia"/>
                    </w:rPr>
                    <w:t>依托原有</w:t>
                  </w:r>
                </w:p>
              </w:tc>
            </w:tr>
            <w:tr w14:paraId="1FB5BDE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trHeight w:val="90" w:hRule="atLeast"/>
                <w:jc w:val="center"/>
              </w:trPr>
              <w:tc>
                <w:tcPr>
                  <w:tcW w:w="645" w:type="dxa"/>
                  <w:vMerge w:val="continue"/>
                  <w:shd w:val="clear" w:color="auto" w:fill="auto"/>
                  <w:vAlign w:val="center"/>
                </w:tcPr>
                <w:p w14:paraId="6B7C2C88">
                  <w:pPr>
                    <w:jc w:val="center"/>
                    <w:rPr>
                      <w:color w:val="000000"/>
                      <w:szCs w:val="21"/>
                      <w:lang w:val="zh-TW" w:eastAsia="zh-TW" w:bidi="zh-TW"/>
                    </w:rPr>
                  </w:pPr>
                </w:p>
              </w:tc>
              <w:tc>
                <w:tcPr>
                  <w:tcW w:w="1200" w:type="dxa"/>
                  <w:vMerge w:val="restart"/>
                  <w:shd w:val="clear" w:color="auto" w:fill="FFFFFF"/>
                  <w:vAlign w:val="center"/>
                </w:tcPr>
                <w:p w14:paraId="4B6EF9A2">
                  <w:pPr>
                    <w:jc w:val="center"/>
                    <w:rPr>
                      <w:bCs/>
                      <w:szCs w:val="21"/>
                    </w:rPr>
                  </w:pPr>
                  <w:r>
                    <w:rPr>
                      <w:rFonts w:hint="eastAsia"/>
                      <w:bCs/>
                      <w:szCs w:val="21"/>
                    </w:rPr>
                    <w:t>固体废物</w:t>
                  </w:r>
                </w:p>
              </w:tc>
              <w:tc>
                <w:tcPr>
                  <w:tcW w:w="2563" w:type="dxa"/>
                  <w:shd w:val="clear" w:color="auto" w:fill="FFFFFF"/>
                  <w:vAlign w:val="center"/>
                </w:tcPr>
                <w:p w14:paraId="60892C7A">
                  <w:pPr>
                    <w:jc w:val="center"/>
                    <w:rPr>
                      <w:rFonts w:hint="eastAsia" w:ascii="Times New Roman" w:hAnsi="Times New Roman" w:eastAsia="宋体" w:cs="Times New Roman"/>
                      <w:szCs w:val="21"/>
                    </w:rPr>
                  </w:pPr>
                  <w:r>
                    <w:rPr>
                      <w:rFonts w:hint="eastAsia" w:ascii="Times New Roman" w:hAnsi="Times New Roman" w:eastAsia="宋体" w:cs="Times New Roman"/>
                      <w:szCs w:val="21"/>
                      <w:lang w:val="en-US" w:eastAsia="zh-CN"/>
                    </w:rPr>
                    <w:t>废</w:t>
                  </w:r>
                  <w:r>
                    <w:rPr>
                      <w:rFonts w:hint="eastAsia" w:ascii="Times New Roman" w:hAnsi="Times New Roman" w:eastAsia="宋体" w:cs="Times New Roman"/>
                      <w:szCs w:val="21"/>
                    </w:rPr>
                    <w:t>钢筋</w:t>
                  </w:r>
                  <w:r>
                    <w:rPr>
                      <w:rFonts w:hint="eastAsia" w:ascii="Times New Roman" w:hAnsi="Times New Roman" w:eastAsia="宋体" w:cs="Times New Roman"/>
                      <w:szCs w:val="21"/>
                      <w:lang w:val="en-US" w:eastAsia="zh-CN"/>
                    </w:rPr>
                    <w:t>经统一</w:t>
                  </w:r>
                  <w:r>
                    <w:rPr>
                      <w:rFonts w:hint="eastAsia" w:ascii="Times New Roman" w:hAnsi="Times New Roman" w:eastAsia="宋体" w:cs="Times New Roman"/>
                      <w:szCs w:val="21"/>
                    </w:rPr>
                    <w:t>收集后外售综合利用</w:t>
                  </w:r>
                </w:p>
              </w:tc>
              <w:tc>
                <w:tcPr>
                  <w:tcW w:w="2573" w:type="dxa"/>
                  <w:shd w:val="clear" w:color="auto" w:fill="FFFFFF"/>
                  <w:vAlign w:val="center"/>
                </w:tcPr>
                <w:p w14:paraId="6624B2D8">
                  <w:pPr>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废</w:t>
                  </w:r>
                  <w:r>
                    <w:rPr>
                      <w:rFonts w:hint="eastAsia" w:ascii="Times New Roman" w:hAnsi="Times New Roman" w:eastAsia="宋体" w:cs="Times New Roman"/>
                      <w:szCs w:val="21"/>
                    </w:rPr>
                    <w:t>钢筋</w:t>
                  </w:r>
                  <w:r>
                    <w:rPr>
                      <w:rFonts w:hint="eastAsia" w:ascii="Times New Roman" w:hAnsi="Times New Roman" w:eastAsia="宋体" w:cs="Times New Roman"/>
                      <w:szCs w:val="21"/>
                      <w:lang w:val="en-US" w:eastAsia="zh-CN"/>
                    </w:rPr>
                    <w:t>经统一</w:t>
                  </w:r>
                  <w:r>
                    <w:rPr>
                      <w:rFonts w:hint="eastAsia" w:ascii="Times New Roman" w:hAnsi="Times New Roman" w:eastAsia="宋体" w:cs="Times New Roman"/>
                      <w:szCs w:val="21"/>
                    </w:rPr>
                    <w:t>收集后外售综合利用</w:t>
                  </w:r>
                </w:p>
              </w:tc>
              <w:tc>
                <w:tcPr>
                  <w:tcW w:w="1077" w:type="dxa"/>
                  <w:shd w:val="clear" w:color="auto" w:fill="FFFFFF"/>
                  <w:vAlign w:val="center"/>
                </w:tcPr>
                <w:p w14:paraId="70C8492F">
                  <w:pPr>
                    <w:jc w:val="center"/>
                  </w:pPr>
                  <w:r>
                    <w:rPr>
                      <w:rFonts w:hint="eastAsia"/>
                    </w:rPr>
                    <w:t>/</w:t>
                  </w:r>
                </w:p>
              </w:tc>
            </w:tr>
            <w:tr w14:paraId="56FC894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trHeight w:val="369" w:hRule="atLeast"/>
                <w:jc w:val="center"/>
              </w:trPr>
              <w:tc>
                <w:tcPr>
                  <w:tcW w:w="645" w:type="dxa"/>
                  <w:vMerge w:val="continue"/>
                  <w:shd w:val="clear" w:color="auto" w:fill="auto"/>
                  <w:vAlign w:val="center"/>
                </w:tcPr>
                <w:p w14:paraId="22F7239D">
                  <w:pPr>
                    <w:jc w:val="center"/>
                    <w:rPr>
                      <w:color w:val="000000"/>
                      <w:szCs w:val="21"/>
                      <w:lang w:val="zh-TW" w:eastAsia="zh-TW" w:bidi="zh-TW"/>
                    </w:rPr>
                  </w:pPr>
                </w:p>
              </w:tc>
              <w:tc>
                <w:tcPr>
                  <w:tcW w:w="1200" w:type="dxa"/>
                  <w:vMerge w:val="continue"/>
                  <w:shd w:val="clear" w:color="auto" w:fill="FFFFFF"/>
                  <w:vAlign w:val="center"/>
                </w:tcPr>
                <w:p w14:paraId="18063277">
                  <w:pPr>
                    <w:jc w:val="center"/>
                    <w:rPr>
                      <w:bCs/>
                      <w:szCs w:val="21"/>
                    </w:rPr>
                  </w:pPr>
                </w:p>
              </w:tc>
              <w:tc>
                <w:tcPr>
                  <w:tcW w:w="2563" w:type="dxa"/>
                  <w:tcBorders>
                    <w:bottom w:val="dotted" w:color="auto" w:sz="4" w:space="0"/>
                  </w:tcBorders>
                  <w:shd w:val="clear" w:color="auto" w:fill="FFFFFF"/>
                  <w:vAlign w:val="center"/>
                </w:tcPr>
                <w:p w14:paraId="20743E6B">
                  <w:pPr>
                    <w:jc w:val="center"/>
                    <w:rPr>
                      <w:rFonts w:hint="eastAsia" w:ascii="Times New Roman" w:hAnsi="Times New Roman" w:eastAsia="宋体" w:cs="Times New Roman"/>
                      <w:szCs w:val="21"/>
                    </w:rPr>
                  </w:pPr>
                  <w:r>
                    <w:rPr>
                      <w:rFonts w:hint="eastAsia" w:ascii="Times New Roman" w:hAnsi="Times New Roman" w:eastAsia="宋体" w:cs="Times New Roman"/>
                      <w:szCs w:val="21"/>
                    </w:rPr>
                    <w:t>废边角料</w:t>
                  </w:r>
                  <w:r>
                    <w:rPr>
                      <w:rFonts w:hint="eastAsia" w:ascii="Times New Roman" w:hAnsi="Times New Roman" w:eastAsia="宋体" w:cs="Times New Roman"/>
                      <w:szCs w:val="21"/>
                      <w:lang w:val="en-US" w:eastAsia="zh-CN"/>
                    </w:rPr>
                    <w:t>及不合格产品</w:t>
                  </w:r>
                  <w:r>
                    <w:rPr>
                      <w:rFonts w:hint="eastAsia" w:ascii="Times New Roman" w:hAnsi="Times New Roman" w:eastAsia="宋体" w:cs="Times New Roman"/>
                      <w:szCs w:val="21"/>
                    </w:rPr>
                    <w:t>经</w:t>
                  </w:r>
                  <w:r>
                    <w:rPr>
                      <w:rFonts w:hint="eastAsia" w:ascii="Times New Roman" w:hAnsi="Times New Roman" w:eastAsia="宋体" w:cs="Times New Roman"/>
                      <w:szCs w:val="21"/>
                      <w:lang w:val="en-US" w:eastAsia="zh-CN"/>
                    </w:rPr>
                    <w:t>统一</w:t>
                  </w:r>
                  <w:r>
                    <w:rPr>
                      <w:rFonts w:hint="eastAsia" w:ascii="Times New Roman" w:hAnsi="Times New Roman" w:eastAsia="宋体" w:cs="Times New Roman"/>
                      <w:szCs w:val="21"/>
                    </w:rPr>
                    <w:t>收集后暂存于固废暂存间内，定期外售</w:t>
                  </w:r>
                </w:p>
              </w:tc>
              <w:tc>
                <w:tcPr>
                  <w:tcW w:w="2573" w:type="dxa"/>
                  <w:tcBorders>
                    <w:bottom w:val="dotted" w:color="auto" w:sz="4" w:space="0"/>
                  </w:tcBorders>
                  <w:shd w:val="clear" w:color="auto" w:fill="FFFFFF"/>
                  <w:vAlign w:val="center"/>
                </w:tcPr>
                <w:p w14:paraId="43A6094E">
                  <w:pPr>
                    <w:jc w:val="center"/>
                    <w:rPr>
                      <w:rFonts w:hint="eastAsia" w:ascii="Times New Roman" w:hAnsi="Times New Roman" w:eastAsia="宋体" w:cs="Times New Roman"/>
                      <w:szCs w:val="21"/>
                    </w:rPr>
                  </w:pPr>
                  <w:r>
                    <w:rPr>
                      <w:rFonts w:hint="eastAsia" w:ascii="Times New Roman" w:hAnsi="Times New Roman" w:eastAsia="宋体" w:cs="Times New Roman"/>
                      <w:szCs w:val="21"/>
                    </w:rPr>
                    <w:t>废边角料</w:t>
                  </w:r>
                  <w:r>
                    <w:rPr>
                      <w:rFonts w:hint="eastAsia" w:ascii="Times New Roman" w:hAnsi="Times New Roman" w:eastAsia="宋体" w:cs="Times New Roman"/>
                      <w:szCs w:val="21"/>
                      <w:lang w:val="en-US" w:eastAsia="zh-CN"/>
                    </w:rPr>
                    <w:t>及不合格产品</w:t>
                  </w:r>
                  <w:r>
                    <w:rPr>
                      <w:rFonts w:hint="eastAsia" w:ascii="Times New Roman" w:hAnsi="Times New Roman" w:eastAsia="宋体" w:cs="Times New Roman"/>
                      <w:szCs w:val="21"/>
                    </w:rPr>
                    <w:t>经</w:t>
                  </w:r>
                  <w:r>
                    <w:rPr>
                      <w:rFonts w:hint="eastAsia" w:ascii="Times New Roman" w:hAnsi="Times New Roman" w:eastAsia="宋体" w:cs="Times New Roman"/>
                      <w:szCs w:val="21"/>
                      <w:lang w:val="en-US" w:eastAsia="zh-CN"/>
                    </w:rPr>
                    <w:t>统一</w:t>
                  </w:r>
                  <w:r>
                    <w:rPr>
                      <w:rFonts w:hint="eastAsia" w:ascii="Times New Roman" w:hAnsi="Times New Roman" w:eastAsia="宋体" w:cs="Times New Roman"/>
                      <w:szCs w:val="21"/>
                    </w:rPr>
                    <w:t>收集后暂存于固废暂存间内，定期外售</w:t>
                  </w:r>
                </w:p>
              </w:tc>
              <w:tc>
                <w:tcPr>
                  <w:tcW w:w="1077" w:type="dxa"/>
                  <w:tcBorders>
                    <w:bottom w:val="dotted" w:color="auto" w:sz="4" w:space="0"/>
                  </w:tcBorders>
                  <w:shd w:val="clear" w:color="auto" w:fill="FFFFFF"/>
                  <w:vAlign w:val="center"/>
                </w:tcPr>
                <w:p w14:paraId="75CA6E03">
                  <w:pPr>
                    <w:jc w:val="center"/>
                  </w:pPr>
                  <w:r>
                    <w:rPr>
                      <w:rFonts w:hint="eastAsia"/>
                    </w:rPr>
                    <w:t>/</w:t>
                  </w:r>
                </w:p>
              </w:tc>
            </w:tr>
            <w:tr w14:paraId="6B0071D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trHeight w:val="140" w:hRule="atLeast"/>
                <w:jc w:val="center"/>
              </w:trPr>
              <w:tc>
                <w:tcPr>
                  <w:tcW w:w="645" w:type="dxa"/>
                  <w:vMerge w:val="continue"/>
                  <w:shd w:val="clear" w:color="auto" w:fill="auto"/>
                  <w:vAlign w:val="center"/>
                </w:tcPr>
                <w:p w14:paraId="18F70DE5">
                  <w:pPr>
                    <w:jc w:val="center"/>
                    <w:rPr>
                      <w:color w:val="000000"/>
                      <w:szCs w:val="21"/>
                      <w:lang w:val="zh-TW" w:eastAsia="zh-TW" w:bidi="zh-TW"/>
                    </w:rPr>
                  </w:pPr>
                </w:p>
              </w:tc>
              <w:tc>
                <w:tcPr>
                  <w:tcW w:w="1200" w:type="dxa"/>
                  <w:vMerge w:val="continue"/>
                  <w:shd w:val="clear" w:color="auto" w:fill="FFFFFF"/>
                  <w:vAlign w:val="center"/>
                </w:tcPr>
                <w:p w14:paraId="236F3614">
                  <w:pPr>
                    <w:jc w:val="center"/>
                    <w:rPr>
                      <w:bCs/>
                      <w:szCs w:val="21"/>
                    </w:rPr>
                  </w:pPr>
                </w:p>
              </w:tc>
              <w:tc>
                <w:tcPr>
                  <w:tcW w:w="2563" w:type="dxa"/>
                  <w:tcBorders>
                    <w:top w:val="single" w:color="auto" w:sz="4" w:space="0"/>
                    <w:bottom w:val="single" w:color="auto" w:sz="4" w:space="0"/>
                  </w:tcBorders>
                  <w:shd w:val="clear" w:color="auto" w:fill="FFFFFF"/>
                  <w:vAlign w:val="center"/>
                </w:tcPr>
                <w:p w14:paraId="23241D96">
                  <w:pPr>
                    <w:jc w:val="center"/>
                    <w:rPr>
                      <w:rFonts w:hint="eastAsia" w:ascii="Times New Roman" w:hAnsi="Times New Roman" w:eastAsia="宋体" w:cs="Times New Roman"/>
                      <w:szCs w:val="21"/>
                    </w:rPr>
                  </w:pPr>
                  <w:r>
                    <w:rPr>
                      <w:rFonts w:hint="eastAsia" w:ascii="Times New Roman" w:hAnsi="Times New Roman" w:eastAsia="宋体" w:cs="Times New Roman"/>
                      <w:szCs w:val="21"/>
                    </w:rPr>
                    <w:t>废焊渣经集中收集后，统一返回厂家回收处理</w:t>
                  </w:r>
                </w:p>
              </w:tc>
              <w:tc>
                <w:tcPr>
                  <w:tcW w:w="2573" w:type="dxa"/>
                  <w:tcBorders>
                    <w:top w:val="single" w:color="auto" w:sz="4" w:space="0"/>
                    <w:bottom w:val="single" w:color="auto" w:sz="4" w:space="0"/>
                  </w:tcBorders>
                  <w:shd w:val="clear" w:color="auto" w:fill="FFFFFF"/>
                  <w:vAlign w:val="center"/>
                </w:tcPr>
                <w:p w14:paraId="7B3AD8F9">
                  <w:pPr>
                    <w:jc w:val="center"/>
                    <w:rPr>
                      <w:rFonts w:hint="eastAsia" w:ascii="Times New Roman" w:hAnsi="Times New Roman" w:eastAsia="宋体" w:cs="Times New Roman"/>
                      <w:szCs w:val="21"/>
                    </w:rPr>
                  </w:pPr>
                  <w:r>
                    <w:rPr>
                      <w:rFonts w:hint="eastAsia" w:ascii="Times New Roman" w:hAnsi="Times New Roman" w:eastAsia="宋体" w:cs="Times New Roman"/>
                      <w:szCs w:val="21"/>
                    </w:rPr>
                    <w:t>废焊渣经集中收集后，统一返回厂家回收处理</w:t>
                  </w:r>
                </w:p>
              </w:tc>
              <w:tc>
                <w:tcPr>
                  <w:tcW w:w="1077" w:type="dxa"/>
                  <w:tcBorders>
                    <w:top w:val="single" w:color="auto" w:sz="4" w:space="0"/>
                    <w:bottom w:val="single" w:color="auto" w:sz="4" w:space="0"/>
                  </w:tcBorders>
                  <w:shd w:val="clear" w:color="auto" w:fill="FFFFFF"/>
                  <w:vAlign w:val="center"/>
                </w:tcPr>
                <w:p w14:paraId="2A5E10C3">
                  <w:pPr>
                    <w:jc w:val="center"/>
                    <w:rPr>
                      <w:rFonts w:hint="eastAsia" w:eastAsia="宋体"/>
                      <w:lang w:val="en-US" w:eastAsia="zh-CN"/>
                    </w:rPr>
                  </w:pPr>
                  <w:r>
                    <w:rPr>
                      <w:rFonts w:hint="eastAsia"/>
                      <w:lang w:val="en-US" w:eastAsia="zh-CN"/>
                    </w:rPr>
                    <w:t>/</w:t>
                  </w:r>
                </w:p>
              </w:tc>
            </w:tr>
            <w:tr w14:paraId="79B9E95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trHeight w:val="163" w:hRule="atLeast"/>
                <w:jc w:val="center"/>
              </w:trPr>
              <w:tc>
                <w:tcPr>
                  <w:tcW w:w="645" w:type="dxa"/>
                  <w:vMerge w:val="continue"/>
                  <w:shd w:val="clear" w:color="auto" w:fill="auto"/>
                  <w:vAlign w:val="center"/>
                </w:tcPr>
                <w:p w14:paraId="11F39903">
                  <w:pPr>
                    <w:jc w:val="center"/>
                    <w:rPr>
                      <w:color w:val="000000"/>
                      <w:szCs w:val="21"/>
                      <w:lang w:val="zh-TW" w:eastAsia="zh-TW" w:bidi="zh-TW"/>
                    </w:rPr>
                  </w:pPr>
                </w:p>
              </w:tc>
              <w:tc>
                <w:tcPr>
                  <w:tcW w:w="1200" w:type="dxa"/>
                  <w:vMerge w:val="continue"/>
                  <w:shd w:val="clear" w:color="auto" w:fill="FFFFFF"/>
                  <w:vAlign w:val="center"/>
                </w:tcPr>
                <w:p w14:paraId="78C636CB">
                  <w:pPr>
                    <w:jc w:val="center"/>
                    <w:rPr>
                      <w:bCs/>
                      <w:szCs w:val="21"/>
                    </w:rPr>
                  </w:pPr>
                </w:p>
              </w:tc>
              <w:tc>
                <w:tcPr>
                  <w:tcW w:w="2563" w:type="dxa"/>
                  <w:tcBorders>
                    <w:top w:val="single" w:color="auto" w:sz="4" w:space="0"/>
                    <w:bottom w:val="single" w:color="auto" w:sz="4" w:space="0"/>
                  </w:tcBorders>
                  <w:shd w:val="clear" w:color="auto" w:fill="FFFFFF"/>
                  <w:vAlign w:val="center"/>
                </w:tcPr>
                <w:p w14:paraId="6232D70E">
                  <w:pPr>
                    <w:jc w:val="center"/>
                    <w:rPr>
                      <w:rFonts w:hint="default" w:ascii="Times New Roman" w:hAnsi="Times New Roman" w:eastAsia="宋体" w:cs="Times New Roman"/>
                      <w:szCs w:val="21"/>
                      <w:lang w:val="en-US"/>
                    </w:rPr>
                  </w:pPr>
                  <w:r>
                    <w:rPr>
                      <w:rFonts w:hint="eastAsia" w:ascii="Times New Roman" w:hAnsi="Times New Roman" w:eastAsia="宋体" w:cs="Times New Roman"/>
                      <w:szCs w:val="21"/>
                      <w:lang w:val="en-US" w:eastAsia="zh-CN"/>
                    </w:rPr>
                    <w:t>收集的塑粉经收集后回用于生产，不外排</w:t>
                  </w:r>
                </w:p>
              </w:tc>
              <w:tc>
                <w:tcPr>
                  <w:tcW w:w="2573" w:type="dxa"/>
                  <w:tcBorders>
                    <w:top w:val="single" w:color="auto" w:sz="4" w:space="0"/>
                    <w:bottom w:val="single" w:color="auto" w:sz="4" w:space="0"/>
                  </w:tcBorders>
                  <w:shd w:val="clear" w:color="auto" w:fill="FFFFFF"/>
                  <w:vAlign w:val="center"/>
                </w:tcPr>
                <w:p w14:paraId="075A58DE">
                  <w:pPr>
                    <w:jc w:val="center"/>
                    <w:rPr>
                      <w:rFonts w:hint="eastAsia" w:ascii="Times New Roman" w:hAnsi="Times New Roman" w:eastAsia="宋体" w:cs="Times New Roman"/>
                      <w:szCs w:val="21"/>
                    </w:rPr>
                  </w:pPr>
                  <w:r>
                    <w:rPr>
                      <w:rFonts w:hint="eastAsia" w:ascii="Times New Roman" w:hAnsi="Times New Roman" w:eastAsia="宋体" w:cs="Times New Roman"/>
                      <w:szCs w:val="21"/>
                      <w:lang w:val="en-US" w:eastAsia="zh-CN"/>
                    </w:rPr>
                    <w:t>收集的塑粉经收集后回用于生产，不外排</w:t>
                  </w:r>
                </w:p>
              </w:tc>
              <w:tc>
                <w:tcPr>
                  <w:tcW w:w="1077" w:type="dxa"/>
                  <w:tcBorders>
                    <w:top w:val="single" w:color="auto" w:sz="4" w:space="0"/>
                    <w:bottom w:val="single" w:color="auto" w:sz="4" w:space="0"/>
                  </w:tcBorders>
                  <w:shd w:val="clear" w:color="auto" w:fill="FFFFFF"/>
                  <w:vAlign w:val="center"/>
                </w:tcPr>
                <w:p w14:paraId="16B24575">
                  <w:pPr>
                    <w:jc w:val="center"/>
                    <w:rPr>
                      <w:rFonts w:hint="eastAsia" w:eastAsia="宋体"/>
                      <w:lang w:val="en-US" w:eastAsia="zh-CN"/>
                    </w:rPr>
                  </w:pPr>
                  <w:r>
                    <w:rPr>
                      <w:rFonts w:hint="eastAsia"/>
                      <w:lang w:val="en-US" w:eastAsia="zh-CN"/>
                    </w:rPr>
                    <w:t>/</w:t>
                  </w:r>
                </w:p>
              </w:tc>
            </w:tr>
            <w:tr w14:paraId="3287A67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trHeight w:val="320" w:hRule="atLeast"/>
                <w:jc w:val="center"/>
              </w:trPr>
              <w:tc>
                <w:tcPr>
                  <w:tcW w:w="645" w:type="dxa"/>
                  <w:vMerge w:val="continue"/>
                  <w:shd w:val="clear" w:color="auto" w:fill="auto"/>
                  <w:vAlign w:val="center"/>
                </w:tcPr>
                <w:p w14:paraId="4B2A22E2">
                  <w:pPr>
                    <w:jc w:val="center"/>
                    <w:rPr>
                      <w:color w:val="000000"/>
                      <w:szCs w:val="21"/>
                      <w:lang w:val="zh-TW" w:eastAsia="zh-TW" w:bidi="zh-TW"/>
                    </w:rPr>
                  </w:pPr>
                </w:p>
              </w:tc>
              <w:tc>
                <w:tcPr>
                  <w:tcW w:w="1200" w:type="dxa"/>
                  <w:vMerge w:val="continue"/>
                  <w:shd w:val="clear" w:color="auto" w:fill="FFFFFF"/>
                  <w:vAlign w:val="center"/>
                </w:tcPr>
                <w:p w14:paraId="69DB4FA9">
                  <w:pPr>
                    <w:jc w:val="center"/>
                    <w:rPr>
                      <w:bCs/>
                      <w:szCs w:val="21"/>
                    </w:rPr>
                  </w:pPr>
                </w:p>
              </w:tc>
              <w:tc>
                <w:tcPr>
                  <w:tcW w:w="2563" w:type="dxa"/>
                  <w:tcBorders>
                    <w:top w:val="single" w:color="auto" w:sz="4" w:space="0"/>
                    <w:bottom w:val="single" w:color="auto" w:sz="4" w:space="0"/>
                  </w:tcBorders>
                  <w:shd w:val="clear" w:color="auto" w:fill="FFFFFF"/>
                  <w:vAlign w:val="center"/>
                </w:tcPr>
                <w:p w14:paraId="6320F437">
                  <w:pPr>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废包装袋经统一收集后外售综合利用</w:t>
                  </w:r>
                </w:p>
              </w:tc>
              <w:tc>
                <w:tcPr>
                  <w:tcW w:w="2573" w:type="dxa"/>
                  <w:tcBorders>
                    <w:top w:val="single" w:color="auto" w:sz="4" w:space="0"/>
                    <w:bottom w:val="single" w:color="auto" w:sz="4" w:space="0"/>
                  </w:tcBorders>
                  <w:shd w:val="clear" w:color="auto" w:fill="FFFFFF"/>
                  <w:vAlign w:val="center"/>
                </w:tcPr>
                <w:p w14:paraId="0F89B999">
                  <w:pPr>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废包装袋经统一收集后外售综合利用</w:t>
                  </w:r>
                </w:p>
              </w:tc>
              <w:tc>
                <w:tcPr>
                  <w:tcW w:w="1077" w:type="dxa"/>
                  <w:tcBorders>
                    <w:top w:val="single" w:color="auto" w:sz="4" w:space="0"/>
                    <w:bottom w:val="single" w:color="auto" w:sz="4" w:space="0"/>
                  </w:tcBorders>
                  <w:shd w:val="clear" w:color="auto" w:fill="FFFFFF"/>
                  <w:vAlign w:val="center"/>
                </w:tcPr>
                <w:p w14:paraId="70DA806B">
                  <w:pPr>
                    <w:jc w:val="center"/>
                    <w:rPr>
                      <w:rFonts w:hint="eastAsia" w:eastAsia="宋体"/>
                      <w:lang w:val="en-US" w:eastAsia="zh-CN"/>
                    </w:rPr>
                  </w:pPr>
                  <w:r>
                    <w:rPr>
                      <w:rFonts w:hint="eastAsia"/>
                      <w:lang w:val="en-US" w:eastAsia="zh-CN"/>
                    </w:rPr>
                    <w:t>/</w:t>
                  </w:r>
                </w:p>
              </w:tc>
            </w:tr>
            <w:tr w14:paraId="14F5F44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trHeight w:val="234" w:hRule="atLeast"/>
                <w:jc w:val="center"/>
              </w:trPr>
              <w:tc>
                <w:tcPr>
                  <w:tcW w:w="645" w:type="dxa"/>
                  <w:vMerge w:val="continue"/>
                  <w:shd w:val="clear" w:color="auto" w:fill="auto"/>
                  <w:vAlign w:val="center"/>
                </w:tcPr>
                <w:p w14:paraId="249CEF92">
                  <w:pPr>
                    <w:jc w:val="center"/>
                    <w:rPr>
                      <w:color w:val="000000"/>
                      <w:szCs w:val="21"/>
                      <w:lang w:val="zh-TW" w:eastAsia="zh-TW" w:bidi="zh-TW"/>
                    </w:rPr>
                  </w:pPr>
                </w:p>
              </w:tc>
              <w:tc>
                <w:tcPr>
                  <w:tcW w:w="1200" w:type="dxa"/>
                  <w:vMerge w:val="continue"/>
                  <w:shd w:val="clear" w:color="auto" w:fill="FFFFFF"/>
                  <w:vAlign w:val="center"/>
                </w:tcPr>
                <w:p w14:paraId="1AF795B0">
                  <w:pPr>
                    <w:jc w:val="center"/>
                    <w:rPr>
                      <w:bCs/>
                      <w:szCs w:val="21"/>
                    </w:rPr>
                  </w:pPr>
                </w:p>
              </w:tc>
              <w:tc>
                <w:tcPr>
                  <w:tcW w:w="2563" w:type="dxa"/>
                  <w:tcBorders>
                    <w:top w:val="single" w:color="auto" w:sz="4" w:space="0"/>
                    <w:bottom w:val="single" w:color="auto" w:sz="4" w:space="0"/>
                  </w:tcBorders>
                  <w:shd w:val="clear" w:color="auto" w:fill="FFFFFF"/>
                  <w:vAlign w:val="center"/>
                </w:tcPr>
                <w:p w14:paraId="1F642A59">
                  <w:pPr>
                    <w:pStyle w:val="183"/>
                    <w:widowControl/>
                    <w:adjustRightInd/>
                    <w:snapToGrid/>
                    <w:spacing w:beforeLines="0"/>
                    <w:ind w:right="0" w:rightChars="0" w:firstLine="0" w:firstLineChars="0"/>
                    <w:textAlignment w:val="baseline"/>
                    <w:rPr>
                      <w:rFonts w:hint="eastAsia" w:ascii="Times New Roman" w:hAnsi="Times New Roman" w:eastAsia="宋体" w:cs="Times New Roman"/>
                      <w:szCs w:val="21"/>
                      <w:lang w:val="en-US" w:eastAsia="zh-CN"/>
                    </w:rPr>
                  </w:pPr>
                  <w:r>
                    <w:rPr>
                      <w:rFonts w:hint="eastAsia"/>
                      <w:szCs w:val="21"/>
                    </w:rPr>
                    <w:t>生活垃圾委托环卫部门统一清运</w:t>
                  </w:r>
                </w:p>
              </w:tc>
              <w:tc>
                <w:tcPr>
                  <w:tcW w:w="2573" w:type="dxa"/>
                  <w:tcBorders>
                    <w:top w:val="single" w:color="auto" w:sz="4" w:space="0"/>
                    <w:bottom w:val="single" w:color="auto" w:sz="4" w:space="0"/>
                  </w:tcBorders>
                  <w:shd w:val="clear" w:color="auto" w:fill="FFFFFF"/>
                  <w:vAlign w:val="center"/>
                </w:tcPr>
                <w:p w14:paraId="5C4BA7B5">
                  <w:pPr>
                    <w:pStyle w:val="183"/>
                    <w:widowControl/>
                    <w:adjustRightInd/>
                    <w:snapToGrid/>
                    <w:spacing w:beforeLines="0"/>
                    <w:ind w:right="0" w:rightChars="0" w:firstLine="0" w:firstLineChars="0"/>
                    <w:textAlignment w:val="baseline"/>
                    <w:rPr>
                      <w:rFonts w:hint="eastAsia" w:ascii="Times New Roman" w:hAnsi="Times New Roman" w:eastAsia="宋体" w:cs="Times New Roman"/>
                      <w:szCs w:val="21"/>
                      <w:lang w:val="en-US" w:eastAsia="zh-CN"/>
                    </w:rPr>
                  </w:pPr>
                  <w:r>
                    <w:rPr>
                      <w:rFonts w:hint="eastAsia"/>
                      <w:szCs w:val="21"/>
                    </w:rPr>
                    <w:t>生活垃圾委托环卫部门统一清运</w:t>
                  </w:r>
                </w:p>
              </w:tc>
              <w:tc>
                <w:tcPr>
                  <w:tcW w:w="1077" w:type="dxa"/>
                  <w:tcBorders>
                    <w:top w:val="single" w:color="auto" w:sz="4" w:space="0"/>
                    <w:bottom w:val="single" w:color="auto" w:sz="4" w:space="0"/>
                  </w:tcBorders>
                  <w:shd w:val="clear" w:color="auto" w:fill="FFFFFF"/>
                  <w:vAlign w:val="center"/>
                </w:tcPr>
                <w:p w14:paraId="396B2DAE">
                  <w:pPr>
                    <w:jc w:val="center"/>
                    <w:rPr>
                      <w:rFonts w:hint="eastAsia"/>
                      <w:lang w:val="en-US" w:eastAsia="zh-CN"/>
                    </w:rPr>
                  </w:pPr>
                  <w:r>
                    <w:rPr>
                      <w:rFonts w:hint="eastAsia"/>
                    </w:rPr>
                    <w:t>/</w:t>
                  </w:r>
                </w:p>
              </w:tc>
            </w:tr>
            <w:tr w14:paraId="03158F6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trHeight w:val="282" w:hRule="atLeast"/>
                <w:jc w:val="center"/>
              </w:trPr>
              <w:tc>
                <w:tcPr>
                  <w:tcW w:w="645" w:type="dxa"/>
                  <w:vMerge w:val="continue"/>
                  <w:shd w:val="clear" w:color="auto" w:fill="auto"/>
                  <w:vAlign w:val="center"/>
                </w:tcPr>
                <w:p w14:paraId="291D2278">
                  <w:pPr>
                    <w:jc w:val="center"/>
                    <w:rPr>
                      <w:color w:val="000000"/>
                      <w:szCs w:val="21"/>
                      <w:lang w:val="zh-TW" w:eastAsia="zh-TW" w:bidi="zh-TW"/>
                    </w:rPr>
                  </w:pPr>
                </w:p>
              </w:tc>
              <w:tc>
                <w:tcPr>
                  <w:tcW w:w="1200" w:type="dxa"/>
                  <w:vMerge w:val="continue"/>
                  <w:shd w:val="clear" w:color="auto" w:fill="FFFFFF"/>
                  <w:vAlign w:val="center"/>
                </w:tcPr>
                <w:p w14:paraId="0747F09D">
                  <w:pPr>
                    <w:jc w:val="center"/>
                    <w:rPr>
                      <w:bCs/>
                      <w:szCs w:val="21"/>
                    </w:rPr>
                  </w:pPr>
                </w:p>
              </w:tc>
              <w:tc>
                <w:tcPr>
                  <w:tcW w:w="2563" w:type="dxa"/>
                  <w:shd w:val="clear" w:color="auto" w:fill="FFFFFF"/>
                  <w:vAlign w:val="center"/>
                </w:tcPr>
                <w:p w14:paraId="79EED232">
                  <w:pPr>
                    <w:jc w:val="center"/>
                    <w:rPr>
                      <w:rFonts w:hint="eastAsia" w:ascii="Times New Roman" w:hAnsi="Times New Roman" w:eastAsia="宋体" w:cs="Times New Roman"/>
                      <w:szCs w:val="21"/>
                    </w:rPr>
                  </w:pPr>
                  <w:r>
                    <w:rPr>
                      <w:rFonts w:hint="eastAsia" w:ascii="Times New Roman" w:hAnsi="Times New Roman" w:eastAsia="宋体" w:cs="Times New Roman"/>
                      <w:szCs w:val="21"/>
                    </w:rPr>
                    <w:t>废活性炭委托厂家上门更换回收，不在厂内暂存</w:t>
                  </w:r>
                </w:p>
              </w:tc>
              <w:tc>
                <w:tcPr>
                  <w:tcW w:w="2573" w:type="dxa"/>
                  <w:shd w:val="clear" w:color="auto" w:fill="FFFFFF"/>
                  <w:vAlign w:val="center"/>
                </w:tcPr>
                <w:p w14:paraId="48E79F2B">
                  <w:pPr>
                    <w:jc w:val="center"/>
                    <w:rPr>
                      <w:rFonts w:hint="eastAsia" w:ascii="Times New Roman" w:hAnsi="Times New Roman" w:eastAsia="宋体" w:cs="Times New Roman"/>
                      <w:szCs w:val="21"/>
                    </w:rPr>
                  </w:pPr>
                  <w:r>
                    <w:rPr>
                      <w:rFonts w:hint="eastAsia" w:ascii="Times New Roman" w:hAnsi="Times New Roman" w:eastAsia="宋体" w:cs="Times New Roman"/>
                      <w:szCs w:val="21"/>
                    </w:rPr>
                    <w:t>废活性炭委托厂家上门更换回收，不在厂内暂存</w:t>
                  </w:r>
                </w:p>
              </w:tc>
              <w:tc>
                <w:tcPr>
                  <w:tcW w:w="1077" w:type="dxa"/>
                  <w:shd w:val="clear" w:color="auto" w:fill="FFFFFF"/>
                  <w:vAlign w:val="center"/>
                </w:tcPr>
                <w:p w14:paraId="0EB28751">
                  <w:pPr>
                    <w:jc w:val="center"/>
                  </w:pPr>
                  <w:r>
                    <w:rPr>
                      <w:rFonts w:hint="eastAsia"/>
                    </w:rPr>
                    <w:t>/</w:t>
                  </w:r>
                </w:p>
              </w:tc>
            </w:tr>
            <w:tr w14:paraId="4BAA2AF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trHeight w:val="521" w:hRule="atLeast"/>
                <w:jc w:val="center"/>
              </w:trPr>
              <w:tc>
                <w:tcPr>
                  <w:tcW w:w="645" w:type="dxa"/>
                  <w:vMerge w:val="continue"/>
                  <w:shd w:val="clear" w:color="auto" w:fill="auto"/>
                  <w:vAlign w:val="center"/>
                </w:tcPr>
                <w:p w14:paraId="2186975D">
                  <w:pPr>
                    <w:jc w:val="center"/>
                    <w:rPr>
                      <w:color w:val="000000"/>
                      <w:szCs w:val="21"/>
                      <w:lang w:val="zh-TW" w:eastAsia="zh-TW" w:bidi="zh-TW"/>
                    </w:rPr>
                  </w:pPr>
                </w:p>
              </w:tc>
              <w:tc>
                <w:tcPr>
                  <w:tcW w:w="1200" w:type="dxa"/>
                  <w:vMerge w:val="continue"/>
                  <w:shd w:val="clear" w:color="auto" w:fill="FFFFFF"/>
                  <w:vAlign w:val="center"/>
                </w:tcPr>
                <w:p w14:paraId="0B96C0D3">
                  <w:pPr>
                    <w:jc w:val="center"/>
                    <w:rPr>
                      <w:bCs/>
                      <w:szCs w:val="21"/>
                    </w:rPr>
                  </w:pPr>
                </w:p>
              </w:tc>
              <w:tc>
                <w:tcPr>
                  <w:tcW w:w="2563" w:type="dxa"/>
                  <w:shd w:val="clear" w:color="auto" w:fill="FFFFFF"/>
                  <w:vAlign w:val="center"/>
                </w:tcPr>
                <w:p w14:paraId="05846D93">
                  <w:pPr>
                    <w:jc w:val="center"/>
                    <w:rPr>
                      <w:rFonts w:hint="eastAsia" w:ascii="Times New Roman" w:hAnsi="Times New Roman" w:eastAsia="宋体" w:cs="Times New Roman"/>
                      <w:szCs w:val="21"/>
                    </w:rPr>
                  </w:pPr>
                  <w:r>
                    <w:rPr>
                      <w:rFonts w:hint="eastAsia" w:ascii="Times New Roman" w:hAnsi="Times New Roman" w:eastAsia="宋体" w:cs="Times New Roman"/>
                      <w:szCs w:val="21"/>
                    </w:rPr>
                    <w:t>废UV灯管委托厂家上门更换回收，不在厂内暂存</w:t>
                  </w:r>
                </w:p>
              </w:tc>
              <w:tc>
                <w:tcPr>
                  <w:tcW w:w="2573" w:type="dxa"/>
                  <w:shd w:val="clear" w:color="auto" w:fill="FFFFFF"/>
                  <w:vAlign w:val="center"/>
                </w:tcPr>
                <w:p w14:paraId="530DC66A">
                  <w:pPr>
                    <w:jc w:val="center"/>
                    <w:rPr>
                      <w:rFonts w:hint="eastAsia" w:ascii="Times New Roman" w:hAnsi="Times New Roman" w:eastAsia="宋体" w:cs="Times New Roman"/>
                      <w:szCs w:val="21"/>
                    </w:rPr>
                  </w:pPr>
                  <w:r>
                    <w:rPr>
                      <w:rFonts w:hint="eastAsia" w:ascii="Times New Roman" w:hAnsi="Times New Roman" w:eastAsia="宋体" w:cs="Times New Roman"/>
                      <w:szCs w:val="21"/>
                    </w:rPr>
                    <w:t>/</w:t>
                  </w:r>
                </w:p>
              </w:tc>
              <w:tc>
                <w:tcPr>
                  <w:tcW w:w="1077" w:type="dxa"/>
                  <w:shd w:val="clear" w:color="auto" w:fill="FFFFFF"/>
                  <w:vAlign w:val="center"/>
                </w:tcPr>
                <w:p w14:paraId="00CA97D4">
                  <w:pPr>
                    <w:jc w:val="center"/>
                    <w:rPr>
                      <w:rFonts w:hint="default" w:eastAsia="宋体"/>
                      <w:lang w:val="en-US" w:eastAsia="zh-CN"/>
                    </w:rPr>
                  </w:pPr>
                  <w:r>
                    <w:rPr>
                      <w:rFonts w:hint="eastAsia" w:ascii="Times New Roman" w:hAnsi="Times New Roman" w:eastAsia="宋体" w:cs="Times New Roman"/>
                      <w:szCs w:val="21"/>
                    </w:rPr>
                    <w:t>UV</w:t>
                  </w:r>
                  <w:r>
                    <w:rPr>
                      <w:rFonts w:hint="eastAsia" w:ascii="Times New Roman" w:hAnsi="Times New Roman" w:eastAsia="宋体" w:cs="Times New Roman"/>
                      <w:szCs w:val="21"/>
                      <w:lang w:val="en-US" w:eastAsia="zh-CN"/>
                    </w:rPr>
                    <w:t>光解装置已拆除</w:t>
                  </w:r>
                </w:p>
              </w:tc>
            </w:tr>
            <w:tr w14:paraId="78C9195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trHeight w:val="272" w:hRule="atLeast"/>
                <w:jc w:val="center"/>
              </w:trPr>
              <w:tc>
                <w:tcPr>
                  <w:tcW w:w="645" w:type="dxa"/>
                  <w:vMerge w:val="continue"/>
                  <w:shd w:val="clear" w:color="auto" w:fill="auto"/>
                  <w:vAlign w:val="center"/>
                </w:tcPr>
                <w:p w14:paraId="05E0328C">
                  <w:pPr>
                    <w:jc w:val="center"/>
                    <w:rPr>
                      <w:color w:val="000000"/>
                      <w:szCs w:val="21"/>
                      <w:lang w:val="zh-TW" w:eastAsia="zh-TW" w:bidi="zh-TW"/>
                    </w:rPr>
                  </w:pPr>
                </w:p>
              </w:tc>
              <w:tc>
                <w:tcPr>
                  <w:tcW w:w="1200" w:type="dxa"/>
                  <w:vMerge w:val="continue"/>
                  <w:shd w:val="clear" w:color="auto" w:fill="FFFFFF"/>
                  <w:vAlign w:val="center"/>
                </w:tcPr>
                <w:p w14:paraId="42736A93">
                  <w:pPr>
                    <w:jc w:val="center"/>
                    <w:rPr>
                      <w:bCs/>
                      <w:szCs w:val="21"/>
                    </w:rPr>
                  </w:pPr>
                </w:p>
              </w:tc>
              <w:tc>
                <w:tcPr>
                  <w:tcW w:w="2563" w:type="dxa"/>
                  <w:shd w:val="clear" w:color="auto" w:fill="FFFFFF"/>
                  <w:vAlign w:val="center"/>
                </w:tcPr>
                <w:p w14:paraId="0F82A49E">
                  <w:pPr>
                    <w:jc w:val="center"/>
                    <w:rPr>
                      <w:rFonts w:hint="eastAsia" w:ascii="Times New Roman" w:hAnsi="Times New Roman" w:eastAsia="宋体" w:cs="Times New Roman"/>
                      <w:szCs w:val="21"/>
                    </w:rPr>
                  </w:pPr>
                  <w:r>
                    <w:rPr>
                      <w:rFonts w:hint="eastAsia" w:ascii="Times New Roman" w:hAnsi="Times New Roman" w:eastAsia="宋体" w:cs="Times New Roman"/>
                      <w:szCs w:val="21"/>
                      <w:lang w:val="en-US" w:eastAsia="zh-CN"/>
                    </w:rPr>
                    <w:t>废矿物油统一</w:t>
                  </w:r>
                  <w:r>
                    <w:rPr>
                      <w:rFonts w:hint="eastAsia" w:ascii="Times New Roman" w:hAnsi="Times New Roman" w:eastAsia="宋体" w:cs="Times New Roman"/>
                      <w:szCs w:val="21"/>
                    </w:rPr>
                    <w:t>收集后</w:t>
                  </w:r>
                  <w:r>
                    <w:rPr>
                      <w:rFonts w:hint="eastAsia" w:ascii="Times New Roman" w:hAnsi="Times New Roman" w:eastAsia="宋体" w:cs="Times New Roman"/>
                      <w:szCs w:val="21"/>
                      <w:lang w:val="en-US" w:eastAsia="zh-CN"/>
                    </w:rPr>
                    <w:t>暂存于危险废物暂存间，</w:t>
                  </w:r>
                  <w:r>
                    <w:rPr>
                      <w:rFonts w:hint="default" w:ascii="Times New Roman" w:hAnsi="Times New Roman" w:eastAsia="宋体" w:cs="Times New Roman"/>
                      <w:szCs w:val="21"/>
                      <w:lang w:val="en-US" w:eastAsia="zh-CN"/>
                    </w:rPr>
                    <w:t>委托有资质单位</w:t>
                  </w:r>
                  <w:r>
                    <w:rPr>
                      <w:rFonts w:hint="eastAsia" w:ascii="Times New Roman" w:hAnsi="Times New Roman" w:eastAsia="宋体" w:cs="Times New Roman"/>
                      <w:szCs w:val="21"/>
                      <w:lang w:val="en-US" w:eastAsia="zh-CN"/>
                    </w:rPr>
                    <w:t>清运处理</w:t>
                  </w:r>
                  <w:r>
                    <w:rPr>
                      <w:rFonts w:hint="default" w:ascii="Times New Roman" w:hAnsi="Times New Roman" w:eastAsia="宋体" w:cs="Times New Roman"/>
                      <w:szCs w:val="21"/>
                      <w:lang w:val="en-US" w:eastAsia="zh-CN"/>
                    </w:rPr>
                    <w:t>。</w:t>
                  </w:r>
                </w:p>
              </w:tc>
              <w:tc>
                <w:tcPr>
                  <w:tcW w:w="2573" w:type="dxa"/>
                  <w:shd w:val="clear" w:color="auto" w:fill="FFFFFF"/>
                  <w:vAlign w:val="center"/>
                </w:tcPr>
                <w:p w14:paraId="57BAD057">
                  <w:pPr>
                    <w:jc w:val="center"/>
                    <w:rPr>
                      <w:szCs w:val="21"/>
                    </w:rPr>
                  </w:pPr>
                  <w:r>
                    <w:rPr>
                      <w:rFonts w:hint="eastAsia" w:ascii="Times New Roman" w:hAnsi="Times New Roman" w:eastAsia="宋体" w:cs="Times New Roman"/>
                      <w:szCs w:val="21"/>
                      <w:lang w:val="en-US" w:eastAsia="zh-CN"/>
                    </w:rPr>
                    <w:t>废矿物油统一</w:t>
                  </w:r>
                  <w:r>
                    <w:rPr>
                      <w:rFonts w:hint="eastAsia" w:ascii="Times New Roman" w:hAnsi="Times New Roman" w:eastAsia="宋体" w:cs="Times New Roman"/>
                      <w:szCs w:val="21"/>
                    </w:rPr>
                    <w:t>收集后</w:t>
                  </w:r>
                  <w:r>
                    <w:rPr>
                      <w:rFonts w:hint="eastAsia" w:ascii="Times New Roman" w:hAnsi="Times New Roman" w:eastAsia="宋体" w:cs="Times New Roman"/>
                      <w:szCs w:val="21"/>
                      <w:lang w:val="en-US" w:eastAsia="zh-CN"/>
                    </w:rPr>
                    <w:t>暂存于危险废物暂存间，</w:t>
                  </w:r>
                  <w:r>
                    <w:rPr>
                      <w:rFonts w:hint="default" w:ascii="Times New Roman" w:hAnsi="Times New Roman" w:eastAsia="宋体" w:cs="Times New Roman"/>
                      <w:szCs w:val="21"/>
                      <w:lang w:val="en-US" w:eastAsia="zh-CN"/>
                    </w:rPr>
                    <w:t>委托有资质单位</w:t>
                  </w:r>
                  <w:r>
                    <w:rPr>
                      <w:rFonts w:hint="eastAsia" w:ascii="Times New Roman" w:hAnsi="Times New Roman" w:eastAsia="宋体" w:cs="Times New Roman"/>
                      <w:szCs w:val="21"/>
                      <w:lang w:val="en-US" w:eastAsia="zh-CN"/>
                    </w:rPr>
                    <w:t>清运处理</w:t>
                  </w:r>
                  <w:r>
                    <w:rPr>
                      <w:rFonts w:hint="default" w:ascii="Times New Roman" w:hAnsi="Times New Roman" w:eastAsia="宋体" w:cs="Times New Roman"/>
                      <w:szCs w:val="21"/>
                      <w:lang w:val="en-US" w:eastAsia="zh-CN"/>
                    </w:rPr>
                    <w:t>。</w:t>
                  </w:r>
                </w:p>
              </w:tc>
              <w:tc>
                <w:tcPr>
                  <w:tcW w:w="1077" w:type="dxa"/>
                  <w:shd w:val="clear" w:color="auto" w:fill="FFFFFF"/>
                  <w:vAlign w:val="center"/>
                </w:tcPr>
                <w:p w14:paraId="4E4EC912">
                  <w:pPr>
                    <w:jc w:val="center"/>
                    <w:rPr>
                      <w:rFonts w:hint="eastAsia" w:eastAsia="宋体"/>
                      <w:lang w:val="en-US" w:eastAsia="zh-CN"/>
                    </w:rPr>
                  </w:pPr>
                  <w:r>
                    <w:rPr>
                      <w:rFonts w:hint="eastAsia"/>
                      <w:lang w:val="en-US" w:eastAsia="zh-CN"/>
                    </w:rPr>
                    <w:t>/</w:t>
                  </w:r>
                </w:p>
              </w:tc>
            </w:tr>
            <w:tr w14:paraId="0C5ADF0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trHeight w:val="168" w:hRule="atLeast"/>
                <w:jc w:val="center"/>
              </w:trPr>
              <w:tc>
                <w:tcPr>
                  <w:tcW w:w="645" w:type="dxa"/>
                  <w:vMerge w:val="continue"/>
                  <w:shd w:val="clear" w:color="auto" w:fill="auto"/>
                  <w:vAlign w:val="center"/>
                </w:tcPr>
                <w:p w14:paraId="179376B5">
                  <w:pPr>
                    <w:jc w:val="center"/>
                    <w:rPr>
                      <w:color w:val="000000"/>
                      <w:szCs w:val="21"/>
                      <w:lang w:val="zh-TW" w:eastAsia="zh-TW" w:bidi="zh-TW"/>
                    </w:rPr>
                  </w:pPr>
                </w:p>
              </w:tc>
              <w:tc>
                <w:tcPr>
                  <w:tcW w:w="1200" w:type="dxa"/>
                  <w:vMerge w:val="continue"/>
                  <w:shd w:val="clear" w:color="auto" w:fill="FFFFFF"/>
                  <w:vAlign w:val="center"/>
                </w:tcPr>
                <w:p w14:paraId="08F1D4F6">
                  <w:pPr>
                    <w:jc w:val="center"/>
                    <w:rPr>
                      <w:bCs/>
                      <w:szCs w:val="21"/>
                    </w:rPr>
                  </w:pPr>
                </w:p>
              </w:tc>
              <w:tc>
                <w:tcPr>
                  <w:tcW w:w="2563" w:type="dxa"/>
                  <w:shd w:val="clear" w:color="auto" w:fill="FFFFFF"/>
                  <w:vAlign w:val="center"/>
                </w:tcPr>
                <w:p w14:paraId="6C89EF34">
                  <w:pPr>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rPr>
                    <w:t>废含油的抹布手套</w:t>
                  </w:r>
                  <w:r>
                    <w:rPr>
                      <w:rFonts w:hint="eastAsia" w:ascii="Times New Roman" w:hAnsi="Times New Roman" w:eastAsia="宋体" w:cs="Times New Roman"/>
                      <w:szCs w:val="21"/>
                      <w:lang w:val="en-US" w:eastAsia="zh-CN"/>
                    </w:rPr>
                    <w:t>统一</w:t>
                  </w:r>
                  <w:r>
                    <w:rPr>
                      <w:rFonts w:hint="eastAsia" w:ascii="Times New Roman" w:hAnsi="Times New Roman" w:eastAsia="宋体" w:cs="Times New Roman"/>
                      <w:szCs w:val="21"/>
                    </w:rPr>
                    <w:t>收集后</w:t>
                  </w:r>
                  <w:r>
                    <w:rPr>
                      <w:rFonts w:hint="eastAsia" w:ascii="Times New Roman" w:hAnsi="Times New Roman" w:eastAsia="宋体" w:cs="Times New Roman"/>
                      <w:szCs w:val="21"/>
                      <w:lang w:val="en-US" w:eastAsia="zh-CN"/>
                    </w:rPr>
                    <w:t>暂存于危险废物暂存间，</w:t>
                  </w:r>
                  <w:r>
                    <w:rPr>
                      <w:rFonts w:hint="default" w:ascii="Times New Roman" w:hAnsi="Times New Roman" w:eastAsia="宋体" w:cs="Times New Roman"/>
                      <w:szCs w:val="21"/>
                      <w:lang w:val="en-US" w:eastAsia="zh-CN"/>
                    </w:rPr>
                    <w:t>委托有资质单位</w:t>
                  </w:r>
                  <w:r>
                    <w:rPr>
                      <w:rFonts w:hint="eastAsia" w:ascii="Times New Roman" w:hAnsi="Times New Roman" w:eastAsia="宋体" w:cs="Times New Roman"/>
                      <w:szCs w:val="21"/>
                      <w:lang w:val="en-US" w:eastAsia="zh-CN"/>
                    </w:rPr>
                    <w:t>清运处理</w:t>
                  </w:r>
                  <w:r>
                    <w:rPr>
                      <w:rFonts w:hint="default" w:ascii="Times New Roman" w:hAnsi="Times New Roman" w:eastAsia="宋体" w:cs="Times New Roman"/>
                      <w:szCs w:val="21"/>
                      <w:lang w:val="en-US" w:eastAsia="zh-CN"/>
                    </w:rPr>
                    <w:t>。</w:t>
                  </w:r>
                </w:p>
              </w:tc>
              <w:tc>
                <w:tcPr>
                  <w:tcW w:w="2573" w:type="dxa"/>
                  <w:shd w:val="clear" w:color="auto" w:fill="FFFFFF"/>
                  <w:vAlign w:val="center"/>
                </w:tcPr>
                <w:p w14:paraId="3BC8FB8A">
                  <w:pPr>
                    <w:jc w:val="center"/>
                    <w:rPr>
                      <w:rFonts w:hint="eastAsia"/>
                      <w:szCs w:val="21"/>
                    </w:rPr>
                  </w:pPr>
                  <w:r>
                    <w:rPr>
                      <w:rFonts w:hint="eastAsia" w:ascii="Times New Roman" w:hAnsi="Times New Roman" w:eastAsia="宋体" w:cs="Times New Roman"/>
                      <w:szCs w:val="21"/>
                    </w:rPr>
                    <w:t>废含油的抹布手套</w:t>
                  </w:r>
                  <w:r>
                    <w:rPr>
                      <w:rFonts w:hint="eastAsia" w:ascii="Times New Roman" w:hAnsi="Times New Roman" w:eastAsia="宋体" w:cs="Times New Roman"/>
                      <w:szCs w:val="21"/>
                      <w:lang w:val="en-US" w:eastAsia="zh-CN"/>
                    </w:rPr>
                    <w:t>统一</w:t>
                  </w:r>
                  <w:r>
                    <w:rPr>
                      <w:rFonts w:hint="eastAsia" w:ascii="Times New Roman" w:hAnsi="Times New Roman" w:eastAsia="宋体" w:cs="Times New Roman"/>
                      <w:szCs w:val="21"/>
                    </w:rPr>
                    <w:t>收集后</w:t>
                  </w:r>
                  <w:r>
                    <w:rPr>
                      <w:rFonts w:hint="eastAsia" w:ascii="Times New Roman" w:hAnsi="Times New Roman" w:eastAsia="宋体" w:cs="Times New Roman"/>
                      <w:szCs w:val="21"/>
                      <w:lang w:val="en-US" w:eastAsia="zh-CN"/>
                    </w:rPr>
                    <w:t>暂存于危险废物暂存间，</w:t>
                  </w:r>
                  <w:r>
                    <w:rPr>
                      <w:rFonts w:hint="default" w:ascii="Times New Roman" w:hAnsi="Times New Roman" w:eastAsia="宋体" w:cs="Times New Roman"/>
                      <w:szCs w:val="21"/>
                      <w:lang w:val="en-US" w:eastAsia="zh-CN"/>
                    </w:rPr>
                    <w:t>委托有资质单位</w:t>
                  </w:r>
                  <w:r>
                    <w:rPr>
                      <w:rFonts w:hint="eastAsia" w:ascii="Times New Roman" w:hAnsi="Times New Roman" w:eastAsia="宋体" w:cs="Times New Roman"/>
                      <w:szCs w:val="21"/>
                      <w:lang w:val="en-US" w:eastAsia="zh-CN"/>
                    </w:rPr>
                    <w:t>清运处理</w:t>
                  </w:r>
                  <w:r>
                    <w:rPr>
                      <w:rFonts w:hint="default" w:ascii="Times New Roman" w:hAnsi="Times New Roman" w:eastAsia="宋体" w:cs="Times New Roman"/>
                      <w:szCs w:val="21"/>
                      <w:lang w:val="en-US" w:eastAsia="zh-CN"/>
                    </w:rPr>
                    <w:t>。</w:t>
                  </w:r>
                </w:p>
              </w:tc>
              <w:tc>
                <w:tcPr>
                  <w:tcW w:w="1077" w:type="dxa"/>
                  <w:shd w:val="clear" w:color="auto" w:fill="FFFFFF"/>
                  <w:vAlign w:val="center"/>
                </w:tcPr>
                <w:p w14:paraId="01998793">
                  <w:pPr>
                    <w:jc w:val="center"/>
                    <w:rPr>
                      <w:rFonts w:hint="eastAsia" w:eastAsia="宋体"/>
                      <w:lang w:val="en-US" w:eastAsia="zh-CN"/>
                    </w:rPr>
                  </w:pPr>
                  <w:r>
                    <w:rPr>
                      <w:rFonts w:hint="eastAsia"/>
                      <w:lang w:val="en-US" w:eastAsia="zh-CN"/>
                    </w:rPr>
                    <w:t>/</w:t>
                  </w:r>
                </w:p>
              </w:tc>
            </w:tr>
            <w:tr w14:paraId="52B2707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trHeight w:val="98" w:hRule="atLeast"/>
                <w:jc w:val="center"/>
              </w:trPr>
              <w:tc>
                <w:tcPr>
                  <w:tcW w:w="645" w:type="dxa"/>
                  <w:vMerge w:val="continue"/>
                  <w:shd w:val="clear" w:color="auto" w:fill="auto"/>
                  <w:vAlign w:val="center"/>
                </w:tcPr>
                <w:p w14:paraId="47852D59">
                  <w:pPr>
                    <w:jc w:val="center"/>
                    <w:rPr>
                      <w:color w:val="000000"/>
                      <w:szCs w:val="21"/>
                      <w:lang w:val="zh-TW" w:eastAsia="zh-TW" w:bidi="zh-TW"/>
                    </w:rPr>
                  </w:pPr>
                </w:p>
              </w:tc>
              <w:tc>
                <w:tcPr>
                  <w:tcW w:w="1200" w:type="dxa"/>
                  <w:vMerge w:val="continue"/>
                  <w:shd w:val="clear" w:color="auto" w:fill="FFFFFF"/>
                  <w:vAlign w:val="center"/>
                </w:tcPr>
                <w:p w14:paraId="6B37534F">
                  <w:pPr>
                    <w:jc w:val="center"/>
                    <w:rPr>
                      <w:bCs/>
                      <w:szCs w:val="21"/>
                    </w:rPr>
                  </w:pPr>
                </w:p>
              </w:tc>
              <w:tc>
                <w:tcPr>
                  <w:tcW w:w="2563" w:type="dxa"/>
                  <w:shd w:val="clear" w:color="auto" w:fill="FFFFFF"/>
                  <w:vAlign w:val="center"/>
                </w:tcPr>
                <w:p w14:paraId="2C93C23A">
                  <w:pPr>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rPr>
                    <w:t>废油桶</w:t>
                  </w:r>
                  <w:r>
                    <w:rPr>
                      <w:rFonts w:hint="eastAsia" w:ascii="Times New Roman" w:hAnsi="Times New Roman" w:eastAsia="宋体" w:cs="Times New Roman"/>
                      <w:szCs w:val="21"/>
                      <w:lang w:val="en-US" w:eastAsia="zh-CN"/>
                    </w:rPr>
                    <w:t>统一</w:t>
                  </w:r>
                  <w:r>
                    <w:rPr>
                      <w:rFonts w:hint="eastAsia" w:ascii="Times New Roman" w:hAnsi="Times New Roman" w:eastAsia="宋体" w:cs="Times New Roman"/>
                      <w:szCs w:val="21"/>
                    </w:rPr>
                    <w:t>收集后</w:t>
                  </w:r>
                  <w:r>
                    <w:rPr>
                      <w:rFonts w:hint="eastAsia" w:ascii="Times New Roman" w:hAnsi="Times New Roman" w:eastAsia="宋体" w:cs="Times New Roman"/>
                      <w:szCs w:val="21"/>
                      <w:lang w:val="en-US" w:eastAsia="zh-CN"/>
                    </w:rPr>
                    <w:t>暂存于危险废物暂存间，</w:t>
                  </w:r>
                  <w:r>
                    <w:rPr>
                      <w:rFonts w:hint="default" w:ascii="Times New Roman" w:hAnsi="Times New Roman" w:eastAsia="宋体" w:cs="Times New Roman"/>
                      <w:szCs w:val="21"/>
                      <w:lang w:val="en-US" w:eastAsia="zh-CN"/>
                    </w:rPr>
                    <w:t>委托有资质单位</w:t>
                  </w:r>
                  <w:r>
                    <w:rPr>
                      <w:rFonts w:hint="eastAsia" w:ascii="Times New Roman" w:hAnsi="Times New Roman" w:eastAsia="宋体" w:cs="Times New Roman"/>
                      <w:szCs w:val="21"/>
                      <w:lang w:val="en-US" w:eastAsia="zh-CN"/>
                    </w:rPr>
                    <w:t>清运处理</w:t>
                  </w:r>
                  <w:r>
                    <w:rPr>
                      <w:rFonts w:hint="default" w:ascii="Times New Roman" w:hAnsi="Times New Roman" w:eastAsia="宋体" w:cs="Times New Roman"/>
                      <w:szCs w:val="21"/>
                      <w:lang w:val="en-US" w:eastAsia="zh-CN"/>
                    </w:rPr>
                    <w:t>。</w:t>
                  </w:r>
                </w:p>
              </w:tc>
              <w:tc>
                <w:tcPr>
                  <w:tcW w:w="2573" w:type="dxa"/>
                  <w:shd w:val="clear" w:color="auto" w:fill="FFFFFF"/>
                  <w:vAlign w:val="center"/>
                </w:tcPr>
                <w:p w14:paraId="70200087">
                  <w:pPr>
                    <w:jc w:val="center"/>
                    <w:rPr>
                      <w:rFonts w:hint="eastAsia"/>
                      <w:szCs w:val="21"/>
                    </w:rPr>
                  </w:pPr>
                  <w:r>
                    <w:rPr>
                      <w:rFonts w:hint="eastAsia" w:ascii="Times New Roman" w:hAnsi="Times New Roman" w:eastAsia="宋体" w:cs="Times New Roman"/>
                      <w:szCs w:val="21"/>
                    </w:rPr>
                    <w:t>废油桶</w:t>
                  </w:r>
                  <w:r>
                    <w:rPr>
                      <w:rFonts w:hint="eastAsia" w:ascii="Times New Roman" w:hAnsi="Times New Roman" w:eastAsia="宋体" w:cs="Times New Roman"/>
                      <w:szCs w:val="21"/>
                      <w:lang w:val="en-US" w:eastAsia="zh-CN"/>
                    </w:rPr>
                    <w:t>统一</w:t>
                  </w:r>
                  <w:r>
                    <w:rPr>
                      <w:rFonts w:hint="eastAsia" w:ascii="Times New Roman" w:hAnsi="Times New Roman" w:eastAsia="宋体" w:cs="Times New Roman"/>
                      <w:szCs w:val="21"/>
                    </w:rPr>
                    <w:t>收集后</w:t>
                  </w:r>
                  <w:r>
                    <w:rPr>
                      <w:rFonts w:hint="eastAsia" w:ascii="Times New Roman" w:hAnsi="Times New Roman" w:eastAsia="宋体" w:cs="Times New Roman"/>
                      <w:szCs w:val="21"/>
                      <w:lang w:val="en-US" w:eastAsia="zh-CN"/>
                    </w:rPr>
                    <w:t>暂存于危险废物暂存间，</w:t>
                  </w:r>
                  <w:r>
                    <w:rPr>
                      <w:rFonts w:hint="default" w:ascii="Times New Roman" w:hAnsi="Times New Roman" w:eastAsia="宋体" w:cs="Times New Roman"/>
                      <w:szCs w:val="21"/>
                      <w:lang w:val="en-US" w:eastAsia="zh-CN"/>
                    </w:rPr>
                    <w:t>委托有资质单位</w:t>
                  </w:r>
                  <w:r>
                    <w:rPr>
                      <w:rFonts w:hint="eastAsia" w:ascii="Times New Roman" w:hAnsi="Times New Roman" w:eastAsia="宋体" w:cs="Times New Roman"/>
                      <w:szCs w:val="21"/>
                      <w:lang w:val="en-US" w:eastAsia="zh-CN"/>
                    </w:rPr>
                    <w:t>清运处理</w:t>
                  </w:r>
                  <w:r>
                    <w:rPr>
                      <w:rFonts w:hint="default" w:ascii="Times New Roman" w:hAnsi="Times New Roman" w:eastAsia="宋体" w:cs="Times New Roman"/>
                      <w:szCs w:val="21"/>
                      <w:lang w:val="en-US" w:eastAsia="zh-CN"/>
                    </w:rPr>
                    <w:t>。</w:t>
                  </w:r>
                </w:p>
              </w:tc>
              <w:tc>
                <w:tcPr>
                  <w:tcW w:w="1077" w:type="dxa"/>
                  <w:shd w:val="clear" w:color="auto" w:fill="FFFFFF"/>
                  <w:vAlign w:val="center"/>
                </w:tcPr>
                <w:p w14:paraId="5461D1A9">
                  <w:pPr>
                    <w:jc w:val="center"/>
                    <w:rPr>
                      <w:rFonts w:hint="eastAsia" w:eastAsia="宋体"/>
                      <w:lang w:val="en-US" w:eastAsia="zh-CN"/>
                    </w:rPr>
                  </w:pPr>
                  <w:r>
                    <w:rPr>
                      <w:rFonts w:hint="eastAsia"/>
                      <w:lang w:val="en-US" w:eastAsia="zh-CN"/>
                    </w:rPr>
                    <w:t>/</w:t>
                  </w:r>
                </w:p>
              </w:tc>
            </w:tr>
            <w:tr w14:paraId="4D102D2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trHeight w:val="156" w:hRule="atLeast"/>
                <w:jc w:val="center"/>
              </w:trPr>
              <w:tc>
                <w:tcPr>
                  <w:tcW w:w="645" w:type="dxa"/>
                  <w:vMerge w:val="continue"/>
                  <w:shd w:val="clear" w:color="auto" w:fill="auto"/>
                  <w:vAlign w:val="center"/>
                </w:tcPr>
                <w:p w14:paraId="3870F556">
                  <w:pPr>
                    <w:jc w:val="center"/>
                    <w:rPr>
                      <w:color w:val="000000"/>
                      <w:szCs w:val="21"/>
                      <w:lang w:val="zh-TW" w:eastAsia="zh-TW" w:bidi="zh-TW"/>
                    </w:rPr>
                  </w:pPr>
                </w:p>
              </w:tc>
              <w:tc>
                <w:tcPr>
                  <w:tcW w:w="1200" w:type="dxa"/>
                  <w:vMerge w:val="continue"/>
                  <w:shd w:val="clear" w:color="auto" w:fill="FFFFFF"/>
                  <w:vAlign w:val="center"/>
                </w:tcPr>
                <w:p w14:paraId="61AAF975">
                  <w:pPr>
                    <w:jc w:val="center"/>
                    <w:rPr>
                      <w:bCs/>
                      <w:szCs w:val="21"/>
                    </w:rPr>
                  </w:pPr>
                </w:p>
              </w:tc>
              <w:tc>
                <w:tcPr>
                  <w:tcW w:w="2563" w:type="dxa"/>
                  <w:shd w:val="clear" w:color="auto" w:fill="FFFFFF"/>
                  <w:vAlign w:val="center"/>
                </w:tcPr>
                <w:p w14:paraId="09E7E5E7">
                  <w:pPr>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废滤网统一</w:t>
                  </w:r>
                  <w:r>
                    <w:rPr>
                      <w:rFonts w:hint="eastAsia" w:ascii="Times New Roman" w:hAnsi="Times New Roman" w:eastAsia="宋体" w:cs="Times New Roman"/>
                      <w:szCs w:val="21"/>
                    </w:rPr>
                    <w:t>收集后</w:t>
                  </w:r>
                  <w:r>
                    <w:rPr>
                      <w:rFonts w:hint="eastAsia" w:ascii="Times New Roman" w:hAnsi="Times New Roman" w:eastAsia="宋体" w:cs="Times New Roman"/>
                      <w:szCs w:val="21"/>
                      <w:lang w:val="en-US" w:eastAsia="zh-CN"/>
                    </w:rPr>
                    <w:t>暂存于危险废物暂存间，</w:t>
                  </w:r>
                  <w:r>
                    <w:rPr>
                      <w:rFonts w:hint="default" w:ascii="Times New Roman" w:hAnsi="Times New Roman" w:eastAsia="宋体" w:cs="Times New Roman"/>
                      <w:szCs w:val="21"/>
                      <w:lang w:val="en-US" w:eastAsia="zh-CN"/>
                    </w:rPr>
                    <w:t>委托有资质单位</w:t>
                  </w:r>
                  <w:r>
                    <w:rPr>
                      <w:rFonts w:hint="eastAsia" w:ascii="Times New Roman" w:hAnsi="Times New Roman" w:eastAsia="宋体" w:cs="Times New Roman"/>
                      <w:szCs w:val="21"/>
                      <w:lang w:val="en-US" w:eastAsia="zh-CN"/>
                    </w:rPr>
                    <w:t>清运处理</w:t>
                  </w:r>
                  <w:r>
                    <w:rPr>
                      <w:rFonts w:hint="default" w:ascii="Times New Roman" w:hAnsi="Times New Roman" w:eastAsia="宋体" w:cs="Times New Roman"/>
                      <w:szCs w:val="21"/>
                      <w:lang w:val="en-US" w:eastAsia="zh-CN"/>
                    </w:rPr>
                    <w:t>。</w:t>
                  </w:r>
                </w:p>
              </w:tc>
              <w:tc>
                <w:tcPr>
                  <w:tcW w:w="2573" w:type="dxa"/>
                  <w:shd w:val="clear" w:color="auto" w:fill="FFFFFF"/>
                  <w:vAlign w:val="center"/>
                </w:tcPr>
                <w:p w14:paraId="5BF99E45">
                  <w:pPr>
                    <w:jc w:val="center"/>
                    <w:rPr>
                      <w:rFonts w:hint="eastAsia"/>
                      <w:szCs w:val="21"/>
                    </w:rPr>
                  </w:pPr>
                  <w:r>
                    <w:rPr>
                      <w:rFonts w:hint="eastAsia" w:ascii="Times New Roman" w:hAnsi="Times New Roman" w:eastAsia="宋体" w:cs="Times New Roman"/>
                      <w:szCs w:val="21"/>
                      <w:lang w:val="en-US" w:eastAsia="zh-CN"/>
                    </w:rPr>
                    <w:t>废滤网统一</w:t>
                  </w:r>
                  <w:r>
                    <w:rPr>
                      <w:rFonts w:hint="eastAsia" w:ascii="Times New Roman" w:hAnsi="Times New Roman" w:eastAsia="宋体" w:cs="Times New Roman"/>
                      <w:szCs w:val="21"/>
                    </w:rPr>
                    <w:t>收集后</w:t>
                  </w:r>
                  <w:r>
                    <w:rPr>
                      <w:rFonts w:hint="eastAsia" w:ascii="Times New Roman" w:hAnsi="Times New Roman" w:eastAsia="宋体" w:cs="Times New Roman"/>
                      <w:szCs w:val="21"/>
                      <w:lang w:val="en-US" w:eastAsia="zh-CN"/>
                    </w:rPr>
                    <w:t>暂存于危险废物暂存间，</w:t>
                  </w:r>
                  <w:r>
                    <w:rPr>
                      <w:rFonts w:hint="default" w:ascii="Times New Roman" w:hAnsi="Times New Roman" w:eastAsia="宋体" w:cs="Times New Roman"/>
                      <w:szCs w:val="21"/>
                      <w:lang w:val="en-US" w:eastAsia="zh-CN"/>
                    </w:rPr>
                    <w:t>委托有资质单位</w:t>
                  </w:r>
                  <w:r>
                    <w:rPr>
                      <w:rFonts w:hint="eastAsia" w:ascii="Times New Roman" w:hAnsi="Times New Roman" w:eastAsia="宋体" w:cs="Times New Roman"/>
                      <w:szCs w:val="21"/>
                      <w:lang w:val="en-US" w:eastAsia="zh-CN"/>
                    </w:rPr>
                    <w:t>清运处理</w:t>
                  </w:r>
                  <w:r>
                    <w:rPr>
                      <w:rFonts w:hint="default" w:ascii="Times New Roman" w:hAnsi="Times New Roman" w:eastAsia="宋体" w:cs="Times New Roman"/>
                      <w:szCs w:val="21"/>
                      <w:lang w:val="en-US" w:eastAsia="zh-CN"/>
                    </w:rPr>
                    <w:t>。</w:t>
                  </w:r>
                </w:p>
              </w:tc>
              <w:tc>
                <w:tcPr>
                  <w:tcW w:w="1077" w:type="dxa"/>
                  <w:shd w:val="clear" w:color="auto" w:fill="FFFFFF"/>
                  <w:vAlign w:val="center"/>
                </w:tcPr>
                <w:p w14:paraId="4F4E27FB">
                  <w:pPr>
                    <w:jc w:val="center"/>
                    <w:rPr>
                      <w:rFonts w:hint="eastAsia" w:eastAsia="宋体"/>
                      <w:lang w:val="en-US" w:eastAsia="zh-CN"/>
                    </w:rPr>
                  </w:pPr>
                  <w:r>
                    <w:rPr>
                      <w:rFonts w:hint="eastAsia"/>
                      <w:lang w:val="en-US" w:eastAsia="zh-CN"/>
                    </w:rPr>
                    <w:t>/</w:t>
                  </w:r>
                </w:p>
              </w:tc>
            </w:tr>
          </w:tbl>
          <w:p w14:paraId="06F6F84F">
            <w:pPr>
              <w:pStyle w:val="34"/>
              <w:snapToGrid/>
              <w:spacing w:beforeLines="0"/>
              <w:ind w:left="420" w:leftChars="200" w:firstLine="0" w:firstLineChars="0"/>
              <w:rPr>
                <w:b/>
                <w:bCs/>
                <w:szCs w:val="24"/>
              </w:rPr>
            </w:pPr>
            <w:r>
              <w:rPr>
                <w:rFonts w:hint="eastAsia"/>
                <w:b/>
                <w:bCs/>
                <w:szCs w:val="24"/>
              </w:rPr>
              <w:t>4、产品方案</w:t>
            </w:r>
          </w:p>
          <w:p w14:paraId="21CE67CF">
            <w:pPr>
              <w:spacing w:line="360" w:lineRule="auto"/>
              <w:ind w:firstLine="480" w:firstLineChars="200"/>
              <w:rPr>
                <w:sz w:val="24"/>
              </w:rPr>
            </w:pPr>
            <w:r>
              <w:rPr>
                <w:rFonts w:hint="eastAsia"/>
                <w:sz w:val="24"/>
              </w:rPr>
              <w:t>本项目</w:t>
            </w:r>
            <w:r>
              <w:rPr>
                <w:sz w:val="24"/>
              </w:rPr>
              <w:t>产品</w:t>
            </w:r>
            <w:r>
              <w:rPr>
                <w:rFonts w:hint="eastAsia"/>
                <w:sz w:val="24"/>
              </w:rPr>
              <w:t>产量，</w:t>
            </w:r>
            <w:r>
              <w:rPr>
                <w:sz w:val="24"/>
              </w:rPr>
              <w:t>具体产品方案</w:t>
            </w:r>
            <w:r>
              <w:rPr>
                <w:rFonts w:hint="eastAsia"/>
                <w:sz w:val="24"/>
              </w:rPr>
              <w:t>见表2-2</w:t>
            </w:r>
          </w:p>
          <w:p w14:paraId="34C30DD6">
            <w:pPr>
              <w:pStyle w:val="35"/>
              <w:spacing w:after="0"/>
              <w:ind w:left="0" w:leftChars="0" w:firstLine="0"/>
              <w:jc w:val="center"/>
              <w:rPr>
                <w:b/>
                <w:bCs/>
                <w:sz w:val="21"/>
                <w:szCs w:val="21"/>
              </w:rPr>
            </w:pPr>
            <w:r>
              <w:rPr>
                <w:rFonts w:hint="eastAsia"/>
                <w:b/>
                <w:bCs/>
                <w:szCs w:val="24"/>
              </w:rPr>
              <w:t>表2-2     项目产品方案</w:t>
            </w:r>
          </w:p>
          <w:tbl>
            <w:tblPr>
              <w:tblStyle w:val="37"/>
              <w:tblW w:w="8058"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328"/>
              <w:gridCol w:w="710"/>
              <w:gridCol w:w="1168"/>
              <w:gridCol w:w="1100"/>
              <w:gridCol w:w="2270"/>
              <w:gridCol w:w="1482"/>
            </w:tblGrid>
            <w:tr w14:paraId="32948C8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328" w:type="dxa"/>
                  <w:vAlign w:val="center"/>
                </w:tcPr>
                <w:p w14:paraId="5C2D9F86">
                  <w:pPr>
                    <w:jc w:val="center"/>
                    <w:rPr>
                      <w:szCs w:val="21"/>
                    </w:rPr>
                  </w:pPr>
                  <w:r>
                    <w:rPr>
                      <w:szCs w:val="21"/>
                    </w:rPr>
                    <w:t>产品名称</w:t>
                  </w:r>
                </w:p>
              </w:tc>
              <w:tc>
                <w:tcPr>
                  <w:tcW w:w="710" w:type="dxa"/>
                  <w:vAlign w:val="center"/>
                </w:tcPr>
                <w:p w14:paraId="18AB62C1">
                  <w:pPr>
                    <w:jc w:val="center"/>
                    <w:rPr>
                      <w:szCs w:val="21"/>
                    </w:rPr>
                  </w:pPr>
                  <w:r>
                    <w:rPr>
                      <w:rFonts w:hint="eastAsia"/>
                      <w:szCs w:val="21"/>
                    </w:rPr>
                    <w:t>单位</w:t>
                  </w:r>
                </w:p>
              </w:tc>
              <w:tc>
                <w:tcPr>
                  <w:tcW w:w="1168" w:type="dxa"/>
                  <w:vAlign w:val="center"/>
                </w:tcPr>
                <w:p w14:paraId="2618BE70">
                  <w:pPr>
                    <w:widowControl/>
                    <w:jc w:val="center"/>
                    <w:rPr>
                      <w:kern w:val="0"/>
                      <w:szCs w:val="21"/>
                    </w:rPr>
                  </w:pPr>
                  <w:r>
                    <w:rPr>
                      <w:rFonts w:hint="eastAsia"/>
                      <w:kern w:val="0"/>
                      <w:szCs w:val="21"/>
                    </w:rPr>
                    <w:t>现有工程</w:t>
                  </w:r>
                  <w:r>
                    <w:rPr>
                      <w:kern w:val="0"/>
                      <w:szCs w:val="21"/>
                    </w:rPr>
                    <w:t>年产量</w:t>
                  </w:r>
                </w:p>
              </w:tc>
              <w:tc>
                <w:tcPr>
                  <w:tcW w:w="1100" w:type="dxa"/>
                  <w:vAlign w:val="center"/>
                </w:tcPr>
                <w:p w14:paraId="753E783B">
                  <w:pPr>
                    <w:widowControl/>
                    <w:jc w:val="center"/>
                    <w:rPr>
                      <w:kern w:val="0"/>
                      <w:szCs w:val="21"/>
                    </w:rPr>
                  </w:pPr>
                  <w:r>
                    <w:rPr>
                      <w:rFonts w:hint="eastAsia"/>
                      <w:kern w:val="0"/>
                      <w:szCs w:val="21"/>
                    </w:rPr>
                    <w:t>改建工程年产量</w:t>
                  </w:r>
                </w:p>
              </w:tc>
              <w:tc>
                <w:tcPr>
                  <w:tcW w:w="2270" w:type="dxa"/>
                  <w:vAlign w:val="center"/>
                </w:tcPr>
                <w:p w14:paraId="6B3936B9">
                  <w:pPr>
                    <w:widowControl/>
                    <w:jc w:val="center"/>
                    <w:rPr>
                      <w:kern w:val="0"/>
                      <w:szCs w:val="21"/>
                    </w:rPr>
                  </w:pPr>
                  <w:r>
                    <w:rPr>
                      <w:rFonts w:hint="eastAsia"/>
                      <w:kern w:val="0"/>
                      <w:szCs w:val="21"/>
                    </w:rPr>
                    <w:t>变化情况</w:t>
                  </w:r>
                </w:p>
              </w:tc>
              <w:tc>
                <w:tcPr>
                  <w:tcW w:w="1482" w:type="dxa"/>
                  <w:vAlign w:val="center"/>
                </w:tcPr>
                <w:p w14:paraId="5E335F2C">
                  <w:pPr>
                    <w:widowControl/>
                    <w:jc w:val="center"/>
                    <w:rPr>
                      <w:kern w:val="0"/>
                      <w:szCs w:val="21"/>
                    </w:rPr>
                  </w:pPr>
                  <w:r>
                    <w:rPr>
                      <w:rFonts w:hint="eastAsia"/>
                      <w:kern w:val="0"/>
                      <w:szCs w:val="21"/>
                    </w:rPr>
                    <w:t>备注</w:t>
                  </w:r>
                </w:p>
              </w:tc>
            </w:tr>
            <w:tr w14:paraId="17BE29B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328" w:type="dxa"/>
                  <w:vAlign w:val="center"/>
                </w:tcPr>
                <w:p w14:paraId="50F7D580">
                  <w:pPr>
                    <w:jc w:val="center"/>
                    <w:rPr>
                      <w:rFonts w:hint="eastAsia"/>
                      <w:szCs w:val="21"/>
                    </w:rPr>
                  </w:pPr>
                  <w:r>
                    <w:rPr>
                      <w:rFonts w:hint="eastAsia"/>
                      <w:szCs w:val="21"/>
                    </w:rPr>
                    <w:t>螺纹保护器</w:t>
                  </w:r>
                </w:p>
              </w:tc>
              <w:tc>
                <w:tcPr>
                  <w:tcW w:w="710" w:type="dxa"/>
                  <w:vAlign w:val="center"/>
                </w:tcPr>
                <w:p w14:paraId="202AA81C">
                  <w:pPr>
                    <w:jc w:val="center"/>
                    <w:rPr>
                      <w:szCs w:val="21"/>
                    </w:rPr>
                  </w:pPr>
                  <w:r>
                    <w:rPr>
                      <w:rFonts w:hint="eastAsia"/>
                      <w:szCs w:val="21"/>
                    </w:rPr>
                    <w:t>万套</w:t>
                  </w:r>
                </w:p>
              </w:tc>
              <w:tc>
                <w:tcPr>
                  <w:tcW w:w="1168" w:type="dxa"/>
                  <w:vAlign w:val="center"/>
                </w:tcPr>
                <w:p w14:paraId="7FE174B7">
                  <w:pPr>
                    <w:jc w:val="center"/>
                    <w:rPr>
                      <w:szCs w:val="21"/>
                    </w:rPr>
                  </w:pPr>
                  <w:r>
                    <w:rPr>
                      <w:rFonts w:hint="eastAsia"/>
                      <w:szCs w:val="21"/>
                    </w:rPr>
                    <w:t>100</w:t>
                  </w:r>
                </w:p>
              </w:tc>
              <w:tc>
                <w:tcPr>
                  <w:tcW w:w="1100" w:type="dxa"/>
                  <w:vAlign w:val="center"/>
                </w:tcPr>
                <w:p w14:paraId="4A63CC00">
                  <w:pPr>
                    <w:jc w:val="center"/>
                    <w:rPr>
                      <w:rFonts w:hint="default" w:eastAsia="宋体"/>
                      <w:szCs w:val="21"/>
                      <w:lang w:val="en-US" w:eastAsia="zh-CN"/>
                    </w:rPr>
                  </w:pPr>
                  <w:r>
                    <w:rPr>
                      <w:rFonts w:hint="eastAsia"/>
                      <w:szCs w:val="21"/>
                      <w:lang w:val="en-US" w:eastAsia="zh-CN"/>
                    </w:rPr>
                    <w:t>80</w:t>
                  </w:r>
                </w:p>
              </w:tc>
              <w:tc>
                <w:tcPr>
                  <w:tcW w:w="2270" w:type="dxa"/>
                  <w:vAlign w:val="center"/>
                </w:tcPr>
                <w:p w14:paraId="7E696D49">
                  <w:pPr>
                    <w:jc w:val="center"/>
                    <w:rPr>
                      <w:szCs w:val="21"/>
                    </w:rPr>
                  </w:pPr>
                  <w:r>
                    <w:rPr>
                      <w:rFonts w:hint="eastAsia"/>
                      <w:szCs w:val="21"/>
                    </w:rPr>
                    <w:t>减少</w:t>
                  </w:r>
                  <w:r>
                    <w:rPr>
                      <w:rFonts w:hint="eastAsia"/>
                      <w:szCs w:val="21"/>
                      <w:lang w:val="en-US" w:eastAsia="zh-CN"/>
                    </w:rPr>
                    <w:t>螺纹保护器20</w:t>
                  </w:r>
                  <w:r>
                    <w:rPr>
                      <w:rFonts w:hint="eastAsia"/>
                      <w:szCs w:val="21"/>
                    </w:rPr>
                    <w:t>万套</w:t>
                  </w:r>
                </w:p>
              </w:tc>
              <w:tc>
                <w:tcPr>
                  <w:tcW w:w="1482" w:type="dxa"/>
                  <w:vMerge w:val="restart"/>
                  <w:vAlign w:val="center"/>
                </w:tcPr>
                <w:p w14:paraId="64B5E0DC">
                  <w:pPr>
                    <w:pStyle w:val="14"/>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cs="Times New Roman"/>
                      <w:sz w:val="21"/>
                      <w:szCs w:val="21"/>
                      <w:lang w:val="en-US" w:eastAsia="zh-CN"/>
                    </w:rPr>
                  </w:pPr>
                  <w:r>
                    <w:rPr>
                      <w:rFonts w:hint="eastAsia"/>
                      <w:sz w:val="21"/>
                      <w:szCs w:val="21"/>
                      <w:lang w:val="en-US" w:eastAsia="zh-CN"/>
                    </w:rPr>
                    <w:t>一套螺纹保护器包含</w:t>
                  </w:r>
                  <w:r>
                    <w:rPr>
                      <w:rFonts w:hint="eastAsia" w:ascii="Times New Roman" w:hAnsi="Times New Roman" w:cs="Times New Roman"/>
                      <w:sz w:val="21"/>
                      <w:szCs w:val="21"/>
                      <w:lang w:val="en-US" w:eastAsia="zh-CN"/>
                    </w:rPr>
                    <w:t>外钢内塑、外塑内钢、冲口内钢外塑各一</w:t>
                  </w:r>
                  <w:r>
                    <w:rPr>
                      <w:rFonts w:hint="eastAsia" w:cs="Times New Roman"/>
                      <w:sz w:val="21"/>
                      <w:szCs w:val="21"/>
                      <w:lang w:val="en-US" w:eastAsia="zh-CN"/>
                    </w:rPr>
                    <w:t>件</w:t>
                  </w:r>
                  <w:r>
                    <w:rPr>
                      <w:rFonts w:hint="eastAsia" w:ascii="Times New Roman" w:hAnsi="Times New Roman" w:cs="Times New Roman"/>
                      <w:sz w:val="21"/>
                      <w:szCs w:val="21"/>
                      <w:lang w:val="en-US" w:eastAsia="zh-CN"/>
                    </w:rPr>
                    <w:t>。</w:t>
                  </w:r>
                </w:p>
                <w:p w14:paraId="2A69AB2C">
                  <w:pPr>
                    <w:jc w:val="center"/>
                    <w:rPr>
                      <w:szCs w:val="21"/>
                    </w:rPr>
                  </w:pPr>
                </w:p>
              </w:tc>
            </w:tr>
            <w:tr w14:paraId="50A5269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328" w:type="dxa"/>
                  <w:vAlign w:val="center"/>
                </w:tcPr>
                <w:p w14:paraId="567C555C">
                  <w:pPr>
                    <w:jc w:val="center"/>
                    <w:rPr>
                      <w:rFonts w:hint="eastAsia"/>
                      <w:szCs w:val="21"/>
                    </w:rPr>
                  </w:pPr>
                  <w:r>
                    <w:rPr>
                      <w:rFonts w:hint="eastAsia"/>
                      <w:szCs w:val="21"/>
                      <w:lang w:val="en-US" w:eastAsia="zh-CN"/>
                    </w:rPr>
                    <w:t>外钢内塑</w:t>
                  </w:r>
                </w:p>
              </w:tc>
              <w:tc>
                <w:tcPr>
                  <w:tcW w:w="710" w:type="dxa"/>
                  <w:vAlign w:val="center"/>
                </w:tcPr>
                <w:p w14:paraId="1F1D7F2B">
                  <w:pPr>
                    <w:jc w:val="center"/>
                    <w:rPr>
                      <w:rFonts w:hint="default" w:eastAsia="宋体"/>
                      <w:szCs w:val="21"/>
                      <w:lang w:val="en-US" w:eastAsia="zh-CN"/>
                    </w:rPr>
                  </w:pPr>
                  <w:r>
                    <w:rPr>
                      <w:rFonts w:hint="eastAsia"/>
                      <w:szCs w:val="21"/>
                      <w:lang w:val="en-US" w:eastAsia="zh-CN"/>
                    </w:rPr>
                    <w:t>万件</w:t>
                  </w:r>
                </w:p>
              </w:tc>
              <w:tc>
                <w:tcPr>
                  <w:tcW w:w="1168" w:type="dxa"/>
                  <w:vAlign w:val="center"/>
                </w:tcPr>
                <w:p w14:paraId="3D23CA14">
                  <w:pPr>
                    <w:jc w:val="center"/>
                    <w:rPr>
                      <w:rFonts w:hint="default" w:eastAsia="宋体"/>
                      <w:szCs w:val="21"/>
                      <w:lang w:val="en-US" w:eastAsia="zh-CN"/>
                    </w:rPr>
                  </w:pPr>
                  <w:r>
                    <w:rPr>
                      <w:rFonts w:hint="eastAsia"/>
                      <w:szCs w:val="21"/>
                      <w:lang w:val="en-US" w:eastAsia="zh-CN"/>
                    </w:rPr>
                    <w:t>100</w:t>
                  </w:r>
                </w:p>
              </w:tc>
              <w:tc>
                <w:tcPr>
                  <w:tcW w:w="1100" w:type="dxa"/>
                  <w:vAlign w:val="center"/>
                </w:tcPr>
                <w:p w14:paraId="6E7000EE">
                  <w:pPr>
                    <w:jc w:val="center"/>
                    <w:rPr>
                      <w:rFonts w:hint="default"/>
                      <w:szCs w:val="21"/>
                      <w:lang w:val="en-US" w:eastAsia="zh-CN"/>
                    </w:rPr>
                  </w:pPr>
                  <w:r>
                    <w:rPr>
                      <w:rFonts w:hint="eastAsia"/>
                      <w:szCs w:val="21"/>
                      <w:lang w:val="en-US" w:eastAsia="zh-CN"/>
                    </w:rPr>
                    <w:t>80</w:t>
                  </w:r>
                </w:p>
              </w:tc>
              <w:tc>
                <w:tcPr>
                  <w:tcW w:w="2270" w:type="dxa"/>
                  <w:vAlign w:val="center"/>
                </w:tcPr>
                <w:p w14:paraId="184A86B3">
                  <w:pPr>
                    <w:jc w:val="center"/>
                    <w:rPr>
                      <w:rFonts w:hint="default" w:eastAsia="宋体"/>
                      <w:szCs w:val="21"/>
                      <w:lang w:val="en-US" w:eastAsia="zh-CN"/>
                    </w:rPr>
                  </w:pPr>
                  <w:r>
                    <w:rPr>
                      <w:rFonts w:hint="eastAsia"/>
                      <w:szCs w:val="21"/>
                    </w:rPr>
                    <w:t>减少</w:t>
                  </w:r>
                  <w:r>
                    <w:rPr>
                      <w:rFonts w:hint="eastAsia"/>
                      <w:szCs w:val="21"/>
                      <w:lang w:val="en-US" w:eastAsia="zh-CN"/>
                    </w:rPr>
                    <w:t>外钢内塑20万件</w:t>
                  </w:r>
                </w:p>
              </w:tc>
              <w:tc>
                <w:tcPr>
                  <w:tcW w:w="1482" w:type="dxa"/>
                  <w:vMerge w:val="continue"/>
                  <w:vAlign w:val="center"/>
                </w:tcPr>
                <w:p w14:paraId="69FDF4B8">
                  <w:pPr>
                    <w:jc w:val="center"/>
                    <w:rPr>
                      <w:rFonts w:hint="eastAsia"/>
                      <w:szCs w:val="21"/>
                    </w:rPr>
                  </w:pPr>
                </w:p>
              </w:tc>
            </w:tr>
            <w:tr w14:paraId="6CF5DEC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328" w:type="dxa"/>
                  <w:vAlign w:val="center"/>
                </w:tcPr>
                <w:p w14:paraId="5A75F964">
                  <w:pPr>
                    <w:jc w:val="center"/>
                    <w:rPr>
                      <w:rFonts w:hint="eastAsia"/>
                      <w:szCs w:val="21"/>
                    </w:rPr>
                  </w:pPr>
                  <w:r>
                    <w:rPr>
                      <w:rFonts w:hint="eastAsia"/>
                      <w:szCs w:val="21"/>
                      <w:lang w:val="en-US" w:eastAsia="zh-CN"/>
                    </w:rPr>
                    <w:t>外塑内钢</w:t>
                  </w:r>
                </w:p>
              </w:tc>
              <w:tc>
                <w:tcPr>
                  <w:tcW w:w="710" w:type="dxa"/>
                  <w:vAlign w:val="center"/>
                </w:tcPr>
                <w:p w14:paraId="3BA44527">
                  <w:pPr>
                    <w:jc w:val="center"/>
                    <w:rPr>
                      <w:rFonts w:hint="default" w:eastAsia="宋体"/>
                      <w:szCs w:val="21"/>
                      <w:lang w:val="en-US" w:eastAsia="zh-CN"/>
                    </w:rPr>
                  </w:pPr>
                  <w:r>
                    <w:rPr>
                      <w:rFonts w:hint="eastAsia"/>
                      <w:szCs w:val="21"/>
                      <w:lang w:val="en-US" w:eastAsia="zh-CN"/>
                    </w:rPr>
                    <w:t>万件</w:t>
                  </w:r>
                </w:p>
              </w:tc>
              <w:tc>
                <w:tcPr>
                  <w:tcW w:w="1168" w:type="dxa"/>
                  <w:vAlign w:val="center"/>
                </w:tcPr>
                <w:p w14:paraId="0C6480DA">
                  <w:pPr>
                    <w:jc w:val="center"/>
                    <w:rPr>
                      <w:rFonts w:hint="default" w:eastAsia="宋体"/>
                      <w:szCs w:val="21"/>
                      <w:lang w:val="en-US" w:eastAsia="zh-CN"/>
                    </w:rPr>
                  </w:pPr>
                  <w:r>
                    <w:rPr>
                      <w:rFonts w:hint="eastAsia"/>
                      <w:szCs w:val="21"/>
                      <w:lang w:val="en-US" w:eastAsia="zh-CN"/>
                    </w:rPr>
                    <w:t>100</w:t>
                  </w:r>
                </w:p>
              </w:tc>
              <w:tc>
                <w:tcPr>
                  <w:tcW w:w="1100" w:type="dxa"/>
                  <w:vAlign w:val="center"/>
                </w:tcPr>
                <w:p w14:paraId="547154F5">
                  <w:pPr>
                    <w:jc w:val="center"/>
                    <w:rPr>
                      <w:rFonts w:hint="default"/>
                      <w:szCs w:val="21"/>
                      <w:lang w:val="en-US" w:eastAsia="zh-CN"/>
                    </w:rPr>
                  </w:pPr>
                  <w:r>
                    <w:rPr>
                      <w:rFonts w:hint="eastAsia"/>
                      <w:szCs w:val="21"/>
                      <w:lang w:val="en-US" w:eastAsia="zh-CN"/>
                    </w:rPr>
                    <w:t>80</w:t>
                  </w:r>
                </w:p>
              </w:tc>
              <w:tc>
                <w:tcPr>
                  <w:tcW w:w="2270" w:type="dxa"/>
                  <w:vAlign w:val="center"/>
                </w:tcPr>
                <w:p w14:paraId="701746FF">
                  <w:pPr>
                    <w:jc w:val="center"/>
                    <w:rPr>
                      <w:rFonts w:hint="default"/>
                      <w:szCs w:val="21"/>
                      <w:lang w:val="en-US"/>
                    </w:rPr>
                  </w:pPr>
                  <w:r>
                    <w:rPr>
                      <w:rFonts w:hint="eastAsia"/>
                      <w:szCs w:val="21"/>
                    </w:rPr>
                    <w:t>减少</w:t>
                  </w:r>
                  <w:r>
                    <w:rPr>
                      <w:rFonts w:hint="eastAsia"/>
                      <w:szCs w:val="21"/>
                      <w:lang w:val="en-US" w:eastAsia="zh-CN"/>
                    </w:rPr>
                    <w:t>外塑内钢20万件</w:t>
                  </w:r>
                </w:p>
              </w:tc>
              <w:tc>
                <w:tcPr>
                  <w:tcW w:w="1482" w:type="dxa"/>
                  <w:vMerge w:val="continue"/>
                  <w:vAlign w:val="center"/>
                </w:tcPr>
                <w:p w14:paraId="70886507">
                  <w:pPr>
                    <w:jc w:val="center"/>
                    <w:rPr>
                      <w:rFonts w:hint="eastAsia"/>
                      <w:szCs w:val="21"/>
                    </w:rPr>
                  </w:pPr>
                </w:p>
              </w:tc>
            </w:tr>
            <w:tr w14:paraId="3BDA38B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328" w:type="dxa"/>
                  <w:vAlign w:val="center"/>
                </w:tcPr>
                <w:p w14:paraId="6CD94C7A">
                  <w:pPr>
                    <w:jc w:val="center"/>
                    <w:rPr>
                      <w:rFonts w:hint="eastAsia"/>
                      <w:szCs w:val="21"/>
                      <w:lang w:val="en-US" w:eastAsia="zh-CN"/>
                    </w:rPr>
                  </w:pPr>
                  <w:r>
                    <w:rPr>
                      <w:rFonts w:hint="eastAsia"/>
                      <w:szCs w:val="21"/>
                      <w:lang w:val="en-US" w:eastAsia="zh-CN"/>
                    </w:rPr>
                    <w:t>冲口内钢外塑</w:t>
                  </w:r>
                </w:p>
              </w:tc>
              <w:tc>
                <w:tcPr>
                  <w:tcW w:w="710" w:type="dxa"/>
                  <w:vAlign w:val="center"/>
                </w:tcPr>
                <w:p w14:paraId="40FFAD49">
                  <w:pPr>
                    <w:jc w:val="center"/>
                    <w:rPr>
                      <w:rFonts w:hint="default" w:eastAsia="宋体"/>
                      <w:szCs w:val="21"/>
                      <w:lang w:val="en-US" w:eastAsia="zh-CN"/>
                    </w:rPr>
                  </w:pPr>
                  <w:r>
                    <w:rPr>
                      <w:rFonts w:hint="eastAsia"/>
                      <w:szCs w:val="21"/>
                      <w:lang w:val="en-US" w:eastAsia="zh-CN"/>
                    </w:rPr>
                    <w:t>万件</w:t>
                  </w:r>
                </w:p>
              </w:tc>
              <w:tc>
                <w:tcPr>
                  <w:tcW w:w="1168" w:type="dxa"/>
                  <w:vAlign w:val="center"/>
                </w:tcPr>
                <w:p w14:paraId="430A88F5">
                  <w:pPr>
                    <w:jc w:val="center"/>
                    <w:rPr>
                      <w:rFonts w:hint="default" w:eastAsia="宋体"/>
                      <w:szCs w:val="21"/>
                      <w:lang w:val="en-US" w:eastAsia="zh-CN"/>
                    </w:rPr>
                  </w:pPr>
                  <w:r>
                    <w:rPr>
                      <w:rFonts w:hint="eastAsia"/>
                      <w:szCs w:val="21"/>
                      <w:lang w:val="en-US" w:eastAsia="zh-CN"/>
                    </w:rPr>
                    <w:t>100</w:t>
                  </w:r>
                </w:p>
              </w:tc>
              <w:tc>
                <w:tcPr>
                  <w:tcW w:w="1100" w:type="dxa"/>
                  <w:vAlign w:val="center"/>
                </w:tcPr>
                <w:p w14:paraId="045A44C1">
                  <w:pPr>
                    <w:jc w:val="center"/>
                    <w:rPr>
                      <w:rFonts w:hint="default"/>
                      <w:szCs w:val="21"/>
                      <w:lang w:val="en-US" w:eastAsia="zh-CN"/>
                    </w:rPr>
                  </w:pPr>
                  <w:r>
                    <w:rPr>
                      <w:rFonts w:hint="eastAsia"/>
                      <w:szCs w:val="21"/>
                      <w:lang w:val="en-US" w:eastAsia="zh-CN"/>
                    </w:rPr>
                    <w:t>80</w:t>
                  </w:r>
                </w:p>
              </w:tc>
              <w:tc>
                <w:tcPr>
                  <w:tcW w:w="2270" w:type="dxa"/>
                  <w:vAlign w:val="center"/>
                </w:tcPr>
                <w:p w14:paraId="565C39B8">
                  <w:pPr>
                    <w:jc w:val="center"/>
                    <w:rPr>
                      <w:rFonts w:hint="default"/>
                      <w:szCs w:val="21"/>
                      <w:lang w:val="en-US"/>
                    </w:rPr>
                  </w:pPr>
                  <w:r>
                    <w:rPr>
                      <w:rFonts w:hint="eastAsia"/>
                      <w:szCs w:val="21"/>
                    </w:rPr>
                    <w:t>减少</w:t>
                  </w:r>
                  <w:r>
                    <w:rPr>
                      <w:rFonts w:hint="eastAsia"/>
                      <w:szCs w:val="21"/>
                      <w:lang w:val="en-US" w:eastAsia="zh-CN"/>
                    </w:rPr>
                    <w:t>冲口内钢外塑20万件</w:t>
                  </w:r>
                </w:p>
              </w:tc>
              <w:tc>
                <w:tcPr>
                  <w:tcW w:w="1482" w:type="dxa"/>
                  <w:vMerge w:val="continue"/>
                  <w:vAlign w:val="center"/>
                </w:tcPr>
                <w:p w14:paraId="43F9622C">
                  <w:pPr>
                    <w:jc w:val="center"/>
                    <w:rPr>
                      <w:rFonts w:hint="eastAsia"/>
                      <w:szCs w:val="21"/>
                    </w:rPr>
                  </w:pPr>
                </w:p>
              </w:tc>
            </w:tr>
          </w:tbl>
          <w:p w14:paraId="2A36F5B5">
            <w:pPr>
              <w:pStyle w:val="34"/>
              <w:snapToGrid/>
              <w:spacing w:beforeLines="0"/>
              <w:ind w:firstLine="482"/>
              <w:rPr>
                <w:b/>
                <w:bCs/>
                <w:szCs w:val="24"/>
              </w:rPr>
            </w:pPr>
            <w:r>
              <w:rPr>
                <w:rFonts w:hint="eastAsia"/>
                <w:b/>
                <w:bCs/>
                <w:szCs w:val="24"/>
              </w:rPr>
              <w:t>5、主要生产设备</w:t>
            </w:r>
          </w:p>
          <w:p w14:paraId="3AB56E4D">
            <w:pPr>
              <w:spacing w:line="360" w:lineRule="auto"/>
              <w:ind w:firstLine="480" w:firstLineChars="200"/>
              <w:rPr>
                <w:rFonts w:hint="eastAsia"/>
                <w:b/>
                <w:bCs/>
                <w:sz w:val="24"/>
                <w:szCs w:val="24"/>
              </w:rPr>
            </w:pPr>
            <w:r>
              <w:rPr>
                <w:rFonts w:hint="eastAsia"/>
                <w:sz w:val="24"/>
              </w:rPr>
              <w:t>本项目主要生产设备见表2-3</w:t>
            </w:r>
          </w:p>
          <w:p w14:paraId="45432BDD">
            <w:pPr>
              <w:pStyle w:val="15"/>
              <w:spacing w:before="0" w:after="0" w:line="240" w:lineRule="auto"/>
              <w:ind w:right="0"/>
              <w:jc w:val="center"/>
              <w:rPr>
                <w:b/>
                <w:bCs/>
                <w:sz w:val="24"/>
                <w:szCs w:val="24"/>
              </w:rPr>
            </w:pPr>
            <w:r>
              <w:rPr>
                <w:rFonts w:hint="eastAsia"/>
                <w:b/>
                <w:bCs/>
                <w:sz w:val="24"/>
                <w:szCs w:val="24"/>
              </w:rPr>
              <w:t>表</w:t>
            </w:r>
            <w:r>
              <w:rPr>
                <w:b/>
                <w:bCs/>
                <w:sz w:val="24"/>
                <w:szCs w:val="24"/>
              </w:rPr>
              <w:t>2-</w:t>
            </w:r>
            <w:r>
              <w:rPr>
                <w:rFonts w:hint="eastAsia"/>
                <w:b/>
                <w:bCs/>
                <w:sz w:val="24"/>
                <w:szCs w:val="24"/>
              </w:rPr>
              <w:t>3</w:t>
            </w:r>
            <w:r>
              <w:rPr>
                <w:b/>
                <w:bCs/>
                <w:sz w:val="24"/>
                <w:szCs w:val="24"/>
              </w:rPr>
              <w:t xml:space="preserve">  </w:t>
            </w:r>
            <w:r>
              <w:rPr>
                <w:rFonts w:hint="eastAsia"/>
                <w:b/>
                <w:bCs/>
                <w:sz w:val="24"/>
                <w:szCs w:val="24"/>
              </w:rPr>
              <w:t xml:space="preserve">  主要生产设备一览表</w:t>
            </w:r>
            <w:r>
              <w:rPr>
                <w:b/>
                <w:bCs/>
                <w:sz w:val="21"/>
                <w:szCs w:val="21"/>
              </w:rPr>
              <w:t xml:space="preserve"> </w:t>
            </w:r>
            <w:r>
              <w:rPr>
                <w:b/>
                <w:bCs/>
                <w:color w:val="FF0000"/>
                <w:sz w:val="24"/>
                <w:szCs w:val="24"/>
              </w:rPr>
              <w:t xml:space="preserve">  </w:t>
            </w:r>
            <w:r>
              <w:rPr>
                <w:b/>
                <w:bCs/>
                <w:sz w:val="24"/>
                <w:szCs w:val="24"/>
              </w:rPr>
              <w:t xml:space="preserve"> </w:t>
            </w:r>
          </w:p>
          <w:tbl>
            <w:tblPr>
              <w:tblStyle w:val="36"/>
              <w:tblW w:w="8088" w:type="dxa"/>
              <w:jc w:val="center"/>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Layout w:type="fixed"/>
              <w:tblCellMar>
                <w:top w:w="15" w:type="dxa"/>
                <w:left w:w="15" w:type="dxa"/>
                <w:bottom w:w="15" w:type="dxa"/>
                <w:right w:w="15" w:type="dxa"/>
              </w:tblCellMar>
            </w:tblPr>
            <w:tblGrid>
              <w:gridCol w:w="758"/>
              <w:gridCol w:w="1138"/>
              <w:gridCol w:w="1250"/>
              <w:gridCol w:w="863"/>
              <w:gridCol w:w="787"/>
              <w:gridCol w:w="775"/>
              <w:gridCol w:w="738"/>
              <w:gridCol w:w="1779"/>
            </w:tblGrid>
            <w:tr w14:paraId="33B9A1CB">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15" w:type="dxa"/>
                  <w:left w:w="15" w:type="dxa"/>
                  <w:bottom w:w="15" w:type="dxa"/>
                  <w:right w:w="15" w:type="dxa"/>
                </w:tblCellMar>
              </w:tblPrEx>
              <w:trPr>
                <w:trHeight w:val="284" w:hRule="atLeast"/>
                <w:tblHeader/>
                <w:jc w:val="center"/>
              </w:trPr>
              <w:tc>
                <w:tcPr>
                  <w:tcW w:w="758" w:type="dxa"/>
                  <w:tcBorders>
                    <w:tl2br w:val="nil"/>
                    <w:tr2bl w:val="nil"/>
                  </w:tcBorders>
                  <w:vAlign w:val="center"/>
                </w:tcPr>
                <w:p w14:paraId="6FF3F692">
                  <w:pPr>
                    <w:jc w:val="center"/>
                    <w:rPr>
                      <w:b/>
                      <w:bCs/>
                      <w:szCs w:val="21"/>
                    </w:rPr>
                  </w:pPr>
                  <w:r>
                    <w:rPr>
                      <w:rFonts w:hint="eastAsia"/>
                      <w:b/>
                      <w:bCs/>
                      <w:szCs w:val="21"/>
                    </w:rPr>
                    <w:t>序号</w:t>
                  </w:r>
                </w:p>
              </w:tc>
              <w:tc>
                <w:tcPr>
                  <w:tcW w:w="1138" w:type="dxa"/>
                  <w:tcBorders>
                    <w:tl2br w:val="nil"/>
                    <w:tr2bl w:val="nil"/>
                  </w:tcBorders>
                  <w:vAlign w:val="center"/>
                </w:tcPr>
                <w:p w14:paraId="379230E3">
                  <w:pPr>
                    <w:jc w:val="center"/>
                    <w:rPr>
                      <w:b/>
                      <w:bCs/>
                      <w:szCs w:val="21"/>
                    </w:rPr>
                  </w:pPr>
                  <w:r>
                    <w:rPr>
                      <w:rFonts w:hint="eastAsia"/>
                      <w:b/>
                      <w:bCs/>
                      <w:szCs w:val="21"/>
                    </w:rPr>
                    <w:t>设备</w:t>
                  </w:r>
                  <w:r>
                    <w:rPr>
                      <w:b/>
                      <w:bCs/>
                      <w:szCs w:val="21"/>
                    </w:rPr>
                    <w:t>名称</w:t>
                  </w:r>
                </w:p>
              </w:tc>
              <w:tc>
                <w:tcPr>
                  <w:tcW w:w="1250" w:type="dxa"/>
                  <w:tcBorders>
                    <w:tl2br w:val="nil"/>
                    <w:tr2bl w:val="nil"/>
                  </w:tcBorders>
                  <w:vAlign w:val="center"/>
                </w:tcPr>
                <w:p w14:paraId="1E870343">
                  <w:pPr>
                    <w:jc w:val="center"/>
                    <w:rPr>
                      <w:b/>
                      <w:bCs/>
                      <w:szCs w:val="21"/>
                    </w:rPr>
                  </w:pPr>
                  <w:r>
                    <w:rPr>
                      <w:rFonts w:hint="eastAsia"/>
                      <w:b/>
                      <w:bCs/>
                      <w:szCs w:val="21"/>
                    </w:rPr>
                    <w:t>规格型号</w:t>
                  </w:r>
                  <w:r>
                    <w:rPr>
                      <w:b/>
                      <w:bCs/>
                      <w:szCs w:val="21"/>
                    </w:rPr>
                    <w:t>/</w:t>
                  </w:r>
                  <w:r>
                    <w:rPr>
                      <w:rFonts w:hint="eastAsia"/>
                      <w:b/>
                      <w:bCs/>
                      <w:szCs w:val="21"/>
                    </w:rPr>
                    <w:t>品牌</w:t>
                  </w:r>
                </w:p>
              </w:tc>
              <w:tc>
                <w:tcPr>
                  <w:tcW w:w="863" w:type="dxa"/>
                  <w:tcBorders>
                    <w:tl2br w:val="nil"/>
                    <w:tr2bl w:val="nil"/>
                  </w:tcBorders>
                  <w:vAlign w:val="center"/>
                </w:tcPr>
                <w:p w14:paraId="6D0E6A4D">
                  <w:pPr>
                    <w:widowControl/>
                    <w:jc w:val="center"/>
                    <w:rPr>
                      <w:b/>
                      <w:bCs/>
                      <w:kern w:val="0"/>
                      <w:szCs w:val="21"/>
                    </w:rPr>
                  </w:pPr>
                  <w:r>
                    <w:rPr>
                      <w:rFonts w:hint="eastAsia"/>
                      <w:b/>
                      <w:bCs/>
                      <w:kern w:val="0"/>
                      <w:szCs w:val="21"/>
                    </w:rPr>
                    <w:t>单位</w:t>
                  </w:r>
                </w:p>
              </w:tc>
              <w:tc>
                <w:tcPr>
                  <w:tcW w:w="787" w:type="dxa"/>
                  <w:tcBorders>
                    <w:tl2br w:val="nil"/>
                    <w:tr2bl w:val="nil"/>
                  </w:tcBorders>
                  <w:vAlign w:val="center"/>
                </w:tcPr>
                <w:p w14:paraId="4E61BB8B">
                  <w:pPr>
                    <w:widowControl/>
                    <w:jc w:val="center"/>
                    <w:rPr>
                      <w:b/>
                      <w:bCs/>
                      <w:szCs w:val="21"/>
                    </w:rPr>
                  </w:pPr>
                  <w:r>
                    <w:rPr>
                      <w:rFonts w:hint="eastAsia"/>
                      <w:b/>
                      <w:bCs/>
                      <w:kern w:val="0"/>
                      <w:szCs w:val="21"/>
                    </w:rPr>
                    <w:t>现有工程数量</w:t>
                  </w:r>
                </w:p>
              </w:tc>
              <w:tc>
                <w:tcPr>
                  <w:tcW w:w="775" w:type="dxa"/>
                  <w:tcBorders>
                    <w:tl2br w:val="nil"/>
                    <w:tr2bl w:val="nil"/>
                  </w:tcBorders>
                  <w:vAlign w:val="center"/>
                </w:tcPr>
                <w:p w14:paraId="666EEF41">
                  <w:pPr>
                    <w:widowControl/>
                    <w:jc w:val="center"/>
                    <w:rPr>
                      <w:b/>
                      <w:bCs/>
                      <w:kern w:val="0"/>
                      <w:szCs w:val="21"/>
                    </w:rPr>
                  </w:pPr>
                  <w:r>
                    <w:rPr>
                      <w:rFonts w:hint="eastAsia"/>
                      <w:b/>
                      <w:bCs/>
                      <w:kern w:val="0"/>
                      <w:szCs w:val="21"/>
                    </w:rPr>
                    <w:t>改建工程数量</w:t>
                  </w:r>
                </w:p>
              </w:tc>
              <w:tc>
                <w:tcPr>
                  <w:tcW w:w="738" w:type="dxa"/>
                  <w:tcBorders>
                    <w:tl2br w:val="nil"/>
                    <w:tr2bl w:val="nil"/>
                  </w:tcBorders>
                  <w:vAlign w:val="center"/>
                </w:tcPr>
                <w:p w14:paraId="7CECF530">
                  <w:pPr>
                    <w:widowControl/>
                    <w:jc w:val="center"/>
                    <w:rPr>
                      <w:b/>
                      <w:bCs/>
                      <w:kern w:val="0"/>
                      <w:szCs w:val="21"/>
                    </w:rPr>
                  </w:pPr>
                  <w:r>
                    <w:rPr>
                      <w:rFonts w:hint="eastAsia"/>
                      <w:b/>
                      <w:bCs/>
                      <w:kern w:val="0"/>
                      <w:szCs w:val="21"/>
                    </w:rPr>
                    <w:t>改建后</w:t>
                  </w:r>
                </w:p>
              </w:tc>
              <w:tc>
                <w:tcPr>
                  <w:tcW w:w="1779" w:type="dxa"/>
                  <w:tcBorders>
                    <w:tl2br w:val="nil"/>
                    <w:tr2bl w:val="nil"/>
                  </w:tcBorders>
                  <w:vAlign w:val="center"/>
                </w:tcPr>
                <w:p w14:paraId="47827C3A">
                  <w:pPr>
                    <w:widowControl/>
                    <w:jc w:val="center"/>
                    <w:rPr>
                      <w:b/>
                      <w:bCs/>
                      <w:kern w:val="0"/>
                      <w:szCs w:val="21"/>
                    </w:rPr>
                  </w:pPr>
                  <w:r>
                    <w:rPr>
                      <w:rFonts w:hint="eastAsia"/>
                      <w:b/>
                      <w:bCs/>
                      <w:kern w:val="0"/>
                      <w:szCs w:val="21"/>
                    </w:rPr>
                    <w:t>备注</w:t>
                  </w:r>
                </w:p>
              </w:tc>
            </w:tr>
            <w:tr w14:paraId="58657655">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15" w:type="dxa"/>
                  <w:left w:w="15" w:type="dxa"/>
                  <w:bottom w:w="15" w:type="dxa"/>
                  <w:right w:w="15" w:type="dxa"/>
                </w:tblCellMar>
              </w:tblPrEx>
              <w:trPr>
                <w:trHeight w:val="90" w:hRule="atLeast"/>
                <w:jc w:val="center"/>
              </w:trPr>
              <w:tc>
                <w:tcPr>
                  <w:tcW w:w="758" w:type="dxa"/>
                  <w:vMerge w:val="restart"/>
                  <w:tcBorders>
                    <w:tl2br w:val="nil"/>
                    <w:tr2bl w:val="nil"/>
                  </w:tcBorders>
                  <w:vAlign w:val="center"/>
                </w:tcPr>
                <w:p w14:paraId="2EA3A32F">
                  <w:pPr>
                    <w:widowControl/>
                    <w:tabs>
                      <w:tab w:val="left" w:pos="1021"/>
                    </w:tabs>
                    <w:jc w:val="center"/>
                    <w:textAlignment w:val="top"/>
                    <w:rPr>
                      <w:bCs/>
                      <w:kern w:val="0"/>
                      <w:szCs w:val="21"/>
                    </w:rPr>
                  </w:pPr>
                  <w:r>
                    <w:rPr>
                      <w:bCs/>
                      <w:kern w:val="0"/>
                      <w:szCs w:val="21"/>
                    </w:rPr>
                    <w:t>1</w:t>
                  </w:r>
                </w:p>
              </w:tc>
              <w:tc>
                <w:tcPr>
                  <w:tcW w:w="1138" w:type="dxa"/>
                  <w:vMerge w:val="restart"/>
                  <w:tcBorders>
                    <w:tl2br w:val="nil"/>
                    <w:tr2bl w:val="nil"/>
                  </w:tcBorders>
                  <w:vAlign w:val="center"/>
                </w:tcPr>
                <w:p w14:paraId="29523186">
                  <w:pPr>
                    <w:widowControl/>
                    <w:tabs>
                      <w:tab w:val="left" w:pos="1021"/>
                    </w:tabs>
                    <w:jc w:val="center"/>
                    <w:textAlignment w:val="top"/>
                    <w:rPr>
                      <w:bCs/>
                      <w:kern w:val="0"/>
                      <w:szCs w:val="21"/>
                    </w:rPr>
                  </w:pPr>
                  <w:r>
                    <w:rPr>
                      <w:szCs w:val="21"/>
                    </w:rPr>
                    <w:t>注塑机</w:t>
                  </w:r>
                </w:p>
              </w:tc>
              <w:tc>
                <w:tcPr>
                  <w:tcW w:w="1250" w:type="dxa"/>
                  <w:tcBorders>
                    <w:bottom w:val="single" w:color="auto" w:sz="4" w:space="0"/>
                    <w:tl2br w:val="nil"/>
                    <w:tr2bl w:val="nil"/>
                  </w:tcBorders>
                  <w:vAlign w:val="center"/>
                </w:tcPr>
                <w:p w14:paraId="2856840D">
                  <w:pPr>
                    <w:spacing w:line="264" w:lineRule="auto"/>
                    <w:jc w:val="center"/>
                    <w:rPr>
                      <w:bCs/>
                      <w:kern w:val="0"/>
                      <w:szCs w:val="21"/>
                    </w:rPr>
                  </w:pPr>
                  <w:r>
                    <w:rPr>
                      <w:szCs w:val="21"/>
                    </w:rPr>
                    <w:t>HTL110-F5B</w:t>
                  </w:r>
                </w:p>
              </w:tc>
              <w:tc>
                <w:tcPr>
                  <w:tcW w:w="863" w:type="dxa"/>
                  <w:tcBorders>
                    <w:bottom w:val="single" w:color="auto" w:sz="4" w:space="0"/>
                    <w:tl2br w:val="nil"/>
                    <w:tr2bl w:val="nil"/>
                  </w:tcBorders>
                  <w:vAlign w:val="center"/>
                </w:tcPr>
                <w:p w14:paraId="5CA3B065">
                  <w:pPr>
                    <w:spacing w:line="264" w:lineRule="auto"/>
                    <w:jc w:val="center"/>
                    <w:rPr>
                      <w:bCs/>
                      <w:kern w:val="0"/>
                      <w:szCs w:val="21"/>
                    </w:rPr>
                  </w:pPr>
                  <w:r>
                    <w:rPr>
                      <w:szCs w:val="21"/>
                    </w:rPr>
                    <w:t>台</w:t>
                  </w:r>
                </w:p>
              </w:tc>
              <w:tc>
                <w:tcPr>
                  <w:tcW w:w="787" w:type="dxa"/>
                  <w:tcBorders>
                    <w:bottom w:val="single" w:color="auto" w:sz="4" w:space="0"/>
                    <w:tl2br w:val="nil"/>
                    <w:tr2bl w:val="nil"/>
                  </w:tcBorders>
                  <w:vAlign w:val="center"/>
                </w:tcPr>
                <w:p w14:paraId="2C1B1C25">
                  <w:pPr>
                    <w:spacing w:line="264" w:lineRule="auto"/>
                    <w:jc w:val="center"/>
                    <w:rPr>
                      <w:bCs/>
                      <w:kern w:val="0"/>
                      <w:szCs w:val="21"/>
                    </w:rPr>
                  </w:pPr>
                  <w:r>
                    <w:rPr>
                      <w:szCs w:val="21"/>
                    </w:rPr>
                    <w:t>2</w:t>
                  </w:r>
                </w:p>
              </w:tc>
              <w:tc>
                <w:tcPr>
                  <w:tcW w:w="775" w:type="dxa"/>
                  <w:tcBorders>
                    <w:bottom w:val="single" w:color="auto" w:sz="4" w:space="0"/>
                    <w:tl2br w:val="nil"/>
                    <w:tr2bl w:val="nil"/>
                  </w:tcBorders>
                  <w:vAlign w:val="center"/>
                </w:tcPr>
                <w:p w14:paraId="311C5D0C">
                  <w:pPr>
                    <w:spacing w:line="264" w:lineRule="auto"/>
                    <w:jc w:val="center"/>
                    <w:rPr>
                      <w:rFonts w:hint="eastAsia" w:eastAsia="宋体"/>
                      <w:bCs/>
                      <w:kern w:val="0"/>
                      <w:szCs w:val="21"/>
                      <w:lang w:eastAsia="zh-CN"/>
                    </w:rPr>
                  </w:pPr>
                  <w:r>
                    <w:rPr>
                      <w:rFonts w:hint="eastAsia"/>
                      <w:szCs w:val="21"/>
                      <w:lang w:val="en-US" w:eastAsia="zh-CN"/>
                    </w:rPr>
                    <w:t>2</w:t>
                  </w:r>
                </w:p>
              </w:tc>
              <w:tc>
                <w:tcPr>
                  <w:tcW w:w="738" w:type="dxa"/>
                  <w:tcBorders>
                    <w:bottom w:val="single" w:color="auto" w:sz="4" w:space="0"/>
                    <w:tl2br w:val="nil"/>
                    <w:tr2bl w:val="nil"/>
                  </w:tcBorders>
                  <w:vAlign w:val="center"/>
                </w:tcPr>
                <w:p w14:paraId="50AB9DEC">
                  <w:pPr>
                    <w:spacing w:line="264" w:lineRule="auto"/>
                    <w:jc w:val="center"/>
                    <w:rPr>
                      <w:rFonts w:hint="eastAsia" w:eastAsia="宋体"/>
                      <w:bCs/>
                      <w:kern w:val="0"/>
                      <w:szCs w:val="21"/>
                      <w:lang w:eastAsia="zh-CN"/>
                    </w:rPr>
                  </w:pPr>
                  <w:r>
                    <w:rPr>
                      <w:rFonts w:hint="eastAsia"/>
                      <w:szCs w:val="21"/>
                      <w:lang w:val="en-US" w:eastAsia="zh-CN"/>
                    </w:rPr>
                    <w:t>2</w:t>
                  </w:r>
                </w:p>
              </w:tc>
              <w:tc>
                <w:tcPr>
                  <w:tcW w:w="1779" w:type="dxa"/>
                  <w:tcBorders>
                    <w:bottom w:val="single" w:color="auto" w:sz="4" w:space="0"/>
                    <w:tl2br w:val="nil"/>
                    <w:tr2bl w:val="nil"/>
                  </w:tcBorders>
                  <w:vAlign w:val="center"/>
                </w:tcPr>
                <w:p w14:paraId="19230939">
                  <w:pPr>
                    <w:widowControl/>
                    <w:tabs>
                      <w:tab w:val="left" w:pos="1021"/>
                    </w:tabs>
                    <w:jc w:val="center"/>
                    <w:textAlignment w:val="top"/>
                    <w:rPr>
                      <w:bCs/>
                      <w:kern w:val="0"/>
                      <w:szCs w:val="21"/>
                    </w:rPr>
                  </w:pPr>
                  <w:r>
                    <w:rPr>
                      <w:rFonts w:hint="eastAsia"/>
                      <w:bCs/>
                      <w:kern w:val="0"/>
                      <w:szCs w:val="21"/>
                    </w:rPr>
                    <w:t>/</w:t>
                  </w:r>
                </w:p>
              </w:tc>
            </w:tr>
            <w:tr w14:paraId="5D671A04">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15" w:type="dxa"/>
                  <w:left w:w="15" w:type="dxa"/>
                  <w:bottom w:w="15" w:type="dxa"/>
                  <w:right w:w="15" w:type="dxa"/>
                </w:tblCellMar>
              </w:tblPrEx>
              <w:trPr>
                <w:trHeight w:val="96" w:hRule="atLeast"/>
                <w:jc w:val="center"/>
              </w:trPr>
              <w:tc>
                <w:tcPr>
                  <w:tcW w:w="758" w:type="dxa"/>
                  <w:vMerge w:val="continue"/>
                  <w:tcBorders>
                    <w:tl2br w:val="nil"/>
                    <w:tr2bl w:val="nil"/>
                  </w:tcBorders>
                  <w:vAlign w:val="center"/>
                </w:tcPr>
                <w:p w14:paraId="2248F5E7">
                  <w:pPr>
                    <w:widowControl/>
                    <w:tabs>
                      <w:tab w:val="left" w:pos="1021"/>
                    </w:tabs>
                    <w:jc w:val="center"/>
                    <w:textAlignment w:val="top"/>
                    <w:rPr>
                      <w:bCs/>
                      <w:kern w:val="0"/>
                      <w:szCs w:val="21"/>
                    </w:rPr>
                  </w:pPr>
                </w:p>
              </w:tc>
              <w:tc>
                <w:tcPr>
                  <w:tcW w:w="1138" w:type="dxa"/>
                  <w:vMerge w:val="continue"/>
                  <w:tcBorders>
                    <w:tl2br w:val="nil"/>
                    <w:tr2bl w:val="nil"/>
                  </w:tcBorders>
                  <w:vAlign w:val="center"/>
                </w:tcPr>
                <w:p w14:paraId="1ABF7A61">
                  <w:pPr>
                    <w:widowControl/>
                    <w:tabs>
                      <w:tab w:val="left" w:pos="1021"/>
                    </w:tabs>
                    <w:jc w:val="center"/>
                    <w:textAlignment w:val="top"/>
                    <w:rPr>
                      <w:szCs w:val="21"/>
                    </w:rPr>
                  </w:pPr>
                </w:p>
              </w:tc>
              <w:tc>
                <w:tcPr>
                  <w:tcW w:w="1250" w:type="dxa"/>
                  <w:tcBorders>
                    <w:top w:val="single" w:color="auto" w:sz="4" w:space="0"/>
                    <w:bottom w:val="single" w:color="auto" w:sz="4" w:space="0"/>
                    <w:tl2br w:val="nil"/>
                    <w:tr2bl w:val="nil"/>
                  </w:tcBorders>
                  <w:vAlign w:val="center"/>
                </w:tcPr>
                <w:p w14:paraId="0D6DAC49">
                  <w:pPr>
                    <w:spacing w:line="264" w:lineRule="auto"/>
                    <w:jc w:val="center"/>
                    <w:rPr>
                      <w:bCs/>
                      <w:kern w:val="0"/>
                      <w:szCs w:val="21"/>
                    </w:rPr>
                  </w:pPr>
                  <w:r>
                    <w:rPr>
                      <w:szCs w:val="21"/>
                    </w:rPr>
                    <w:t>HTL140-F5B</w:t>
                  </w:r>
                </w:p>
              </w:tc>
              <w:tc>
                <w:tcPr>
                  <w:tcW w:w="863" w:type="dxa"/>
                  <w:tcBorders>
                    <w:top w:val="single" w:color="auto" w:sz="4" w:space="0"/>
                    <w:bottom w:val="single" w:color="auto" w:sz="4" w:space="0"/>
                    <w:tl2br w:val="nil"/>
                    <w:tr2bl w:val="nil"/>
                  </w:tcBorders>
                  <w:vAlign w:val="center"/>
                </w:tcPr>
                <w:p w14:paraId="0F64ED3E">
                  <w:pPr>
                    <w:spacing w:line="264" w:lineRule="auto"/>
                    <w:jc w:val="center"/>
                    <w:rPr>
                      <w:bCs/>
                      <w:kern w:val="0"/>
                      <w:szCs w:val="21"/>
                    </w:rPr>
                  </w:pPr>
                  <w:r>
                    <w:rPr>
                      <w:szCs w:val="21"/>
                    </w:rPr>
                    <w:t>台</w:t>
                  </w:r>
                </w:p>
              </w:tc>
              <w:tc>
                <w:tcPr>
                  <w:tcW w:w="787" w:type="dxa"/>
                  <w:tcBorders>
                    <w:top w:val="single" w:color="auto" w:sz="4" w:space="0"/>
                    <w:bottom w:val="single" w:color="auto" w:sz="4" w:space="0"/>
                    <w:tl2br w:val="nil"/>
                    <w:tr2bl w:val="nil"/>
                  </w:tcBorders>
                  <w:vAlign w:val="center"/>
                </w:tcPr>
                <w:p w14:paraId="5D635C87">
                  <w:pPr>
                    <w:spacing w:line="264" w:lineRule="auto"/>
                    <w:jc w:val="center"/>
                    <w:rPr>
                      <w:bCs/>
                      <w:kern w:val="0"/>
                      <w:szCs w:val="21"/>
                    </w:rPr>
                  </w:pPr>
                  <w:r>
                    <w:rPr>
                      <w:szCs w:val="21"/>
                    </w:rPr>
                    <w:t>1</w:t>
                  </w:r>
                </w:p>
              </w:tc>
              <w:tc>
                <w:tcPr>
                  <w:tcW w:w="775" w:type="dxa"/>
                  <w:tcBorders>
                    <w:top w:val="single" w:color="auto" w:sz="4" w:space="0"/>
                    <w:bottom w:val="single" w:color="auto" w:sz="4" w:space="0"/>
                    <w:tl2br w:val="nil"/>
                    <w:tr2bl w:val="nil"/>
                  </w:tcBorders>
                  <w:vAlign w:val="center"/>
                </w:tcPr>
                <w:p w14:paraId="6A622AED">
                  <w:pPr>
                    <w:spacing w:line="264" w:lineRule="auto"/>
                    <w:jc w:val="center"/>
                    <w:rPr>
                      <w:bCs/>
                      <w:kern w:val="0"/>
                      <w:szCs w:val="21"/>
                    </w:rPr>
                  </w:pPr>
                  <w:r>
                    <w:rPr>
                      <w:szCs w:val="21"/>
                    </w:rPr>
                    <w:t>1</w:t>
                  </w:r>
                </w:p>
              </w:tc>
              <w:tc>
                <w:tcPr>
                  <w:tcW w:w="738" w:type="dxa"/>
                  <w:tcBorders>
                    <w:top w:val="single" w:color="auto" w:sz="4" w:space="0"/>
                    <w:bottom w:val="single" w:color="auto" w:sz="4" w:space="0"/>
                    <w:tl2br w:val="nil"/>
                    <w:tr2bl w:val="nil"/>
                  </w:tcBorders>
                  <w:vAlign w:val="center"/>
                </w:tcPr>
                <w:p w14:paraId="6D3DF5D4">
                  <w:pPr>
                    <w:spacing w:line="264" w:lineRule="auto"/>
                    <w:jc w:val="center"/>
                    <w:rPr>
                      <w:bCs/>
                      <w:kern w:val="0"/>
                      <w:szCs w:val="21"/>
                    </w:rPr>
                  </w:pPr>
                  <w:r>
                    <w:rPr>
                      <w:szCs w:val="21"/>
                    </w:rPr>
                    <w:t>1</w:t>
                  </w:r>
                </w:p>
              </w:tc>
              <w:tc>
                <w:tcPr>
                  <w:tcW w:w="1779" w:type="dxa"/>
                  <w:tcBorders>
                    <w:top w:val="single" w:color="auto" w:sz="4" w:space="0"/>
                    <w:bottom w:val="single" w:color="auto" w:sz="4" w:space="0"/>
                    <w:tl2br w:val="nil"/>
                    <w:tr2bl w:val="nil"/>
                  </w:tcBorders>
                  <w:vAlign w:val="center"/>
                </w:tcPr>
                <w:p w14:paraId="31C61115">
                  <w:pPr>
                    <w:widowControl/>
                    <w:tabs>
                      <w:tab w:val="left" w:pos="1021"/>
                    </w:tabs>
                    <w:jc w:val="center"/>
                    <w:textAlignment w:val="top"/>
                    <w:rPr>
                      <w:bCs/>
                      <w:kern w:val="0"/>
                      <w:szCs w:val="21"/>
                    </w:rPr>
                  </w:pPr>
                  <w:r>
                    <w:rPr>
                      <w:rFonts w:hint="eastAsia"/>
                      <w:bCs/>
                      <w:kern w:val="0"/>
                      <w:szCs w:val="21"/>
                    </w:rPr>
                    <w:t>/</w:t>
                  </w:r>
                </w:p>
              </w:tc>
            </w:tr>
            <w:tr w14:paraId="7D538945">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15" w:type="dxa"/>
                  <w:left w:w="15" w:type="dxa"/>
                  <w:bottom w:w="15" w:type="dxa"/>
                  <w:right w:w="15" w:type="dxa"/>
                </w:tblCellMar>
              </w:tblPrEx>
              <w:trPr>
                <w:trHeight w:val="115" w:hRule="atLeast"/>
                <w:jc w:val="center"/>
              </w:trPr>
              <w:tc>
                <w:tcPr>
                  <w:tcW w:w="758" w:type="dxa"/>
                  <w:vMerge w:val="continue"/>
                  <w:tcBorders>
                    <w:tl2br w:val="nil"/>
                    <w:tr2bl w:val="nil"/>
                  </w:tcBorders>
                  <w:vAlign w:val="center"/>
                </w:tcPr>
                <w:p w14:paraId="5D4A379E">
                  <w:pPr>
                    <w:widowControl/>
                    <w:tabs>
                      <w:tab w:val="left" w:pos="1021"/>
                    </w:tabs>
                    <w:jc w:val="center"/>
                    <w:textAlignment w:val="top"/>
                    <w:rPr>
                      <w:bCs/>
                      <w:kern w:val="0"/>
                      <w:szCs w:val="21"/>
                    </w:rPr>
                  </w:pPr>
                </w:p>
              </w:tc>
              <w:tc>
                <w:tcPr>
                  <w:tcW w:w="1138" w:type="dxa"/>
                  <w:vMerge w:val="continue"/>
                  <w:tcBorders>
                    <w:tl2br w:val="nil"/>
                    <w:tr2bl w:val="nil"/>
                  </w:tcBorders>
                  <w:vAlign w:val="center"/>
                </w:tcPr>
                <w:p w14:paraId="77740E64">
                  <w:pPr>
                    <w:widowControl/>
                    <w:tabs>
                      <w:tab w:val="left" w:pos="1021"/>
                    </w:tabs>
                    <w:jc w:val="center"/>
                    <w:textAlignment w:val="top"/>
                    <w:rPr>
                      <w:szCs w:val="21"/>
                    </w:rPr>
                  </w:pPr>
                </w:p>
              </w:tc>
              <w:tc>
                <w:tcPr>
                  <w:tcW w:w="1250" w:type="dxa"/>
                  <w:tcBorders>
                    <w:top w:val="single" w:color="auto" w:sz="4" w:space="0"/>
                    <w:bottom w:val="single" w:color="auto" w:sz="4" w:space="0"/>
                    <w:tl2br w:val="nil"/>
                    <w:tr2bl w:val="nil"/>
                  </w:tcBorders>
                  <w:vAlign w:val="center"/>
                </w:tcPr>
                <w:p w14:paraId="4623D5D6">
                  <w:pPr>
                    <w:spacing w:line="264" w:lineRule="auto"/>
                    <w:jc w:val="center"/>
                    <w:rPr>
                      <w:bCs/>
                      <w:kern w:val="0"/>
                      <w:szCs w:val="21"/>
                    </w:rPr>
                  </w:pPr>
                  <w:r>
                    <w:rPr>
                      <w:szCs w:val="21"/>
                    </w:rPr>
                    <w:t>HTL500-F6</w:t>
                  </w:r>
                </w:p>
              </w:tc>
              <w:tc>
                <w:tcPr>
                  <w:tcW w:w="863" w:type="dxa"/>
                  <w:tcBorders>
                    <w:top w:val="single" w:color="auto" w:sz="4" w:space="0"/>
                    <w:bottom w:val="single" w:color="auto" w:sz="4" w:space="0"/>
                    <w:tl2br w:val="nil"/>
                    <w:tr2bl w:val="nil"/>
                  </w:tcBorders>
                  <w:vAlign w:val="center"/>
                </w:tcPr>
                <w:p w14:paraId="2258FA5B">
                  <w:pPr>
                    <w:spacing w:line="264" w:lineRule="auto"/>
                    <w:jc w:val="center"/>
                    <w:rPr>
                      <w:bCs/>
                      <w:kern w:val="0"/>
                      <w:szCs w:val="21"/>
                    </w:rPr>
                  </w:pPr>
                  <w:r>
                    <w:rPr>
                      <w:szCs w:val="21"/>
                    </w:rPr>
                    <w:t>台</w:t>
                  </w:r>
                </w:p>
              </w:tc>
              <w:tc>
                <w:tcPr>
                  <w:tcW w:w="787" w:type="dxa"/>
                  <w:tcBorders>
                    <w:top w:val="single" w:color="auto" w:sz="4" w:space="0"/>
                    <w:bottom w:val="single" w:color="auto" w:sz="4" w:space="0"/>
                    <w:tl2br w:val="nil"/>
                    <w:tr2bl w:val="nil"/>
                  </w:tcBorders>
                  <w:vAlign w:val="center"/>
                </w:tcPr>
                <w:p w14:paraId="791DE581">
                  <w:pPr>
                    <w:spacing w:line="264" w:lineRule="auto"/>
                    <w:jc w:val="center"/>
                    <w:rPr>
                      <w:bCs/>
                      <w:kern w:val="0"/>
                      <w:szCs w:val="21"/>
                    </w:rPr>
                  </w:pPr>
                  <w:r>
                    <w:rPr>
                      <w:szCs w:val="21"/>
                    </w:rPr>
                    <w:t>1</w:t>
                  </w:r>
                </w:p>
              </w:tc>
              <w:tc>
                <w:tcPr>
                  <w:tcW w:w="775" w:type="dxa"/>
                  <w:tcBorders>
                    <w:top w:val="single" w:color="auto" w:sz="4" w:space="0"/>
                    <w:bottom w:val="single" w:color="auto" w:sz="4" w:space="0"/>
                    <w:tl2br w:val="nil"/>
                    <w:tr2bl w:val="nil"/>
                  </w:tcBorders>
                  <w:vAlign w:val="center"/>
                </w:tcPr>
                <w:p w14:paraId="39BA5D0A">
                  <w:pPr>
                    <w:spacing w:line="264" w:lineRule="auto"/>
                    <w:jc w:val="center"/>
                    <w:rPr>
                      <w:bCs/>
                      <w:kern w:val="0"/>
                      <w:szCs w:val="21"/>
                    </w:rPr>
                  </w:pPr>
                  <w:r>
                    <w:rPr>
                      <w:szCs w:val="21"/>
                    </w:rPr>
                    <w:t>1</w:t>
                  </w:r>
                </w:p>
              </w:tc>
              <w:tc>
                <w:tcPr>
                  <w:tcW w:w="738" w:type="dxa"/>
                  <w:tcBorders>
                    <w:top w:val="single" w:color="auto" w:sz="4" w:space="0"/>
                    <w:bottom w:val="single" w:color="auto" w:sz="4" w:space="0"/>
                    <w:tl2br w:val="nil"/>
                    <w:tr2bl w:val="nil"/>
                  </w:tcBorders>
                  <w:vAlign w:val="center"/>
                </w:tcPr>
                <w:p w14:paraId="5510CF28">
                  <w:pPr>
                    <w:spacing w:line="264" w:lineRule="auto"/>
                    <w:jc w:val="center"/>
                    <w:rPr>
                      <w:bCs/>
                      <w:kern w:val="0"/>
                      <w:szCs w:val="21"/>
                    </w:rPr>
                  </w:pPr>
                  <w:r>
                    <w:rPr>
                      <w:szCs w:val="21"/>
                    </w:rPr>
                    <w:t>1</w:t>
                  </w:r>
                </w:p>
              </w:tc>
              <w:tc>
                <w:tcPr>
                  <w:tcW w:w="1779" w:type="dxa"/>
                  <w:tcBorders>
                    <w:top w:val="single" w:color="auto" w:sz="4" w:space="0"/>
                    <w:bottom w:val="single" w:color="auto" w:sz="4" w:space="0"/>
                    <w:tl2br w:val="nil"/>
                    <w:tr2bl w:val="nil"/>
                  </w:tcBorders>
                  <w:vAlign w:val="center"/>
                </w:tcPr>
                <w:p w14:paraId="2D48AF48">
                  <w:pPr>
                    <w:widowControl/>
                    <w:tabs>
                      <w:tab w:val="left" w:pos="1021"/>
                    </w:tabs>
                    <w:jc w:val="center"/>
                    <w:textAlignment w:val="top"/>
                    <w:rPr>
                      <w:bCs/>
                      <w:kern w:val="0"/>
                      <w:szCs w:val="21"/>
                    </w:rPr>
                  </w:pPr>
                  <w:r>
                    <w:rPr>
                      <w:rFonts w:hint="eastAsia"/>
                      <w:bCs/>
                      <w:kern w:val="0"/>
                      <w:szCs w:val="21"/>
                    </w:rPr>
                    <w:t>/</w:t>
                  </w:r>
                </w:p>
              </w:tc>
            </w:tr>
            <w:tr w14:paraId="156C7489">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15" w:type="dxa"/>
                  <w:left w:w="15" w:type="dxa"/>
                  <w:bottom w:w="15" w:type="dxa"/>
                  <w:right w:w="15" w:type="dxa"/>
                </w:tblCellMar>
              </w:tblPrEx>
              <w:trPr>
                <w:trHeight w:val="172" w:hRule="atLeast"/>
                <w:jc w:val="center"/>
              </w:trPr>
              <w:tc>
                <w:tcPr>
                  <w:tcW w:w="758" w:type="dxa"/>
                  <w:vMerge w:val="continue"/>
                  <w:tcBorders>
                    <w:tl2br w:val="nil"/>
                    <w:tr2bl w:val="nil"/>
                  </w:tcBorders>
                  <w:vAlign w:val="center"/>
                </w:tcPr>
                <w:p w14:paraId="7C2704B2">
                  <w:pPr>
                    <w:widowControl/>
                    <w:tabs>
                      <w:tab w:val="left" w:pos="1021"/>
                    </w:tabs>
                    <w:jc w:val="center"/>
                    <w:textAlignment w:val="top"/>
                    <w:rPr>
                      <w:bCs/>
                      <w:kern w:val="0"/>
                      <w:szCs w:val="21"/>
                    </w:rPr>
                  </w:pPr>
                </w:p>
              </w:tc>
              <w:tc>
                <w:tcPr>
                  <w:tcW w:w="1138" w:type="dxa"/>
                  <w:vMerge w:val="continue"/>
                  <w:tcBorders>
                    <w:tl2br w:val="nil"/>
                    <w:tr2bl w:val="nil"/>
                  </w:tcBorders>
                  <w:vAlign w:val="center"/>
                </w:tcPr>
                <w:p w14:paraId="43EC64F3">
                  <w:pPr>
                    <w:widowControl/>
                    <w:tabs>
                      <w:tab w:val="left" w:pos="1021"/>
                    </w:tabs>
                    <w:jc w:val="center"/>
                    <w:textAlignment w:val="top"/>
                    <w:rPr>
                      <w:szCs w:val="21"/>
                    </w:rPr>
                  </w:pPr>
                </w:p>
              </w:tc>
              <w:tc>
                <w:tcPr>
                  <w:tcW w:w="1250" w:type="dxa"/>
                  <w:tcBorders>
                    <w:top w:val="single" w:color="auto" w:sz="4" w:space="0"/>
                    <w:bottom w:val="single" w:color="auto" w:sz="4" w:space="0"/>
                    <w:tl2br w:val="nil"/>
                    <w:tr2bl w:val="nil"/>
                  </w:tcBorders>
                  <w:vAlign w:val="center"/>
                </w:tcPr>
                <w:p w14:paraId="19A30FA8">
                  <w:pPr>
                    <w:spacing w:line="264" w:lineRule="auto"/>
                    <w:jc w:val="center"/>
                    <w:rPr>
                      <w:bCs/>
                      <w:kern w:val="0"/>
                      <w:szCs w:val="21"/>
                    </w:rPr>
                  </w:pPr>
                  <w:r>
                    <w:rPr>
                      <w:szCs w:val="21"/>
                    </w:rPr>
                    <w:t>HTL600-F7B</w:t>
                  </w:r>
                </w:p>
              </w:tc>
              <w:tc>
                <w:tcPr>
                  <w:tcW w:w="863" w:type="dxa"/>
                  <w:tcBorders>
                    <w:top w:val="single" w:color="auto" w:sz="4" w:space="0"/>
                    <w:bottom w:val="single" w:color="auto" w:sz="4" w:space="0"/>
                    <w:tl2br w:val="nil"/>
                    <w:tr2bl w:val="nil"/>
                  </w:tcBorders>
                  <w:vAlign w:val="center"/>
                </w:tcPr>
                <w:p w14:paraId="6CC82853">
                  <w:pPr>
                    <w:spacing w:line="264" w:lineRule="auto"/>
                    <w:jc w:val="center"/>
                    <w:rPr>
                      <w:bCs/>
                      <w:kern w:val="0"/>
                      <w:szCs w:val="21"/>
                    </w:rPr>
                  </w:pPr>
                  <w:r>
                    <w:rPr>
                      <w:szCs w:val="21"/>
                    </w:rPr>
                    <w:t>台</w:t>
                  </w:r>
                </w:p>
              </w:tc>
              <w:tc>
                <w:tcPr>
                  <w:tcW w:w="787" w:type="dxa"/>
                  <w:tcBorders>
                    <w:top w:val="single" w:color="auto" w:sz="4" w:space="0"/>
                    <w:bottom w:val="single" w:color="auto" w:sz="4" w:space="0"/>
                    <w:tl2br w:val="nil"/>
                    <w:tr2bl w:val="nil"/>
                  </w:tcBorders>
                  <w:vAlign w:val="center"/>
                </w:tcPr>
                <w:p w14:paraId="1E8ED3D6">
                  <w:pPr>
                    <w:spacing w:line="264" w:lineRule="auto"/>
                    <w:jc w:val="center"/>
                    <w:rPr>
                      <w:bCs/>
                      <w:kern w:val="0"/>
                      <w:szCs w:val="21"/>
                    </w:rPr>
                  </w:pPr>
                  <w:r>
                    <w:rPr>
                      <w:szCs w:val="21"/>
                    </w:rPr>
                    <w:t>1</w:t>
                  </w:r>
                </w:p>
              </w:tc>
              <w:tc>
                <w:tcPr>
                  <w:tcW w:w="775" w:type="dxa"/>
                  <w:tcBorders>
                    <w:top w:val="single" w:color="auto" w:sz="4" w:space="0"/>
                    <w:bottom w:val="single" w:color="auto" w:sz="4" w:space="0"/>
                    <w:tl2br w:val="nil"/>
                    <w:tr2bl w:val="nil"/>
                  </w:tcBorders>
                  <w:vAlign w:val="center"/>
                </w:tcPr>
                <w:p w14:paraId="23212EA8">
                  <w:pPr>
                    <w:spacing w:line="264" w:lineRule="auto"/>
                    <w:jc w:val="center"/>
                    <w:rPr>
                      <w:bCs/>
                      <w:kern w:val="0"/>
                      <w:szCs w:val="21"/>
                    </w:rPr>
                  </w:pPr>
                  <w:r>
                    <w:rPr>
                      <w:szCs w:val="21"/>
                    </w:rPr>
                    <w:t>1</w:t>
                  </w:r>
                </w:p>
              </w:tc>
              <w:tc>
                <w:tcPr>
                  <w:tcW w:w="738" w:type="dxa"/>
                  <w:tcBorders>
                    <w:top w:val="single" w:color="auto" w:sz="4" w:space="0"/>
                    <w:bottom w:val="single" w:color="auto" w:sz="4" w:space="0"/>
                    <w:tl2br w:val="nil"/>
                    <w:tr2bl w:val="nil"/>
                  </w:tcBorders>
                  <w:vAlign w:val="center"/>
                </w:tcPr>
                <w:p w14:paraId="53F2D5D9">
                  <w:pPr>
                    <w:spacing w:line="264" w:lineRule="auto"/>
                    <w:jc w:val="center"/>
                    <w:rPr>
                      <w:bCs/>
                      <w:kern w:val="0"/>
                      <w:szCs w:val="21"/>
                    </w:rPr>
                  </w:pPr>
                  <w:r>
                    <w:rPr>
                      <w:szCs w:val="21"/>
                    </w:rPr>
                    <w:t>1</w:t>
                  </w:r>
                </w:p>
              </w:tc>
              <w:tc>
                <w:tcPr>
                  <w:tcW w:w="1779" w:type="dxa"/>
                  <w:tcBorders>
                    <w:top w:val="single" w:color="auto" w:sz="4" w:space="0"/>
                    <w:bottom w:val="single" w:color="auto" w:sz="4" w:space="0"/>
                    <w:tl2br w:val="nil"/>
                    <w:tr2bl w:val="nil"/>
                  </w:tcBorders>
                  <w:vAlign w:val="center"/>
                </w:tcPr>
                <w:p w14:paraId="5EEB5E1C">
                  <w:pPr>
                    <w:widowControl/>
                    <w:tabs>
                      <w:tab w:val="left" w:pos="1021"/>
                    </w:tabs>
                    <w:jc w:val="center"/>
                    <w:textAlignment w:val="top"/>
                    <w:rPr>
                      <w:bCs/>
                      <w:kern w:val="0"/>
                      <w:szCs w:val="21"/>
                    </w:rPr>
                  </w:pPr>
                  <w:r>
                    <w:rPr>
                      <w:rFonts w:hint="eastAsia"/>
                      <w:bCs/>
                      <w:kern w:val="0"/>
                      <w:szCs w:val="21"/>
                    </w:rPr>
                    <w:t>/</w:t>
                  </w:r>
                </w:p>
              </w:tc>
            </w:tr>
            <w:tr w14:paraId="401AC3CA">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15" w:type="dxa"/>
                  <w:left w:w="15" w:type="dxa"/>
                  <w:bottom w:w="15" w:type="dxa"/>
                  <w:right w:w="15" w:type="dxa"/>
                </w:tblCellMar>
              </w:tblPrEx>
              <w:trPr>
                <w:trHeight w:val="127" w:hRule="atLeast"/>
                <w:jc w:val="center"/>
              </w:trPr>
              <w:tc>
                <w:tcPr>
                  <w:tcW w:w="758" w:type="dxa"/>
                  <w:vMerge w:val="continue"/>
                  <w:tcBorders>
                    <w:tl2br w:val="nil"/>
                    <w:tr2bl w:val="nil"/>
                  </w:tcBorders>
                  <w:vAlign w:val="center"/>
                </w:tcPr>
                <w:p w14:paraId="23D3E238">
                  <w:pPr>
                    <w:widowControl/>
                    <w:tabs>
                      <w:tab w:val="left" w:pos="1021"/>
                    </w:tabs>
                    <w:jc w:val="center"/>
                    <w:textAlignment w:val="top"/>
                    <w:rPr>
                      <w:bCs/>
                      <w:kern w:val="0"/>
                      <w:szCs w:val="21"/>
                    </w:rPr>
                  </w:pPr>
                </w:p>
              </w:tc>
              <w:tc>
                <w:tcPr>
                  <w:tcW w:w="1138" w:type="dxa"/>
                  <w:vMerge w:val="continue"/>
                  <w:tcBorders>
                    <w:tl2br w:val="nil"/>
                    <w:tr2bl w:val="nil"/>
                  </w:tcBorders>
                  <w:vAlign w:val="center"/>
                </w:tcPr>
                <w:p w14:paraId="581FD5C7">
                  <w:pPr>
                    <w:widowControl/>
                    <w:tabs>
                      <w:tab w:val="left" w:pos="1021"/>
                    </w:tabs>
                    <w:jc w:val="center"/>
                    <w:textAlignment w:val="top"/>
                    <w:rPr>
                      <w:szCs w:val="21"/>
                    </w:rPr>
                  </w:pPr>
                </w:p>
              </w:tc>
              <w:tc>
                <w:tcPr>
                  <w:tcW w:w="1250" w:type="dxa"/>
                  <w:tcBorders>
                    <w:top w:val="single" w:color="auto" w:sz="4" w:space="0"/>
                    <w:bottom w:val="single" w:color="auto" w:sz="4" w:space="0"/>
                    <w:tl2br w:val="nil"/>
                    <w:tr2bl w:val="nil"/>
                  </w:tcBorders>
                  <w:vAlign w:val="center"/>
                </w:tcPr>
                <w:p w14:paraId="465DD8DA">
                  <w:pPr>
                    <w:spacing w:line="264" w:lineRule="auto"/>
                    <w:jc w:val="center"/>
                    <w:rPr>
                      <w:bCs/>
                      <w:kern w:val="0"/>
                      <w:szCs w:val="21"/>
                    </w:rPr>
                  </w:pPr>
                  <w:r>
                    <w:rPr>
                      <w:szCs w:val="21"/>
                    </w:rPr>
                    <w:t>HTL160-F5B</w:t>
                  </w:r>
                </w:p>
              </w:tc>
              <w:tc>
                <w:tcPr>
                  <w:tcW w:w="863" w:type="dxa"/>
                  <w:tcBorders>
                    <w:top w:val="single" w:color="auto" w:sz="4" w:space="0"/>
                    <w:bottom w:val="single" w:color="auto" w:sz="4" w:space="0"/>
                    <w:tl2br w:val="nil"/>
                    <w:tr2bl w:val="nil"/>
                  </w:tcBorders>
                  <w:vAlign w:val="center"/>
                </w:tcPr>
                <w:p w14:paraId="5F0A3D40">
                  <w:pPr>
                    <w:spacing w:line="264" w:lineRule="auto"/>
                    <w:jc w:val="center"/>
                    <w:rPr>
                      <w:bCs/>
                      <w:kern w:val="0"/>
                      <w:szCs w:val="21"/>
                    </w:rPr>
                  </w:pPr>
                  <w:r>
                    <w:rPr>
                      <w:szCs w:val="21"/>
                    </w:rPr>
                    <w:t>台</w:t>
                  </w:r>
                </w:p>
              </w:tc>
              <w:tc>
                <w:tcPr>
                  <w:tcW w:w="787" w:type="dxa"/>
                  <w:tcBorders>
                    <w:top w:val="single" w:color="auto" w:sz="4" w:space="0"/>
                    <w:bottom w:val="single" w:color="auto" w:sz="4" w:space="0"/>
                    <w:tl2br w:val="nil"/>
                    <w:tr2bl w:val="nil"/>
                  </w:tcBorders>
                  <w:vAlign w:val="center"/>
                </w:tcPr>
                <w:p w14:paraId="1A2B9C26">
                  <w:pPr>
                    <w:spacing w:line="264" w:lineRule="auto"/>
                    <w:jc w:val="center"/>
                    <w:rPr>
                      <w:bCs/>
                      <w:kern w:val="0"/>
                      <w:szCs w:val="21"/>
                    </w:rPr>
                  </w:pPr>
                  <w:r>
                    <w:rPr>
                      <w:szCs w:val="21"/>
                    </w:rPr>
                    <w:t>1</w:t>
                  </w:r>
                </w:p>
              </w:tc>
              <w:tc>
                <w:tcPr>
                  <w:tcW w:w="775" w:type="dxa"/>
                  <w:tcBorders>
                    <w:top w:val="single" w:color="auto" w:sz="4" w:space="0"/>
                    <w:bottom w:val="single" w:color="auto" w:sz="4" w:space="0"/>
                    <w:tl2br w:val="nil"/>
                    <w:tr2bl w:val="nil"/>
                  </w:tcBorders>
                  <w:vAlign w:val="center"/>
                </w:tcPr>
                <w:p w14:paraId="623FBF5A">
                  <w:pPr>
                    <w:spacing w:line="264" w:lineRule="auto"/>
                    <w:jc w:val="center"/>
                    <w:rPr>
                      <w:bCs/>
                      <w:kern w:val="0"/>
                      <w:szCs w:val="21"/>
                    </w:rPr>
                  </w:pPr>
                  <w:r>
                    <w:rPr>
                      <w:szCs w:val="21"/>
                    </w:rPr>
                    <w:t>1</w:t>
                  </w:r>
                </w:p>
              </w:tc>
              <w:tc>
                <w:tcPr>
                  <w:tcW w:w="738" w:type="dxa"/>
                  <w:tcBorders>
                    <w:top w:val="single" w:color="auto" w:sz="4" w:space="0"/>
                    <w:bottom w:val="single" w:color="auto" w:sz="4" w:space="0"/>
                    <w:tl2br w:val="nil"/>
                    <w:tr2bl w:val="nil"/>
                  </w:tcBorders>
                  <w:vAlign w:val="center"/>
                </w:tcPr>
                <w:p w14:paraId="2E276915">
                  <w:pPr>
                    <w:spacing w:line="264" w:lineRule="auto"/>
                    <w:jc w:val="center"/>
                    <w:rPr>
                      <w:bCs/>
                      <w:kern w:val="0"/>
                      <w:szCs w:val="21"/>
                    </w:rPr>
                  </w:pPr>
                  <w:r>
                    <w:rPr>
                      <w:szCs w:val="21"/>
                    </w:rPr>
                    <w:t>1</w:t>
                  </w:r>
                </w:p>
              </w:tc>
              <w:tc>
                <w:tcPr>
                  <w:tcW w:w="1779" w:type="dxa"/>
                  <w:tcBorders>
                    <w:top w:val="single" w:color="auto" w:sz="4" w:space="0"/>
                    <w:bottom w:val="single" w:color="auto" w:sz="4" w:space="0"/>
                    <w:tl2br w:val="nil"/>
                    <w:tr2bl w:val="nil"/>
                  </w:tcBorders>
                  <w:vAlign w:val="center"/>
                </w:tcPr>
                <w:p w14:paraId="6B307614">
                  <w:pPr>
                    <w:widowControl/>
                    <w:tabs>
                      <w:tab w:val="left" w:pos="1021"/>
                    </w:tabs>
                    <w:jc w:val="center"/>
                    <w:textAlignment w:val="top"/>
                    <w:rPr>
                      <w:bCs/>
                      <w:kern w:val="0"/>
                      <w:szCs w:val="21"/>
                    </w:rPr>
                  </w:pPr>
                  <w:r>
                    <w:rPr>
                      <w:rFonts w:hint="eastAsia"/>
                      <w:bCs/>
                      <w:kern w:val="0"/>
                      <w:szCs w:val="21"/>
                    </w:rPr>
                    <w:t>/</w:t>
                  </w:r>
                </w:p>
              </w:tc>
            </w:tr>
            <w:tr w14:paraId="58B8E337">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15" w:type="dxa"/>
                  <w:left w:w="15" w:type="dxa"/>
                  <w:bottom w:w="15" w:type="dxa"/>
                  <w:right w:w="15" w:type="dxa"/>
                </w:tblCellMar>
              </w:tblPrEx>
              <w:trPr>
                <w:trHeight w:val="84" w:hRule="atLeast"/>
                <w:jc w:val="center"/>
              </w:trPr>
              <w:tc>
                <w:tcPr>
                  <w:tcW w:w="758" w:type="dxa"/>
                  <w:vMerge w:val="continue"/>
                  <w:tcBorders>
                    <w:tl2br w:val="nil"/>
                    <w:tr2bl w:val="nil"/>
                  </w:tcBorders>
                  <w:vAlign w:val="center"/>
                </w:tcPr>
                <w:p w14:paraId="731E27F2">
                  <w:pPr>
                    <w:widowControl/>
                    <w:tabs>
                      <w:tab w:val="left" w:pos="1021"/>
                    </w:tabs>
                    <w:jc w:val="center"/>
                    <w:textAlignment w:val="top"/>
                    <w:rPr>
                      <w:bCs/>
                      <w:kern w:val="0"/>
                      <w:szCs w:val="21"/>
                    </w:rPr>
                  </w:pPr>
                </w:p>
              </w:tc>
              <w:tc>
                <w:tcPr>
                  <w:tcW w:w="1138" w:type="dxa"/>
                  <w:vMerge w:val="continue"/>
                  <w:tcBorders>
                    <w:tl2br w:val="nil"/>
                    <w:tr2bl w:val="nil"/>
                  </w:tcBorders>
                  <w:vAlign w:val="center"/>
                </w:tcPr>
                <w:p w14:paraId="070D3770">
                  <w:pPr>
                    <w:widowControl/>
                    <w:tabs>
                      <w:tab w:val="left" w:pos="1021"/>
                    </w:tabs>
                    <w:jc w:val="center"/>
                    <w:textAlignment w:val="top"/>
                    <w:rPr>
                      <w:szCs w:val="21"/>
                    </w:rPr>
                  </w:pPr>
                </w:p>
              </w:tc>
              <w:tc>
                <w:tcPr>
                  <w:tcW w:w="1250" w:type="dxa"/>
                  <w:tcBorders>
                    <w:top w:val="single" w:color="auto" w:sz="4" w:space="0"/>
                    <w:bottom w:val="single" w:color="auto" w:sz="4" w:space="0"/>
                    <w:tl2br w:val="nil"/>
                    <w:tr2bl w:val="nil"/>
                  </w:tcBorders>
                  <w:vAlign w:val="center"/>
                </w:tcPr>
                <w:p w14:paraId="738CD4B2">
                  <w:pPr>
                    <w:spacing w:line="264" w:lineRule="auto"/>
                    <w:jc w:val="center"/>
                    <w:rPr>
                      <w:bCs/>
                      <w:color w:val="auto"/>
                      <w:kern w:val="0"/>
                      <w:szCs w:val="21"/>
                    </w:rPr>
                  </w:pPr>
                  <w:r>
                    <w:rPr>
                      <w:color w:val="auto"/>
                      <w:szCs w:val="21"/>
                    </w:rPr>
                    <w:t>HTL280-F5B</w:t>
                  </w:r>
                </w:p>
              </w:tc>
              <w:tc>
                <w:tcPr>
                  <w:tcW w:w="863" w:type="dxa"/>
                  <w:tcBorders>
                    <w:top w:val="single" w:color="auto" w:sz="4" w:space="0"/>
                    <w:bottom w:val="single" w:color="auto" w:sz="4" w:space="0"/>
                    <w:tl2br w:val="nil"/>
                    <w:tr2bl w:val="nil"/>
                  </w:tcBorders>
                  <w:vAlign w:val="center"/>
                </w:tcPr>
                <w:p w14:paraId="5CE45D83">
                  <w:pPr>
                    <w:spacing w:line="264" w:lineRule="auto"/>
                    <w:jc w:val="center"/>
                    <w:rPr>
                      <w:bCs/>
                      <w:color w:val="auto"/>
                      <w:kern w:val="0"/>
                      <w:szCs w:val="21"/>
                    </w:rPr>
                  </w:pPr>
                  <w:r>
                    <w:rPr>
                      <w:color w:val="auto"/>
                      <w:szCs w:val="21"/>
                    </w:rPr>
                    <w:t>台</w:t>
                  </w:r>
                </w:p>
              </w:tc>
              <w:tc>
                <w:tcPr>
                  <w:tcW w:w="787" w:type="dxa"/>
                  <w:tcBorders>
                    <w:top w:val="single" w:color="auto" w:sz="4" w:space="0"/>
                    <w:bottom w:val="single" w:color="auto" w:sz="4" w:space="0"/>
                    <w:tl2br w:val="nil"/>
                    <w:tr2bl w:val="nil"/>
                  </w:tcBorders>
                  <w:vAlign w:val="center"/>
                </w:tcPr>
                <w:p w14:paraId="19E6FD27">
                  <w:pPr>
                    <w:spacing w:line="264" w:lineRule="auto"/>
                    <w:jc w:val="center"/>
                    <w:rPr>
                      <w:bCs/>
                      <w:color w:val="auto"/>
                      <w:kern w:val="0"/>
                      <w:szCs w:val="21"/>
                    </w:rPr>
                  </w:pPr>
                  <w:r>
                    <w:rPr>
                      <w:color w:val="auto"/>
                      <w:szCs w:val="21"/>
                    </w:rPr>
                    <w:t>1</w:t>
                  </w:r>
                </w:p>
              </w:tc>
              <w:tc>
                <w:tcPr>
                  <w:tcW w:w="775" w:type="dxa"/>
                  <w:tcBorders>
                    <w:top w:val="single" w:color="auto" w:sz="4" w:space="0"/>
                    <w:bottom w:val="single" w:color="auto" w:sz="4" w:space="0"/>
                    <w:tl2br w:val="nil"/>
                    <w:tr2bl w:val="nil"/>
                  </w:tcBorders>
                  <w:vAlign w:val="center"/>
                </w:tcPr>
                <w:p w14:paraId="5038F562">
                  <w:pPr>
                    <w:spacing w:line="264" w:lineRule="auto"/>
                    <w:jc w:val="center"/>
                    <w:rPr>
                      <w:bCs/>
                      <w:color w:val="auto"/>
                      <w:kern w:val="0"/>
                      <w:szCs w:val="21"/>
                    </w:rPr>
                  </w:pPr>
                  <w:r>
                    <w:rPr>
                      <w:szCs w:val="21"/>
                    </w:rPr>
                    <w:t>1</w:t>
                  </w:r>
                </w:p>
              </w:tc>
              <w:tc>
                <w:tcPr>
                  <w:tcW w:w="738" w:type="dxa"/>
                  <w:tcBorders>
                    <w:top w:val="single" w:color="auto" w:sz="4" w:space="0"/>
                    <w:bottom w:val="single" w:color="auto" w:sz="4" w:space="0"/>
                    <w:tl2br w:val="nil"/>
                    <w:tr2bl w:val="nil"/>
                  </w:tcBorders>
                  <w:vAlign w:val="center"/>
                </w:tcPr>
                <w:p w14:paraId="7A3D845B">
                  <w:pPr>
                    <w:spacing w:line="264" w:lineRule="auto"/>
                    <w:jc w:val="center"/>
                    <w:rPr>
                      <w:bCs/>
                      <w:color w:val="auto"/>
                      <w:kern w:val="0"/>
                      <w:szCs w:val="21"/>
                    </w:rPr>
                  </w:pPr>
                  <w:r>
                    <w:rPr>
                      <w:szCs w:val="21"/>
                    </w:rPr>
                    <w:t>1</w:t>
                  </w:r>
                </w:p>
              </w:tc>
              <w:tc>
                <w:tcPr>
                  <w:tcW w:w="1779" w:type="dxa"/>
                  <w:tcBorders>
                    <w:top w:val="single" w:color="auto" w:sz="4" w:space="0"/>
                    <w:bottom w:val="single" w:color="auto" w:sz="4" w:space="0"/>
                    <w:tl2br w:val="nil"/>
                    <w:tr2bl w:val="nil"/>
                  </w:tcBorders>
                  <w:vAlign w:val="center"/>
                </w:tcPr>
                <w:p w14:paraId="1F7AE242">
                  <w:pPr>
                    <w:widowControl/>
                    <w:tabs>
                      <w:tab w:val="left" w:pos="1021"/>
                    </w:tabs>
                    <w:jc w:val="center"/>
                    <w:textAlignment w:val="top"/>
                    <w:rPr>
                      <w:rFonts w:hint="eastAsia" w:eastAsia="宋体"/>
                      <w:bCs/>
                      <w:color w:val="auto"/>
                      <w:kern w:val="0"/>
                      <w:szCs w:val="21"/>
                      <w:lang w:val="en-US" w:eastAsia="zh-CN"/>
                    </w:rPr>
                  </w:pPr>
                  <w:r>
                    <w:rPr>
                      <w:rFonts w:hint="eastAsia"/>
                      <w:bCs/>
                      <w:color w:val="auto"/>
                      <w:kern w:val="0"/>
                      <w:szCs w:val="21"/>
                      <w:lang w:val="en-US" w:eastAsia="zh-CN"/>
                    </w:rPr>
                    <w:t>/</w:t>
                  </w:r>
                </w:p>
              </w:tc>
            </w:tr>
            <w:tr w14:paraId="79D9875E">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15" w:type="dxa"/>
                  <w:left w:w="15" w:type="dxa"/>
                  <w:bottom w:w="15" w:type="dxa"/>
                  <w:right w:w="15" w:type="dxa"/>
                </w:tblCellMar>
              </w:tblPrEx>
              <w:trPr>
                <w:trHeight w:val="114" w:hRule="atLeast"/>
                <w:jc w:val="center"/>
              </w:trPr>
              <w:tc>
                <w:tcPr>
                  <w:tcW w:w="758" w:type="dxa"/>
                  <w:vMerge w:val="continue"/>
                  <w:tcBorders>
                    <w:tl2br w:val="nil"/>
                    <w:tr2bl w:val="nil"/>
                  </w:tcBorders>
                  <w:vAlign w:val="center"/>
                </w:tcPr>
                <w:p w14:paraId="674C43F9">
                  <w:pPr>
                    <w:widowControl/>
                    <w:tabs>
                      <w:tab w:val="left" w:pos="1021"/>
                    </w:tabs>
                    <w:jc w:val="center"/>
                    <w:textAlignment w:val="top"/>
                    <w:rPr>
                      <w:bCs/>
                      <w:kern w:val="0"/>
                      <w:szCs w:val="21"/>
                    </w:rPr>
                  </w:pPr>
                </w:p>
              </w:tc>
              <w:tc>
                <w:tcPr>
                  <w:tcW w:w="1138" w:type="dxa"/>
                  <w:vMerge w:val="continue"/>
                  <w:tcBorders>
                    <w:tl2br w:val="nil"/>
                    <w:tr2bl w:val="nil"/>
                  </w:tcBorders>
                  <w:vAlign w:val="center"/>
                </w:tcPr>
                <w:p w14:paraId="072549F8">
                  <w:pPr>
                    <w:widowControl/>
                    <w:tabs>
                      <w:tab w:val="left" w:pos="1021"/>
                    </w:tabs>
                    <w:jc w:val="center"/>
                    <w:textAlignment w:val="top"/>
                    <w:rPr>
                      <w:szCs w:val="21"/>
                    </w:rPr>
                  </w:pPr>
                </w:p>
              </w:tc>
              <w:tc>
                <w:tcPr>
                  <w:tcW w:w="1250" w:type="dxa"/>
                  <w:tcBorders>
                    <w:top w:val="single" w:color="auto" w:sz="4" w:space="0"/>
                    <w:bottom w:val="single" w:color="auto" w:sz="4" w:space="0"/>
                    <w:tl2br w:val="nil"/>
                    <w:tr2bl w:val="nil"/>
                  </w:tcBorders>
                  <w:vAlign w:val="center"/>
                </w:tcPr>
                <w:p w14:paraId="4B7A1D92">
                  <w:pPr>
                    <w:spacing w:line="264" w:lineRule="auto"/>
                    <w:jc w:val="center"/>
                    <w:rPr>
                      <w:bCs/>
                      <w:color w:val="auto"/>
                      <w:kern w:val="0"/>
                      <w:szCs w:val="21"/>
                    </w:rPr>
                  </w:pPr>
                  <w:r>
                    <w:rPr>
                      <w:color w:val="auto"/>
                      <w:szCs w:val="21"/>
                    </w:rPr>
                    <w:t>HTL250-F5B</w:t>
                  </w:r>
                </w:p>
              </w:tc>
              <w:tc>
                <w:tcPr>
                  <w:tcW w:w="863" w:type="dxa"/>
                  <w:tcBorders>
                    <w:top w:val="single" w:color="auto" w:sz="4" w:space="0"/>
                    <w:bottom w:val="single" w:color="auto" w:sz="4" w:space="0"/>
                    <w:tl2br w:val="nil"/>
                    <w:tr2bl w:val="nil"/>
                  </w:tcBorders>
                  <w:vAlign w:val="center"/>
                </w:tcPr>
                <w:p w14:paraId="253E9C6F">
                  <w:pPr>
                    <w:spacing w:line="264" w:lineRule="auto"/>
                    <w:jc w:val="center"/>
                    <w:rPr>
                      <w:bCs/>
                      <w:color w:val="auto"/>
                      <w:kern w:val="0"/>
                      <w:szCs w:val="21"/>
                    </w:rPr>
                  </w:pPr>
                  <w:r>
                    <w:rPr>
                      <w:color w:val="auto"/>
                      <w:szCs w:val="21"/>
                    </w:rPr>
                    <w:t>台</w:t>
                  </w:r>
                </w:p>
              </w:tc>
              <w:tc>
                <w:tcPr>
                  <w:tcW w:w="787" w:type="dxa"/>
                  <w:tcBorders>
                    <w:top w:val="single" w:color="auto" w:sz="4" w:space="0"/>
                    <w:bottom w:val="single" w:color="auto" w:sz="4" w:space="0"/>
                    <w:tl2br w:val="nil"/>
                    <w:tr2bl w:val="nil"/>
                  </w:tcBorders>
                  <w:vAlign w:val="center"/>
                </w:tcPr>
                <w:p w14:paraId="23EEE853">
                  <w:pPr>
                    <w:spacing w:line="264" w:lineRule="auto"/>
                    <w:jc w:val="center"/>
                    <w:rPr>
                      <w:bCs/>
                      <w:color w:val="auto"/>
                      <w:kern w:val="0"/>
                      <w:szCs w:val="21"/>
                    </w:rPr>
                  </w:pPr>
                  <w:r>
                    <w:rPr>
                      <w:color w:val="auto"/>
                      <w:szCs w:val="21"/>
                    </w:rPr>
                    <w:t>1</w:t>
                  </w:r>
                </w:p>
              </w:tc>
              <w:tc>
                <w:tcPr>
                  <w:tcW w:w="775" w:type="dxa"/>
                  <w:tcBorders>
                    <w:top w:val="single" w:color="auto" w:sz="4" w:space="0"/>
                    <w:bottom w:val="single" w:color="auto" w:sz="4" w:space="0"/>
                    <w:tl2br w:val="nil"/>
                    <w:tr2bl w:val="nil"/>
                  </w:tcBorders>
                  <w:vAlign w:val="center"/>
                </w:tcPr>
                <w:p w14:paraId="631C8FFB">
                  <w:pPr>
                    <w:spacing w:line="264" w:lineRule="auto"/>
                    <w:jc w:val="center"/>
                    <w:rPr>
                      <w:bCs/>
                      <w:color w:val="auto"/>
                      <w:kern w:val="0"/>
                      <w:szCs w:val="21"/>
                    </w:rPr>
                  </w:pPr>
                  <w:r>
                    <w:rPr>
                      <w:rFonts w:hint="eastAsia"/>
                      <w:color w:val="auto"/>
                      <w:szCs w:val="21"/>
                      <w:lang w:val="en-US" w:eastAsia="zh-CN"/>
                    </w:rPr>
                    <w:t>0</w:t>
                  </w:r>
                </w:p>
              </w:tc>
              <w:tc>
                <w:tcPr>
                  <w:tcW w:w="738" w:type="dxa"/>
                  <w:tcBorders>
                    <w:top w:val="single" w:color="auto" w:sz="4" w:space="0"/>
                    <w:bottom w:val="single" w:color="auto" w:sz="4" w:space="0"/>
                    <w:tl2br w:val="nil"/>
                    <w:tr2bl w:val="nil"/>
                  </w:tcBorders>
                  <w:vAlign w:val="center"/>
                </w:tcPr>
                <w:p w14:paraId="132F064A">
                  <w:pPr>
                    <w:spacing w:line="264" w:lineRule="auto"/>
                    <w:jc w:val="center"/>
                    <w:rPr>
                      <w:bCs/>
                      <w:color w:val="auto"/>
                      <w:kern w:val="0"/>
                      <w:szCs w:val="21"/>
                    </w:rPr>
                  </w:pPr>
                  <w:r>
                    <w:rPr>
                      <w:rFonts w:hint="eastAsia"/>
                      <w:color w:val="auto"/>
                      <w:szCs w:val="21"/>
                      <w:lang w:val="en-US" w:eastAsia="zh-CN"/>
                    </w:rPr>
                    <w:t>0</w:t>
                  </w:r>
                </w:p>
              </w:tc>
              <w:tc>
                <w:tcPr>
                  <w:tcW w:w="1779" w:type="dxa"/>
                  <w:tcBorders>
                    <w:top w:val="single" w:color="auto" w:sz="4" w:space="0"/>
                    <w:bottom w:val="single" w:color="auto" w:sz="4" w:space="0"/>
                    <w:tl2br w:val="nil"/>
                    <w:tr2bl w:val="nil"/>
                  </w:tcBorders>
                  <w:vAlign w:val="center"/>
                </w:tcPr>
                <w:p w14:paraId="4E0D162F">
                  <w:pPr>
                    <w:widowControl/>
                    <w:tabs>
                      <w:tab w:val="left" w:pos="1021"/>
                    </w:tabs>
                    <w:jc w:val="center"/>
                    <w:textAlignment w:val="top"/>
                    <w:rPr>
                      <w:rFonts w:hint="default" w:eastAsia="宋体"/>
                      <w:bCs/>
                      <w:color w:val="auto"/>
                      <w:kern w:val="0"/>
                      <w:szCs w:val="21"/>
                      <w:lang w:val="en-US" w:eastAsia="zh-CN"/>
                    </w:rPr>
                  </w:pPr>
                  <w:r>
                    <w:rPr>
                      <w:rFonts w:hint="eastAsia"/>
                      <w:bCs/>
                      <w:color w:val="auto"/>
                      <w:kern w:val="0"/>
                      <w:szCs w:val="21"/>
                      <w:lang w:val="en-US" w:eastAsia="zh-CN"/>
                    </w:rPr>
                    <w:t>设备拆除后外售</w:t>
                  </w:r>
                </w:p>
              </w:tc>
            </w:tr>
            <w:tr w14:paraId="3C7D66CF">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15" w:type="dxa"/>
                  <w:left w:w="15" w:type="dxa"/>
                  <w:bottom w:w="15" w:type="dxa"/>
                  <w:right w:w="15" w:type="dxa"/>
                </w:tblCellMar>
              </w:tblPrEx>
              <w:trPr>
                <w:trHeight w:val="167" w:hRule="atLeast"/>
                <w:jc w:val="center"/>
              </w:trPr>
              <w:tc>
                <w:tcPr>
                  <w:tcW w:w="758" w:type="dxa"/>
                  <w:vMerge w:val="continue"/>
                  <w:tcBorders>
                    <w:tl2br w:val="nil"/>
                    <w:tr2bl w:val="nil"/>
                  </w:tcBorders>
                  <w:vAlign w:val="center"/>
                </w:tcPr>
                <w:p w14:paraId="6A007742">
                  <w:pPr>
                    <w:widowControl/>
                    <w:tabs>
                      <w:tab w:val="left" w:pos="1021"/>
                    </w:tabs>
                    <w:jc w:val="center"/>
                    <w:textAlignment w:val="top"/>
                    <w:rPr>
                      <w:bCs/>
                      <w:kern w:val="0"/>
                      <w:szCs w:val="21"/>
                    </w:rPr>
                  </w:pPr>
                </w:p>
              </w:tc>
              <w:tc>
                <w:tcPr>
                  <w:tcW w:w="1138" w:type="dxa"/>
                  <w:vMerge w:val="continue"/>
                  <w:tcBorders>
                    <w:tl2br w:val="nil"/>
                    <w:tr2bl w:val="nil"/>
                  </w:tcBorders>
                  <w:vAlign w:val="center"/>
                </w:tcPr>
                <w:p w14:paraId="38D6381E">
                  <w:pPr>
                    <w:widowControl/>
                    <w:tabs>
                      <w:tab w:val="left" w:pos="1021"/>
                    </w:tabs>
                    <w:jc w:val="center"/>
                    <w:textAlignment w:val="top"/>
                    <w:rPr>
                      <w:szCs w:val="21"/>
                    </w:rPr>
                  </w:pPr>
                </w:p>
              </w:tc>
              <w:tc>
                <w:tcPr>
                  <w:tcW w:w="1250" w:type="dxa"/>
                  <w:tcBorders>
                    <w:top w:val="single" w:color="auto" w:sz="4" w:space="0"/>
                    <w:tl2br w:val="nil"/>
                    <w:tr2bl w:val="nil"/>
                  </w:tcBorders>
                  <w:vAlign w:val="center"/>
                </w:tcPr>
                <w:p w14:paraId="586A9013">
                  <w:pPr>
                    <w:spacing w:line="264" w:lineRule="auto"/>
                    <w:jc w:val="center"/>
                    <w:rPr>
                      <w:bCs/>
                      <w:color w:val="auto"/>
                      <w:kern w:val="0"/>
                      <w:szCs w:val="21"/>
                    </w:rPr>
                  </w:pPr>
                  <w:r>
                    <w:rPr>
                      <w:color w:val="auto"/>
                      <w:szCs w:val="21"/>
                    </w:rPr>
                    <w:t>PD568-KX</w:t>
                  </w:r>
                </w:p>
              </w:tc>
              <w:tc>
                <w:tcPr>
                  <w:tcW w:w="863" w:type="dxa"/>
                  <w:tcBorders>
                    <w:top w:val="single" w:color="auto" w:sz="4" w:space="0"/>
                    <w:tl2br w:val="nil"/>
                    <w:tr2bl w:val="nil"/>
                  </w:tcBorders>
                  <w:vAlign w:val="center"/>
                </w:tcPr>
                <w:p w14:paraId="12C6BD05">
                  <w:pPr>
                    <w:spacing w:line="264" w:lineRule="auto"/>
                    <w:jc w:val="center"/>
                    <w:rPr>
                      <w:bCs/>
                      <w:color w:val="auto"/>
                      <w:kern w:val="0"/>
                      <w:szCs w:val="21"/>
                    </w:rPr>
                  </w:pPr>
                  <w:r>
                    <w:rPr>
                      <w:color w:val="auto"/>
                      <w:szCs w:val="21"/>
                    </w:rPr>
                    <w:t>台</w:t>
                  </w:r>
                </w:p>
              </w:tc>
              <w:tc>
                <w:tcPr>
                  <w:tcW w:w="787" w:type="dxa"/>
                  <w:tcBorders>
                    <w:top w:val="single" w:color="auto" w:sz="4" w:space="0"/>
                    <w:tl2br w:val="nil"/>
                    <w:tr2bl w:val="nil"/>
                  </w:tcBorders>
                  <w:vAlign w:val="center"/>
                </w:tcPr>
                <w:p w14:paraId="7102C775">
                  <w:pPr>
                    <w:spacing w:line="264" w:lineRule="auto"/>
                    <w:jc w:val="center"/>
                    <w:rPr>
                      <w:bCs/>
                      <w:color w:val="auto"/>
                      <w:kern w:val="0"/>
                      <w:szCs w:val="21"/>
                    </w:rPr>
                  </w:pPr>
                  <w:r>
                    <w:rPr>
                      <w:color w:val="auto"/>
                      <w:szCs w:val="21"/>
                    </w:rPr>
                    <w:t>1</w:t>
                  </w:r>
                </w:p>
              </w:tc>
              <w:tc>
                <w:tcPr>
                  <w:tcW w:w="775" w:type="dxa"/>
                  <w:tcBorders>
                    <w:top w:val="single" w:color="auto" w:sz="4" w:space="0"/>
                    <w:tl2br w:val="nil"/>
                    <w:tr2bl w:val="nil"/>
                  </w:tcBorders>
                  <w:vAlign w:val="center"/>
                </w:tcPr>
                <w:p w14:paraId="64A9D081">
                  <w:pPr>
                    <w:spacing w:line="264" w:lineRule="auto"/>
                    <w:jc w:val="center"/>
                    <w:rPr>
                      <w:rFonts w:hint="eastAsia" w:eastAsia="宋体"/>
                      <w:bCs/>
                      <w:color w:val="auto"/>
                      <w:kern w:val="0"/>
                      <w:szCs w:val="21"/>
                      <w:lang w:eastAsia="zh-CN"/>
                    </w:rPr>
                  </w:pPr>
                  <w:r>
                    <w:rPr>
                      <w:rFonts w:hint="eastAsia"/>
                      <w:color w:val="auto"/>
                      <w:szCs w:val="21"/>
                      <w:lang w:val="en-US" w:eastAsia="zh-CN"/>
                    </w:rPr>
                    <w:t>0</w:t>
                  </w:r>
                </w:p>
              </w:tc>
              <w:tc>
                <w:tcPr>
                  <w:tcW w:w="738" w:type="dxa"/>
                  <w:tcBorders>
                    <w:top w:val="single" w:color="auto" w:sz="4" w:space="0"/>
                    <w:tl2br w:val="nil"/>
                    <w:tr2bl w:val="nil"/>
                  </w:tcBorders>
                  <w:vAlign w:val="center"/>
                </w:tcPr>
                <w:p w14:paraId="63197031">
                  <w:pPr>
                    <w:spacing w:line="264" w:lineRule="auto"/>
                    <w:jc w:val="center"/>
                    <w:rPr>
                      <w:rFonts w:hint="eastAsia" w:eastAsia="宋体"/>
                      <w:bCs/>
                      <w:color w:val="auto"/>
                      <w:kern w:val="0"/>
                      <w:szCs w:val="21"/>
                      <w:lang w:eastAsia="zh-CN"/>
                    </w:rPr>
                  </w:pPr>
                  <w:r>
                    <w:rPr>
                      <w:rFonts w:hint="eastAsia"/>
                      <w:color w:val="auto"/>
                      <w:szCs w:val="21"/>
                      <w:lang w:val="en-US" w:eastAsia="zh-CN"/>
                    </w:rPr>
                    <w:t>0</w:t>
                  </w:r>
                </w:p>
              </w:tc>
              <w:tc>
                <w:tcPr>
                  <w:tcW w:w="1779" w:type="dxa"/>
                  <w:tcBorders>
                    <w:top w:val="single" w:color="auto" w:sz="4" w:space="0"/>
                    <w:tl2br w:val="nil"/>
                    <w:tr2bl w:val="nil"/>
                  </w:tcBorders>
                  <w:vAlign w:val="center"/>
                </w:tcPr>
                <w:p w14:paraId="3C8A9EC5">
                  <w:pPr>
                    <w:widowControl/>
                    <w:tabs>
                      <w:tab w:val="left" w:pos="1021"/>
                    </w:tabs>
                    <w:jc w:val="center"/>
                    <w:textAlignment w:val="top"/>
                    <w:rPr>
                      <w:rFonts w:hint="eastAsia" w:eastAsia="宋体"/>
                      <w:bCs/>
                      <w:color w:val="auto"/>
                      <w:kern w:val="0"/>
                      <w:szCs w:val="21"/>
                      <w:lang w:val="en-US" w:eastAsia="zh-CN"/>
                    </w:rPr>
                  </w:pPr>
                  <w:r>
                    <w:rPr>
                      <w:rFonts w:hint="eastAsia"/>
                      <w:bCs/>
                      <w:color w:val="auto"/>
                      <w:kern w:val="0"/>
                      <w:szCs w:val="21"/>
                      <w:lang w:val="en-US" w:eastAsia="zh-CN"/>
                    </w:rPr>
                    <w:t>设备拆除后外售</w:t>
                  </w:r>
                </w:p>
              </w:tc>
            </w:tr>
            <w:tr w14:paraId="45D48951">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15" w:type="dxa"/>
                  <w:left w:w="15" w:type="dxa"/>
                  <w:bottom w:w="15" w:type="dxa"/>
                  <w:right w:w="15" w:type="dxa"/>
                </w:tblCellMar>
              </w:tblPrEx>
              <w:trPr>
                <w:trHeight w:val="244" w:hRule="atLeast"/>
                <w:jc w:val="center"/>
              </w:trPr>
              <w:tc>
                <w:tcPr>
                  <w:tcW w:w="758" w:type="dxa"/>
                  <w:vMerge w:val="restart"/>
                  <w:tcBorders>
                    <w:tl2br w:val="nil"/>
                    <w:tr2bl w:val="nil"/>
                  </w:tcBorders>
                  <w:vAlign w:val="center"/>
                </w:tcPr>
                <w:p w14:paraId="2E41C846">
                  <w:pPr>
                    <w:widowControl/>
                    <w:tabs>
                      <w:tab w:val="left" w:pos="1021"/>
                    </w:tabs>
                    <w:jc w:val="center"/>
                    <w:textAlignment w:val="top"/>
                    <w:rPr>
                      <w:bCs/>
                      <w:kern w:val="0"/>
                      <w:szCs w:val="21"/>
                    </w:rPr>
                  </w:pPr>
                  <w:r>
                    <w:rPr>
                      <w:bCs/>
                      <w:kern w:val="0"/>
                      <w:szCs w:val="21"/>
                    </w:rPr>
                    <w:t>2</w:t>
                  </w:r>
                </w:p>
              </w:tc>
              <w:tc>
                <w:tcPr>
                  <w:tcW w:w="1138" w:type="dxa"/>
                  <w:vMerge w:val="restart"/>
                  <w:tcBorders>
                    <w:tl2br w:val="nil"/>
                    <w:tr2bl w:val="nil"/>
                  </w:tcBorders>
                  <w:vAlign w:val="center"/>
                </w:tcPr>
                <w:p w14:paraId="7F6FB30F">
                  <w:pPr>
                    <w:widowControl/>
                    <w:tabs>
                      <w:tab w:val="left" w:pos="1021"/>
                    </w:tabs>
                    <w:jc w:val="center"/>
                    <w:textAlignment w:val="top"/>
                    <w:rPr>
                      <w:bCs/>
                      <w:kern w:val="0"/>
                      <w:szCs w:val="21"/>
                    </w:rPr>
                  </w:pPr>
                  <w:r>
                    <w:rPr>
                      <w:szCs w:val="21"/>
                    </w:rPr>
                    <w:t>数控车床</w:t>
                  </w:r>
                </w:p>
              </w:tc>
              <w:tc>
                <w:tcPr>
                  <w:tcW w:w="1250" w:type="dxa"/>
                  <w:tcBorders>
                    <w:bottom w:val="single" w:color="auto" w:sz="4" w:space="0"/>
                    <w:tl2br w:val="nil"/>
                    <w:tr2bl w:val="nil"/>
                  </w:tcBorders>
                  <w:vAlign w:val="center"/>
                </w:tcPr>
                <w:p w14:paraId="53E6E0E6">
                  <w:pPr>
                    <w:spacing w:line="264" w:lineRule="auto"/>
                    <w:jc w:val="center"/>
                    <w:rPr>
                      <w:bCs/>
                      <w:kern w:val="0"/>
                      <w:szCs w:val="21"/>
                    </w:rPr>
                  </w:pPr>
                  <w:r>
                    <w:rPr>
                      <w:szCs w:val="21"/>
                    </w:rPr>
                    <w:t>CK-6150</w:t>
                  </w:r>
                </w:p>
              </w:tc>
              <w:tc>
                <w:tcPr>
                  <w:tcW w:w="863" w:type="dxa"/>
                  <w:tcBorders>
                    <w:bottom w:val="single" w:color="auto" w:sz="4" w:space="0"/>
                    <w:tl2br w:val="nil"/>
                    <w:tr2bl w:val="nil"/>
                  </w:tcBorders>
                  <w:vAlign w:val="center"/>
                </w:tcPr>
                <w:p w14:paraId="6D542D75">
                  <w:pPr>
                    <w:widowControl/>
                    <w:tabs>
                      <w:tab w:val="left" w:pos="1021"/>
                    </w:tabs>
                    <w:jc w:val="center"/>
                    <w:textAlignment w:val="top"/>
                    <w:rPr>
                      <w:bCs/>
                      <w:kern w:val="0"/>
                      <w:szCs w:val="21"/>
                    </w:rPr>
                  </w:pPr>
                  <w:r>
                    <w:rPr>
                      <w:bCs/>
                      <w:kern w:val="0"/>
                      <w:szCs w:val="21"/>
                    </w:rPr>
                    <w:t>台</w:t>
                  </w:r>
                </w:p>
              </w:tc>
              <w:tc>
                <w:tcPr>
                  <w:tcW w:w="787" w:type="dxa"/>
                  <w:tcBorders>
                    <w:bottom w:val="single" w:color="auto" w:sz="4" w:space="0"/>
                    <w:tl2br w:val="nil"/>
                    <w:tr2bl w:val="nil"/>
                  </w:tcBorders>
                  <w:vAlign w:val="center"/>
                </w:tcPr>
                <w:p w14:paraId="311F1CB1">
                  <w:pPr>
                    <w:widowControl/>
                    <w:tabs>
                      <w:tab w:val="left" w:pos="1021"/>
                    </w:tabs>
                    <w:jc w:val="center"/>
                    <w:textAlignment w:val="top"/>
                    <w:rPr>
                      <w:bCs/>
                      <w:kern w:val="0"/>
                      <w:szCs w:val="21"/>
                    </w:rPr>
                  </w:pPr>
                  <w:r>
                    <w:rPr>
                      <w:bCs/>
                      <w:kern w:val="0"/>
                      <w:szCs w:val="21"/>
                    </w:rPr>
                    <w:t>3</w:t>
                  </w:r>
                </w:p>
              </w:tc>
              <w:tc>
                <w:tcPr>
                  <w:tcW w:w="775" w:type="dxa"/>
                  <w:tcBorders>
                    <w:bottom w:val="single" w:color="auto" w:sz="4" w:space="0"/>
                    <w:tl2br w:val="nil"/>
                    <w:tr2bl w:val="nil"/>
                  </w:tcBorders>
                  <w:vAlign w:val="center"/>
                </w:tcPr>
                <w:p w14:paraId="73F2F935">
                  <w:pPr>
                    <w:widowControl/>
                    <w:tabs>
                      <w:tab w:val="left" w:pos="1021"/>
                    </w:tabs>
                    <w:jc w:val="center"/>
                    <w:textAlignment w:val="top"/>
                    <w:rPr>
                      <w:rFonts w:hint="eastAsia" w:eastAsia="宋体"/>
                      <w:bCs/>
                      <w:kern w:val="0"/>
                      <w:szCs w:val="21"/>
                      <w:lang w:eastAsia="zh-CN"/>
                    </w:rPr>
                  </w:pPr>
                  <w:r>
                    <w:rPr>
                      <w:rFonts w:hint="eastAsia"/>
                      <w:bCs/>
                      <w:kern w:val="0"/>
                      <w:szCs w:val="21"/>
                      <w:lang w:val="en-US" w:eastAsia="zh-CN"/>
                    </w:rPr>
                    <w:t>2</w:t>
                  </w:r>
                </w:p>
              </w:tc>
              <w:tc>
                <w:tcPr>
                  <w:tcW w:w="738" w:type="dxa"/>
                  <w:tcBorders>
                    <w:bottom w:val="single" w:color="auto" w:sz="4" w:space="0"/>
                    <w:tl2br w:val="nil"/>
                    <w:tr2bl w:val="nil"/>
                  </w:tcBorders>
                  <w:vAlign w:val="center"/>
                </w:tcPr>
                <w:p w14:paraId="0E408719">
                  <w:pPr>
                    <w:widowControl/>
                    <w:tabs>
                      <w:tab w:val="left" w:pos="1021"/>
                    </w:tabs>
                    <w:jc w:val="center"/>
                    <w:textAlignment w:val="top"/>
                    <w:rPr>
                      <w:rFonts w:hint="eastAsia" w:eastAsia="宋体"/>
                      <w:bCs/>
                      <w:kern w:val="0"/>
                      <w:szCs w:val="21"/>
                      <w:lang w:eastAsia="zh-CN"/>
                    </w:rPr>
                  </w:pPr>
                  <w:r>
                    <w:rPr>
                      <w:rFonts w:hint="eastAsia"/>
                      <w:bCs/>
                      <w:kern w:val="0"/>
                      <w:szCs w:val="21"/>
                      <w:lang w:val="en-US" w:eastAsia="zh-CN"/>
                    </w:rPr>
                    <w:t>2</w:t>
                  </w:r>
                </w:p>
              </w:tc>
              <w:tc>
                <w:tcPr>
                  <w:tcW w:w="1779" w:type="dxa"/>
                  <w:tcBorders>
                    <w:bottom w:val="single" w:color="auto" w:sz="4" w:space="0"/>
                    <w:tl2br w:val="nil"/>
                    <w:tr2bl w:val="nil"/>
                  </w:tcBorders>
                  <w:vAlign w:val="center"/>
                </w:tcPr>
                <w:p w14:paraId="3541B51A">
                  <w:pPr>
                    <w:widowControl/>
                    <w:tabs>
                      <w:tab w:val="left" w:pos="1021"/>
                    </w:tabs>
                    <w:jc w:val="center"/>
                    <w:textAlignment w:val="top"/>
                    <w:rPr>
                      <w:bCs/>
                      <w:kern w:val="0"/>
                      <w:szCs w:val="21"/>
                    </w:rPr>
                  </w:pPr>
                  <w:r>
                    <w:rPr>
                      <w:rFonts w:hint="eastAsia"/>
                      <w:bCs/>
                      <w:color w:val="auto"/>
                      <w:kern w:val="0"/>
                      <w:szCs w:val="21"/>
                      <w:lang w:val="en-US" w:eastAsia="zh-CN"/>
                    </w:rPr>
                    <w:t>设备拆除后外售</w:t>
                  </w:r>
                </w:p>
              </w:tc>
            </w:tr>
            <w:tr w14:paraId="4A80A302">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15" w:type="dxa"/>
                  <w:left w:w="15" w:type="dxa"/>
                  <w:bottom w:w="15" w:type="dxa"/>
                  <w:right w:w="15" w:type="dxa"/>
                </w:tblCellMar>
              </w:tblPrEx>
              <w:trPr>
                <w:trHeight w:val="107" w:hRule="atLeast"/>
                <w:jc w:val="center"/>
              </w:trPr>
              <w:tc>
                <w:tcPr>
                  <w:tcW w:w="758" w:type="dxa"/>
                  <w:vMerge w:val="continue"/>
                  <w:tcBorders>
                    <w:tl2br w:val="nil"/>
                    <w:tr2bl w:val="nil"/>
                  </w:tcBorders>
                  <w:vAlign w:val="center"/>
                </w:tcPr>
                <w:p w14:paraId="493C6159">
                  <w:pPr>
                    <w:widowControl/>
                    <w:tabs>
                      <w:tab w:val="left" w:pos="1021"/>
                    </w:tabs>
                    <w:jc w:val="center"/>
                    <w:textAlignment w:val="top"/>
                    <w:rPr>
                      <w:bCs/>
                      <w:kern w:val="0"/>
                      <w:szCs w:val="21"/>
                    </w:rPr>
                  </w:pPr>
                </w:p>
              </w:tc>
              <w:tc>
                <w:tcPr>
                  <w:tcW w:w="1138" w:type="dxa"/>
                  <w:vMerge w:val="continue"/>
                  <w:tcBorders>
                    <w:tl2br w:val="nil"/>
                    <w:tr2bl w:val="nil"/>
                  </w:tcBorders>
                  <w:vAlign w:val="center"/>
                </w:tcPr>
                <w:p w14:paraId="2214E7D9">
                  <w:pPr>
                    <w:widowControl/>
                    <w:tabs>
                      <w:tab w:val="left" w:pos="1021"/>
                    </w:tabs>
                    <w:jc w:val="center"/>
                    <w:textAlignment w:val="top"/>
                    <w:rPr>
                      <w:szCs w:val="21"/>
                    </w:rPr>
                  </w:pPr>
                </w:p>
              </w:tc>
              <w:tc>
                <w:tcPr>
                  <w:tcW w:w="1250" w:type="dxa"/>
                  <w:tcBorders>
                    <w:top w:val="single" w:color="auto" w:sz="4" w:space="0"/>
                    <w:tl2br w:val="nil"/>
                    <w:tr2bl w:val="nil"/>
                  </w:tcBorders>
                  <w:vAlign w:val="center"/>
                </w:tcPr>
                <w:p w14:paraId="2579A05D">
                  <w:pPr>
                    <w:spacing w:line="264" w:lineRule="auto"/>
                    <w:jc w:val="center"/>
                    <w:rPr>
                      <w:bCs/>
                      <w:kern w:val="0"/>
                      <w:szCs w:val="21"/>
                    </w:rPr>
                  </w:pPr>
                  <w:r>
                    <w:rPr>
                      <w:szCs w:val="21"/>
                    </w:rPr>
                    <w:t>CNC-6150B</w:t>
                  </w:r>
                </w:p>
              </w:tc>
              <w:tc>
                <w:tcPr>
                  <w:tcW w:w="863" w:type="dxa"/>
                  <w:tcBorders>
                    <w:top w:val="single" w:color="auto" w:sz="4" w:space="0"/>
                    <w:tl2br w:val="nil"/>
                    <w:tr2bl w:val="nil"/>
                  </w:tcBorders>
                  <w:vAlign w:val="center"/>
                </w:tcPr>
                <w:p w14:paraId="3E174858">
                  <w:pPr>
                    <w:widowControl/>
                    <w:tabs>
                      <w:tab w:val="left" w:pos="1021"/>
                    </w:tabs>
                    <w:jc w:val="center"/>
                    <w:textAlignment w:val="top"/>
                    <w:rPr>
                      <w:bCs/>
                      <w:kern w:val="0"/>
                      <w:szCs w:val="21"/>
                    </w:rPr>
                  </w:pPr>
                  <w:r>
                    <w:rPr>
                      <w:bCs/>
                      <w:kern w:val="0"/>
                      <w:szCs w:val="21"/>
                    </w:rPr>
                    <w:t>台</w:t>
                  </w:r>
                </w:p>
              </w:tc>
              <w:tc>
                <w:tcPr>
                  <w:tcW w:w="787" w:type="dxa"/>
                  <w:tcBorders>
                    <w:top w:val="single" w:color="auto" w:sz="4" w:space="0"/>
                    <w:tl2br w:val="nil"/>
                    <w:tr2bl w:val="nil"/>
                  </w:tcBorders>
                  <w:vAlign w:val="center"/>
                </w:tcPr>
                <w:p w14:paraId="5A872AEE">
                  <w:pPr>
                    <w:widowControl/>
                    <w:tabs>
                      <w:tab w:val="left" w:pos="1021"/>
                    </w:tabs>
                    <w:jc w:val="center"/>
                    <w:textAlignment w:val="top"/>
                    <w:rPr>
                      <w:bCs/>
                      <w:kern w:val="0"/>
                      <w:szCs w:val="21"/>
                    </w:rPr>
                  </w:pPr>
                  <w:r>
                    <w:rPr>
                      <w:bCs/>
                      <w:kern w:val="0"/>
                      <w:szCs w:val="21"/>
                    </w:rPr>
                    <w:t>1</w:t>
                  </w:r>
                </w:p>
              </w:tc>
              <w:tc>
                <w:tcPr>
                  <w:tcW w:w="775" w:type="dxa"/>
                  <w:tcBorders>
                    <w:top w:val="single" w:color="auto" w:sz="4" w:space="0"/>
                    <w:tl2br w:val="nil"/>
                    <w:tr2bl w:val="nil"/>
                  </w:tcBorders>
                  <w:vAlign w:val="center"/>
                </w:tcPr>
                <w:p w14:paraId="69FC5920">
                  <w:pPr>
                    <w:widowControl/>
                    <w:tabs>
                      <w:tab w:val="left" w:pos="1021"/>
                    </w:tabs>
                    <w:jc w:val="center"/>
                    <w:textAlignment w:val="top"/>
                    <w:rPr>
                      <w:bCs/>
                      <w:kern w:val="0"/>
                      <w:szCs w:val="21"/>
                    </w:rPr>
                  </w:pPr>
                  <w:r>
                    <w:rPr>
                      <w:bCs/>
                      <w:kern w:val="0"/>
                      <w:szCs w:val="21"/>
                    </w:rPr>
                    <w:t>1</w:t>
                  </w:r>
                </w:p>
              </w:tc>
              <w:tc>
                <w:tcPr>
                  <w:tcW w:w="738" w:type="dxa"/>
                  <w:tcBorders>
                    <w:top w:val="single" w:color="auto" w:sz="4" w:space="0"/>
                    <w:tl2br w:val="nil"/>
                    <w:tr2bl w:val="nil"/>
                  </w:tcBorders>
                  <w:vAlign w:val="center"/>
                </w:tcPr>
                <w:p w14:paraId="1CD14CF9">
                  <w:pPr>
                    <w:widowControl/>
                    <w:tabs>
                      <w:tab w:val="left" w:pos="1021"/>
                    </w:tabs>
                    <w:jc w:val="center"/>
                    <w:textAlignment w:val="top"/>
                    <w:rPr>
                      <w:bCs/>
                      <w:kern w:val="0"/>
                      <w:szCs w:val="21"/>
                    </w:rPr>
                  </w:pPr>
                  <w:r>
                    <w:rPr>
                      <w:bCs/>
                      <w:kern w:val="0"/>
                      <w:szCs w:val="21"/>
                    </w:rPr>
                    <w:t>1</w:t>
                  </w:r>
                </w:p>
              </w:tc>
              <w:tc>
                <w:tcPr>
                  <w:tcW w:w="1779" w:type="dxa"/>
                  <w:tcBorders>
                    <w:top w:val="single" w:color="auto" w:sz="4" w:space="0"/>
                    <w:tl2br w:val="nil"/>
                    <w:tr2bl w:val="nil"/>
                  </w:tcBorders>
                  <w:vAlign w:val="center"/>
                </w:tcPr>
                <w:p w14:paraId="2DDC7C78">
                  <w:pPr>
                    <w:widowControl/>
                    <w:tabs>
                      <w:tab w:val="left" w:pos="1021"/>
                    </w:tabs>
                    <w:jc w:val="center"/>
                    <w:textAlignment w:val="top"/>
                    <w:rPr>
                      <w:bCs/>
                      <w:kern w:val="0"/>
                      <w:szCs w:val="21"/>
                    </w:rPr>
                  </w:pPr>
                  <w:r>
                    <w:rPr>
                      <w:rFonts w:hint="eastAsia"/>
                      <w:bCs/>
                      <w:kern w:val="0"/>
                      <w:szCs w:val="21"/>
                    </w:rPr>
                    <w:t>/</w:t>
                  </w:r>
                </w:p>
              </w:tc>
            </w:tr>
            <w:tr w14:paraId="0109A4D2">
              <w:tblPrEx>
                <w:tblCellMar>
                  <w:top w:w="15" w:type="dxa"/>
                  <w:left w:w="15" w:type="dxa"/>
                  <w:bottom w:w="15" w:type="dxa"/>
                  <w:right w:w="15" w:type="dxa"/>
                </w:tblCellMar>
              </w:tblPrEx>
              <w:trPr>
                <w:trHeight w:val="284" w:hRule="atLeast"/>
                <w:jc w:val="center"/>
              </w:trPr>
              <w:tc>
                <w:tcPr>
                  <w:tcW w:w="758" w:type="dxa"/>
                  <w:tcBorders>
                    <w:tl2br w:val="nil"/>
                    <w:tr2bl w:val="nil"/>
                  </w:tcBorders>
                  <w:vAlign w:val="center"/>
                </w:tcPr>
                <w:p w14:paraId="4BC4D679">
                  <w:pPr>
                    <w:widowControl/>
                    <w:tabs>
                      <w:tab w:val="left" w:pos="1021"/>
                    </w:tabs>
                    <w:jc w:val="center"/>
                    <w:textAlignment w:val="top"/>
                    <w:rPr>
                      <w:bCs/>
                      <w:kern w:val="0"/>
                      <w:szCs w:val="21"/>
                    </w:rPr>
                  </w:pPr>
                  <w:r>
                    <w:rPr>
                      <w:bCs/>
                      <w:kern w:val="0"/>
                      <w:szCs w:val="21"/>
                    </w:rPr>
                    <w:t>3</w:t>
                  </w:r>
                </w:p>
              </w:tc>
              <w:tc>
                <w:tcPr>
                  <w:tcW w:w="1138" w:type="dxa"/>
                  <w:tcBorders>
                    <w:tl2br w:val="nil"/>
                    <w:tr2bl w:val="nil"/>
                  </w:tcBorders>
                  <w:vAlign w:val="center"/>
                </w:tcPr>
                <w:p w14:paraId="6F18228E">
                  <w:pPr>
                    <w:widowControl/>
                    <w:tabs>
                      <w:tab w:val="left" w:pos="1021"/>
                    </w:tabs>
                    <w:jc w:val="center"/>
                    <w:textAlignment w:val="top"/>
                    <w:rPr>
                      <w:bCs/>
                      <w:kern w:val="0"/>
                      <w:szCs w:val="21"/>
                    </w:rPr>
                  </w:pPr>
                  <w:r>
                    <w:rPr>
                      <w:szCs w:val="21"/>
                    </w:rPr>
                    <w:t>混合料机</w:t>
                  </w:r>
                </w:p>
              </w:tc>
              <w:tc>
                <w:tcPr>
                  <w:tcW w:w="1250" w:type="dxa"/>
                  <w:tcBorders>
                    <w:tl2br w:val="nil"/>
                    <w:tr2bl w:val="nil"/>
                  </w:tcBorders>
                  <w:vAlign w:val="center"/>
                </w:tcPr>
                <w:p w14:paraId="1EFA68E3">
                  <w:pPr>
                    <w:widowControl/>
                    <w:tabs>
                      <w:tab w:val="left" w:pos="1021"/>
                    </w:tabs>
                    <w:jc w:val="center"/>
                    <w:textAlignment w:val="top"/>
                    <w:rPr>
                      <w:bCs/>
                      <w:kern w:val="0"/>
                      <w:szCs w:val="21"/>
                    </w:rPr>
                  </w:pPr>
                  <w:r>
                    <w:rPr>
                      <w:szCs w:val="21"/>
                    </w:rPr>
                    <w:t>HC01</w:t>
                  </w:r>
                </w:p>
              </w:tc>
              <w:tc>
                <w:tcPr>
                  <w:tcW w:w="863" w:type="dxa"/>
                  <w:tcBorders>
                    <w:tl2br w:val="nil"/>
                    <w:tr2bl w:val="nil"/>
                  </w:tcBorders>
                  <w:vAlign w:val="center"/>
                </w:tcPr>
                <w:p w14:paraId="747BA846">
                  <w:pPr>
                    <w:widowControl/>
                    <w:tabs>
                      <w:tab w:val="left" w:pos="1021"/>
                    </w:tabs>
                    <w:jc w:val="center"/>
                    <w:textAlignment w:val="top"/>
                    <w:rPr>
                      <w:bCs/>
                      <w:kern w:val="0"/>
                      <w:szCs w:val="21"/>
                    </w:rPr>
                  </w:pPr>
                  <w:r>
                    <w:rPr>
                      <w:szCs w:val="21"/>
                    </w:rPr>
                    <w:t>台</w:t>
                  </w:r>
                </w:p>
              </w:tc>
              <w:tc>
                <w:tcPr>
                  <w:tcW w:w="787" w:type="dxa"/>
                  <w:tcBorders>
                    <w:tl2br w:val="nil"/>
                    <w:tr2bl w:val="nil"/>
                  </w:tcBorders>
                  <w:vAlign w:val="center"/>
                </w:tcPr>
                <w:p w14:paraId="320A60E3">
                  <w:pPr>
                    <w:widowControl/>
                    <w:tabs>
                      <w:tab w:val="left" w:pos="1021"/>
                    </w:tabs>
                    <w:jc w:val="center"/>
                    <w:textAlignment w:val="top"/>
                    <w:rPr>
                      <w:bCs/>
                      <w:kern w:val="0"/>
                      <w:szCs w:val="21"/>
                    </w:rPr>
                  </w:pPr>
                  <w:r>
                    <w:rPr>
                      <w:szCs w:val="21"/>
                    </w:rPr>
                    <w:t>1</w:t>
                  </w:r>
                </w:p>
              </w:tc>
              <w:tc>
                <w:tcPr>
                  <w:tcW w:w="775" w:type="dxa"/>
                  <w:tcBorders>
                    <w:tl2br w:val="nil"/>
                    <w:tr2bl w:val="nil"/>
                  </w:tcBorders>
                  <w:vAlign w:val="center"/>
                </w:tcPr>
                <w:p w14:paraId="1A3A05C0">
                  <w:pPr>
                    <w:widowControl/>
                    <w:tabs>
                      <w:tab w:val="left" w:pos="1021"/>
                    </w:tabs>
                    <w:jc w:val="center"/>
                    <w:textAlignment w:val="top"/>
                    <w:rPr>
                      <w:bCs/>
                      <w:kern w:val="0"/>
                      <w:szCs w:val="21"/>
                    </w:rPr>
                  </w:pPr>
                  <w:r>
                    <w:rPr>
                      <w:szCs w:val="21"/>
                    </w:rPr>
                    <w:t>1</w:t>
                  </w:r>
                </w:p>
              </w:tc>
              <w:tc>
                <w:tcPr>
                  <w:tcW w:w="738" w:type="dxa"/>
                  <w:tcBorders>
                    <w:tl2br w:val="nil"/>
                    <w:tr2bl w:val="nil"/>
                  </w:tcBorders>
                  <w:vAlign w:val="center"/>
                </w:tcPr>
                <w:p w14:paraId="07E7B66D">
                  <w:pPr>
                    <w:widowControl/>
                    <w:tabs>
                      <w:tab w:val="left" w:pos="1021"/>
                    </w:tabs>
                    <w:jc w:val="center"/>
                    <w:textAlignment w:val="top"/>
                    <w:rPr>
                      <w:bCs/>
                      <w:kern w:val="0"/>
                      <w:szCs w:val="21"/>
                    </w:rPr>
                  </w:pPr>
                  <w:r>
                    <w:rPr>
                      <w:szCs w:val="21"/>
                    </w:rPr>
                    <w:t>1</w:t>
                  </w:r>
                </w:p>
              </w:tc>
              <w:tc>
                <w:tcPr>
                  <w:tcW w:w="1779" w:type="dxa"/>
                  <w:tcBorders>
                    <w:tl2br w:val="nil"/>
                    <w:tr2bl w:val="nil"/>
                  </w:tcBorders>
                  <w:vAlign w:val="center"/>
                </w:tcPr>
                <w:p w14:paraId="441E38E4">
                  <w:pPr>
                    <w:widowControl/>
                    <w:tabs>
                      <w:tab w:val="left" w:pos="1021"/>
                    </w:tabs>
                    <w:jc w:val="center"/>
                    <w:textAlignment w:val="top"/>
                    <w:rPr>
                      <w:bCs/>
                      <w:kern w:val="0"/>
                      <w:szCs w:val="21"/>
                    </w:rPr>
                  </w:pPr>
                  <w:r>
                    <w:rPr>
                      <w:rFonts w:hint="eastAsia"/>
                      <w:bCs/>
                      <w:kern w:val="0"/>
                      <w:szCs w:val="21"/>
                    </w:rPr>
                    <w:t>/</w:t>
                  </w:r>
                </w:p>
              </w:tc>
            </w:tr>
            <w:tr w14:paraId="2EEC6FB9">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15" w:type="dxa"/>
                  <w:left w:w="15" w:type="dxa"/>
                  <w:bottom w:w="15" w:type="dxa"/>
                  <w:right w:w="15" w:type="dxa"/>
                </w:tblCellMar>
              </w:tblPrEx>
              <w:trPr>
                <w:trHeight w:val="284" w:hRule="atLeast"/>
                <w:jc w:val="center"/>
              </w:trPr>
              <w:tc>
                <w:tcPr>
                  <w:tcW w:w="758" w:type="dxa"/>
                  <w:vMerge w:val="restart"/>
                  <w:tcBorders>
                    <w:tl2br w:val="nil"/>
                    <w:tr2bl w:val="nil"/>
                  </w:tcBorders>
                  <w:vAlign w:val="center"/>
                </w:tcPr>
                <w:p w14:paraId="37BC7D65">
                  <w:pPr>
                    <w:widowControl/>
                    <w:tabs>
                      <w:tab w:val="left" w:pos="1021"/>
                    </w:tabs>
                    <w:jc w:val="center"/>
                    <w:textAlignment w:val="top"/>
                    <w:rPr>
                      <w:bCs/>
                      <w:kern w:val="0"/>
                      <w:szCs w:val="21"/>
                    </w:rPr>
                  </w:pPr>
                  <w:r>
                    <w:rPr>
                      <w:bCs/>
                      <w:kern w:val="0"/>
                      <w:szCs w:val="21"/>
                    </w:rPr>
                    <w:t>4</w:t>
                  </w:r>
                </w:p>
                <w:p w14:paraId="07B5694E">
                  <w:pPr>
                    <w:widowControl/>
                    <w:tabs>
                      <w:tab w:val="left" w:pos="1021"/>
                    </w:tabs>
                    <w:jc w:val="center"/>
                    <w:textAlignment w:val="top"/>
                    <w:rPr>
                      <w:bCs/>
                      <w:color w:val="FF0000"/>
                      <w:kern w:val="0"/>
                      <w:szCs w:val="21"/>
                    </w:rPr>
                  </w:pPr>
                </w:p>
              </w:tc>
              <w:tc>
                <w:tcPr>
                  <w:tcW w:w="1138" w:type="dxa"/>
                  <w:vMerge w:val="restart"/>
                  <w:tcBorders>
                    <w:tl2br w:val="nil"/>
                    <w:tr2bl w:val="nil"/>
                  </w:tcBorders>
                  <w:vAlign w:val="center"/>
                </w:tcPr>
                <w:p w14:paraId="104285B3">
                  <w:pPr>
                    <w:widowControl/>
                    <w:tabs>
                      <w:tab w:val="left" w:pos="1021"/>
                    </w:tabs>
                    <w:jc w:val="center"/>
                    <w:textAlignment w:val="top"/>
                    <w:rPr>
                      <w:bCs/>
                      <w:kern w:val="0"/>
                      <w:szCs w:val="21"/>
                    </w:rPr>
                  </w:pPr>
                  <w:r>
                    <w:rPr>
                      <w:szCs w:val="21"/>
                    </w:rPr>
                    <w:t>压力机</w:t>
                  </w:r>
                </w:p>
              </w:tc>
              <w:tc>
                <w:tcPr>
                  <w:tcW w:w="1250" w:type="dxa"/>
                  <w:tcBorders>
                    <w:tl2br w:val="nil"/>
                    <w:tr2bl w:val="nil"/>
                  </w:tcBorders>
                  <w:vAlign w:val="center"/>
                </w:tcPr>
                <w:p w14:paraId="0A8454E9">
                  <w:pPr>
                    <w:widowControl/>
                    <w:tabs>
                      <w:tab w:val="left" w:pos="1021"/>
                    </w:tabs>
                    <w:jc w:val="center"/>
                    <w:textAlignment w:val="top"/>
                    <w:rPr>
                      <w:bCs/>
                      <w:color w:val="auto"/>
                      <w:kern w:val="0"/>
                      <w:szCs w:val="21"/>
                    </w:rPr>
                  </w:pPr>
                  <w:r>
                    <w:rPr>
                      <w:bCs/>
                      <w:color w:val="auto"/>
                      <w:kern w:val="0"/>
                      <w:szCs w:val="21"/>
                    </w:rPr>
                    <w:t>JB23-40</w:t>
                  </w:r>
                </w:p>
              </w:tc>
              <w:tc>
                <w:tcPr>
                  <w:tcW w:w="863" w:type="dxa"/>
                  <w:tcBorders>
                    <w:tl2br w:val="nil"/>
                    <w:tr2bl w:val="nil"/>
                  </w:tcBorders>
                  <w:vAlign w:val="center"/>
                </w:tcPr>
                <w:p w14:paraId="0309E9C0">
                  <w:pPr>
                    <w:spacing w:line="264" w:lineRule="auto"/>
                    <w:jc w:val="center"/>
                    <w:rPr>
                      <w:bCs/>
                      <w:color w:val="auto"/>
                      <w:kern w:val="0"/>
                      <w:szCs w:val="21"/>
                    </w:rPr>
                  </w:pPr>
                  <w:r>
                    <w:rPr>
                      <w:color w:val="auto"/>
                      <w:szCs w:val="21"/>
                    </w:rPr>
                    <w:t>台</w:t>
                  </w:r>
                </w:p>
              </w:tc>
              <w:tc>
                <w:tcPr>
                  <w:tcW w:w="787" w:type="dxa"/>
                  <w:tcBorders>
                    <w:tl2br w:val="nil"/>
                    <w:tr2bl w:val="nil"/>
                  </w:tcBorders>
                  <w:vAlign w:val="center"/>
                </w:tcPr>
                <w:p w14:paraId="2236D998">
                  <w:pPr>
                    <w:spacing w:line="264" w:lineRule="auto"/>
                    <w:jc w:val="center"/>
                    <w:rPr>
                      <w:bCs/>
                      <w:color w:val="auto"/>
                      <w:kern w:val="0"/>
                      <w:szCs w:val="21"/>
                    </w:rPr>
                  </w:pPr>
                  <w:r>
                    <w:rPr>
                      <w:color w:val="auto"/>
                      <w:szCs w:val="21"/>
                    </w:rPr>
                    <w:t>13</w:t>
                  </w:r>
                </w:p>
              </w:tc>
              <w:tc>
                <w:tcPr>
                  <w:tcW w:w="775" w:type="dxa"/>
                  <w:tcBorders>
                    <w:tl2br w:val="nil"/>
                    <w:tr2bl w:val="nil"/>
                  </w:tcBorders>
                  <w:vAlign w:val="center"/>
                </w:tcPr>
                <w:p w14:paraId="3C01E1AA">
                  <w:pPr>
                    <w:spacing w:line="264" w:lineRule="auto"/>
                    <w:jc w:val="center"/>
                    <w:rPr>
                      <w:bCs/>
                      <w:color w:val="auto"/>
                      <w:kern w:val="0"/>
                      <w:szCs w:val="21"/>
                    </w:rPr>
                  </w:pPr>
                  <w:r>
                    <w:rPr>
                      <w:color w:val="auto"/>
                      <w:szCs w:val="21"/>
                    </w:rPr>
                    <w:t>13</w:t>
                  </w:r>
                </w:p>
              </w:tc>
              <w:tc>
                <w:tcPr>
                  <w:tcW w:w="738" w:type="dxa"/>
                  <w:tcBorders>
                    <w:tl2br w:val="nil"/>
                    <w:tr2bl w:val="nil"/>
                  </w:tcBorders>
                  <w:vAlign w:val="center"/>
                </w:tcPr>
                <w:p w14:paraId="70EB0224">
                  <w:pPr>
                    <w:spacing w:line="264" w:lineRule="auto"/>
                    <w:jc w:val="center"/>
                    <w:rPr>
                      <w:bCs/>
                      <w:color w:val="auto"/>
                      <w:kern w:val="0"/>
                      <w:szCs w:val="21"/>
                    </w:rPr>
                  </w:pPr>
                  <w:r>
                    <w:rPr>
                      <w:color w:val="auto"/>
                      <w:szCs w:val="21"/>
                    </w:rPr>
                    <w:t>13</w:t>
                  </w:r>
                </w:p>
              </w:tc>
              <w:tc>
                <w:tcPr>
                  <w:tcW w:w="1779" w:type="dxa"/>
                  <w:tcBorders>
                    <w:tl2br w:val="nil"/>
                    <w:tr2bl w:val="nil"/>
                  </w:tcBorders>
                  <w:vAlign w:val="center"/>
                </w:tcPr>
                <w:p w14:paraId="7B877E95">
                  <w:pPr>
                    <w:widowControl/>
                    <w:tabs>
                      <w:tab w:val="left" w:pos="1021"/>
                    </w:tabs>
                    <w:jc w:val="center"/>
                    <w:textAlignment w:val="top"/>
                    <w:rPr>
                      <w:bCs/>
                      <w:color w:val="auto"/>
                      <w:kern w:val="0"/>
                      <w:szCs w:val="21"/>
                    </w:rPr>
                  </w:pPr>
                  <w:r>
                    <w:rPr>
                      <w:rFonts w:hint="eastAsia"/>
                      <w:bCs/>
                      <w:color w:val="auto"/>
                      <w:kern w:val="0"/>
                      <w:szCs w:val="21"/>
                    </w:rPr>
                    <w:t>/</w:t>
                  </w:r>
                </w:p>
              </w:tc>
            </w:tr>
            <w:tr w14:paraId="3CD168DF">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15" w:type="dxa"/>
                  <w:left w:w="15" w:type="dxa"/>
                  <w:bottom w:w="15" w:type="dxa"/>
                  <w:right w:w="15" w:type="dxa"/>
                </w:tblCellMar>
              </w:tblPrEx>
              <w:trPr>
                <w:trHeight w:val="293" w:hRule="atLeast"/>
                <w:jc w:val="center"/>
              </w:trPr>
              <w:tc>
                <w:tcPr>
                  <w:tcW w:w="758" w:type="dxa"/>
                  <w:vMerge w:val="continue"/>
                  <w:tcBorders>
                    <w:tl2br w:val="nil"/>
                    <w:tr2bl w:val="nil"/>
                  </w:tcBorders>
                  <w:vAlign w:val="center"/>
                </w:tcPr>
                <w:p w14:paraId="39B8E6C7">
                  <w:pPr>
                    <w:widowControl/>
                    <w:tabs>
                      <w:tab w:val="left" w:pos="1021"/>
                    </w:tabs>
                    <w:jc w:val="center"/>
                    <w:textAlignment w:val="top"/>
                    <w:rPr>
                      <w:bCs/>
                      <w:kern w:val="0"/>
                      <w:szCs w:val="21"/>
                    </w:rPr>
                  </w:pPr>
                </w:p>
              </w:tc>
              <w:tc>
                <w:tcPr>
                  <w:tcW w:w="1138" w:type="dxa"/>
                  <w:vMerge w:val="continue"/>
                  <w:tcBorders>
                    <w:tl2br w:val="nil"/>
                    <w:tr2bl w:val="nil"/>
                  </w:tcBorders>
                  <w:vAlign w:val="center"/>
                </w:tcPr>
                <w:p w14:paraId="1FF31FDB">
                  <w:pPr>
                    <w:widowControl/>
                    <w:tabs>
                      <w:tab w:val="left" w:pos="1021"/>
                    </w:tabs>
                    <w:jc w:val="center"/>
                    <w:textAlignment w:val="top"/>
                    <w:rPr>
                      <w:bCs/>
                      <w:kern w:val="0"/>
                      <w:szCs w:val="21"/>
                    </w:rPr>
                  </w:pPr>
                </w:p>
              </w:tc>
              <w:tc>
                <w:tcPr>
                  <w:tcW w:w="1250" w:type="dxa"/>
                  <w:tcBorders>
                    <w:tl2br w:val="nil"/>
                    <w:tr2bl w:val="nil"/>
                  </w:tcBorders>
                  <w:vAlign w:val="center"/>
                </w:tcPr>
                <w:p w14:paraId="02F5CD41">
                  <w:pPr>
                    <w:widowControl/>
                    <w:tabs>
                      <w:tab w:val="left" w:pos="1021"/>
                    </w:tabs>
                    <w:jc w:val="center"/>
                    <w:textAlignment w:val="top"/>
                    <w:rPr>
                      <w:bCs/>
                      <w:color w:val="auto"/>
                      <w:kern w:val="0"/>
                      <w:szCs w:val="21"/>
                    </w:rPr>
                  </w:pPr>
                  <w:r>
                    <w:rPr>
                      <w:bCs/>
                      <w:color w:val="auto"/>
                      <w:kern w:val="0"/>
                      <w:szCs w:val="21"/>
                    </w:rPr>
                    <w:t>JB23-80</w:t>
                  </w:r>
                </w:p>
              </w:tc>
              <w:tc>
                <w:tcPr>
                  <w:tcW w:w="863" w:type="dxa"/>
                  <w:tcBorders>
                    <w:tl2br w:val="nil"/>
                    <w:tr2bl w:val="nil"/>
                  </w:tcBorders>
                  <w:vAlign w:val="center"/>
                </w:tcPr>
                <w:p w14:paraId="66D76B76">
                  <w:pPr>
                    <w:spacing w:line="264" w:lineRule="auto"/>
                    <w:jc w:val="center"/>
                    <w:rPr>
                      <w:bCs/>
                      <w:color w:val="auto"/>
                      <w:kern w:val="0"/>
                      <w:szCs w:val="21"/>
                    </w:rPr>
                  </w:pPr>
                  <w:r>
                    <w:rPr>
                      <w:color w:val="auto"/>
                      <w:szCs w:val="21"/>
                    </w:rPr>
                    <w:t>台</w:t>
                  </w:r>
                </w:p>
              </w:tc>
              <w:tc>
                <w:tcPr>
                  <w:tcW w:w="787" w:type="dxa"/>
                  <w:tcBorders>
                    <w:tl2br w:val="nil"/>
                    <w:tr2bl w:val="nil"/>
                  </w:tcBorders>
                  <w:vAlign w:val="center"/>
                </w:tcPr>
                <w:p w14:paraId="12195B42">
                  <w:pPr>
                    <w:spacing w:line="264" w:lineRule="auto"/>
                    <w:jc w:val="center"/>
                    <w:rPr>
                      <w:bCs/>
                      <w:color w:val="auto"/>
                      <w:kern w:val="0"/>
                      <w:szCs w:val="21"/>
                    </w:rPr>
                  </w:pPr>
                  <w:r>
                    <w:rPr>
                      <w:color w:val="auto"/>
                      <w:szCs w:val="21"/>
                    </w:rPr>
                    <w:t>4</w:t>
                  </w:r>
                </w:p>
              </w:tc>
              <w:tc>
                <w:tcPr>
                  <w:tcW w:w="775" w:type="dxa"/>
                  <w:tcBorders>
                    <w:tl2br w:val="nil"/>
                    <w:tr2bl w:val="nil"/>
                  </w:tcBorders>
                  <w:vAlign w:val="center"/>
                </w:tcPr>
                <w:p w14:paraId="03D5BB64">
                  <w:pPr>
                    <w:spacing w:line="264" w:lineRule="auto"/>
                    <w:jc w:val="center"/>
                    <w:rPr>
                      <w:bCs/>
                      <w:color w:val="auto"/>
                      <w:kern w:val="0"/>
                      <w:szCs w:val="21"/>
                    </w:rPr>
                  </w:pPr>
                  <w:r>
                    <w:rPr>
                      <w:color w:val="auto"/>
                      <w:szCs w:val="21"/>
                    </w:rPr>
                    <w:t>4</w:t>
                  </w:r>
                </w:p>
              </w:tc>
              <w:tc>
                <w:tcPr>
                  <w:tcW w:w="738" w:type="dxa"/>
                  <w:tcBorders>
                    <w:tl2br w:val="nil"/>
                    <w:tr2bl w:val="nil"/>
                  </w:tcBorders>
                  <w:vAlign w:val="center"/>
                </w:tcPr>
                <w:p w14:paraId="67A6A296">
                  <w:pPr>
                    <w:spacing w:line="264" w:lineRule="auto"/>
                    <w:jc w:val="center"/>
                    <w:rPr>
                      <w:bCs/>
                      <w:color w:val="auto"/>
                      <w:kern w:val="0"/>
                      <w:szCs w:val="21"/>
                    </w:rPr>
                  </w:pPr>
                  <w:r>
                    <w:rPr>
                      <w:color w:val="auto"/>
                      <w:szCs w:val="21"/>
                    </w:rPr>
                    <w:t>4</w:t>
                  </w:r>
                </w:p>
              </w:tc>
              <w:tc>
                <w:tcPr>
                  <w:tcW w:w="1779" w:type="dxa"/>
                  <w:tcBorders>
                    <w:tl2br w:val="nil"/>
                    <w:tr2bl w:val="nil"/>
                  </w:tcBorders>
                  <w:vAlign w:val="center"/>
                </w:tcPr>
                <w:p w14:paraId="39673F81">
                  <w:pPr>
                    <w:widowControl/>
                    <w:tabs>
                      <w:tab w:val="left" w:pos="1021"/>
                    </w:tabs>
                    <w:jc w:val="center"/>
                    <w:textAlignment w:val="top"/>
                    <w:rPr>
                      <w:bCs/>
                      <w:color w:val="auto"/>
                      <w:kern w:val="0"/>
                      <w:szCs w:val="21"/>
                    </w:rPr>
                  </w:pPr>
                  <w:r>
                    <w:rPr>
                      <w:rFonts w:hint="eastAsia"/>
                      <w:bCs/>
                      <w:color w:val="auto"/>
                      <w:kern w:val="0"/>
                      <w:szCs w:val="21"/>
                    </w:rPr>
                    <w:t>/</w:t>
                  </w:r>
                </w:p>
              </w:tc>
            </w:tr>
            <w:tr w14:paraId="021AB055">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15" w:type="dxa"/>
                  <w:left w:w="15" w:type="dxa"/>
                  <w:bottom w:w="15" w:type="dxa"/>
                  <w:right w:w="15" w:type="dxa"/>
                </w:tblCellMar>
              </w:tblPrEx>
              <w:trPr>
                <w:trHeight w:val="284" w:hRule="atLeast"/>
                <w:jc w:val="center"/>
              </w:trPr>
              <w:tc>
                <w:tcPr>
                  <w:tcW w:w="758" w:type="dxa"/>
                  <w:vMerge w:val="continue"/>
                  <w:vAlign w:val="center"/>
                </w:tcPr>
                <w:p w14:paraId="61CC0FF0">
                  <w:pPr>
                    <w:widowControl/>
                    <w:tabs>
                      <w:tab w:val="left" w:pos="1021"/>
                    </w:tabs>
                    <w:jc w:val="center"/>
                    <w:textAlignment w:val="top"/>
                    <w:rPr>
                      <w:bCs/>
                      <w:kern w:val="0"/>
                      <w:szCs w:val="21"/>
                    </w:rPr>
                  </w:pPr>
                </w:p>
              </w:tc>
              <w:tc>
                <w:tcPr>
                  <w:tcW w:w="1138" w:type="dxa"/>
                  <w:vMerge w:val="continue"/>
                  <w:vAlign w:val="center"/>
                </w:tcPr>
                <w:p w14:paraId="72F25110">
                  <w:pPr>
                    <w:widowControl/>
                    <w:tabs>
                      <w:tab w:val="left" w:pos="1021"/>
                    </w:tabs>
                    <w:jc w:val="center"/>
                    <w:textAlignment w:val="top"/>
                    <w:rPr>
                      <w:bCs/>
                      <w:kern w:val="0"/>
                      <w:szCs w:val="21"/>
                    </w:rPr>
                  </w:pPr>
                </w:p>
              </w:tc>
              <w:tc>
                <w:tcPr>
                  <w:tcW w:w="1250" w:type="dxa"/>
                  <w:vAlign w:val="center"/>
                </w:tcPr>
                <w:p w14:paraId="15CF26FD">
                  <w:pPr>
                    <w:widowControl/>
                    <w:tabs>
                      <w:tab w:val="left" w:pos="1021"/>
                    </w:tabs>
                    <w:jc w:val="center"/>
                    <w:textAlignment w:val="top"/>
                    <w:rPr>
                      <w:bCs/>
                      <w:color w:val="auto"/>
                      <w:kern w:val="0"/>
                      <w:szCs w:val="21"/>
                    </w:rPr>
                  </w:pPr>
                  <w:r>
                    <w:rPr>
                      <w:bCs/>
                      <w:color w:val="auto"/>
                      <w:kern w:val="0"/>
                      <w:szCs w:val="21"/>
                    </w:rPr>
                    <w:t>JB23-25</w:t>
                  </w:r>
                </w:p>
              </w:tc>
              <w:tc>
                <w:tcPr>
                  <w:tcW w:w="863" w:type="dxa"/>
                  <w:vAlign w:val="center"/>
                </w:tcPr>
                <w:p w14:paraId="7D7AF1D1">
                  <w:pPr>
                    <w:spacing w:line="264" w:lineRule="auto"/>
                    <w:jc w:val="center"/>
                    <w:rPr>
                      <w:bCs/>
                      <w:color w:val="auto"/>
                      <w:kern w:val="0"/>
                      <w:szCs w:val="21"/>
                    </w:rPr>
                  </w:pPr>
                  <w:r>
                    <w:rPr>
                      <w:color w:val="auto"/>
                      <w:szCs w:val="21"/>
                    </w:rPr>
                    <w:t>台</w:t>
                  </w:r>
                </w:p>
              </w:tc>
              <w:tc>
                <w:tcPr>
                  <w:tcW w:w="787" w:type="dxa"/>
                  <w:vAlign w:val="center"/>
                </w:tcPr>
                <w:p w14:paraId="414B8A2D">
                  <w:pPr>
                    <w:spacing w:line="264" w:lineRule="auto"/>
                    <w:jc w:val="center"/>
                    <w:rPr>
                      <w:bCs/>
                      <w:color w:val="auto"/>
                      <w:kern w:val="0"/>
                      <w:szCs w:val="21"/>
                    </w:rPr>
                  </w:pPr>
                  <w:r>
                    <w:rPr>
                      <w:color w:val="auto"/>
                      <w:szCs w:val="21"/>
                    </w:rPr>
                    <w:t>4</w:t>
                  </w:r>
                </w:p>
              </w:tc>
              <w:tc>
                <w:tcPr>
                  <w:tcW w:w="775" w:type="dxa"/>
                  <w:vAlign w:val="center"/>
                </w:tcPr>
                <w:p w14:paraId="6B39B4EA">
                  <w:pPr>
                    <w:spacing w:line="264" w:lineRule="auto"/>
                    <w:jc w:val="center"/>
                    <w:rPr>
                      <w:bCs/>
                      <w:color w:val="auto"/>
                      <w:kern w:val="0"/>
                      <w:szCs w:val="21"/>
                    </w:rPr>
                  </w:pPr>
                  <w:r>
                    <w:rPr>
                      <w:color w:val="auto"/>
                      <w:szCs w:val="21"/>
                    </w:rPr>
                    <w:t>4</w:t>
                  </w:r>
                </w:p>
              </w:tc>
              <w:tc>
                <w:tcPr>
                  <w:tcW w:w="738" w:type="dxa"/>
                  <w:vAlign w:val="center"/>
                </w:tcPr>
                <w:p w14:paraId="4F613325">
                  <w:pPr>
                    <w:spacing w:line="264" w:lineRule="auto"/>
                    <w:jc w:val="center"/>
                    <w:rPr>
                      <w:bCs/>
                      <w:color w:val="auto"/>
                      <w:kern w:val="0"/>
                      <w:szCs w:val="21"/>
                    </w:rPr>
                  </w:pPr>
                  <w:r>
                    <w:rPr>
                      <w:color w:val="auto"/>
                      <w:szCs w:val="21"/>
                    </w:rPr>
                    <w:t>4</w:t>
                  </w:r>
                </w:p>
              </w:tc>
              <w:tc>
                <w:tcPr>
                  <w:tcW w:w="1779" w:type="dxa"/>
                  <w:vAlign w:val="center"/>
                </w:tcPr>
                <w:p w14:paraId="3A0906C9">
                  <w:pPr>
                    <w:widowControl/>
                    <w:tabs>
                      <w:tab w:val="left" w:pos="1021"/>
                    </w:tabs>
                    <w:jc w:val="center"/>
                    <w:textAlignment w:val="top"/>
                    <w:rPr>
                      <w:bCs/>
                      <w:color w:val="auto"/>
                      <w:kern w:val="0"/>
                      <w:szCs w:val="21"/>
                    </w:rPr>
                  </w:pPr>
                  <w:r>
                    <w:rPr>
                      <w:rFonts w:hint="eastAsia"/>
                      <w:bCs/>
                      <w:color w:val="auto"/>
                      <w:kern w:val="0"/>
                      <w:szCs w:val="21"/>
                    </w:rPr>
                    <w:t>/</w:t>
                  </w:r>
                </w:p>
              </w:tc>
            </w:tr>
            <w:tr w14:paraId="41658C3B">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15" w:type="dxa"/>
                  <w:left w:w="15" w:type="dxa"/>
                  <w:bottom w:w="15" w:type="dxa"/>
                  <w:right w:w="15" w:type="dxa"/>
                </w:tblCellMar>
              </w:tblPrEx>
              <w:trPr>
                <w:trHeight w:val="252" w:hRule="atLeast"/>
                <w:jc w:val="center"/>
              </w:trPr>
              <w:tc>
                <w:tcPr>
                  <w:tcW w:w="758" w:type="dxa"/>
                  <w:vMerge w:val="continue"/>
                  <w:vAlign w:val="center"/>
                </w:tcPr>
                <w:p w14:paraId="73979C83">
                  <w:pPr>
                    <w:widowControl/>
                    <w:tabs>
                      <w:tab w:val="left" w:pos="1021"/>
                    </w:tabs>
                    <w:jc w:val="center"/>
                    <w:textAlignment w:val="top"/>
                    <w:rPr>
                      <w:bCs/>
                      <w:kern w:val="0"/>
                      <w:szCs w:val="21"/>
                    </w:rPr>
                  </w:pPr>
                </w:p>
              </w:tc>
              <w:tc>
                <w:tcPr>
                  <w:tcW w:w="1138" w:type="dxa"/>
                  <w:vMerge w:val="continue"/>
                  <w:vAlign w:val="center"/>
                </w:tcPr>
                <w:p w14:paraId="0D367E83">
                  <w:pPr>
                    <w:widowControl/>
                    <w:tabs>
                      <w:tab w:val="left" w:pos="1021"/>
                    </w:tabs>
                    <w:jc w:val="center"/>
                    <w:textAlignment w:val="top"/>
                    <w:rPr>
                      <w:bCs/>
                      <w:kern w:val="0"/>
                      <w:szCs w:val="21"/>
                    </w:rPr>
                  </w:pPr>
                </w:p>
              </w:tc>
              <w:tc>
                <w:tcPr>
                  <w:tcW w:w="1250" w:type="dxa"/>
                  <w:tcBorders>
                    <w:bottom w:val="single" w:color="auto" w:sz="4" w:space="0"/>
                  </w:tcBorders>
                  <w:vAlign w:val="center"/>
                </w:tcPr>
                <w:p w14:paraId="199B4AD9">
                  <w:pPr>
                    <w:widowControl/>
                    <w:tabs>
                      <w:tab w:val="left" w:pos="1021"/>
                    </w:tabs>
                    <w:jc w:val="center"/>
                    <w:textAlignment w:val="top"/>
                    <w:rPr>
                      <w:bCs/>
                      <w:color w:val="auto"/>
                      <w:kern w:val="0"/>
                      <w:szCs w:val="21"/>
                    </w:rPr>
                  </w:pPr>
                  <w:r>
                    <w:rPr>
                      <w:bCs/>
                      <w:color w:val="auto"/>
                      <w:kern w:val="0"/>
                      <w:szCs w:val="21"/>
                    </w:rPr>
                    <w:t>JC23-16</w:t>
                  </w:r>
                </w:p>
              </w:tc>
              <w:tc>
                <w:tcPr>
                  <w:tcW w:w="863" w:type="dxa"/>
                  <w:tcBorders>
                    <w:bottom w:val="single" w:color="auto" w:sz="4" w:space="0"/>
                  </w:tcBorders>
                  <w:vAlign w:val="center"/>
                </w:tcPr>
                <w:p w14:paraId="63E92FCA">
                  <w:pPr>
                    <w:spacing w:line="264" w:lineRule="auto"/>
                    <w:jc w:val="center"/>
                    <w:rPr>
                      <w:bCs/>
                      <w:color w:val="auto"/>
                      <w:kern w:val="0"/>
                      <w:szCs w:val="21"/>
                    </w:rPr>
                  </w:pPr>
                  <w:r>
                    <w:rPr>
                      <w:color w:val="auto"/>
                      <w:szCs w:val="21"/>
                    </w:rPr>
                    <w:t>台</w:t>
                  </w:r>
                </w:p>
              </w:tc>
              <w:tc>
                <w:tcPr>
                  <w:tcW w:w="787" w:type="dxa"/>
                  <w:tcBorders>
                    <w:bottom w:val="single" w:color="auto" w:sz="4" w:space="0"/>
                  </w:tcBorders>
                  <w:vAlign w:val="center"/>
                </w:tcPr>
                <w:p w14:paraId="56EE2E66">
                  <w:pPr>
                    <w:spacing w:line="264" w:lineRule="auto"/>
                    <w:jc w:val="center"/>
                    <w:rPr>
                      <w:bCs/>
                      <w:color w:val="auto"/>
                      <w:kern w:val="0"/>
                      <w:szCs w:val="21"/>
                    </w:rPr>
                  </w:pPr>
                  <w:r>
                    <w:rPr>
                      <w:color w:val="auto"/>
                      <w:szCs w:val="21"/>
                    </w:rPr>
                    <w:t>1</w:t>
                  </w:r>
                </w:p>
              </w:tc>
              <w:tc>
                <w:tcPr>
                  <w:tcW w:w="775" w:type="dxa"/>
                  <w:tcBorders>
                    <w:bottom w:val="single" w:color="auto" w:sz="4" w:space="0"/>
                  </w:tcBorders>
                  <w:vAlign w:val="center"/>
                </w:tcPr>
                <w:p w14:paraId="348232BE">
                  <w:pPr>
                    <w:spacing w:line="264" w:lineRule="auto"/>
                    <w:jc w:val="center"/>
                    <w:rPr>
                      <w:bCs/>
                      <w:color w:val="auto"/>
                      <w:kern w:val="0"/>
                      <w:szCs w:val="21"/>
                    </w:rPr>
                  </w:pPr>
                  <w:r>
                    <w:rPr>
                      <w:rFonts w:hint="eastAsia"/>
                      <w:color w:val="auto"/>
                      <w:szCs w:val="21"/>
                      <w:lang w:val="en-US" w:eastAsia="zh-CN"/>
                    </w:rPr>
                    <w:t>0</w:t>
                  </w:r>
                </w:p>
              </w:tc>
              <w:tc>
                <w:tcPr>
                  <w:tcW w:w="738" w:type="dxa"/>
                  <w:tcBorders>
                    <w:bottom w:val="single" w:color="auto" w:sz="4" w:space="0"/>
                  </w:tcBorders>
                  <w:vAlign w:val="center"/>
                </w:tcPr>
                <w:p w14:paraId="21EAD34E">
                  <w:pPr>
                    <w:spacing w:line="264" w:lineRule="auto"/>
                    <w:jc w:val="center"/>
                    <w:rPr>
                      <w:bCs/>
                      <w:color w:val="auto"/>
                      <w:kern w:val="0"/>
                      <w:szCs w:val="21"/>
                    </w:rPr>
                  </w:pPr>
                  <w:r>
                    <w:rPr>
                      <w:rFonts w:hint="eastAsia"/>
                      <w:bCs/>
                      <w:color w:val="auto"/>
                      <w:kern w:val="0"/>
                      <w:szCs w:val="21"/>
                      <w:lang w:val="en-US" w:eastAsia="zh-CN"/>
                    </w:rPr>
                    <w:t>0</w:t>
                  </w:r>
                </w:p>
              </w:tc>
              <w:tc>
                <w:tcPr>
                  <w:tcW w:w="1779" w:type="dxa"/>
                  <w:tcBorders>
                    <w:bottom w:val="single" w:color="auto" w:sz="4" w:space="0"/>
                  </w:tcBorders>
                  <w:vAlign w:val="center"/>
                </w:tcPr>
                <w:p w14:paraId="26AA6C7B">
                  <w:pPr>
                    <w:widowControl/>
                    <w:tabs>
                      <w:tab w:val="left" w:pos="1021"/>
                    </w:tabs>
                    <w:jc w:val="center"/>
                    <w:textAlignment w:val="top"/>
                    <w:rPr>
                      <w:bCs/>
                      <w:color w:val="FF0000"/>
                      <w:kern w:val="0"/>
                      <w:szCs w:val="21"/>
                    </w:rPr>
                  </w:pPr>
                  <w:r>
                    <w:rPr>
                      <w:rFonts w:hint="eastAsia"/>
                      <w:bCs/>
                      <w:color w:val="auto"/>
                      <w:kern w:val="0"/>
                      <w:szCs w:val="21"/>
                      <w:lang w:val="en-US" w:eastAsia="zh-CN"/>
                    </w:rPr>
                    <w:t>设备拆除后外售</w:t>
                  </w:r>
                </w:p>
              </w:tc>
            </w:tr>
            <w:tr w14:paraId="71C30D52">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15" w:type="dxa"/>
                  <w:left w:w="15" w:type="dxa"/>
                  <w:bottom w:w="15" w:type="dxa"/>
                  <w:right w:w="15" w:type="dxa"/>
                </w:tblCellMar>
              </w:tblPrEx>
              <w:trPr>
                <w:trHeight w:val="232" w:hRule="atLeast"/>
                <w:jc w:val="center"/>
              </w:trPr>
              <w:tc>
                <w:tcPr>
                  <w:tcW w:w="758" w:type="dxa"/>
                  <w:vMerge w:val="continue"/>
                  <w:vAlign w:val="center"/>
                </w:tcPr>
                <w:p w14:paraId="46EC6EC3">
                  <w:pPr>
                    <w:widowControl/>
                    <w:tabs>
                      <w:tab w:val="left" w:pos="1021"/>
                    </w:tabs>
                    <w:jc w:val="center"/>
                    <w:textAlignment w:val="top"/>
                    <w:rPr>
                      <w:bCs/>
                      <w:color w:val="FF0000"/>
                      <w:kern w:val="0"/>
                      <w:szCs w:val="21"/>
                    </w:rPr>
                  </w:pPr>
                </w:p>
              </w:tc>
              <w:tc>
                <w:tcPr>
                  <w:tcW w:w="1138" w:type="dxa"/>
                  <w:vMerge w:val="continue"/>
                  <w:vAlign w:val="center"/>
                </w:tcPr>
                <w:p w14:paraId="34D0DE23">
                  <w:pPr>
                    <w:spacing w:line="264" w:lineRule="auto"/>
                    <w:jc w:val="center"/>
                    <w:rPr>
                      <w:bCs/>
                      <w:color w:val="FF0000"/>
                      <w:kern w:val="0"/>
                      <w:szCs w:val="21"/>
                    </w:rPr>
                  </w:pPr>
                </w:p>
              </w:tc>
              <w:tc>
                <w:tcPr>
                  <w:tcW w:w="1250" w:type="dxa"/>
                  <w:tcBorders>
                    <w:top w:val="single" w:color="auto" w:sz="4" w:space="0"/>
                    <w:bottom w:val="single" w:color="auto" w:sz="4" w:space="0"/>
                  </w:tcBorders>
                  <w:vAlign w:val="center"/>
                </w:tcPr>
                <w:p w14:paraId="76D67560">
                  <w:pPr>
                    <w:spacing w:line="264" w:lineRule="auto"/>
                    <w:jc w:val="center"/>
                    <w:rPr>
                      <w:bCs/>
                      <w:color w:val="auto"/>
                      <w:kern w:val="0"/>
                      <w:szCs w:val="21"/>
                    </w:rPr>
                  </w:pPr>
                  <w:r>
                    <w:rPr>
                      <w:color w:val="auto"/>
                      <w:szCs w:val="21"/>
                    </w:rPr>
                    <w:t>JC23-25</w:t>
                  </w:r>
                </w:p>
              </w:tc>
              <w:tc>
                <w:tcPr>
                  <w:tcW w:w="863" w:type="dxa"/>
                  <w:tcBorders>
                    <w:top w:val="single" w:color="auto" w:sz="4" w:space="0"/>
                    <w:bottom w:val="single" w:color="auto" w:sz="4" w:space="0"/>
                  </w:tcBorders>
                  <w:vAlign w:val="center"/>
                </w:tcPr>
                <w:p w14:paraId="2D8E9EB2">
                  <w:pPr>
                    <w:spacing w:line="264" w:lineRule="auto"/>
                    <w:jc w:val="center"/>
                    <w:rPr>
                      <w:bCs/>
                      <w:color w:val="auto"/>
                      <w:kern w:val="0"/>
                      <w:szCs w:val="21"/>
                    </w:rPr>
                  </w:pPr>
                  <w:r>
                    <w:rPr>
                      <w:color w:val="auto"/>
                      <w:szCs w:val="21"/>
                    </w:rPr>
                    <w:t>台</w:t>
                  </w:r>
                </w:p>
              </w:tc>
              <w:tc>
                <w:tcPr>
                  <w:tcW w:w="787" w:type="dxa"/>
                  <w:tcBorders>
                    <w:top w:val="single" w:color="auto" w:sz="4" w:space="0"/>
                    <w:bottom w:val="single" w:color="auto" w:sz="4" w:space="0"/>
                  </w:tcBorders>
                  <w:vAlign w:val="center"/>
                </w:tcPr>
                <w:p w14:paraId="3452BBD3">
                  <w:pPr>
                    <w:spacing w:line="264" w:lineRule="auto"/>
                    <w:jc w:val="center"/>
                    <w:rPr>
                      <w:bCs/>
                      <w:color w:val="auto"/>
                      <w:kern w:val="0"/>
                      <w:szCs w:val="21"/>
                    </w:rPr>
                  </w:pPr>
                  <w:r>
                    <w:rPr>
                      <w:color w:val="auto"/>
                      <w:szCs w:val="21"/>
                    </w:rPr>
                    <w:t>2</w:t>
                  </w:r>
                </w:p>
              </w:tc>
              <w:tc>
                <w:tcPr>
                  <w:tcW w:w="775" w:type="dxa"/>
                  <w:tcBorders>
                    <w:top w:val="single" w:color="auto" w:sz="4" w:space="0"/>
                    <w:bottom w:val="single" w:color="auto" w:sz="4" w:space="0"/>
                  </w:tcBorders>
                  <w:vAlign w:val="center"/>
                </w:tcPr>
                <w:p w14:paraId="502D3798">
                  <w:pPr>
                    <w:spacing w:line="264" w:lineRule="auto"/>
                    <w:jc w:val="center"/>
                    <w:rPr>
                      <w:bCs/>
                      <w:color w:val="auto"/>
                      <w:kern w:val="0"/>
                      <w:szCs w:val="21"/>
                    </w:rPr>
                  </w:pPr>
                  <w:r>
                    <w:rPr>
                      <w:color w:val="auto"/>
                      <w:szCs w:val="21"/>
                    </w:rPr>
                    <w:t>2</w:t>
                  </w:r>
                </w:p>
              </w:tc>
              <w:tc>
                <w:tcPr>
                  <w:tcW w:w="738" w:type="dxa"/>
                  <w:tcBorders>
                    <w:top w:val="single" w:color="auto" w:sz="4" w:space="0"/>
                    <w:bottom w:val="single" w:color="auto" w:sz="4" w:space="0"/>
                  </w:tcBorders>
                  <w:vAlign w:val="center"/>
                </w:tcPr>
                <w:p w14:paraId="505F1113">
                  <w:pPr>
                    <w:spacing w:line="264" w:lineRule="auto"/>
                    <w:jc w:val="center"/>
                    <w:rPr>
                      <w:bCs/>
                      <w:color w:val="auto"/>
                      <w:kern w:val="0"/>
                      <w:szCs w:val="21"/>
                    </w:rPr>
                  </w:pPr>
                  <w:r>
                    <w:rPr>
                      <w:color w:val="auto"/>
                      <w:szCs w:val="21"/>
                    </w:rPr>
                    <w:t>2</w:t>
                  </w:r>
                </w:p>
              </w:tc>
              <w:tc>
                <w:tcPr>
                  <w:tcW w:w="1779" w:type="dxa"/>
                  <w:tcBorders>
                    <w:top w:val="single" w:color="auto" w:sz="4" w:space="0"/>
                    <w:bottom w:val="single" w:color="auto" w:sz="4" w:space="0"/>
                  </w:tcBorders>
                  <w:vAlign w:val="center"/>
                </w:tcPr>
                <w:p w14:paraId="64FD90E0">
                  <w:pPr>
                    <w:widowControl/>
                    <w:tabs>
                      <w:tab w:val="left" w:pos="1021"/>
                    </w:tabs>
                    <w:jc w:val="center"/>
                    <w:textAlignment w:val="top"/>
                    <w:rPr>
                      <w:bCs/>
                      <w:color w:val="auto"/>
                      <w:kern w:val="0"/>
                      <w:szCs w:val="21"/>
                    </w:rPr>
                  </w:pPr>
                  <w:r>
                    <w:rPr>
                      <w:rFonts w:hint="eastAsia"/>
                      <w:bCs/>
                      <w:color w:val="auto"/>
                      <w:kern w:val="0"/>
                      <w:szCs w:val="21"/>
                    </w:rPr>
                    <w:t>/</w:t>
                  </w:r>
                </w:p>
              </w:tc>
            </w:tr>
            <w:tr w14:paraId="3699CFDA">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15" w:type="dxa"/>
                  <w:left w:w="15" w:type="dxa"/>
                  <w:bottom w:w="15" w:type="dxa"/>
                  <w:right w:w="15" w:type="dxa"/>
                </w:tblCellMar>
              </w:tblPrEx>
              <w:trPr>
                <w:trHeight w:val="206" w:hRule="atLeast"/>
                <w:jc w:val="center"/>
              </w:trPr>
              <w:tc>
                <w:tcPr>
                  <w:tcW w:w="758" w:type="dxa"/>
                  <w:vMerge w:val="continue"/>
                  <w:vAlign w:val="center"/>
                </w:tcPr>
                <w:p w14:paraId="0EF918B9">
                  <w:pPr>
                    <w:widowControl/>
                    <w:tabs>
                      <w:tab w:val="left" w:pos="1021"/>
                    </w:tabs>
                    <w:jc w:val="center"/>
                    <w:textAlignment w:val="top"/>
                    <w:rPr>
                      <w:bCs/>
                      <w:color w:val="FF0000"/>
                      <w:kern w:val="0"/>
                      <w:szCs w:val="21"/>
                    </w:rPr>
                  </w:pPr>
                </w:p>
              </w:tc>
              <w:tc>
                <w:tcPr>
                  <w:tcW w:w="1138" w:type="dxa"/>
                  <w:vMerge w:val="continue"/>
                  <w:vAlign w:val="center"/>
                </w:tcPr>
                <w:p w14:paraId="0B0B3B92">
                  <w:pPr>
                    <w:spacing w:line="264" w:lineRule="auto"/>
                    <w:jc w:val="center"/>
                    <w:rPr>
                      <w:bCs/>
                      <w:color w:val="FF0000"/>
                      <w:kern w:val="0"/>
                      <w:szCs w:val="21"/>
                    </w:rPr>
                  </w:pPr>
                </w:p>
              </w:tc>
              <w:tc>
                <w:tcPr>
                  <w:tcW w:w="1250" w:type="dxa"/>
                  <w:tcBorders>
                    <w:top w:val="single" w:color="auto" w:sz="4" w:space="0"/>
                    <w:bottom w:val="single" w:color="auto" w:sz="4" w:space="0"/>
                  </w:tcBorders>
                  <w:vAlign w:val="center"/>
                </w:tcPr>
                <w:p w14:paraId="5C9D6328">
                  <w:pPr>
                    <w:spacing w:line="264" w:lineRule="auto"/>
                    <w:jc w:val="center"/>
                    <w:rPr>
                      <w:bCs/>
                      <w:color w:val="auto"/>
                      <w:kern w:val="0"/>
                      <w:szCs w:val="21"/>
                    </w:rPr>
                  </w:pPr>
                  <w:r>
                    <w:rPr>
                      <w:color w:val="auto"/>
                      <w:szCs w:val="21"/>
                    </w:rPr>
                    <w:t>JB23-16</w:t>
                  </w:r>
                </w:p>
              </w:tc>
              <w:tc>
                <w:tcPr>
                  <w:tcW w:w="863" w:type="dxa"/>
                  <w:tcBorders>
                    <w:top w:val="single" w:color="auto" w:sz="4" w:space="0"/>
                    <w:bottom w:val="single" w:color="auto" w:sz="4" w:space="0"/>
                  </w:tcBorders>
                  <w:vAlign w:val="center"/>
                </w:tcPr>
                <w:p w14:paraId="40C6995A">
                  <w:pPr>
                    <w:spacing w:line="264" w:lineRule="auto"/>
                    <w:jc w:val="center"/>
                    <w:rPr>
                      <w:bCs/>
                      <w:color w:val="auto"/>
                      <w:kern w:val="0"/>
                      <w:szCs w:val="21"/>
                    </w:rPr>
                  </w:pPr>
                  <w:r>
                    <w:rPr>
                      <w:color w:val="auto"/>
                      <w:szCs w:val="21"/>
                    </w:rPr>
                    <w:t>台</w:t>
                  </w:r>
                </w:p>
              </w:tc>
              <w:tc>
                <w:tcPr>
                  <w:tcW w:w="787" w:type="dxa"/>
                  <w:tcBorders>
                    <w:top w:val="single" w:color="auto" w:sz="4" w:space="0"/>
                    <w:bottom w:val="single" w:color="auto" w:sz="4" w:space="0"/>
                  </w:tcBorders>
                  <w:vAlign w:val="center"/>
                </w:tcPr>
                <w:p w14:paraId="10EC2F8C">
                  <w:pPr>
                    <w:spacing w:line="264" w:lineRule="auto"/>
                    <w:jc w:val="center"/>
                    <w:rPr>
                      <w:bCs/>
                      <w:color w:val="auto"/>
                      <w:kern w:val="0"/>
                      <w:szCs w:val="21"/>
                    </w:rPr>
                  </w:pPr>
                  <w:r>
                    <w:rPr>
                      <w:color w:val="auto"/>
                      <w:szCs w:val="21"/>
                    </w:rPr>
                    <w:t>9</w:t>
                  </w:r>
                </w:p>
              </w:tc>
              <w:tc>
                <w:tcPr>
                  <w:tcW w:w="775" w:type="dxa"/>
                  <w:tcBorders>
                    <w:top w:val="single" w:color="auto" w:sz="4" w:space="0"/>
                    <w:bottom w:val="single" w:color="auto" w:sz="4" w:space="0"/>
                  </w:tcBorders>
                  <w:vAlign w:val="center"/>
                </w:tcPr>
                <w:p w14:paraId="7E0B0188">
                  <w:pPr>
                    <w:spacing w:line="264" w:lineRule="auto"/>
                    <w:jc w:val="center"/>
                    <w:rPr>
                      <w:bCs/>
                      <w:color w:val="auto"/>
                      <w:kern w:val="0"/>
                      <w:szCs w:val="21"/>
                    </w:rPr>
                  </w:pPr>
                  <w:r>
                    <w:rPr>
                      <w:color w:val="auto"/>
                      <w:szCs w:val="21"/>
                    </w:rPr>
                    <w:t>9</w:t>
                  </w:r>
                </w:p>
              </w:tc>
              <w:tc>
                <w:tcPr>
                  <w:tcW w:w="738" w:type="dxa"/>
                  <w:tcBorders>
                    <w:top w:val="single" w:color="auto" w:sz="4" w:space="0"/>
                    <w:bottom w:val="single" w:color="auto" w:sz="4" w:space="0"/>
                  </w:tcBorders>
                  <w:vAlign w:val="center"/>
                </w:tcPr>
                <w:p w14:paraId="048E3CDC">
                  <w:pPr>
                    <w:spacing w:line="264" w:lineRule="auto"/>
                    <w:jc w:val="center"/>
                    <w:rPr>
                      <w:bCs/>
                      <w:color w:val="auto"/>
                      <w:kern w:val="0"/>
                      <w:szCs w:val="21"/>
                    </w:rPr>
                  </w:pPr>
                  <w:r>
                    <w:rPr>
                      <w:color w:val="auto"/>
                      <w:szCs w:val="21"/>
                    </w:rPr>
                    <w:t>9</w:t>
                  </w:r>
                </w:p>
              </w:tc>
              <w:tc>
                <w:tcPr>
                  <w:tcW w:w="1779" w:type="dxa"/>
                  <w:tcBorders>
                    <w:top w:val="single" w:color="auto" w:sz="4" w:space="0"/>
                    <w:bottom w:val="single" w:color="auto" w:sz="4" w:space="0"/>
                  </w:tcBorders>
                  <w:vAlign w:val="center"/>
                </w:tcPr>
                <w:p w14:paraId="736D949F">
                  <w:pPr>
                    <w:widowControl/>
                    <w:tabs>
                      <w:tab w:val="left" w:pos="1021"/>
                    </w:tabs>
                    <w:jc w:val="center"/>
                    <w:textAlignment w:val="top"/>
                    <w:rPr>
                      <w:bCs/>
                      <w:color w:val="auto"/>
                      <w:kern w:val="0"/>
                      <w:szCs w:val="21"/>
                    </w:rPr>
                  </w:pPr>
                  <w:r>
                    <w:rPr>
                      <w:rFonts w:hint="eastAsia"/>
                      <w:bCs/>
                      <w:color w:val="auto"/>
                      <w:kern w:val="0"/>
                      <w:szCs w:val="21"/>
                    </w:rPr>
                    <w:t>/</w:t>
                  </w:r>
                </w:p>
              </w:tc>
            </w:tr>
            <w:tr w14:paraId="7A5A1D9B">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15" w:type="dxa"/>
                  <w:left w:w="15" w:type="dxa"/>
                  <w:bottom w:w="15" w:type="dxa"/>
                  <w:right w:w="15" w:type="dxa"/>
                </w:tblCellMar>
              </w:tblPrEx>
              <w:trPr>
                <w:trHeight w:val="303" w:hRule="atLeast"/>
                <w:jc w:val="center"/>
              </w:trPr>
              <w:tc>
                <w:tcPr>
                  <w:tcW w:w="758" w:type="dxa"/>
                  <w:vMerge w:val="continue"/>
                  <w:tcBorders>
                    <w:bottom w:val="single" w:color="auto" w:sz="4" w:space="0"/>
                  </w:tcBorders>
                  <w:vAlign w:val="center"/>
                </w:tcPr>
                <w:p w14:paraId="460AA205">
                  <w:pPr>
                    <w:widowControl/>
                    <w:tabs>
                      <w:tab w:val="left" w:pos="1021"/>
                    </w:tabs>
                    <w:jc w:val="center"/>
                    <w:textAlignment w:val="top"/>
                    <w:rPr>
                      <w:bCs/>
                      <w:color w:val="FF0000"/>
                      <w:kern w:val="0"/>
                      <w:szCs w:val="21"/>
                    </w:rPr>
                  </w:pPr>
                </w:p>
              </w:tc>
              <w:tc>
                <w:tcPr>
                  <w:tcW w:w="1138" w:type="dxa"/>
                  <w:vMerge w:val="continue"/>
                  <w:tcBorders>
                    <w:bottom w:val="single" w:color="auto" w:sz="4" w:space="0"/>
                  </w:tcBorders>
                  <w:vAlign w:val="center"/>
                </w:tcPr>
                <w:p w14:paraId="43C36017">
                  <w:pPr>
                    <w:spacing w:line="264" w:lineRule="auto"/>
                    <w:jc w:val="center"/>
                    <w:rPr>
                      <w:bCs/>
                      <w:color w:val="FF0000"/>
                      <w:kern w:val="0"/>
                      <w:szCs w:val="21"/>
                    </w:rPr>
                  </w:pPr>
                </w:p>
              </w:tc>
              <w:tc>
                <w:tcPr>
                  <w:tcW w:w="1250" w:type="dxa"/>
                  <w:tcBorders>
                    <w:top w:val="single" w:color="auto" w:sz="4" w:space="0"/>
                    <w:bottom w:val="single" w:color="auto" w:sz="4" w:space="0"/>
                  </w:tcBorders>
                  <w:vAlign w:val="center"/>
                </w:tcPr>
                <w:p w14:paraId="0F8D52C9">
                  <w:pPr>
                    <w:spacing w:line="264" w:lineRule="auto"/>
                    <w:jc w:val="center"/>
                    <w:rPr>
                      <w:bCs/>
                      <w:color w:val="auto"/>
                      <w:kern w:val="0"/>
                      <w:szCs w:val="21"/>
                    </w:rPr>
                  </w:pPr>
                  <w:r>
                    <w:rPr>
                      <w:color w:val="auto"/>
                      <w:szCs w:val="21"/>
                    </w:rPr>
                    <w:t>JB23-10</w:t>
                  </w:r>
                </w:p>
              </w:tc>
              <w:tc>
                <w:tcPr>
                  <w:tcW w:w="863" w:type="dxa"/>
                  <w:tcBorders>
                    <w:top w:val="single" w:color="auto" w:sz="4" w:space="0"/>
                    <w:bottom w:val="single" w:color="auto" w:sz="4" w:space="0"/>
                  </w:tcBorders>
                  <w:vAlign w:val="center"/>
                </w:tcPr>
                <w:p w14:paraId="6BFAB4C7">
                  <w:pPr>
                    <w:spacing w:line="264" w:lineRule="auto"/>
                    <w:jc w:val="center"/>
                    <w:rPr>
                      <w:bCs/>
                      <w:color w:val="auto"/>
                      <w:kern w:val="0"/>
                      <w:szCs w:val="21"/>
                    </w:rPr>
                  </w:pPr>
                  <w:r>
                    <w:rPr>
                      <w:color w:val="auto"/>
                      <w:szCs w:val="21"/>
                    </w:rPr>
                    <w:t>台</w:t>
                  </w:r>
                </w:p>
              </w:tc>
              <w:tc>
                <w:tcPr>
                  <w:tcW w:w="787" w:type="dxa"/>
                  <w:tcBorders>
                    <w:top w:val="single" w:color="auto" w:sz="4" w:space="0"/>
                    <w:bottom w:val="single" w:color="auto" w:sz="4" w:space="0"/>
                  </w:tcBorders>
                  <w:vAlign w:val="center"/>
                </w:tcPr>
                <w:p w14:paraId="2B4D04CA">
                  <w:pPr>
                    <w:spacing w:line="264" w:lineRule="auto"/>
                    <w:jc w:val="center"/>
                    <w:rPr>
                      <w:bCs/>
                      <w:color w:val="auto"/>
                      <w:kern w:val="0"/>
                      <w:szCs w:val="21"/>
                    </w:rPr>
                  </w:pPr>
                  <w:r>
                    <w:rPr>
                      <w:color w:val="auto"/>
                      <w:szCs w:val="21"/>
                    </w:rPr>
                    <w:t>1</w:t>
                  </w:r>
                </w:p>
              </w:tc>
              <w:tc>
                <w:tcPr>
                  <w:tcW w:w="775" w:type="dxa"/>
                  <w:tcBorders>
                    <w:top w:val="single" w:color="auto" w:sz="4" w:space="0"/>
                    <w:bottom w:val="single" w:color="auto" w:sz="4" w:space="0"/>
                  </w:tcBorders>
                  <w:vAlign w:val="center"/>
                </w:tcPr>
                <w:p w14:paraId="27DF11DC">
                  <w:pPr>
                    <w:spacing w:line="264" w:lineRule="auto"/>
                    <w:jc w:val="center"/>
                    <w:rPr>
                      <w:rFonts w:hint="eastAsia" w:eastAsia="宋体"/>
                      <w:bCs/>
                      <w:color w:val="auto"/>
                      <w:kern w:val="0"/>
                      <w:szCs w:val="21"/>
                      <w:lang w:val="en-US" w:eastAsia="zh-CN"/>
                    </w:rPr>
                  </w:pPr>
                  <w:r>
                    <w:rPr>
                      <w:rFonts w:hint="eastAsia"/>
                      <w:color w:val="auto"/>
                      <w:szCs w:val="21"/>
                      <w:lang w:val="en-US" w:eastAsia="zh-CN"/>
                    </w:rPr>
                    <w:t>0</w:t>
                  </w:r>
                </w:p>
              </w:tc>
              <w:tc>
                <w:tcPr>
                  <w:tcW w:w="738" w:type="dxa"/>
                  <w:tcBorders>
                    <w:top w:val="single" w:color="auto" w:sz="4" w:space="0"/>
                    <w:bottom w:val="single" w:color="auto" w:sz="4" w:space="0"/>
                  </w:tcBorders>
                  <w:vAlign w:val="center"/>
                </w:tcPr>
                <w:p w14:paraId="625404FA">
                  <w:pPr>
                    <w:spacing w:line="264" w:lineRule="auto"/>
                    <w:jc w:val="center"/>
                    <w:rPr>
                      <w:rFonts w:hint="eastAsia" w:eastAsia="宋体"/>
                      <w:bCs/>
                      <w:color w:val="auto"/>
                      <w:kern w:val="0"/>
                      <w:szCs w:val="21"/>
                      <w:lang w:val="en-US" w:eastAsia="zh-CN"/>
                    </w:rPr>
                  </w:pPr>
                  <w:r>
                    <w:rPr>
                      <w:rFonts w:hint="eastAsia"/>
                      <w:bCs/>
                      <w:color w:val="auto"/>
                      <w:kern w:val="0"/>
                      <w:szCs w:val="21"/>
                      <w:lang w:val="en-US" w:eastAsia="zh-CN"/>
                    </w:rPr>
                    <w:t>0</w:t>
                  </w:r>
                </w:p>
              </w:tc>
              <w:tc>
                <w:tcPr>
                  <w:tcW w:w="1779" w:type="dxa"/>
                  <w:tcBorders>
                    <w:top w:val="single" w:color="auto" w:sz="4" w:space="0"/>
                    <w:bottom w:val="single" w:color="auto" w:sz="4" w:space="0"/>
                  </w:tcBorders>
                  <w:vAlign w:val="center"/>
                </w:tcPr>
                <w:p w14:paraId="4741FC81">
                  <w:pPr>
                    <w:widowControl/>
                    <w:tabs>
                      <w:tab w:val="left" w:pos="1021"/>
                    </w:tabs>
                    <w:jc w:val="center"/>
                    <w:textAlignment w:val="top"/>
                    <w:rPr>
                      <w:bCs/>
                      <w:color w:val="FF0000"/>
                      <w:kern w:val="0"/>
                      <w:szCs w:val="21"/>
                    </w:rPr>
                  </w:pPr>
                  <w:r>
                    <w:rPr>
                      <w:rFonts w:hint="eastAsia"/>
                      <w:bCs/>
                      <w:color w:val="auto"/>
                      <w:kern w:val="0"/>
                      <w:szCs w:val="21"/>
                      <w:lang w:val="en-US" w:eastAsia="zh-CN"/>
                    </w:rPr>
                    <w:t>设备拆除后外售</w:t>
                  </w:r>
                </w:p>
              </w:tc>
            </w:tr>
            <w:tr w14:paraId="1F9D5E75">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15" w:type="dxa"/>
                  <w:left w:w="15" w:type="dxa"/>
                  <w:bottom w:w="15" w:type="dxa"/>
                  <w:right w:w="15" w:type="dxa"/>
                </w:tblCellMar>
              </w:tblPrEx>
              <w:trPr>
                <w:trHeight w:val="158" w:hRule="atLeast"/>
                <w:jc w:val="center"/>
              </w:trPr>
              <w:tc>
                <w:tcPr>
                  <w:tcW w:w="758" w:type="dxa"/>
                  <w:tcBorders>
                    <w:top w:val="single" w:color="auto" w:sz="4" w:space="0"/>
                    <w:bottom w:val="single" w:color="auto" w:sz="4" w:space="0"/>
                  </w:tcBorders>
                  <w:vAlign w:val="center"/>
                </w:tcPr>
                <w:p w14:paraId="30A28918">
                  <w:pPr>
                    <w:widowControl/>
                    <w:tabs>
                      <w:tab w:val="left" w:pos="1021"/>
                    </w:tabs>
                    <w:jc w:val="center"/>
                    <w:textAlignment w:val="top"/>
                    <w:rPr>
                      <w:bCs/>
                      <w:kern w:val="0"/>
                      <w:szCs w:val="21"/>
                    </w:rPr>
                  </w:pPr>
                  <w:r>
                    <w:rPr>
                      <w:bCs/>
                      <w:kern w:val="0"/>
                      <w:szCs w:val="21"/>
                    </w:rPr>
                    <w:t>5</w:t>
                  </w:r>
                </w:p>
              </w:tc>
              <w:tc>
                <w:tcPr>
                  <w:tcW w:w="1138" w:type="dxa"/>
                  <w:tcBorders>
                    <w:top w:val="single" w:color="auto" w:sz="4" w:space="0"/>
                    <w:bottom w:val="single" w:color="auto" w:sz="4" w:space="0"/>
                  </w:tcBorders>
                  <w:vAlign w:val="center"/>
                </w:tcPr>
                <w:p w14:paraId="2B1A926B">
                  <w:pPr>
                    <w:spacing w:line="264" w:lineRule="auto"/>
                    <w:jc w:val="center"/>
                    <w:rPr>
                      <w:bCs/>
                      <w:kern w:val="0"/>
                      <w:szCs w:val="21"/>
                    </w:rPr>
                  </w:pPr>
                  <w:r>
                    <w:rPr>
                      <w:szCs w:val="21"/>
                    </w:rPr>
                    <w:t>普通车床</w:t>
                  </w:r>
                </w:p>
              </w:tc>
              <w:tc>
                <w:tcPr>
                  <w:tcW w:w="1250" w:type="dxa"/>
                  <w:tcBorders>
                    <w:top w:val="single" w:color="auto" w:sz="4" w:space="0"/>
                    <w:bottom w:val="single" w:color="auto" w:sz="4" w:space="0"/>
                  </w:tcBorders>
                  <w:vAlign w:val="center"/>
                </w:tcPr>
                <w:p w14:paraId="00722103">
                  <w:pPr>
                    <w:widowControl/>
                    <w:tabs>
                      <w:tab w:val="left" w:pos="1021"/>
                    </w:tabs>
                    <w:jc w:val="center"/>
                    <w:textAlignment w:val="top"/>
                    <w:rPr>
                      <w:bCs/>
                      <w:kern w:val="0"/>
                      <w:szCs w:val="21"/>
                    </w:rPr>
                  </w:pPr>
                  <w:r>
                    <w:rPr>
                      <w:szCs w:val="21"/>
                    </w:rPr>
                    <w:t>C618</w:t>
                  </w:r>
                </w:p>
              </w:tc>
              <w:tc>
                <w:tcPr>
                  <w:tcW w:w="863" w:type="dxa"/>
                  <w:tcBorders>
                    <w:top w:val="single" w:color="auto" w:sz="4" w:space="0"/>
                    <w:bottom w:val="single" w:color="auto" w:sz="4" w:space="0"/>
                  </w:tcBorders>
                  <w:vAlign w:val="center"/>
                </w:tcPr>
                <w:p w14:paraId="0FE9DE9E">
                  <w:pPr>
                    <w:widowControl/>
                    <w:tabs>
                      <w:tab w:val="left" w:pos="1021"/>
                    </w:tabs>
                    <w:jc w:val="center"/>
                    <w:textAlignment w:val="top"/>
                    <w:rPr>
                      <w:bCs/>
                      <w:kern w:val="0"/>
                      <w:szCs w:val="21"/>
                    </w:rPr>
                  </w:pPr>
                  <w:r>
                    <w:rPr>
                      <w:szCs w:val="21"/>
                    </w:rPr>
                    <w:t>台</w:t>
                  </w:r>
                </w:p>
              </w:tc>
              <w:tc>
                <w:tcPr>
                  <w:tcW w:w="787" w:type="dxa"/>
                  <w:tcBorders>
                    <w:top w:val="single" w:color="auto" w:sz="4" w:space="0"/>
                    <w:bottom w:val="single" w:color="auto" w:sz="4" w:space="0"/>
                  </w:tcBorders>
                  <w:vAlign w:val="center"/>
                </w:tcPr>
                <w:p w14:paraId="42920005">
                  <w:pPr>
                    <w:widowControl/>
                    <w:tabs>
                      <w:tab w:val="left" w:pos="1021"/>
                    </w:tabs>
                    <w:jc w:val="center"/>
                    <w:textAlignment w:val="top"/>
                    <w:rPr>
                      <w:bCs/>
                      <w:kern w:val="0"/>
                      <w:szCs w:val="21"/>
                    </w:rPr>
                  </w:pPr>
                  <w:r>
                    <w:rPr>
                      <w:szCs w:val="21"/>
                    </w:rPr>
                    <w:t>2</w:t>
                  </w:r>
                </w:p>
              </w:tc>
              <w:tc>
                <w:tcPr>
                  <w:tcW w:w="775" w:type="dxa"/>
                  <w:tcBorders>
                    <w:top w:val="single" w:color="auto" w:sz="4" w:space="0"/>
                    <w:bottom w:val="single" w:color="auto" w:sz="4" w:space="0"/>
                  </w:tcBorders>
                  <w:vAlign w:val="center"/>
                </w:tcPr>
                <w:p w14:paraId="3E15F41B">
                  <w:pPr>
                    <w:widowControl/>
                    <w:tabs>
                      <w:tab w:val="left" w:pos="1021"/>
                    </w:tabs>
                    <w:jc w:val="center"/>
                    <w:textAlignment w:val="top"/>
                    <w:rPr>
                      <w:bCs/>
                      <w:kern w:val="0"/>
                      <w:szCs w:val="21"/>
                    </w:rPr>
                  </w:pPr>
                  <w:r>
                    <w:rPr>
                      <w:szCs w:val="21"/>
                    </w:rPr>
                    <w:t>2</w:t>
                  </w:r>
                </w:p>
              </w:tc>
              <w:tc>
                <w:tcPr>
                  <w:tcW w:w="738" w:type="dxa"/>
                  <w:tcBorders>
                    <w:top w:val="single" w:color="auto" w:sz="4" w:space="0"/>
                    <w:bottom w:val="single" w:color="auto" w:sz="4" w:space="0"/>
                  </w:tcBorders>
                  <w:vAlign w:val="center"/>
                </w:tcPr>
                <w:p w14:paraId="787E3719">
                  <w:pPr>
                    <w:widowControl/>
                    <w:tabs>
                      <w:tab w:val="left" w:pos="1021"/>
                    </w:tabs>
                    <w:jc w:val="center"/>
                    <w:textAlignment w:val="top"/>
                    <w:rPr>
                      <w:bCs/>
                      <w:kern w:val="0"/>
                      <w:szCs w:val="21"/>
                    </w:rPr>
                  </w:pPr>
                  <w:r>
                    <w:rPr>
                      <w:szCs w:val="21"/>
                    </w:rPr>
                    <w:t>2</w:t>
                  </w:r>
                </w:p>
              </w:tc>
              <w:tc>
                <w:tcPr>
                  <w:tcW w:w="1779" w:type="dxa"/>
                  <w:tcBorders>
                    <w:top w:val="single" w:color="auto" w:sz="4" w:space="0"/>
                    <w:bottom w:val="single" w:color="auto" w:sz="4" w:space="0"/>
                  </w:tcBorders>
                  <w:vAlign w:val="center"/>
                </w:tcPr>
                <w:p w14:paraId="6D691C8E">
                  <w:pPr>
                    <w:widowControl/>
                    <w:tabs>
                      <w:tab w:val="left" w:pos="1021"/>
                    </w:tabs>
                    <w:jc w:val="center"/>
                    <w:textAlignment w:val="top"/>
                    <w:rPr>
                      <w:bCs/>
                      <w:kern w:val="0"/>
                      <w:szCs w:val="21"/>
                    </w:rPr>
                  </w:pPr>
                  <w:r>
                    <w:rPr>
                      <w:rFonts w:hint="eastAsia"/>
                      <w:bCs/>
                      <w:kern w:val="0"/>
                      <w:szCs w:val="21"/>
                    </w:rPr>
                    <w:t>/</w:t>
                  </w:r>
                </w:p>
              </w:tc>
            </w:tr>
            <w:tr w14:paraId="77D4A427">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15" w:type="dxa"/>
                  <w:left w:w="15" w:type="dxa"/>
                  <w:bottom w:w="15" w:type="dxa"/>
                  <w:right w:w="15" w:type="dxa"/>
                </w:tblCellMar>
              </w:tblPrEx>
              <w:trPr>
                <w:trHeight w:val="217" w:hRule="atLeast"/>
                <w:jc w:val="center"/>
              </w:trPr>
              <w:tc>
                <w:tcPr>
                  <w:tcW w:w="758" w:type="dxa"/>
                  <w:vMerge w:val="restart"/>
                  <w:tcBorders>
                    <w:top w:val="single" w:color="auto" w:sz="4" w:space="0"/>
                  </w:tcBorders>
                  <w:vAlign w:val="center"/>
                </w:tcPr>
                <w:p w14:paraId="0EE49891">
                  <w:pPr>
                    <w:widowControl/>
                    <w:tabs>
                      <w:tab w:val="left" w:pos="1021"/>
                    </w:tabs>
                    <w:jc w:val="center"/>
                    <w:textAlignment w:val="top"/>
                    <w:rPr>
                      <w:bCs/>
                      <w:kern w:val="0"/>
                      <w:szCs w:val="21"/>
                    </w:rPr>
                  </w:pPr>
                  <w:r>
                    <w:rPr>
                      <w:bCs/>
                      <w:kern w:val="0"/>
                      <w:szCs w:val="21"/>
                    </w:rPr>
                    <w:t>6</w:t>
                  </w:r>
                </w:p>
              </w:tc>
              <w:tc>
                <w:tcPr>
                  <w:tcW w:w="1138" w:type="dxa"/>
                  <w:tcBorders>
                    <w:top w:val="single" w:color="auto" w:sz="4" w:space="0"/>
                    <w:bottom w:val="single" w:color="auto" w:sz="4" w:space="0"/>
                  </w:tcBorders>
                  <w:vAlign w:val="center"/>
                </w:tcPr>
                <w:p w14:paraId="7308A190">
                  <w:pPr>
                    <w:spacing w:line="264" w:lineRule="auto"/>
                    <w:jc w:val="center"/>
                    <w:rPr>
                      <w:szCs w:val="21"/>
                    </w:rPr>
                  </w:pPr>
                  <w:r>
                    <w:rPr>
                      <w:szCs w:val="21"/>
                    </w:rPr>
                    <w:t>氩弧焊机</w:t>
                  </w:r>
                </w:p>
              </w:tc>
              <w:tc>
                <w:tcPr>
                  <w:tcW w:w="1250" w:type="dxa"/>
                  <w:tcBorders>
                    <w:top w:val="single" w:color="auto" w:sz="4" w:space="0"/>
                    <w:bottom w:val="single" w:color="auto" w:sz="4" w:space="0"/>
                  </w:tcBorders>
                  <w:vAlign w:val="center"/>
                </w:tcPr>
                <w:p w14:paraId="52C85657">
                  <w:pPr>
                    <w:widowControl/>
                    <w:tabs>
                      <w:tab w:val="left" w:pos="1021"/>
                    </w:tabs>
                    <w:jc w:val="center"/>
                    <w:textAlignment w:val="top"/>
                    <w:rPr>
                      <w:szCs w:val="21"/>
                    </w:rPr>
                  </w:pPr>
                  <w:r>
                    <w:rPr>
                      <w:szCs w:val="21"/>
                    </w:rPr>
                    <w:t>WSM-400T</w:t>
                  </w:r>
                </w:p>
              </w:tc>
              <w:tc>
                <w:tcPr>
                  <w:tcW w:w="863" w:type="dxa"/>
                  <w:tcBorders>
                    <w:top w:val="single" w:color="auto" w:sz="4" w:space="0"/>
                    <w:bottom w:val="single" w:color="auto" w:sz="4" w:space="0"/>
                  </w:tcBorders>
                  <w:vAlign w:val="center"/>
                </w:tcPr>
                <w:p w14:paraId="1FE4BB69">
                  <w:pPr>
                    <w:widowControl/>
                    <w:tabs>
                      <w:tab w:val="left" w:pos="1021"/>
                    </w:tabs>
                    <w:jc w:val="center"/>
                    <w:textAlignment w:val="top"/>
                    <w:rPr>
                      <w:szCs w:val="21"/>
                    </w:rPr>
                  </w:pPr>
                  <w:r>
                    <w:rPr>
                      <w:rFonts w:hint="eastAsia"/>
                      <w:szCs w:val="21"/>
                    </w:rPr>
                    <w:t>台</w:t>
                  </w:r>
                </w:p>
              </w:tc>
              <w:tc>
                <w:tcPr>
                  <w:tcW w:w="787" w:type="dxa"/>
                  <w:tcBorders>
                    <w:top w:val="single" w:color="auto" w:sz="4" w:space="0"/>
                    <w:bottom w:val="single" w:color="auto" w:sz="4" w:space="0"/>
                  </w:tcBorders>
                  <w:vAlign w:val="center"/>
                </w:tcPr>
                <w:p w14:paraId="6C8A77EE">
                  <w:pPr>
                    <w:widowControl/>
                    <w:tabs>
                      <w:tab w:val="left" w:pos="1021"/>
                    </w:tabs>
                    <w:jc w:val="center"/>
                    <w:textAlignment w:val="top"/>
                    <w:rPr>
                      <w:bCs/>
                      <w:kern w:val="0"/>
                      <w:szCs w:val="21"/>
                    </w:rPr>
                  </w:pPr>
                  <w:r>
                    <w:rPr>
                      <w:rFonts w:hint="eastAsia"/>
                      <w:szCs w:val="21"/>
                    </w:rPr>
                    <w:t>4</w:t>
                  </w:r>
                </w:p>
              </w:tc>
              <w:tc>
                <w:tcPr>
                  <w:tcW w:w="775" w:type="dxa"/>
                  <w:tcBorders>
                    <w:top w:val="single" w:color="auto" w:sz="4" w:space="0"/>
                    <w:bottom w:val="single" w:color="auto" w:sz="4" w:space="0"/>
                  </w:tcBorders>
                  <w:vAlign w:val="center"/>
                </w:tcPr>
                <w:p w14:paraId="16CDC20B">
                  <w:pPr>
                    <w:widowControl/>
                    <w:tabs>
                      <w:tab w:val="left" w:pos="1021"/>
                    </w:tabs>
                    <w:jc w:val="center"/>
                    <w:textAlignment w:val="top"/>
                    <w:rPr>
                      <w:bCs/>
                      <w:kern w:val="0"/>
                      <w:szCs w:val="21"/>
                    </w:rPr>
                  </w:pPr>
                  <w:r>
                    <w:rPr>
                      <w:rFonts w:hint="eastAsia"/>
                      <w:szCs w:val="21"/>
                    </w:rPr>
                    <w:t>4</w:t>
                  </w:r>
                </w:p>
              </w:tc>
              <w:tc>
                <w:tcPr>
                  <w:tcW w:w="738" w:type="dxa"/>
                  <w:tcBorders>
                    <w:top w:val="single" w:color="auto" w:sz="4" w:space="0"/>
                    <w:bottom w:val="single" w:color="auto" w:sz="4" w:space="0"/>
                  </w:tcBorders>
                  <w:vAlign w:val="center"/>
                </w:tcPr>
                <w:p w14:paraId="36411C0E">
                  <w:pPr>
                    <w:widowControl/>
                    <w:tabs>
                      <w:tab w:val="left" w:pos="1021"/>
                    </w:tabs>
                    <w:jc w:val="center"/>
                    <w:textAlignment w:val="top"/>
                    <w:rPr>
                      <w:bCs/>
                      <w:kern w:val="0"/>
                      <w:szCs w:val="21"/>
                    </w:rPr>
                  </w:pPr>
                  <w:r>
                    <w:rPr>
                      <w:rFonts w:hint="eastAsia"/>
                      <w:szCs w:val="21"/>
                    </w:rPr>
                    <w:t>4</w:t>
                  </w:r>
                </w:p>
              </w:tc>
              <w:tc>
                <w:tcPr>
                  <w:tcW w:w="1779" w:type="dxa"/>
                  <w:tcBorders>
                    <w:top w:val="single" w:color="auto" w:sz="4" w:space="0"/>
                    <w:bottom w:val="single" w:color="auto" w:sz="4" w:space="0"/>
                  </w:tcBorders>
                  <w:vAlign w:val="center"/>
                </w:tcPr>
                <w:p w14:paraId="4AF24204">
                  <w:pPr>
                    <w:widowControl/>
                    <w:tabs>
                      <w:tab w:val="left" w:pos="1021"/>
                    </w:tabs>
                    <w:jc w:val="center"/>
                    <w:textAlignment w:val="top"/>
                    <w:rPr>
                      <w:bCs/>
                      <w:kern w:val="0"/>
                      <w:szCs w:val="21"/>
                    </w:rPr>
                  </w:pPr>
                  <w:r>
                    <w:rPr>
                      <w:rFonts w:hint="eastAsia"/>
                      <w:bCs/>
                      <w:kern w:val="0"/>
                      <w:szCs w:val="21"/>
                    </w:rPr>
                    <w:t>/</w:t>
                  </w:r>
                </w:p>
              </w:tc>
            </w:tr>
            <w:tr w14:paraId="534B1B54">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15" w:type="dxa"/>
                  <w:left w:w="15" w:type="dxa"/>
                  <w:bottom w:w="15" w:type="dxa"/>
                  <w:right w:w="15" w:type="dxa"/>
                </w:tblCellMar>
              </w:tblPrEx>
              <w:trPr>
                <w:trHeight w:val="122" w:hRule="atLeast"/>
                <w:jc w:val="center"/>
              </w:trPr>
              <w:tc>
                <w:tcPr>
                  <w:tcW w:w="758" w:type="dxa"/>
                  <w:vMerge w:val="continue"/>
                  <w:tcBorders>
                    <w:bottom w:val="single" w:color="auto" w:sz="4" w:space="0"/>
                  </w:tcBorders>
                  <w:vAlign w:val="center"/>
                </w:tcPr>
                <w:p w14:paraId="610D188F">
                  <w:pPr>
                    <w:widowControl/>
                    <w:tabs>
                      <w:tab w:val="left" w:pos="1021"/>
                    </w:tabs>
                    <w:jc w:val="center"/>
                    <w:textAlignment w:val="top"/>
                    <w:rPr>
                      <w:bCs/>
                      <w:kern w:val="0"/>
                      <w:szCs w:val="21"/>
                    </w:rPr>
                  </w:pPr>
                </w:p>
              </w:tc>
              <w:tc>
                <w:tcPr>
                  <w:tcW w:w="1138" w:type="dxa"/>
                  <w:tcBorders>
                    <w:top w:val="single" w:color="auto" w:sz="4" w:space="0"/>
                    <w:bottom w:val="single" w:color="auto" w:sz="4" w:space="0"/>
                  </w:tcBorders>
                  <w:vAlign w:val="center"/>
                </w:tcPr>
                <w:p w14:paraId="1A079DEF">
                  <w:pPr>
                    <w:spacing w:line="264" w:lineRule="auto"/>
                    <w:jc w:val="center"/>
                    <w:rPr>
                      <w:szCs w:val="21"/>
                    </w:rPr>
                  </w:pPr>
                  <w:r>
                    <w:rPr>
                      <w:szCs w:val="21"/>
                    </w:rPr>
                    <w:t>激光焊接机</w:t>
                  </w:r>
                </w:p>
              </w:tc>
              <w:tc>
                <w:tcPr>
                  <w:tcW w:w="1250" w:type="dxa"/>
                  <w:tcBorders>
                    <w:top w:val="single" w:color="auto" w:sz="4" w:space="0"/>
                    <w:bottom w:val="single" w:color="auto" w:sz="4" w:space="0"/>
                  </w:tcBorders>
                  <w:vAlign w:val="center"/>
                </w:tcPr>
                <w:p w14:paraId="1CEA4D7D">
                  <w:pPr>
                    <w:spacing w:line="264" w:lineRule="auto"/>
                    <w:jc w:val="center"/>
                    <w:rPr>
                      <w:szCs w:val="21"/>
                    </w:rPr>
                  </w:pPr>
                  <w:r>
                    <w:rPr>
                      <w:szCs w:val="21"/>
                    </w:rPr>
                    <w:t>ANDES-EK1500W</w:t>
                  </w:r>
                </w:p>
              </w:tc>
              <w:tc>
                <w:tcPr>
                  <w:tcW w:w="863" w:type="dxa"/>
                  <w:tcBorders>
                    <w:top w:val="single" w:color="auto" w:sz="4" w:space="0"/>
                    <w:bottom w:val="single" w:color="auto" w:sz="4" w:space="0"/>
                  </w:tcBorders>
                  <w:vAlign w:val="center"/>
                </w:tcPr>
                <w:p w14:paraId="42955853">
                  <w:pPr>
                    <w:spacing w:line="264" w:lineRule="auto"/>
                    <w:jc w:val="center"/>
                    <w:rPr>
                      <w:rFonts w:hint="eastAsia"/>
                      <w:szCs w:val="21"/>
                    </w:rPr>
                  </w:pPr>
                  <w:r>
                    <w:rPr>
                      <w:rFonts w:hint="eastAsia"/>
                      <w:szCs w:val="21"/>
                    </w:rPr>
                    <w:t>台</w:t>
                  </w:r>
                </w:p>
              </w:tc>
              <w:tc>
                <w:tcPr>
                  <w:tcW w:w="787" w:type="dxa"/>
                  <w:tcBorders>
                    <w:top w:val="single" w:color="auto" w:sz="4" w:space="0"/>
                    <w:bottom w:val="single" w:color="auto" w:sz="4" w:space="0"/>
                  </w:tcBorders>
                  <w:vAlign w:val="center"/>
                </w:tcPr>
                <w:p w14:paraId="398419A5">
                  <w:pPr>
                    <w:spacing w:line="264" w:lineRule="auto"/>
                    <w:jc w:val="center"/>
                    <w:rPr>
                      <w:rFonts w:hint="eastAsia"/>
                      <w:szCs w:val="21"/>
                    </w:rPr>
                  </w:pPr>
                  <w:r>
                    <w:rPr>
                      <w:rFonts w:hint="eastAsia"/>
                      <w:szCs w:val="21"/>
                    </w:rPr>
                    <w:t>1</w:t>
                  </w:r>
                </w:p>
              </w:tc>
              <w:tc>
                <w:tcPr>
                  <w:tcW w:w="775" w:type="dxa"/>
                  <w:tcBorders>
                    <w:top w:val="single" w:color="auto" w:sz="4" w:space="0"/>
                    <w:bottom w:val="single" w:color="auto" w:sz="4" w:space="0"/>
                  </w:tcBorders>
                  <w:vAlign w:val="center"/>
                </w:tcPr>
                <w:p w14:paraId="20DE8D72">
                  <w:pPr>
                    <w:spacing w:line="264" w:lineRule="auto"/>
                    <w:jc w:val="center"/>
                    <w:rPr>
                      <w:rFonts w:hint="eastAsia"/>
                      <w:szCs w:val="21"/>
                    </w:rPr>
                  </w:pPr>
                  <w:r>
                    <w:rPr>
                      <w:rFonts w:hint="eastAsia"/>
                      <w:color w:val="auto"/>
                      <w:szCs w:val="21"/>
                      <w:lang w:val="en-US" w:eastAsia="zh-CN"/>
                    </w:rPr>
                    <w:t>0</w:t>
                  </w:r>
                </w:p>
              </w:tc>
              <w:tc>
                <w:tcPr>
                  <w:tcW w:w="738" w:type="dxa"/>
                  <w:tcBorders>
                    <w:top w:val="single" w:color="auto" w:sz="4" w:space="0"/>
                    <w:bottom w:val="single" w:color="auto" w:sz="4" w:space="0"/>
                  </w:tcBorders>
                  <w:vAlign w:val="center"/>
                </w:tcPr>
                <w:p w14:paraId="2C454AB2">
                  <w:pPr>
                    <w:spacing w:line="264" w:lineRule="auto"/>
                    <w:jc w:val="center"/>
                    <w:rPr>
                      <w:rFonts w:hint="eastAsia"/>
                      <w:szCs w:val="21"/>
                    </w:rPr>
                  </w:pPr>
                  <w:r>
                    <w:rPr>
                      <w:rFonts w:hint="eastAsia"/>
                      <w:bCs/>
                      <w:color w:val="auto"/>
                      <w:kern w:val="0"/>
                      <w:szCs w:val="21"/>
                      <w:lang w:val="en-US" w:eastAsia="zh-CN"/>
                    </w:rPr>
                    <w:t>0</w:t>
                  </w:r>
                </w:p>
              </w:tc>
              <w:tc>
                <w:tcPr>
                  <w:tcW w:w="1779" w:type="dxa"/>
                  <w:tcBorders>
                    <w:top w:val="single" w:color="auto" w:sz="4" w:space="0"/>
                    <w:bottom w:val="single" w:color="auto" w:sz="4" w:space="0"/>
                  </w:tcBorders>
                  <w:vAlign w:val="center"/>
                </w:tcPr>
                <w:p w14:paraId="7A8D3793">
                  <w:pPr>
                    <w:widowControl/>
                    <w:tabs>
                      <w:tab w:val="left" w:pos="1021"/>
                    </w:tabs>
                    <w:jc w:val="center"/>
                    <w:textAlignment w:val="top"/>
                    <w:rPr>
                      <w:rFonts w:hint="eastAsia"/>
                      <w:bCs/>
                      <w:kern w:val="0"/>
                      <w:szCs w:val="21"/>
                    </w:rPr>
                  </w:pPr>
                  <w:r>
                    <w:rPr>
                      <w:rFonts w:hint="eastAsia"/>
                      <w:bCs/>
                      <w:color w:val="auto"/>
                      <w:kern w:val="0"/>
                      <w:szCs w:val="21"/>
                      <w:lang w:val="en-US" w:eastAsia="zh-CN"/>
                    </w:rPr>
                    <w:t>设备拆除后外售</w:t>
                  </w:r>
                </w:p>
              </w:tc>
            </w:tr>
            <w:tr w14:paraId="0BA4F55D">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15" w:type="dxa"/>
                  <w:left w:w="15" w:type="dxa"/>
                  <w:bottom w:w="15" w:type="dxa"/>
                  <w:right w:w="15" w:type="dxa"/>
                </w:tblCellMar>
              </w:tblPrEx>
              <w:trPr>
                <w:trHeight w:val="90" w:hRule="atLeast"/>
                <w:jc w:val="center"/>
              </w:trPr>
              <w:tc>
                <w:tcPr>
                  <w:tcW w:w="758" w:type="dxa"/>
                  <w:tcBorders>
                    <w:top w:val="single" w:color="auto" w:sz="4" w:space="0"/>
                    <w:bottom w:val="single" w:color="auto" w:sz="4" w:space="0"/>
                  </w:tcBorders>
                  <w:vAlign w:val="center"/>
                </w:tcPr>
                <w:p w14:paraId="5208F2EF">
                  <w:pPr>
                    <w:widowControl/>
                    <w:tabs>
                      <w:tab w:val="left" w:pos="1021"/>
                    </w:tabs>
                    <w:jc w:val="center"/>
                    <w:textAlignment w:val="top"/>
                    <w:rPr>
                      <w:bCs/>
                      <w:kern w:val="0"/>
                      <w:szCs w:val="21"/>
                    </w:rPr>
                  </w:pPr>
                  <w:r>
                    <w:rPr>
                      <w:bCs/>
                      <w:kern w:val="0"/>
                      <w:szCs w:val="21"/>
                    </w:rPr>
                    <w:t>7</w:t>
                  </w:r>
                </w:p>
              </w:tc>
              <w:tc>
                <w:tcPr>
                  <w:tcW w:w="1138" w:type="dxa"/>
                  <w:tcBorders>
                    <w:top w:val="single" w:color="auto" w:sz="4" w:space="0"/>
                    <w:bottom w:val="single" w:color="auto" w:sz="4" w:space="0"/>
                  </w:tcBorders>
                  <w:vAlign w:val="center"/>
                </w:tcPr>
                <w:p w14:paraId="4D10724A">
                  <w:pPr>
                    <w:spacing w:line="264" w:lineRule="auto"/>
                    <w:jc w:val="center"/>
                    <w:rPr>
                      <w:bCs/>
                      <w:kern w:val="0"/>
                      <w:szCs w:val="21"/>
                    </w:rPr>
                  </w:pPr>
                  <w:r>
                    <w:rPr>
                      <w:szCs w:val="21"/>
                    </w:rPr>
                    <w:t>平面磨床</w:t>
                  </w:r>
                </w:p>
              </w:tc>
              <w:tc>
                <w:tcPr>
                  <w:tcW w:w="1250" w:type="dxa"/>
                  <w:tcBorders>
                    <w:top w:val="single" w:color="auto" w:sz="4" w:space="0"/>
                    <w:bottom w:val="single" w:color="auto" w:sz="4" w:space="0"/>
                  </w:tcBorders>
                  <w:vAlign w:val="center"/>
                </w:tcPr>
                <w:p w14:paraId="448564EB">
                  <w:pPr>
                    <w:widowControl/>
                    <w:tabs>
                      <w:tab w:val="left" w:pos="1021"/>
                    </w:tabs>
                    <w:jc w:val="center"/>
                    <w:textAlignment w:val="top"/>
                    <w:rPr>
                      <w:szCs w:val="21"/>
                    </w:rPr>
                  </w:pPr>
                  <w:r>
                    <w:rPr>
                      <w:szCs w:val="21"/>
                    </w:rPr>
                    <w:t>M7130H</w:t>
                  </w:r>
                </w:p>
              </w:tc>
              <w:tc>
                <w:tcPr>
                  <w:tcW w:w="863" w:type="dxa"/>
                  <w:tcBorders>
                    <w:top w:val="single" w:color="auto" w:sz="4" w:space="0"/>
                    <w:bottom w:val="single" w:color="auto" w:sz="4" w:space="0"/>
                  </w:tcBorders>
                  <w:vAlign w:val="center"/>
                </w:tcPr>
                <w:p w14:paraId="755A82DD">
                  <w:pPr>
                    <w:widowControl/>
                    <w:tabs>
                      <w:tab w:val="left" w:pos="1021"/>
                    </w:tabs>
                    <w:jc w:val="center"/>
                    <w:textAlignment w:val="top"/>
                    <w:rPr>
                      <w:szCs w:val="21"/>
                    </w:rPr>
                  </w:pPr>
                  <w:r>
                    <w:rPr>
                      <w:szCs w:val="21"/>
                    </w:rPr>
                    <w:t>台</w:t>
                  </w:r>
                </w:p>
              </w:tc>
              <w:tc>
                <w:tcPr>
                  <w:tcW w:w="787" w:type="dxa"/>
                  <w:tcBorders>
                    <w:top w:val="single" w:color="auto" w:sz="4" w:space="0"/>
                    <w:bottom w:val="single" w:color="auto" w:sz="4" w:space="0"/>
                  </w:tcBorders>
                  <w:vAlign w:val="center"/>
                </w:tcPr>
                <w:p w14:paraId="55726276">
                  <w:pPr>
                    <w:widowControl/>
                    <w:tabs>
                      <w:tab w:val="left" w:pos="1021"/>
                    </w:tabs>
                    <w:jc w:val="center"/>
                    <w:textAlignment w:val="top"/>
                    <w:rPr>
                      <w:bCs/>
                      <w:kern w:val="0"/>
                      <w:szCs w:val="21"/>
                    </w:rPr>
                  </w:pPr>
                  <w:r>
                    <w:rPr>
                      <w:szCs w:val="21"/>
                    </w:rPr>
                    <w:t>1</w:t>
                  </w:r>
                </w:p>
              </w:tc>
              <w:tc>
                <w:tcPr>
                  <w:tcW w:w="775" w:type="dxa"/>
                  <w:tcBorders>
                    <w:top w:val="single" w:color="auto" w:sz="4" w:space="0"/>
                    <w:bottom w:val="single" w:color="auto" w:sz="4" w:space="0"/>
                  </w:tcBorders>
                  <w:vAlign w:val="center"/>
                </w:tcPr>
                <w:p w14:paraId="1383649D">
                  <w:pPr>
                    <w:widowControl/>
                    <w:tabs>
                      <w:tab w:val="left" w:pos="1021"/>
                    </w:tabs>
                    <w:jc w:val="center"/>
                    <w:textAlignment w:val="top"/>
                    <w:rPr>
                      <w:bCs/>
                      <w:kern w:val="0"/>
                      <w:szCs w:val="21"/>
                    </w:rPr>
                  </w:pPr>
                  <w:r>
                    <w:rPr>
                      <w:szCs w:val="21"/>
                    </w:rPr>
                    <w:t>1</w:t>
                  </w:r>
                </w:p>
              </w:tc>
              <w:tc>
                <w:tcPr>
                  <w:tcW w:w="738" w:type="dxa"/>
                  <w:tcBorders>
                    <w:top w:val="single" w:color="auto" w:sz="4" w:space="0"/>
                    <w:bottom w:val="single" w:color="auto" w:sz="4" w:space="0"/>
                  </w:tcBorders>
                  <w:vAlign w:val="center"/>
                </w:tcPr>
                <w:p w14:paraId="4816AB8A">
                  <w:pPr>
                    <w:widowControl/>
                    <w:tabs>
                      <w:tab w:val="left" w:pos="1021"/>
                    </w:tabs>
                    <w:jc w:val="center"/>
                    <w:textAlignment w:val="top"/>
                    <w:rPr>
                      <w:bCs/>
                      <w:kern w:val="0"/>
                      <w:szCs w:val="21"/>
                    </w:rPr>
                  </w:pPr>
                  <w:r>
                    <w:rPr>
                      <w:szCs w:val="21"/>
                    </w:rPr>
                    <w:t>1</w:t>
                  </w:r>
                </w:p>
              </w:tc>
              <w:tc>
                <w:tcPr>
                  <w:tcW w:w="1779" w:type="dxa"/>
                  <w:tcBorders>
                    <w:top w:val="single" w:color="auto" w:sz="4" w:space="0"/>
                    <w:bottom w:val="single" w:color="auto" w:sz="4" w:space="0"/>
                  </w:tcBorders>
                  <w:vAlign w:val="center"/>
                </w:tcPr>
                <w:p w14:paraId="5EF385AD">
                  <w:pPr>
                    <w:widowControl/>
                    <w:tabs>
                      <w:tab w:val="left" w:pos="1021"/>
                    </w:tabs>
                    <w:jc w:val="center"/>
                    <w:textAlignment w:val="top"/>
                    <w:rPr>
                      <w:bCs/>
                      <w:kern w:val="0"/>
                      <w:szCs w:val="21"/>
                    </w:rPr>
                  </w:pPr>
                  <w:r>
                    <w:rPr>
                      <w:rFonts w:hint="eastAsia"/>
                      <w:bCs/>
                      <w:kern w:val="0"/>
                      <w:szCs w:val="21"/>
                    </w:rPr>
                    <w:t>/</w:t>
                  </w:r>
                </w:p>
              </w:tc>
            </w:tr>
            <w:tr w14:paraId="736FDA94">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15" w:type="dxa"/>
                  <w:left w:w="15" w:type="dxa"/>
                  <w:bottom w:w="15" w:type="dxa"/>
                  <w:right w:w="15" w:type="dxa"/>
                </w:tblCellMar>
              </w:tblPrEx>
              <w:trPr>
                <w:trHeight w:val="224" w:hRule="atLeast"/>
                <w:jc w:val="center"/>
              </w:trPr>
              <w:tc>
                <w:tcPr>
                  <w:tcW w:w="758" w:type="dxa"/>
                  <w:vMerge w:val="restart"/>
                  <w:tcBorders>
                    <w:top w:val="single" w:color="auto" w:sz="4" w:space="0"/>
                  </w:tcBorders>
                  <w:vAlign w:val="center"/>
                </w:tcPr>
                <w:p w14:paraId="4F0FC51A">
                  <w:pPr>
                    <w:widowControl/>
                    <w:tabs>
                      <w:tab w:val="left" w:pos="1021"/>
                    </w:tabs>
                    <w:jc w:val="center"/>
                    <w:textAlignment w:val="top"/>
                    <w:rPr>
                      <w:bCs/>
                      <w:kern w:val="0"/>
                      <w:szCs w:val="21"/>
                    </w:rPr>
                  </w:pPr>
                  <w:r>
                    <w:rPr>
                      <w:bCs/>
                      <w:kern w:val="0"/>
                      <w:szCs w:val="21"/>
                    </w:rPr>
                    <w:t>8</w:t>
                  </w:r>
                </w:p>
                <w:p w14:paraId="3B4FBDF9">
                  <w:pPr>
                    <w:widowControl/>
                    <w:tabs>
                      <w:tab w:val="left" w:pos="1021"/>
                    </w:tabs>
                    <w:jc w:val="center"/>
                    <w:textAlignment w:val="top"/>
                    <w:rPr>
                      <w:bCs/>
                      <w:kern w:val="0"/>
                      <w:szCs w:val="21"/>
                    </w:rPr>
                  </w:pPr>
                </w:p>
              </w:tc>
              <w:tc>
                <w:tcPr>
                  <w:tcW w:w="1138" w:type="dxa"/>
                  <w:vMerge w:val="restart"/>
                  <w:tcBorders>
                    <w:top w:val="single" w:color="auto" w:sz="4" w:space="0"/>
                  </w:tcBorders>
                  <w:vAlign w:val="center"/>
                </w:tcPr>
                <w:p w14:paraId="7EE4CCF0">
                  <w:pPr>
                    <w:spacing w:line="264" w:lineRule="auto"/>
                    <w:jc w:val="center"/>
                    <w:rPr>
                      <w:bCs/>
                      <w:kern w:val="0"/>
                      <w:szCs w:val="21"/>
                    </w:rPr>
                  </w:pPr>
                  <w:r>
                    <w:rPr>
                      <w:szCs w:val="21"/>
                    </w:rPr>
                    <w:t>剪板机</w:t>
                  </w:r>
                </w:p>
              </w:tc>
              <w:tc>
                <w:tcPr>
                  <w:tcW w:w="1250" w:type="dxa"/>
                  <w:tcBorders>
                    <w:top w:val="single" w:color="auto" w:sz="4" w:space="0"/>
                    <w:bottom w:val="single" w:color="auto" w:sz="4" w:space="0"/>
                  </w:tcBorders>
                  <w:vAlign w:val="center"/>
                </w:tcPr>
                <w:p w14:paraId="11B29007">
                  <w:pPr>
                    <w:widowControl/>
                    <w:tabs>
                      <w:tab w:val="left" w:pos="1021"/>
                    </w:tabs>
                    <w:jc w:val="center"/>
                    <w:textAlignment w:val="top"/>
                    <w:rPr>
                      <w:szCs w:val="21"/>
                    </w:rPr>
                  </w:pPr>
                  <w:r>
                    <w:rPr>
                      <w:szCs w:val="21"/>
                    </w:rPr>
                    <w:t>Q11</w:t>
                  </w:r>
                </w:p>
              </w:tc>
              <w:tc>
                <w:tcPr>
                  <w:tcW w:w="863" w:type="dxa"/>
                  <w:tcBorders>
                    <w:top w:val="single" w:color="auto" w:sz="4" w:space="0"/>
                    <w:bottom w:val="single" w:color="auto" w:sz="4" w:space="0"/>
                  </w:tcBorders>
                  <w:vAlign w:val="center"/>
                </w:tcPr>
                <w:p w14:paraId="274B5EB6">
                  <w:pPr>
                    <w:widowControl/>
                    <w:tabs>
                      <w:tab w:val="left" w:pos="1021"/>
                    </w:tabs>
                    <w:jc w:val="center"/>
                    <w:textAlignment w:val="top"/>
                    <w:rPr>
                      <w:szCs w:val="21"/>
                    </w:rPr>
                  </w:pPr>
                  <w:r>
                    <w:rPr>
                      <w:szCs w:val="21"/>
                    </w:rPr>
                    <w:t>台</w:t>
                  </w:r>
                </w:p>
              </w:tc>
              <w:tc>
                <w:tcPr>
                  <w:tcW w:w="787" w:type="dxa"/>
                  <w:tcBorders>
                    <w:top w:val="single" w:color="auto" w:sz="4" w:space="0"/>
                    <w:bottom w:val="single" w:color="auto" w:sz="4" w:space="0"/>
                  </w:tcBorders>
                  <w:vAlign w:val="center"/>
                </w:tcPr>
                <w:p w14:paraId="4DA351BE">
                  <w:pPr>
                    <w:widowControl/>
                    <w:tabs>
                      <w:tab w:val="left" w:pos="1021"/>
                    </w:tabs>
                    <w:jc w:val="center"/>
                    <w:textAlignment w:val="top"/>
                    <w:rPr>
                      <w:bCs/>
                      <w:kern w:val="0"/>
                      <w:szCs w:val="21"/>
                    </w:rPr>
                  </w:pPr>
                  <w:r>
                    <w:rPr>
                      <w:szCs w:val="21"/>
                    </w:rPr>
                    <w:t>1</w:t>
                  </w:r>
                </w:p>
              </w:tc>
              <w:tc>
                <w:tcPr>
                  <w:tcW w:w="775" w:type="dxa"/>
                  <w:tcBorders>
                    <w:top w:val="single" w:color="auto" w:sz="4" w:space="0"/>
                    <w:bottom w:val="single" w:color="auto" w:sz="4" w:space="0"/>
                  </w:tcBorders>
                  <w:vAlign w:val="center"/>
                </w:tcPr>
                <w:p w14:paraId="48337C30">
                  <w:pPr>
                    <w:widowControl/>
                    <w:tabs>
                      <w:tab w:val="left" w:pos="1021"/>
                    </w:tabs>
                    <w:jc w:val="center"/>
                    <w:textAlignment w:val="top"/>
                    <w:rPr>
                      <w:bCs/>
                      <w:kern w:val="0"/>
                      <w:szCs w:val="21"/>
                    </w:rPr>
                  </w:pPr>
                  <w:r>
                    <w:rPr>
                      <w:szCs w:val="21"/>
                    </w:rPr>
                    <w:t>1</w:t>
                  </w:r>
                </w:p>
              </w:tc>
              <w:tc>
                <w:tcPr>
                  <w:tcW w:w="738" w:type="dxa"/>
                  <w:tcBorders>
                    <w:top w:val="single" w:color="auto" w:sz="4" w:space="0"/>
                    <w:bottom w:val="single" w:color="auto" w:sz="4" w:space="0"/>
                  </w:tcBorders>
                  <w:vAlign w:val="center"/>
                </w:tcPr>
                <w:p w14:paraId="35F40F9B">
                  <w:pPr>
                    <w:widowControl/>
                    <w:tabs>
                      <w:tab w:val="left" w:pos="1021"/>
                    </w:tabs>
                    <w:jc w:val="center"/>
                    <w:textAlignment w:val="top"/>
                    <w:rPr>
                      <w:bCs/>
                      <w:kern w:val="0"/>
                      <w:szCs w:val="21"/>
                    </w:rPr>
                  </w:pPr>
                  <w:r>
                    <w:rPr>
                      <w:szCs w:val="21"/>
                    </w:rPr>
                    <w:t>1</w:t>
                  </w:r>
                </w:p>
              </w:tc>
              <w:tc>
                <w:tcPr>
                  <w:tcW w:w="1779" w:type="dxa"/>
                  <w:tcBorders>
                    <w:top w:val="single" w:color="auto" w:sz="4" w:space="0"/>
                    <w:bottom w:val="single" w:color="auto" w:sz="4" w:space="0"/>
                  </w:tcBorders>
                  <w:vAlign w:val="center"/>
                </w:tcPr>
                <w:p w14:paraId="0E72D404">
                  <w:pPr>
                    <w:widowControl/>
                    <w:tabs>
                      <w:tab w:val="left" w:pos="1021"/>
                    </w:tabs>
                    <w:jc w:val="center"/>
                    <w:textAlignment w:val="top"/>
                    <w:rPr>
                      <w:bCs/>
                      <w:kern w:val="0"/>
                      <w:szCs w:val="21"/>
                    </w:rPr>
                  </w:pPr>
                  <w:r>
                    <w:rPr>
                      <w:rFonts w:hint="eastAsia"/>
                      <w:bCs/>
                      <w:kern w:val="0"/>
                      <w:szCs w:val="21"/>
                    </w:rPr>
                    <w:t>/</w:t>
                  </w:r>
                </w:p>
              </w:tc>
            </w:tr>
            <w:tr w14:paraId="200315A4">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15" w:type="dxa"/>
                  <w:left w:w="15" w:type="dxa"/>
                  <w:bottom w:w="15" w:type="dxa"/>
                  <w:right w:w="15" w:type="dxa"/>
                </w:tblCellMar>
              </w:tblPrEx>
              <w:trPr>
                <w:trHeight w:val="186" w:hRule="atLeast"/>
                <w:jc w:val="center"/>
              </w:trPr>
              <w:tc>
                <w:tcPr>
                  <w:tcW w:w="758" w:type="dxa"/>
                  <w:vMerge w:val="continue"/>
                  <w:tcBorders>
                    <w:bottom w:val="single" w:color="auto" w:sz="4" w:space="0"/>
                  </w:tcBorders>
                  <w:vAlign w:val="center"/>
                </w:tcPr>
                <w:p w14:paraId="2E1CA8B2">
                  <w:pPr>
                    <w:widowControl/>
                    <w:tabs>
                      <w:tab w:val="left" w:pos="1021"/>
                    </w:tabs>
                    <w:jc w:val="center"/>
                    <w:textAlignment w:val="top"/>
                    <w:rPr>
                      <w:bCs/>
                      <w:kern w:val="0"/>
                      <w:szCs w:val="21"/>
                    </w:rPr>
                  </w:pPr>
                </w:p>
              </w:tc>
              <w:tc>
                <w:tcPr>
                  <w:tcW w:w="1138" w:type="dxa"/>
                  <w:vMerge w:val="continue"/>
                  <w:tcBorders>
                    <w:bottom w:val="single" w:color="auto" w:sz="4" w:space="0"/>
                  </w:tcBorders>
                  <w:vAlign w:val="center"/>
                </w:tcPr>
                <w:p w14:paraId="0BE8A174">
                  <w:pPr>
                    <w:spacing w:line="264" w:lineRule="auto"/>
                    <w:jc w:val="center"/>
                    <w:rPr>
                      <w:bCs/>
                      <w:kern w:val="0"/>
                      <w:szCs w:val="21"/>
                    </w:rPr>
                  </w:pPr>
                </w:p>
              </w:tc>
              <w:tc>
                <w:tcPr>
                  <w:tcW w:w="1250" w:type="dxa"/>
                  <w:tcBorders>
                    <w:top w:val="single" w:color="auto" w:sz="4" w:space="0"/>
                    <w:bottom w:val="single" w:color="auto" w:sz="4" w:space="0"/>
                  </w:tcBorders>
                  <w:vAlign w:val="center"/>
                </w:tcPr>
                <w:p w14:paraId="56289BFD">
                  <w:pPr>
                    <w:widowControl/>
                    <w:tabs>
                      <w:tab w:val="left" w:pos="1021"/>
                    </w:tabs>
                    <w:jc w:val="center"/>
                    <w:textAlignment w:val="top"/>
                    <w:rPr>
                      <w:szCs w:val="21"/>
                    </w:rPr>
                  </w:pPr>
                  <w:r>
                    <w:rPr>
                      <w:szCs w:val="21"/>
                    </w:rPr>
                    <w:t>MODELQ11型</w:t>
                  </w:r>
                </w:p>
              </w:tc>
              <w:tc>
                <w:tcPr>
                  <w:tcW w:w="863" w:type="dxa"/>
                  <w:tcBorders>
                    <w:top w:val="single" w:color="auto" w:sz="4" w:space="0"/>
                    <w:bottom w:val="single" w:color="auto" w:sz="4" w:space="0"/>
                  </w:tcBorders>
                  <w:vAlign w:val="center"/>
                </w:tcPr>
                <w:p w14:paraId="1FEFB470">
                  <w:pPr>
                    <w:widowControl/>
                    <w:tabs>
                      <w:tab w:val="left" w:pos="1021"/>
                    </w:tabs>
                    <w:jc w:val="center"/>
                    <w:textAlignment w:val="top"/>
                    <w:rPr>
                      <w:szCs w:val="21"/>
                    </w:rPr>
                  </w:pPr>
                  <w:r>
                    <w:rPr>
                      <w:szCs w:val="21"/>
                    </w:rPr>
                    <w:t>台</w:t>
                  </w:r>
                </w:p>
              </w:tc>
              <w:tc>
                <w:tcPr>
                  <w:tcW w:w="787" w:type="dxa"/>
                  <w:tcBorders>
                    <w:top w:val="single" w:color="auto" w:sz="4" w:space="0"/>
                    <w:bottom w:val="single" w:color="auto" w:sz="4" w:space="0"/>
                  </w:tcBorders>
                  <w:vAlign w:val="center"/>
                </w:tcPr>
                <w:p w14:paraId="32C3C1C4">
                  <w:pPr>
                    <w:widowControl/>
                    <w:tabs>
                      <w:tab w:val="left" w:pos="1021"/>
                    </w:tabs>
                    <w:jc w:val="center"/>
                    <w:textAlignment w:val="top"/>
                    <w:rPr>
                      <w:bCs/>
                      <w:kern w:val="0"/>
                      <w:szCs w:val="21"/>
                    </w:rPr>
                  </w:pPr>
                  <w:r>
                    <w:rPr>
                      <w:szCs w:val="21"/>
                    </w:rPr>
                    <w:t>1</w:t>
                  </w:r>
                </w:p>
              </w:tc>
              <w:tc>
                <w:tcPr>
                  <w:tcW w:w="775" w:type="dxa"/>
                  <w:tcBorders>
                    <w:top w:val="single" w:color="auto" w:sz="4" w:space="0"/>
                    <w:bottom w:val="single" w:color="auto" w:sz="4" w:space="0"/>
                  </w:tcBorders>
                  <w:vAlign w:val="center"/>
                </w:tcPr>
                <w:p w14:paraId="6390A1B9">
                  <w:pPr>
                    <w:widowControl/>
                    <w:tabs>
                      <w:tab w:val="left" w:pos="1021"/>
                    </w:tabs>
                    <w:jc w:val="center"/>
                    <w:textAlignment w:val="top"/>
                    <w:rPr>
                      <w:bCs/>
                      <w:kern w:val="0"/>
                      <w:szCs w:val="21"/>
                    </w:rPr>
                  </w:pPr>
                  <w:r>
                    <w:rPr>
                      <w:szCs w:val="21"/>
                    </w:rPr>
                    <w:t>1</w:t>
                  </w:r>
                </w:p>
              </w:tc>
              <w:tc>
                <w:tcPr>
                  <w:tcW w:w="738" w:type="dxa"/>
                  <w:tcBorders>
                    <w:top w:val="single" w:color="auto" w:sz="4" w:space="0"/>
                    <w:bottom w:val="single" w:color="auto" w:sz="4" w:space="0"/>
                  </w:tcBorders>
                  <w:vAlign w:val="center"/>
                </w:tcPr>
                <w:p w14:paraId="4778E25F">
                  <w:pPr>
                    <w:widowControl/>
                    <w:tabs>
                      <w:tab w:val="left" w:pos="1021"/>
                    </w:tabs>
                    <w:jc w:val="center"/>
                    <w:textAlignment w:val="top"/>
                    <w:rPr>
                      <w:bCs/>
                      <w:kern w:val="0"/>
                      <w:szCs w:val="21"/>
                    </w:rPr>
                  </w:pPr>
                  <w:r>
                    <w:rPr>
                      <w:szCs w:val="21"/>
                    </w:rPr>
                    <w:t>1</w:t>
                  </w:r>
                </w:p>
              </w:tc>
              <w:tc>
                <w:tcPr>
                  <w:tcW w:w="1779" w:type="dxa"/>
                  <w:tcBorders>
                    <w:top w:val="single" w:color="auto" w:sz="4" w:space="0"/>
                    <w:bottom w:val="single" w:color="auto" w:sz="4" w:space="0"/>
                  </w:tcBorders>
                  <w:vAlign w:val="center"/>
                </w:tcPr>
                <w:p w14:paraId="700B7977">
                  <w:pPr>
                    <w:widowControl/>
                    <w:tabs>
                      <w:tab w:val="left" w:pos="1021"/>
                    </w:tabs>
                    <w:jc w:val="center"/>
                    <w:textAlignment w:val="top"/>
                    <w:rPr>
                      <w:bCs/>
                      <w:kern w:val="0"/>
                      <w:szCs w:val="21"/>
                    </w:rPr>
                  </w:pPr>
                  <w:r>
                    <w:rPr>
                      <w:rFonts w:hint="eastAsia"/>
                      <w:bCs/>
                      <w:kern w:val="0"/>
                      <w:szCs w:val="21"/>
                    </w:rPr>
                    <w:t>/</w:t>
                  </w:r>
                </w:p>
              </w:tc>
            </w:tr>
            <w:tr w14:paraId="1D298DFB">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15" w:type="dxa"/>
                  <w:left w:w="15" w:type="dxa"/>
                  <w:bottom w:w="15" w:type="dxa"/>
                  <w:right w:w="15" w:type="dxa"/>
                </w:tblCellMar>
              </w:tblPrEx>
              <w:trPr>
                <w:trHeight w:val="271" w:hRule="atLeast"/>
                <w:jc w:val="center"/>
              </w:trPr>
              <w:tc>
                <w:tcPr>
                  <w:tcW w:w="758" w:type="dxa"/>
                  <w:tcBorders>
                    <w:top w:val="single" w:color="auto" w:sz="4" w:space="0"/>
                    <w:bottom w:val="single" w:color="auto" w:sz="4" w:space="0"/>
                  </w:tcBorders>
                  <w:vAlign w:val="center"/>
                </w:tcPr>
                <w:p w14:paraId="02035E5C">
                  <w:pPr>
                    <w:widowControl/>
                    <w:tabs>
                      <w:tab w:val="left" w:pos="1021"/>
                    </w:tabs>
                    <w:jc w:val="center"/>
                    <w:textAlignment w:val="top"/>
                    <w:rPr>
                      <w:bCs/>
                      <w:kern w:val="0"/>
                      <w:szCs w:val="21"/>
                    </w:rPr>
                  </w:pPr>
                  <w:r>
                    <w:rPr>
                      <w:bCs/>
                      <w:kern w:val="0"/>
                      <w:szCs w:val="21"/>
                    </w:rPr>
                    <w:t>10</w:t>
                  </w:r>
                </w:p>
              </w:tc>
              <w:tc>
                <w:tcPr>
                  <w:tcW w:w="1138" w:type="dxa"/>
                  <w:tcBorders>
                    <w:top w:val="single" w:color="auto" w:sz="4" w:space="0"/>
                    <w:bottom w:val="single" w:color="auto" w:sz="4" w:space="0"/>
                  </w:tcBorders>
                  <w:vAlign w:val="center"/>
                </w:tcPr>
                <w:p w14:paraId="4485ABFC">
                  <w:pPr>
                    <w:spacing w:line="264" w:lineRule="auto"/>
                    <w:jc w:val="center"/>
                    <w:rPr>
                      <w:bCs/>
                      <w:kern w:val="0"/>
                      <w:szCs w:val="21"/>
                    </w:rPr>
                  </w:pPr>
                  <w:r>
                    <w:rPr>
                      <w:szCs w:val="21"/>
                    </w:rPr>
                    <w:t>螺杆机</w:t>
                  </w:r>
                </w:p>
              </w:tc>
              <w:tc>
                <w:tcPr>
                  <w:tcW w:w="1250" w:type="dxa"/>
                  <w:tcBorders>
                    <w:top w:val="single" w:color="auto" w:sz="4" w:space="0"/>
                    <w:bottom w:val="single" w:color="auto" w:sz="4" w:space="0"/>
                  </w:tcBorders>
                  <w:vAlign w:val="center"/>
                </w:tcPr>
                <w:p w14:paraId="7559A27F">
                  <w:pPr>
                    <w:spacing w:line="264" w:lineRule="auto"/>
                    <w:jc w:val="center"/>
                    <w:rPr>
                      <w:szCs w:val="21"/>
                    </w:rPr>
                  </w:pPr>
                  <w:r>
                    <w:rPr>
                      <w:szCs w:val="21"/>
                    </w:rPr>
                    <w:t>SH20LV</w:t>
                  </w:r>
                </w:p>
              </w:tc>
              <w:tc>
                <w:tcPr>
                  <w:tcW w:w="863" w:type="dxa"/>
                  <w:tcBorders>
                    <w:top w:val="single" w:color="auto" w:sz="4" w:space="0"/>
                    <w:bottom w:val="single" w:color="auto" w:sz="4" w:space="0"/>
                  </w:tcBorders>
                  <w:vAlign w:val="center"/>
                </w:tcPr>
                <w:p w14:paraId="68BFD21C">
                  <w:pPr>
                    <w:spacing w:line="264" w:lineRule="auto"/>
                    <w:jc w:val="center"/>
                    <w:rPr>
                      <w:szCs w:val="21"/>
                    </w:rPr>
                  </w:pPr>
                  <w:r>
                    <w:rPr>
                      <w:rFonts w:hint="eastAsia"/>
                      <w:szCs w:val="21"/>
                    </w:rPr>
                    <w:t>台</w:t>
                  </w:r>
                </w:p>
              </w:tc>
              <w:tc>
                <w:tcPr>
                  <w:tcW w:w="787" w:type="dxa"/>
                  <w:tcBorders>
                    <w:top w:val="single" w:color="auto" w:sz="4" w:space="0"/>
                    <w:bottom w:val="single" w:color="auto" w:sz="4" w:space="0"/>
                  </w:tcBorders>
                  <w:vAlign w:val="center"/>
                </w:tcPr>
                <w:p w14:paraId="04D7E3F9">
                  <w:pPr>
                    <w:spacing w:line="264" w:lineRule="auto"/>
                    <w:jc w:val="center"/>
                    <w:rPr>
                      <w:bCs/>
                      <w:kern w:val="0"/>
                      <w:szCs w:val="21"/>
                    </w:rPr>
                  </w:pPr>
                  <w:r>
                    <w:rPr>
                      <w:rFonts w:hint="eastAsia"/>
                      <w:szCs w:val="21"/>
                    </w:rPr>
                    <w:t>1</w:t>
                  </w:r>
                </w:p>
              </w:tc>
              <w:tc>
                <w:tcPr>
                  <w:tcW w:w="775" w:type="dxa"/>
                  <w:tcBorders>
                    <w:top w:val="single" w:color="auto" w:sz="4" w:space="0"/>
                    <w:bottom w:val="single" w:color="auto" w:sz="4" w:space="0"/>
                  </w:tcBorders>
                  <w:vAlign w:val="center"/>
                </w:tcPr>
                <w:p w14:paraId="010A8F47">
                  <w:pPr>
                    <w:spacing w:line="264" w:lineRule="auto"/>
                    <w:jc w:val="center"/>
                    <w:rPr>
                      <w:bCs/>
                      <w:kern w:val="0"/>
                      <w:szCs w:val="21"/>
                    </w:rPr>
                  </w:pPr>
                  <w:r>
                    <w:rPr>
                      <w:rFonts w:hint="eastAsia"/>
                      <w:szCs w:val="21"/>
                    </w:rPr>
                    <w:t>1</w:t>
                  </w:r>
                </w:p>
              </w:tc>
              <w:tc>
                <w:tcPr>
                  <w:tcW w:w="738" w:type="dxa"/>
                  <w:tcBorders>
                    <w:top w:val="single" w:color="auto" w:sz="4" w:space="0"/>
                    <w:bottom w:val="single" w:color="auto" w:sz="4" w:space="0"/>
                  </w:tcBorders>
                  <w:vAlign w:val="center"/>
                </w:tcPr>
                <w:p w14:paraId="1AD3CFFB">
                  <w:pPr>
                    <w:spacing w:line="264" w:lineRule="auto"/>
                    <w:jc w:val="center"/>
                    <w:rPr>
                      <w:bCs/>
                      <w:kern w:val="0"/>
                      <w:szCs w:val="21"/>
                    </w:rPr>
                  </w:pPr>
                  <w:r>
                    <w:rPr>
                      <w:rFonts w:hint="eastAsia"/>
                      <w:szCs w:val="21"/>
                    </w:rPr>
                    <w:t>1</w:t>
                  </w:r>
                </w:p>
              </w:tc>
              <w:tc>
                <w:tcPr>
                  <w:tcW w:w="1779" w:type="dxa"/>
                  <w:tcBorders>
                    <w:top w:val="single" w:color="auto" w:sz="4" w:space="0"/>
                    <w:bottom w:val="single" w:color="auto" w:sz="4" w:space="0"/>
                  </w:tcBorders>
                  <w:vAlign w:val="center"/>
                </w:tcPr>
                <w:p w14:paraId="16756B48">
                  <w:pPr>
                    <w:widowControl/>
                    <w:tabs>
                      <w:tab w:val="left" w:pos="1021"/>
                    </w:tabs>
                    <w:jc w:val="center"/>
                    <w:textAlignment w:val="top"/>
                    <w:rPr>
                      <w:bCs/>
                      <w:kern w:val="0"/>
                      <w:szCs w:val="21"/>
                    </w:rPr>
                  </w:pPr>
                  <w:r>
                    <w:rPr>
                      <w:rFonts w:hint="eastAsia"/>
                      <w:bCs/>
                      <w:kern w:val="0"/>
                      <w:szCs w:val="21"/>
                    </w:rPr>
                    <w:t>/</w:t>
                  </w:r>
                </w:p>
              </w:tc>
            </w:tr>
            <w:tr w14:paraId="0C5E47CC">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15" w:type="dxa"/>
                  <w:left w:w="15" w:type="dxa"/>
                  <w:bottom w:w="15" w:type="dxa"/>
                  <w:right w:w="15" w:type="dxa"/>
                </w:tblCellMar>
              </w:tblPrEx>
              <w:trPr>
                <w:trHeight w:val="245" w:hRule="atLeast"/>
                <w:jc w:val="center"/>
              </w:trPr>
              <w:tc>
                <w:tcPr>
                  <w:tcW w:w="758" w:type="dxa"/>
                  <w:tcBorders>
                    <w:top w:val="single" w:color="auto" w:sz="4" w:space="0"/>
                    <w:bottom w:val="single" w:color="auto" w:sz="4" w:space="0"/>
                  </w:tcBorders>
                  <w:vAlign w:val="center"/>
                </w:tcPr>
                <w:p w14:paraId="2082165F">
                  <w:pPr>
                    <w:widowControl/>
                    <w:tabs>
                      <w:tab w:val="left" w:pos="1021"/>
                    </w:tabs>
                    <w:jc w:val="center"/>
                    <w:textAlignment w:val="top"/>
                    <w:rPr>
                      <w:bCs/>
                      <w:kern w:val="0"/>
                      <w:szCs w:val="21"/>
                    </w:rPr>
                  </w:pPr>
                  <w:r>
                    <w:rPr>
                      <w:bCs/>
                      <w:kern w:val="0"/>
                      <w:szCs w:val="21"/>
                    </w:rPr>
                    <w:t>11</w:t>
                  </w:r>
                </w:p>
              </w:tc>
              <w:tc>
                <w:tcPr>
                  <w:tcW w:w="1138" w:type="dxa"/>
                  <w:tcBorders>
                    <w:top w:val="single" w:color="auto" w:sz="4" w:space="0"/>
                    <w:bottom w:val="single" w:color="auto" w:sz="4" w:space="0"/>
                  </w:tcBorders>
                  <w:vAlign w:val="center"/>
                </w:tcPr>
                <w:p w14:paraId="272A4B65">
                  <w:pPr>
                    <w:spacing w:line="264" w:lineRule="auto"/>
                    <w:jc w:val="center"/>
                    <w:rPr>
                      <w:bCs/>
                      <w:kern w:val="0"/>
                      <w:szCs w:val="21"/>
                    </w:rPr>
                  </w:pPr>
                  <w:r>
                    <w:rPr>
                      <w:szCs w:val="21"/>
                    </w:rPr>
                    <w:t>全自动剪板机</w:t>
                  </w:r>
                </w:p>
              </w:tc>
              <w:tc>
                <w:tcPr>
                  <w:tcW w:w="1250" w:type="dxa"/>
                  <w:tcBorders>
                    <w:top w:val="single" w:color="auto" w:sz="4" w:space="0"/>
                    <w:bottom w:val="single" w:color="auto" w:sz="4" w:space="0"/>
                  </w:tcBorders>
                  <w:vAlign w:val="center"/>
                </w:tcPr>
                <w:p w14:paraId="230F37BE">
                  <w:pPr>
                    <w:spacing w:line="264" w:lineRule="auto"/>
                    <w:jc w:val="center"/>
                    <w:rPr>
                      <w:szCs w:val="21"/>
                    </w:rPr>
                  </w:pPr>
                  <w:r>
                    <w:rPr>
                      <w:szCs w:val="21"/>
                    </w:rPr>
                    <w:t>YF3-600B型</w:t>
                  </w:r>
                </w:p>
              </w:tc>
              <w:tc>
                <w:tcPr>
                  <w:tcW w:w="863" w:type="dxa"/>
                  <w:tcBorders>
                    <w:top w:val="single" w:color="auto" w:sz="4" w:space="0"/>
                    <w:bottom w:val="single" w:color="auto" w:sz="4" w:space="0"/>
                  </w:tcBorders>
                  <w:vAlign w:val="center"/>
                </w:tcPr>
                <w:p w14:paraId="50735EC6">
                  <w:pPr>
                    <w:spacing w:line="264" w:lineRule="auto"/>
                    <w:jc w:val="center"/>
                    <w:rPr>
                      <w:szCs w:val="21"/>
                    </w:rPr>
                  </w:pPr>
                  <w:r>
                    <w:rPr>
                      <w:rFonts w:hint="eastAsia"/>
                      <w:szCs w:val="21"/>
                    </w:rPr>
                    <w:t>台</w:t>
                  </w:r>
                </w:p>
              </w:tc>
              <w:tc>
                <w:tcPr>
                  <w:tcW w:w="787" w:type="dxa"/>
                  <w:tcBorders>
                    <w:top w:val="single" w:color="auto" w:sz="4" w:space="0"/>
                    <w:bottom w:val="single" w:color="auto" w:sz="4" w:space="0"/>
                  </w:tcBorders>
                  <w:vAlign w:val="center"/>
                </w:tcPr>
                <w:p w14:paraId="3D907AEC">
                  <w:pPr>
                    <w:spacing w:line="264" w:lineRule="auto"/>
                    <w:jc w:val="center"/>
                    <w:rPr>
                      <w:bCs/>
                      <w:kern w:val="0"/>
                      <w:szCs w:val="21"/>
                    </w:rPr>
                  </w:pPr>
                  <w:r>
                    <w:rPr>
                      <w:rFonts w:hint="eastAsia"/>
                      <w:szCs w:val="21"/>
                    </w:rPr>
                    <w:t>1</w:t>
                  </w:r>
                </w:p>
              </w:tc>
              <w:tc>
                <w:tcPr>
                  <w:tcW w:w="775" w:type="dxa"/>
                  <w:tcBorders>
                    <w:top w:val="single" w:color="auto" w:sz="4" w:space="0"/>
                    <w:bottom w:val="single" w:color="auto" w:sz="4" w:space="0"/>
                  </w:tcBorders>
                  <w:vAlign w:val="center"/>
                </w:tcPr>
                <w:p w14:paraId="1A8E545A">
                  <w:pPr>
                    <w:spacing w:line="264" w:lineRule="auto"/>
                    <w:jc w:val="center"/>
                    <w:rPr>
                      <w:bCs/>
                      <w:kern w:val="0"/>
                      <w:szCs w:val="21"/>
                    </w:rPr>
                  </w:pPr>
                  <w:r>
                    <w:rPr>
                      <w:rFonts w:hint="eastAsia"/>
                      <w:szCs w:val="21"/>
                    </w:rPr>
                    <w:t>1</w:t>
                  </w:r>
                </w:p>
              </w:tc>
              <w:tc>
                <w:tcPr>
                  <w:tcW w:w="738" w:type="dxa"/>
                  <w:tcBorders>
                    <w:top w:val="single" w:color="auto" w:sz="4" w:space="0"/>
                    <w:bottom w:val="single" w:color="auto" w:sz="4" w:space="0"/>
                  </w:tcBorders>
                  <w:vAlign w:val="center"/>
                </w:tcPr>
                <w:p w14:paraId="505853D9">
                  <w:pPr>
                    <w:spacing w:line="264" w:lineRule="auto"/>
                    <w:jc w:val="center"/>
                    <w:rPr>
                      <w:bCs/>
                      <w:kern w:val="0"/>
                      <w:szCs w:val="21"/>
                    </w:rPr>
                  </w:pPr>
                  <w:r>
                    <w:rPr>
                      <w:rFonts w:hint="eastAsia"/>
                      <w:szCs w:val="21"/>
                    </w:rPr>
                    <w:t>1</w:t>
                  </w:r>
                </w:p>
              </w:tc>
              <w:tc>
                <w:tcPr>
                  <w:tcW w:w="1779" w:type="dxa"/>
                  <w:tcBorders>
                    <w:top w:val="single" w:color="auto" w:sz="4" w:space="0"/>
                    <w:bottom w:val="single" w:color="auto" w:sz="4" w:space="0"/>
                  </w:tcBorders>
                  <w:vAlign w:val="center"/>
                </w:tcPr>
                <w:p w14:paraId="3C522104">
                  <w:pPr>
                    <w:pStyle w:val="183"/>
                    <w:spacing w:before="120"/>
                    <w:ind w:right="0" w:rightChars="0" w:firstLine="0" w:firstLineChars="0"/>
                    <w:rPr>
                      <w:bCs/>
                      <w:kern w:val="0"/>
                      <w:szCs w:val="21"/>
                    </w:rPr>
                  </w:pPr>
                  <w:r>
                    <w:rPr>
                      <w:rFonts w:hint="eastAsia"/>
                      <w:bCs/>
                      <w:kern w:val="0"/>
                      <w:szCs w:val="21"/>
                    </w:rPr>
                    <w:t>/</w:t>
                  </w:r>
                </w:p>
              </w:tc>
            </w:tr>
            <w:tr w14:paraId="6EB1B2F7">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15" w:type="dxa"/>
                  <w:left w:w="15" w:type="dxa"/>
                  <w:bottom w:w="15" w:type="dxa"/>
                  <w:right w:w="15" w:type="dxa"/>
                </w:tblCellMar>
              </w:tblPrEx>
              <w:trPr>
                <w:trHeight w:val="156" w:hRule="atLeast"/>
                <w:jc w:val="center"/>
              </w:trPr>
              <w:tc>
                <w:tcPr>
                  <w:tcW w:w="758" w:type="dxa"/>
                  <w:tcBorders>
                    <w:top w:val="single" w:color="auto" w:sz="4" w:space="0"/>
                  </w:tcBorders>
                  <w:vAlign w:val="center"/>
                </w:tcPr>
                <w:p w14:paraId="240E6AB5">
                  <w:pPr>
                    <w:widowControl/>
                    <w:tabs>
                      <w:tab w:val="left" w:pos="1021"/>
                    </w:tabs>
                    <w:jc w:val="center"/>
                    <w:textAlignment w:val="top"/>
                    <w:rPr>
                      <w:bCs/>
                      <w:kern w:val="0"/>
                      <w:szCs w:val="21"/>
                    </w:rPr>
                  </w:pPr>
                  <w:r>
                    <w:rPr>
                      <w:bCs/>
                      <w:kern w:val="0"/>
                      <w:szCs w:val="21"/>
                    </w:rPr>
                    <w:t>12</w:t>
                  </w:r>
                </w:p>
              </w:tc>
              <w:tc>
                <w:tcPr>
                  <w:tcW w:w="1138" w:type="dxa"/>
                  <w:tcBorders>
                    <w:top w:val="single" w:color="auto" w:sz="4" w:space="0"/>
                  </w:tcBorders>
                  <w:vAlign w:val="center"/>
                </w:tcPr>
                <w:p w14:paraId="2E606556">
                  <w:pPr>
                    <w:spacing w:line="264" w:lineRule="auto"/>
                    <w:jc w:val="center"/>
                    <w:rPr>
                      <w:bCs/>
                      <w:kern w:val="0"/>
                      <w:szCs w:val="21"/>
                    </w:rPr>
                  </w:pPr>
                  <w:r>
                    <w:rPr>
                      <w:szCs w:val="21"/>
                    </w:rPr>
                    <w:t>圆圈机</w:t>
                  </w:r>
                </w:p>
              </w:tc>
              <w:tc>
                <w:tcPr>
                  <w:tcW w:w="1250" w:type="dxa"/>
                  <w:tcBorders>
                    <w:top w:val="single" w:color="auto" w:sz="4" w:space="0"/>
                  </w:tcBorders>
                  <w:vAlign w:val="center"/>
                </w:tcPr>
                <w:p w14:paraId="02B3D115">
                  <w:pPr>
                    <w:spacing w:line="264" w:lineRule="auto"/>
                    <w:jc w:val="center"/>
                    <w:rPr>
                      <w:szCs w:val="21"/>
                    </w:rPr>
                  </w:pPr>
                  <w:r>
                    <w:rPr>
                      <w:szCs w:val="21"/>
                    </w:rPr>
                    <w:t>XZJXJ-500型</w:t>
                  </w:r>
                </w:p>
              </w:tc>
              <w:tc>
                <w:tcPr>
                  <w:tcW w:w="863" w:type="dxa"/>
                  <w:tcBorders>
                    <w:top w:val="single" w:color="auto" w:sz="4" w:space="0"/>
                  </w:tcBorders>
                  <w:vAlign w:val="center"/>
                </w:tcPr>
                <w:p w14:paraId="7750CB41">
                  <w:pPr>
                    <w:spacing w:line="264" w:lineRule="auto"/>
                    <w:jc w:val="center"/>
                    <w:rPr>
                      <w:szCs w:val="21"/>
                    </w:rPr>
                  </w:pPr>
                  <w:r>
                    <w:rPr>
                      <w:rFonts w:hint="eastAsia"/>
                      <w:szCs w:val="21"/>
                    </w:rPr>
                    <w:t>台</w:t>
                  </w:r>
                </w:p>
              </w:tc>
              <w:tc>
                <w:tcPr>
                  <w:tcW w:w="787" w:type="dxa"/>
                  <w:tcBorders>
                    <w:top w:val="single" w:color="auto" w:sz="4" w:space="0"/>
                  </w:tcBorders>
                  <w:vAlign w:val="center"/>
                </w:tcPr>
                <w:p w14:paraId="2C146AAF">
                  <w:pPr>
                    <w:spacing w:line="264" w:lineRule="auto"/>
                    <w:jc w:val="center"/>
                    <w:rPr>
                      <w:bCs/>
                      <w:kern w:val="0"/>
                      <w:szCs w:val="21"/>
                    </w:rPr>
                  </w:pPr>
                  <w:r>
                    <w:rPr>
                      <w:rFonts w:hint="eastAsia"/>
                      <w:szCs w:val="21"/>
                    </w:rPr>
                    <w:t>1</w:t>
                  </w:r>
                </w:p>
              </w:tc>
              <w:tc>
                <w:tcPr>
                  <w:tcW w:w="775" w:type="dxa"/>
                  <w:tcBorders>
                    <w:top w:val="single" w:color="auto" w:sz="4" w:space="0"/>
                  </w:tcBorders>
                  <w:vAlign w:val="center"/>
                </w:tcPr>
                <w:p w14:paraId="6E3EE241">
                  <w:pPr>
                    <w:spacing w:line="264" w:lineRule="auto"/>
                    <w:jc w:val="center"/>
                    <w:rPr>
                      <w:bCs/>
                      <w:kern w:val="0"/>
                      <w:szCs w:val="21"/>
                    </w:rPr>
                  </w:pPr>
                  <w:r>
                    <w:rPr>
                      <w:rFonts w:hint="eastAsia"/>
                      <w:szCs w:val="21"/>
                    </w:rPr>
                    <w:t>1</w:t>
                  </w:r>
                </w:p>
              </w:tc>
              <w:tc>
                <w:tcPr>
                  <w:tcW w:w="738" w:type="dxa"/>
                  <w:tcBorders>
                    <w:top w:val="single" w:color="auto" w:sz="4" w:space="0"/>
                  </w:tcBorders>
                  <w:vAlign w:val="center"/>
                </w:tcPr>
                <w:p w14:paraId="7A838DBD">
                  <w:pPr>
                    <w:spacing w:line="264" w:lineRule="auto"/>
                    <w:jc w:val="center"/>
                    <w:rPr>
                      <w:bCs/>
                      <w:kern w:val="0"/>
                      <w:szCs w:val="21"/>
                    </w:rPr>
                  </w:pPr>
                  <w:r>
                    <w:rPr>
                      <w:rFonts w:hint="eastAsia"/>
                      <w:szCs w:val="21"/>
                    </w:rPr>
                    <w:t>1</w:t>
                  </w:r>
                </w:p>
              </w:tc>
              <w:tc>
                <w:tcPr>
                  <w:tcW w:w="1779" w:type="dxa"/>
                  <w:tcBorders>
                    <w:top w:val="single" w:color="auto" w:sz="4" w:space="0"/>
                  </w:tcBorders>
                  <w:vAlign w:val="center"/>
                </w:tcPr>
                <w:p w14:paraId="3E08A456">
                  <w:pPr>
                    <w:pStyle w:val="183"/>
                    <w:spacing w:before="120"/>
                    <w:ind w:right="0" w:rightChars="0" w:firstLine="0" w:firstLineChars="0"/>
                    <w:rPr>
                      <w:bCs/>
                      <w:kern w:val="0"/>
                      <w:szCs w:val="21"/>
                    </w:rPr>
                  </w:pPr>
                  <w:r>
                    <w:rPr>
                      <w:rFonts w:hint="eastAsia"/>
                      <w:bCs/>
                      <w:szCs w:val="21"/>
                    </w:rPr>
                    <w:t>/</w:t>
                  </w:r>
                </w:p>
              </w:tc>
            </w:tr>
            <w:tr w14:paraId="5B9BEE4F">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15" w:type="dxa"/>
                  <w:left w:w="15" w:type="dxa"/>
                  <w:bottom w:w="15" w:type="dxa"/>
                  <w:right w:w="15" w:type="dxa"/>
                </w:tblCellMar>
              </w:tblPrEx>
              <w:trPr>
                <w:trHeight w:val="284" w:hRule="atLeast"/>
                <w:jc w:val="center"/>
              </w:trPr>
              <w:tc>
                <w:tcPr>
                  <w:tcW w:w="758" w:type="dxa"/>
                  <w:shd w:val="clear" w:color="auto" w:fill="FFFFFF"/>
                  <w:vAlign w:val="center"/>
                </w:tcPr>
                <w:p w14:paraId="2D942D5A">
                  <w:pPr>
                    <w:pStyle w:val="183"/>
                    <w:spacing w:before="120"/>
                    <w:rPr>
                      <w:szCs w:val="21"/>
                    </w:rPr>
                  </w:pPr>
                  <w:r>
                    <w:rPr>
                      <w:szCs w:val="21"/>
                    </w:rPr>
                    <w:t>13</w:t>
                  </w:r>
                </w:p>
              </w:tc>
              <w:tc>
                <w:tcPr>
                  <w:tcW w:w="1138" w:type="dxa"/>
                  <w:shd w:val="clear" w:color="auto" w:fill="FFFFFF"/>
                  <w:vAlign w:val="center"/>
                </w:tcPr>
                <w:p w14:paraId="78A7D76C">
                  <w:pPr>
                    <w:spacing w:line="264" w:lineRule="auto"/>
                    <w:jc w:val="center"/>
                    <w:rPr>
                      <w:szCs w:val="21"/>
                    </w:rPr>
                  </w:pPr>
                  <w:r>
                    <w:rPr>
                      <w:rFonts w:hint="eastAsia"/>
                      <w:color w:val="000000"/>
                      <w:szCs w:val="21"/>
                    </w:rPr>
                    <w:t>烘干机</w:t>
                  </w:r>
                </w:p>
              </w:tc>
              <w:tc>
                <w:tcPr>
                  <w:tcW w:w="1250" w:type="dxa"/>
                  <w:shd w:val="clear" w:color="auto" w:fill="FFFFFF"/>
                  <w:vAlign w:val="center"/>
                </w:tcPr>
                <w:p w14:paraId="0F9A078E">
                  <w:pPr>
                    <w:spacing w:line="264" w:lineRule="auto"/>
                    <w:jc w:val="center"/>
                    <w:rPr>
                      <w:szCs w:val="21"/>
                    </w:rPr>
                  </w:pPr>
                  <w:r>
                    <w:rPr>
                      <w:rFonts w:hint="eastAsia"/>
                      <w:szCs w:val="21"/>
                    </w:rPr>
                    <w:t>/</w:t>
                  </w:r>
                </w:p>
              </w:tc>
              <w:tc>
                <w:tcPr>
                  <w:tcW w:w="863" w:type="dxa"/>
                  <w:shd w:val="clear" w:color="auto" w:fill="FFFFFF"/>
                  <w:vAlign w:val="center"/>
                </w:tcPr>
                <w:p w14:paraId="5523A9BF">
                  <w:pPr>
                    <w:spacing w:line="264" w:lineRule="auto"/>
                    <w:jc w:val="center"/>
                    <w:rPr>
                      <w:szCs w:val="21"/>
                    </w:rPr>
                  </w:pPr>
                  <w:r>
                    <w:rPr>
                      <w:rFonts w:hint="eastAsia"/>
                      <w:szCs w:val="21"/>
                    </w:rPr>
                    <w:t>台</w:t>
                  </w:r>
                </w:p>
              </w:tc>
              <w:tc>
                <w:tcPr>
                  <w:tcW w:w="787" w:type="dxa"/>
                  <w:shd w:val="clear" w:color="auto" w:fill="FFFFFF"/>
                  <w:vAlign w:val="center"/>
                </w:tcPr>
                <w:p w14:paraId="286F1BE6">
                  <w:pPr>
                    <w:spacing w:line="264" w:lineRule="auto"/>
                    <w:jc w:val="center"/>
                    <w:rPr>
                      <w:szCs w:val="21"/>
                    </w:rPr>
                  </w:pPr>
                  <w:r>
                    <w:rPr>
                      <w:rFonts w:hint="eastAsia"/>
                      <w:color w:val="000000"/>
                      <w:szCs w:val="21"/>
                    </w:rPr>
                    <w:t>5</w:t>
                  </w:r>
                </w:p>
              </w:tc>
              <w:tc>
                <w:tcPr>
                  <w:tcW w:w="775" w:type="dxa"/>
                  <w:shd w:val="clear" w:color="auto" w:fill="FFFFFF"/>
                  <w:vAlign w:val="center"/>
                </w:tcPr>
                <w:p w14:paraId="00C13E2F">
                  <w:pPr>
                    <w:spacing w:line="264" w:lineRule="auto"/>
                    <w:jc w:val="center"/>
                    <w:rPr>
                      <w:rFonts w:hint="default" w:eastAsia="宋体"/>
                      <w:kern w:val="28"/>
                      <w:szCs w:val="21"/>
                      <w:lang w:val="en-US" w:eastAsia="zh-CN"/>
                    </w:rPr>
                  </w:pPr>
                  <w:r>
                    <w:rPr>
                      <w:rFonts w:hint="eastAsia"/>
                      <w:kern w:val="28"/>
                      <w:szCs w:val="21"/>
                      <w:lang w:val="en-US" w:eastAsia="zh-CN"/>
                    </w:rPr>
                    <w:t>4</w:t>
                  </w:r>
                </w:p>
              </w:tc>
              <w:tc>
                <w:tcPr>
                  <w:tcW w:w="738" w:type="dxa"/>
                  <w:shd w:val="clear" w:color="auto" w:fill="FFFFFF"/>
                  <w:vAlign w:val="center"/>
                </w:tcPr>
                <w:p w14:paraId="28C19C81">
                  <w:pPr>
                    <w:spacing w:line="264" w:lineRule="auto"/>
                    <w:jc w:val="center"/>
                    <w:rPr>
                      <w:rFonts w:hint="eastAsia" w:eastAsia="宋体"/>
                      <w:kern w:val="28"/>
                      <w:szCs w:val="21"/>
                      <w:lang w:eastAsia="zh-CN"/>
                    </w:rPr>
                  </w:pPr>
                  <w:r>
                    <w:rPr>
                      <w:rFonts w:hint="eastAsia"/>
                      <w:kern w:val="28"/>
                      <w:szCs w:val="21"/>
                      <w:lang w:val="en-US" w:eastAsia="zh-CN"/>
                    </w:rPr>
                    <w:t>4</w:t>
                  </w:r>
                </w:p>
              </w:tc>
              <w:tc>
                <w:tcPr>
                  <w:tcW w:w="1779" w:type="dxa"/>
                  <w:shd w:val="clear" w:color="auto" w:fill="FFFFFF"/>
                  <w:vAlign w:val="center"/>
                </w:tcPr>
                <w:p w14:paraId="4705450D">
                  <w:pPr>
                    <w:pStyle w:val="183"/>
                    <w:spacing w:before="120"/>
                    <w:ind w:right="0" w:rightChars="0" w:firstLine="0" w:firstLineChars="0"/>
                    <w:rPr>
                      <w:bCs/>
                      <w:szCs w:val="21"/>
                    </w:rPr>
                  </w:pPr>
                  <w:r>
                    <w:rPr>
                      <w:rFonts w:hint="eastAsia"/>
                      <w:bCs/>
                      <w:szCs w:val="21"/>
                    </w:rPr>
                    <w:t>/</w:t>
                  </w:r>
                </w:p>
              </w:tc>
            </w:tr>
            <w:tr w14:paraId="4A243092">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15" w:type="dxa"/>
                  <w:left w:w="15" w:type="dxa"/>
                  <w:bottom w:w="15" w:type="dxa"/>
                  <w:right w:w="15" w:type="dxa"/>
                </w:tblCellMar>
              </w:tblPrEx>
              <w:trPr>
                <w:trHeight w:val="284" w:hRule="atLeast"/>
                <w:jc w:val="center"/>
              </w:trPr>
              <w:tc>
                <w:tcPr>
                  <w:tcW w:w="758" w:type="dxa"/>
                  <w:shd w:val="clear" w:color="auto" w:fill="FFFFFF"/>
                  <w:vAlign w:val="center"/>
                </w:tcPr>
                <w:p w14:paraId="2FD4076B">
                  <w:pPr>
                    <w:pStyle w:val="183"/>
                    <w:spacing w:before="120"/>
                    <w:rPr>
                      <w:color w:val="000000"/>
                      <w:szCs w:val="21"/>
                    </w:rPr>
                  </w:pPr>
                  <w:r>
                    <w:rPr>
                      <w:color w:val="000000"/>
                      <w:szCs w:val="21"/>
                    </w:rPr>
                    <w:t>14</w:t>
                  </w:r>
                </w:p>
              </w:tc>
              <w:tc>
                <w:tcPr>
                  <w:tcW w:w="1138" w:type="dxa"/>
                  <w:shd w:val="clear" w:color="auto" w:fill="FFFFFF"/>
                  <w:vAlign w:val="center"/>
                </w:tcPr>
                <w:p w14:paraId="697D2DC5">
                  <w:pPr>
                    <w:spacing w:line="264" w:lineRule="auto"/>
                    <w:jc w:val="center"/>
                    <w:rPr>
                      <w:color w:val="000000"/>
                      <w:szCs w:val="21"/>
                    </w:rPr>
                  </w:pPr>
                  <w:r>
                    <w:rPr>
                      <w:color w:val="000000"/>
                      <w:szCs w:val="21"/>
                    </w:rPr>
                    <w:t>自动送料架机</w:t>
                  </w:r>
                </w:p>
              </w:tc>
              <w:tc>
                <w:tcPr>
                  <w:tcW w:w="1250" w:type="dxa"/>
                  <w:shd w:val="clear" w:color="auto" w:fill="FFFFFF"/>
                  <w:vAlign w:val="center"/>
                </w:tcPr>
                <w:p w14:paraId="57AACA24">
                  <w:pPr>
                    <w:spacing w:line="264" w:lineRule="auto"/>
                    <w:jc w:val="center"/>
                    <w:rPr>
                      <w:szCs w:val="21"/>
                    </w:rPr>
                  </w:pPr>
                  <w:r>
                    <w:rPr>
                      <w:szCs w:val="21"/>
                    </w:rPr>
                    <w:t>AM-300型</w:t>
                  </w:r>
                </w:p>
              </w:tc>
              <w:tc>
                <w:tcPr>
                  <w:tcW w:w="863" w:type="dxa"/>
                  <w:shd w:val="clear" w:color="auto" w:fill="FFFFFF"/>
                  <w:vAlign w:val="center"/>
                </w:tcPr>
                <w:p w14:paraId="423F8922">
                  <w:pPr>
                    <w:spacing w:line="264" w:lineRule="auto"/>
                    <w:jc w:val="center"/>
                    <w:rPr>
                      <w:szCs w:val="21"/>
                    </w:rPr>
                  </w:pPr>
                  <w:r>
                    <w:rPr>
                      <w:rFonts w:hint="eastAsia"/>
                      <w:szCs w:val="21"/>
                    </w:rPr>
                    <w:t>台</w:t>
                  </w:r>
                </w:p>
              </w:tc>
              <w:tc>
                <w:tcPr>
                  <w:tcW w:w="787" w:type="dxa"/>
                  <w:shd w:val="clear" w:color="auto" w:fill="FFFFFF"/>
                  <w:vAlign w:val="center"/>
                </w:tcPr>
                <w:p w14:paraId="14AF06DC">
                  <w:pPr>
                    <w:spacing w:line="264" w:lineRule="auto"/>
                    <w:jc w:val="center"/>
                    <w:rPr>
                      <w:color w:val="000000"/>
                      <w:szCs w:val="21"/>
                    </w:rPr>
                  </w:pPr>
                  <w:r>
                    <w:rPr>
                      <w:rFonts w:hint="eastAsia"/>
                      <w:szCs w:val="21"/>
                    </w:rPr>
                    <w:t>1</w:t>
                  </w:r>
                </w:p>
              </w:tc>
              <w:tc>
                <w:tcPr>
                  <w:tcW w:w="775" w:type="dxa"/>
                  <w:shd w:val="clear" w:color="auto" w:fill="FFFFFF"/>
                  <w:vAlign w:val="center"/>
                </w:tcPr>
                <w:p w14:paraId="56006A3D">
                  <w:pPr>
                    <w:spacing w:line="264" w:lineRule="auto"/>
                    <w:jc w:val="center"/>
                    <w:rPr>
                      <w:kern w:val="28"/>
                      <w:szCs w:val="21"/>
                    </w:rPr>
                  </w:pPr>
                  <w:r>
                    <w:rPr>
                      <w:rFonts w:hint="eastAsia"/>
                      <w:szCs w:val="21"/>
                    </w:rPr>
                    <w:t>1</w:t>
                  </w:r>
                </w:p>
              </w:tc>
              <w:tc>
                <w:tcPr>
                  <w:tcW w:w="738" w:type="dxa"/>
                  <w:shd w:val="clear" w:color="auto" w:fill="FFFFFF"/>
                  <w:vAlign w:val="center"/>
                </w:tcPr>
                <w:p w14:paraId="0A2C090C">
                  <w:pPr>
                    <w:spacing w:line="264" w:lineRule="auto"/>
                    <w:jc w:val="center"/>
                    <w:rPr>
                      <w:kern w:val="28"/>
                      <w:szCs w:val="21"/>
                    </w:rPr>
                  </w:pPr>
                  <w:r>
                    <w:rPr>
                      <w:rFonts w:hint="eastAsia"/>
                      <w:szCs w:val="21"/>
                    </w:rPr>
                    <w:t>1</w:t>
                  </w:r>
                </w:p>
              </w:tc>
              <w:tc>
                <w:tcPr>
                  <w:tcW w:w="1779" w:type="dxa"/>
                  <w:shd w:val="clear" w:color="auto" w:fill="FFFFFF"/>
                  <w:vAlign w:val="center"/>
                </w:tcPr>
                <w:p w14:paraId="4CB698B4">
                  <w:pPr>
                    <w:pStyle w:val="183"/>
                    <w:spacing w:before="120"/>
                    <w:ind w:right="0" w:rightChars="0" w:firstLine="0" w:firstLineChars="0"/>
                    <w:rPr>
                      <w:bCs/>
                      <w:szCs w:val="21"/>
                    </w:rPr>
                  </w:pPr>
                  <w:r>
                    <w:rPr>
                      <w:rFonts w:hint="eastAsia"/>
                      <w:bCs/>
                      <w:szCs w:val="21"/>
                    </w:rPr>
                    <w:t>/</w:t>
                  </w:r>
                </w:p>
              </w:tc>
            </w:tr>
            <w:tr w14:paraId="71859FBF">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15" w:type="dxa"/>
                  <w:left w:w="15" w:type="dxa"/>
                  <w:bottom w:w="15" w:type="dxa"/>
                  <w:right w:w="15" w:type="dxa"/>
                </w:tblCellMar>
              </w:tblPrEx>
              <w:trPr>
                <w:trHeight w:val="284" w:hRule="atLeast"/>
                <w:jc w:val="center"/>
              </w:trPr>
              <w:tc>
                <w:tcPr>
                  <w:tcW w:w="758" w:type="dxa"/>
                  <w:shd w:val="clear" w:color="auto" w:fill="FFFFFF"/>
                  <w:vAlign w:val="center"/>
                </w:tcPr>
                <w:p w14:paraId="759910E9">
                  <w:pPr>
                    <w:pStyle w:val="183"/>
                    <w:spacing w:before="120"/>
                    <w:rPr>
                      <w:color w:val="000000"/>
                      <w:szCs w:val="21"/>
                    </w:rPr>
                  </w:pPr>
                  <w:r>
                    <w:rPr>
                      <w:color w:val="000000"/>
                      <w:szCs w:val="21"/>
                    </w:rPr>
                    <w:t>15</w:t>
                  </w:r>
                </w:p>
              </w:tc>
              <w:tc>
                <w:tcPr>
                  <w:tcW w:w="1138" w:type="dxa"/>
                  <w:shd w:val="clear" w:color="auto" w:fill="FFFFFF"/>
                  <w:vAlign w:val="center"/>
                </w:tcPr>
                <w:p w14:paraId="591863D0">
                  <w:pPr>
                    <w:spacing w:line="264" w:lineRule="auto"/>
                    <w:jc w:val="center"/>
                    <w:rPr>
                      <w:color w:val="000000"/>
                      <w:szCs w:val="21"/>
                    </w:rPr>
                  </w:pPr>
                  <w:r>
                    <w:rPr>
                      <w:szCs w:val="21"/>
                    </w:rPr>
                    <w:t>全自动喷塑线</w:t>
                  </w:r>
                </w:p>
              </w:tc>
              <w:tc>
                <w:tcPr>
                  <w:tcW w:w="1250" w:type="dxa"/>
                  <w:shd w:val="clear" w:color="auto" w:fill="FFFFFF"/>
                  <w:vAlign w:val="center"/>
                </w:tcPr>
                <w:p w14:paraId="5201FD2C">
                  <w:pPr>
                    <w:spacing w:line="264" w:lineRule="auto"/>
                    <w:jc w:val="center"/>
                    <w:rPr>
                      <w:szCs w:val="21"/>
                    </w:rPr>
                  </w:pPr>
                  <w:r>
                    <w:rPr>
                      <w:szCs w:val="21"/>
                    </w:rPr>
                    <w:t>/</w:t>
                  </w:r>
                </w:p>
              </w:tc>
              <w:tc>
                <w:tcPr>
                  <w:tcW w:w="863" w:type="dxa"/>
                  <w:shd w:val="clear" w:color="auto" w:fill="FFFFFF"/>
                  <w:vAlign w:val="center"/>
                </w:tcPr>
                <w:p w14:paraId="387A7FA0">
                  <w:pPr>
                    <w:spacing w:line="264" w:lineRule="auto"/>
                    <w:jc w:val="center"/>
                    <w:rPr>
                      <w:szCs w:val="21"/>
                    </w:rPr>
                  </w:pPr>
                  <w:r>
                    <w:rPr>
                      <w:rFonts w:hint="eastAsia"/>
                      <w:szCs w:val="21"/>
                    </w:rPr>
                    <w:t>条</w:t>
                  </w:r>
                </w:p>
              </w:tc>
              <w:tc>
                <w:tcPr>
                  <w:tcW w:w="787" w:type="dxa"/>
                  <w:shd w:val="clear" w:color="auto" w:fill="FFFFFF"/>
                  <w:vAlign w:val="center"/>
                </w:tcPr>
                <w:p w14:paraId="42E7AE45">
                  <w:pPr>
                    <w:spacing w:line="264" w:lineRule="auto"/>
                    <w:jc w:val="center"/>
                    <w:rPr>
                      <w:color w:val="000000"/>
                      <w:szCs w:val="21"/>
                    </w:rPr>
                  </w:pPr>
                  <w:r>
                    <w:rPr>
                      <w:rFonts w:hint="eastAsia"/>
                      <w:szCs w:val="21"/>
                    </w:rPr>
                    <w:t>1</w:t>
                  </w:r>
                </w:p>
              </w:tc>
              <w:tc>
                <w:tcPr>
                  <w:tcW w:w="775" w:type="dxa"/>
                  <w:shd w:val="clear" w:color="auto" w:fill="FFFFFF"/>
                  <w:vAlign w:val="center"/>
                </w:tcPr>
                <w:p w14:paraId="12E9CB3B">
                  <w:pPr>
                    <w:spacing w:line="264" w:lineRule="auto"/>
                    <w:jc w:val="center"/>
                    <w:rPr>
                      <w:kern w:val="28"/>
                      <w:szCs w:val="21"/>
                    </w:rPr>
                  </w:pPr>
                  <w:r>
                    <w:rPr>
                      <w:rFonts w:hint="eastAsia"/>
                      <w:szCs w:val="21"/>
                    </w:rPr>
                    <w:t>1</w:t>
                  </w:r>
                </w:p>
              </w:tc>
              <w:tc>
                <w:tcPr>
                  <w:tcW w:w="738" w:type="dxa"/>
                  <w:shd w:val="clear" w:color="auto" w:fill="FFFFFF"/>
                  <w:vAlign w:val="center"/>
                </w:tcPr>
                <w:p w14:paraId="61E10A9A">
                  <w:pPr>
                    <w:spacing w:line="264" w:lineRule="auto"/>
                    <w:jc w:val="center"/>
                    <w:rPr>
                      <w:kern w:val="28"/>
                      <w:szCs w:val="21"/>
                    </w:rPr>
                  </w:pPr>
                  <w:r>
                    <w:rPr>
                      <w:rFonts w:hint="eastAsia"/>
                      <w:szCs w:val="21"/>
                    </w:rPr>
                    <w:t>1</w:t>
                  </w:r>
                </w:p>
              </w:tc>
              <w:tc>
                <w:tcPr>
                  <w:tcW w:w="1779" w:type="dxa"/>
                  <w:shd w:val="clear" w:color="auto" w:fill="FFFFFF"/>
                  <w:vAlign w:val="center"/>
                </w:tcPr>
                <w:p w14:paraId="31E5BCFE">
                  <w:pPr>
                    <w:pStyle w:val="183"/>
                    <w:spacing w:before="120"/>
                    <w:ind w:right="0" w:rightChars="0" w:firstLine="0" w:firstLineChars="0"/>
                    <w:rPr>
                      <w:bCs/>
                      <w:szCs w:val="21"/>
                    </w:rPr>
                  </w:pPr>
                  <w:r>
                    <w:rPr>
                      <w:rFonts w:hint="eastAsia"/>
                      <w:bCs/>
                      <w:szCs w:val="21"/>
                    </w:rPr>
                    <w:t>/</w:t>
                  </w:r>
                </w:p>
              </w:tc>
            </w:tr>
            <w:tr w14:paraId="12786EDE">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15" w:type="dxa"/>
                  <w:left w:w="15" w:type="dxa"/>
                  <w:bottom w:w="15" w:type="dxa"/>
                  <w:right w:w="15" w:type="dxa"/>
                </w:tblCellMar>
              </w:tblPrEx>
              <w:trPr>
                <w:trHeight w:val="284" w:hRule="atLeast"/>
                <w:jc w:val="center"/>
              </w:trPr>
              <w:tc>
                <w:tcPr>
                  <w:tcW w:w="758" w:type="dxa"/>
                  <w:shd w:val="clear" w:color="auto" w:fill="FFFFFF"/>
                  <w:vAlign w:val="center"/>
                </w:tcPr>
                <w:p w14:paraId="0F504D26">
                  <w:pPr>
                    <w:pStyle w:val="183"/>
                    <w:spacing w:before="120"/>
                    <w:rPr>
                      <w:color w:val="000000"/>
                      <w:szCs w:val="21"/>
                    </w:rPr>
                  </w:pPr>
                  <w:r>
                    <w:rPr>
                      <w:rFonts w:hint="eastAsia"/>
                      <w:color w:val="000000"/>
                      <w:szCs w:val="21"/>
                    </w:rPr>
                    <w:t>16</w:t>
                  </w:r>
                </w:p>
              </w:tc>
              <w:tc>
                <w:tcPr>
                  <w:tcW w:w="1138" w:type="dxa"/>
                  <w:shd w:val="clear" w:color="auto" w:fill="FFFFFF"/>
                  <w:vAlign w:val="center"/>
                </w:tcPr>
                <w:p w14:paraId="1A95D650">
                  <w:pPr>
                    <w:widowControl/>
                    <w:tabs>
                      <w:tab w:val="left" w:pos="1021"/>
                    </w:tabs>
                    <w:jc w:val="center"/>
                    <w:textAlignment w:val="top"/>
                    <w:rPr>
                      <w:szCs w:val="21"/>
                    </w:rPr>
                  </w:pPr>
                  <w:r>
                    <w:rPr>
                      <w:rFonts w:hint="eastAsia"/>
                      <w:bCs/>
                      <w:kern w:val="0"/>
                      <w:szCs w:val="21"/>
                    </w:rPr>
                    <w:t>玻璃钢冷却塔</w:t>
                  </w:r>
                </w:p>
              </w:tc>
              <w:tc>
                <w:tcPr>
                  <w:tcW w:w="1250" w:type="dxa"/>
                  <w:shd w:val="clear" w:color="auto" w:fill="FFFFFF"/>
                  <w:vAlign w:val="center"/>
                </w:tcPr>
                <w:p w14:paraId="6A03AC23">
                  <w:pPr>
                    <w:widowControl/>
                    <w:tabs>
                      <w:tab w:val="left" w:pos="1021"/>
                    </w:tabs>
                    <w:jc w:val="center"/>
                    <w:textAlignment w:val="top"/>
                    <w:rPr>
                      <w:szCs w:val="21"/>
                    </w:rPr>
                  </w:pPr>
                  <w:r>
                    <w:rPr>
                      <w:rFonts w:hint="eastAsia"/>
                      <w:bCs/>
                      <w:kern w:val="0"/>
                      <w:szCs w:val="21"/>
                    </w:rPr>
                    <w:t>DBNL3-30</w:t>
                  </w:r>
                </w:p>
              </w:tc>
              <w:tc>
                <w:tcPr>
                  <w:tcW w:w="863" w:type="dxa"/>
                  <w:shd w:val="clear" w:color="auto" w:fill="FFFFFF"/>
                  <w:vAlign w:val="center"/>
                </w:tcPr>
                <w:p w14:paraId="154AFFB3">
                  <w:pPr>
                    <w:widowControl/>
                    <w:tabs>
                      <w:tab w:val="left" w:pos="1021"/>
                    </w:tabs>
                    <w:jc w:val="center"/>
                    <w:textAlignment w:val="top"/>
                    <w:rPr>
                      <w:szCs w:val="21"/>
                    </w:rPr>
                  </w:pPr>
                  <w:r>
                    <w:rPr>
                      <w:rFonts w:hint="eastAsia"/>
                      <w:bCs/>
                      <w:kern w:val="0"/>
                      <w:szCs w:val="21"/>
                    </w:rPr>
                    <w:t>台</w:t>
                  </w:r>
                </w:p>
              </w:tc>
              <w:tc>
                <w:tcPr>
                  <w:tcW w:w="787" w:type="dxa"/>
                  <w:shd w:val="clear" w:color="auto" w:fill="FFFFFF"/>
                  <w:vAlign w:val="center"/>
                </w:tcPr>
                <w:p w14:paraId="16861741">
                  <w:pPr>
                    <w:widowControl/>
                    <w:tabs>
                      <w:tab w:val="left" w:pos="1021"/>
                    </w:tabs>
                    <w:jc w:val="center"/>
                    <w:textAlignment w:val="top"/>
                    <w:rPr>
                      <w:color w:val="000000"/>
                      <w:szCs w:val="21"/>
                    </w:rPr>
                  </w:pPr>
                  <w:r>
                    <w:rPr>
                      <w:rFonts w:hint="eastAsia"/>
                      <w:bCs/>
                      <w:kern w:val="0"/>
                      <w:szCs w:val="21"/>
                    </w:rPr>
                    <w:t>1</w:t>
                  </w:r>
                </w:p>
              </w:tc>
              <w:tc>
                <w:tcPr>
                  <w:tcW w:w="775" w:type="dxa"/>
                  <w:shd w:val="clear" w:color="auto" w:fill="FFFFFF"/>
                  <w:vAlign w:val="center"/>
                </w:tcPr>
                <w:p w14:paraId="3B29F39C">
                  <w:pPr>
                    <w:widowControl/>
                    <w:tabs>
                      <w:tab w:val="left" w:pos="1021"/>
                    </w:tabs>
                    <w:jc w:val="center"/>
                    <w:textAlignment w:val="top"/>
                    <w:rPr>
                      <w:kern w:val="28"/>
                      <w:szCs w:val="21"/>
                    </w:rPr>
                  </w:pPr>
                  <w:r>
                    <w:rPr>
                      <w:rFonts w:hint="eastAsia"/>
                      <w:bCs/>
                      <w:kern w:val="0"/>
                      <w:szCs w:val="21"/>
                    </w:rPr>
                    <w:t>1</w:t>
                  </w:r>
                </w:p>
              </w:tc>
              <w:tc>
                <w:tcPr>
                  <w:tcW w:w="738" w:type="dxa"/>
                  <w:shd w:val="clear" w:color="auto" w:fill="FFFFFF"/>
                  <w:vAlign w:val="center"/>
                </w:tcPr>
                <w:p w14:paraId="386FE6A0">
                  <w:pPr>
                    <w:widowControl/>
                    <w:tabs>
                      <w:tab w:val="left" w:pos="1021"/>
                    </w:tabs>
                    <w:jc w:val="center"/>
                    <w:textAlignment w:val="top"/>
                    <w:rPr>
                      <w:kern w:val="28"/>
                      <w:szCs w:val="21"/>
                    </w:rPr>
                  </w:pPr>
                  <w:r>
                    <w:rPr>
                      <w:rFonts w:hint="eastAsia"/>
                      <w:bCs/>
                      <w:kern w:val="0"/>
                      <w:szCs w:val="21"/>
                    </w:rPr>
                    <w:t>1</w:t>
                  </w:r>
                </w:p>
              </w:tc>
              <w:tc>
                <w:tcPr>
                  <w:tcW w:w="1779" w:type="dxa"/>
                  <w:shd w:val="clear" w:color="auto" w:fill="FFFFFF"/>
                  <w:vAlign w:val="center"/>
                </w:tcPr>
                <w:p w14:paraId="553FC658">
                  <w:pPr>
                    <w:pStyle w:val="183"/>
                    <w:spacing w:before="120"/>
                    <w:ind w:right="0" w:rightChars="0" w:firstLine="0" w:firstLineChars="0"/>
                    <w:rPr>
                      <w:bCs/>
                      <w:szCs w:val="21"/>
                    </w:rPr>
                  </w:pPr>
                  <w:r>
                    <w:rPr>
                      <w:rFonts w:hint="eastAsia"/>
                      <w:bCs/>
                      <w:szCs w:val="21"/>
                    </w:rPr>
                    <w:t>/</w:t>
                  </w:r>
                </w:p>
              </w:tc>
            </w:tr>
            <w:tr w14:paraId="0BDFBD64">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15" w:type="dxa"/>
                  <w:left w:w="15" w:type="dxa"/>
                  <w:bottom w:w="15" w:type="dxa"/>
                  <w:right w:w="15" w:type="dxa"/>
                </w:tblCellMar>
              </w:tblPrEx>
              <w:trPr>
                <w:trHeight w:val="185" w:hRule="atLeast"/>
                <w:jc w:val="center"/>
              </w:trPr>
              <w:tc>
                <w:tcPr>
                  <w:tcW w:w="758" w:type="dxa"/>
                  <w:tcBorders>
                    <w:bottom w:val="single" w:color="auto" w:sz="4" w:space="0"/>
                  </w:tcBorders>
                  <w:shd w:val="clear" w:color="auto" w:fill="FFFFFF"/>
                  <w:vAlign w:val="center"/>
                </w:tcPr>
                <w:p w14:paraId="778127BE">
                  <w:pPr>
                    <w:pStyle w:val="183"/>
                    <w:spacing w:before="120"/>
                    <w:rPr>
                      <w:color w:val="000000"/>
                      <w:szCs w:val="21"/>
                    </w:rPr>
                  </w:pPr>
                  <w:r>
                    <w:rPr>
                      <w:rFonts w:hint="eastAsia"/>
                      <w:color w:val="000000"/>
                      <w:szCs w:val="21"/>
                    </w:rPr>
                    <w:t>17</w:t>
                  </w:r>
                </w:p>
              </w:tc>
              <w:tc>
                <w:tcPr>
                  <w:tcW w:w="1138" w:type="dxa"/>
                  <w:tcBorders>
                    <w:bottom w:val="single" w:color="auto" w:sz="4" w:space="0"/>
                  </w:tcBorders>
                  <w:shd w:val="clear" w:color="auto" w:fill="FFFFFF"/>
                  <w:vAlign w:val="center"/>
                </w:tcPr>
                <w:p w14:paraId="65312268">
                  <w:pPr>
                    <w:widowControl/>
                    <w:tabs>
                      <w:tab w:val="left" w:pos="1021"/>
                    </w:tabs>
                    <w:jc w:val="center"/>
                    <w:textAlignment w:val="top"/>
                    <w:rPr>
                      <w:bCs/>
                      <w:kern w:val="0"/>
                      <w:szCs w:val="21"/>
                    </w:rPr>
                  </w:pPr>
                  <w:r>
                    <w:rPr>
                      <w:rFonts w:hint="eastAsia"/>
                      <w:bCs/>
                      <w:szCs w:val="21"/>
                    </w:rPr>
                    <w:t>天然气燃烧器</w:t>
                  </w:r>
                </w:p>
              </w:tc>
              <w:tc>
                <w:tcPr>
                  <w:tcW w:w="1250" w:type="dxa"/>
                  <w:tcBorders>
                    <w:bottom w:val="single" w:color="auto" w:sz="4" w:space="0"/>
                  </w:tcBorders>
                  <w:shd w:val="clear" w:color="auto" w:fill="FFFFFF"/>
                  <w:vAlign w:val="center"/>
                </w:tcPr>
                <w:p w14:paraId="23D7E006">
                  <w:pPr>
                    <w:widowControl/>
                    <w:tabs>
                      <w:tab w:val="left" w:pos="1021"/>
                    </w:tabs>
                    <w:jc w:val="center"/>
                    <w:textAlignment w:val="center"/>
                    <w:rPr>
                      <w:bCs/>
                      <w:kern w:val="0"/>
                      <w:szCs w:val="21"/>
                    </w:rPr>
                  </w:pPr>
                  <w:r>
                    <w:rPr>
                      <w:rFonts w:hint="eastAsia"/>
                      <w:bCs/>
                      <w:szCs w:val="21"/>
                    </w:rPr>
                    <w:t>RSS4</w:t>
                  </w:r>
                </w:p>
              </w:tc>
              <w:tc>
                <w:tcPr>
                  <w:tcW w:w="863" w:type="dxa"/>
                  <w:tcBorders>
                    <w:bottom w:val="single" w:color="auto" w:sz="4" w:space="0"/>
                  </w:tcBorders>
                  <w:shd w:val="clear" w:color="auto" w:fill="FFFFFF"/>
                  <w:vAlign w:val="center"/>
                </w:tcPr>
                <w:p w14:paraId="49CE38C0">
                  <w:pPr>
                    <w:pStyle w:val="183"/>
                    <w:spacing w:before="120"/>
                    <w:ind w:right="0" w:rightChars="0" w:firstLine="0" w:firstLineChars="0"/>
                    <w:rPr>
                      <w:bCs/>
                      <w:kern w:val="0"/>
                      <w:szCs w:val="21"/>
                    </w:rPr>
                  </w:pPr>
                  <w:r>
                    <w:rPr>
                      <w:rFonts w:hint="eastAsia"/>
                      <w:bCs/>
                      <w:szCs w:val="21"/>
                    </w:rPr>
                    <w:t>台</w:t>
                  </w:r>
                </w:p>
              </w:tc>
              <w:tc>
                <w:tcPr>
                  <w:tcW w:w="787" w:type="dxa"/>
                  <w:tcBorders>
                    <w:bottom w:val="single" w:color="auto" w:sz="4" w:space="0"/>
                  </w:tcBorders>
                  <w:shd w:val="clear" w:color="auto" w:fill="FFFFFF"/>
                  <w:vAlign w:val="center"/>
                </w:tcPr>
                <w:p w14:paraId="712C9E4E">
                  <w:pPr>
                    <w:pStyle w:val="183"/>
                    <w:spacing w:before="120"/>
                    <w:ind w:right="0" w:rightChars="0" w:firstLine="0" w:firstLineChars="0"/>
                    <w:rPr>
                      <w:bCs/>
                      <w:kern w:val="0"/>
                      <w:szCs w:val="21"/>
                    </w:rPr>
                  </w:pPr>
                  <w:r>
                    <w:rPr>
                      <w:rFonts w:hint="eastAsia"/>
                      <w:bCs/>
                      <w:szCs w:val="21"/>
                    </w:rPr>
                    <w:t>1</w:t>
                  </w:r>
                </w:p>
              </w:tc>
              <w:tc>
                <w:tcPr>
                  <w:tcW w:w="775" w:type="dxa"/>
                  <w:tcBorders>
                    <w:bottom w:val="single" w:color="auto" w:sz="4" w:space="0"/>
                  </w:tcBorders>
                  <w:shd w:val="clear" w:color="auto" w:fill="FFFFFF"/>
                  <w:vAlign w:val="center"/>
                </w:tcPr>
                <w:p w14:paraId="14C19838">
                  <w:pPr>
                    <w:pStyle w:val="183"/>
                    <w:spacing w:before="120"/>
                    <w:ind w:right="0" w:rightChars="0" w:firstLine="0" w:firstLineChars="0"/>
                    <w:rPr>
                      <w:kern w:val="28"/>
                      <w:szCs w:val="21"/>
                    </w:rPr>
                  </w:pPr>
                  <w:r>
                    <w:rPr>
                      <w:rFonts w:hint="eastAsia"/>
                      <w:bCs/>
                      <w:szCs w:val="21"/>
                    </w:rPr>
                    <w:t>1</w:t>
                  </w:r>
                </w:p>
              </w:tc>
              <w:tc>
                <w:tcPr>
                  <w:tcW w:w="738" w:type="dxa"/>
                  <w:tcBorders>
                    <w:bottom w:val="single" w:color="auto" w:sz="4" w:space="0"/>
                  </w:tcBorders>
                  <w:shd w:val="clear" w:color="auto" w:fill="FFFFFF"/>
                  <w:vAlign w:val="center"/>
                </w:tcPr>
                <w:p w14:paraId="6D6A35C4">
                  <w:pPr>
                    <w:pStyle w:val="183"/>
                    <w:spacing w:before="120"/>
                    <w:ind w:right="0" w:rightChars="0" w:firstLine="0" w:firstLineChars="0"/>
                    <w:rPr>
                      <w:kern w:val="28"/>
                      <w:szCs w:val="21"/>
                    </w:rPr>
                  </w:pPr>
                  <w:r>
                    <w:rPr>
                      <w:rFonts w:hint="eastAsia"/>
                      <w:bCs/>
                      <w:szCs w:val="21"/>
                    </w:rPr>
                    <w:t>1</w:t>
                  </w:r>
                </w:p>
              </w:tc>
              <w:tc>
                <w:tcPr>
                  <w:tcW w:w="1779" w:type="dxa"/>
                  <w:tcBorders>
                    <w:bottom w:val="single" w:color="auto" w:sz="4" w:space="0"/>
                  </w:tcBorders>
                  <w:shd w:val="clear" w:color="auto" w:fill="FFFFFF"/>
                  <w:vAlign w:val="center"/>
                </w:tcPr>
                <w:p w14:paraId="60F9D50B">
                  <w:pPr>
                    <w:pStyle w:val="183"/>
                    <w:spacing w:before="120"/>
                    <w:ind w:right="0" w:rightChars="0" w:firstLine="0" w:firstLineChars="0"/>
                    <w:rPr>
                      <w:bCs/>
                      <w:szCs w:val="21"/>
                    </w:rPr>
                  </w:pPr>
                  <w:r>
                    <w:rPr>
                      <w:rFonts w:hint="eastAsia"/>
                      <w:bCs/>
                      <w:szCs w:val="21"/>
                    </w:rPr>
                    <w:t>/</w:t>
                  </w:r>
                </w:p>
              </w:tc>
            </w:tr>
            <w:tr w14:paraId="5C89AA72">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15" w:type="dxa"/>
                  <w:left w:w="15" w:type="dxa"/>
                  <w:bottom w:w="15" w:type="dxa"/>
                  <w:right w:w="15" w:type="dxa"/>
                </w:tblCellMar>
              </w:tblPrEx>
              <w:trPr>
                <w:trHeight w:val="247" w:hRule="atLeast"/>
                <w:jc w:val="center"/>
              </w:trPr>
              <w:tc>
                <w:tcPr>
                  <w:tcW w:w="758" w:type="dxa"/>
                  <w:tcBorders>
                    <w:top w:val="single" w:color="auto" w:sz="4" w:space="0"/>
                  </w:tcBorders>
                  <w:shd w:val="clear" w:color="auto" w:fill="FFFFFF"/>
                  <w:vAlign w:val="center"/>
                </w:tcPr>
                <w:p w14:paraId="05070DC1">
                  <w:pPr>
                    <w:pStyle w:val="183"/>
                    <w:spacing w:before="120"/>
                    <w:rPr>
                      <w:color w:val="000000"/>
                      <w:szCs w:val="21"/>
                    </w:rPr>
                  </w:pPr>
                  <w:r>
                    <w:rPr>
                      <w:rFonts w:hint="eastAsia"/>
                      <w:color w:val="000000"/>
                      <w:szCs w:val="21"/>
                    </w:rPr>
                    <w:t>18</w:t>
                  </w:r>
                </w:p>
              </w:tc>
              <w:tc>
                <w:tcPr>
                  <w:tcW w:w="1138" w:type="dxa"/>
                  <w:tcBorders>
                    <w:top w:val="single" w:color="auto" w:sz="4" w:space="0"/>
                  </w:tcBorders>
                  <w:shd w:val="clear" w:color="auto" w:fill="FFFFFF"/>
                  <w:vAlign w:val="center"/>
                </w:tcPr>
                <w:p w14:paraId="064EC1D9">
                  <w:pPr>
                    <w:pStyle w:val="183"/>
                    <w:spacing w:before="120"/>
                    <w:ind w:right="0" w:rightChars="0" w:firstLine="0" w:firstLineChars="0"/>
                    <w:rPr>
                      <w:bCs/>
                      <w:szCs w:val="21"/>
                    </w:rPr>
                  </w:pPr>
                  <w:r>
                    <w:rPr>
                      <w:rFonts w:hint="eastAsia"/>
                      <w:szCs w:val="21"/>
                    </w:rPr>
                    <w:t>UV光氧催化废气处理设备</w:t>
                  </w:r>
                </w:p>
              </w:tc>
              <w:tc>
                <w:tcPr>
                  <w:tcW w:w="1250" w:type="dxa"/>
                  <w:tcBorders>
                    <w:top w:val="single" w:color="auto" w:sz="4" w:space="0"/>
                  </w:tcBorders>
                  <w:shd w:val="clear" w:color="auto" w:fill="FFFFFF"/>
                  <w:vAlign w:val="center"/>
                </w:tcPr>
                <w:p w14:paraId="262D94E0">
                  <w:pPr>
                    <w:pStyle w:val="183"/>
                    <w:spacing w:before="120"/>
                    <w:ind w:right="0" w:rightChars="0" w:firstLine="0" w:firstLineChars="0"/>
                    <w:rPr>
                      <w:bCs/>
                      <w:szCs w:val="21"/>
                    </w:rPr>
                  </w:pPr>
                  <w:r>
                    <w:rPr>
                      <w:rFonts w:hint="eastAsia"/>
                      <w:szCs w:val="21"/>
                    </w:rPr>
                    <w:t>/</w:t>
                  </w:r>
                </w:p>
              </w:tc>
              <w:tc>
                <w:tcPr>
                  <w:tcW w:w="863" w:type="dxa"/>
                  <w:tcBorders>
                    <w:top w:val="single" w:color="auto" w:sz="4" w:space="0"/>
                  </w:tcBorders>
                  <w:shd w:val="clear" w:color="auto" w:fill="FFFFFF"/>
                  <w:vAlign w:val="center"/>
                </w:tcPr>
                <w:p w14:paraId="754606C8">
                  <w:pPr>
                    <w:pStyle w:val="183"/>
                    <w:spacing w:before="120"/>
                    <w:ind w:right="0" w:rightChars="0" w:firstLine="0" w:firstLineChars="0"/>
                    <w:rPr>
                      <w:bCs/>
                      <w:szCs w:val="21"/>
                    </w:rPr>
                  </w:pPr>
                  <w:r>
                    <w:rPr>
                      <w:rFonts w:hint="eastAsia"/>
                      <w:bCs/>
                      <w:szCs w:val="21"/>
                    </w:rPr>
                    <w:t>台</w:t>
                  </w:r>
                </w:p>
              </w:tc>
              <w:tc>
                <w:tcPr>
                  <w:tcW w:w="787" w:type="dxa"/>
                  <w:tcBorders>
                    <w:top w:val="single" w:color="auto" w:sz="4" w:space="0"/>
                  </w:tcBorders>
                  <w:shd w:val="clear" w:color="auto" w:fill="FFFFFF"/>
                  <w:vAlign w:val="center"/>
                </w:tcPr>
                <w:p w14:paraId="7F42B3D8">
                  <w:pPr>
                    <w:pStyle w:val="183"/>
                    <w:spacing w:before="120"/>
                    <w:ind w:right="0" w:rightChars="0" w:firstLine="0" w:firstLineChars="0"/>
                    <w:rPr>
                      <w:bCs/>
                      <w:szCs w:val="21"/>
                    </w:rPr>
                  </w:pPr>
                  <w:r>
                    <w:rPr>
                      <w:rFonts w:hint="eastAsia"/>
                      <w:bCs/>
                      <w:szCs w:val="21"/>
                    </w:rPr>
                    <w:t>2</w:t>
                  </w:r>
                </w:p>
              </w:tc>
              <w:tc>
                <w:tcPr>
                  <w:tcW w:w="775" w:type="dxa"/>
                  <w:tcBorders>
                    <w:top w:val="single" w:color="auto" w:sz="4" w:space="0"/>
                  </w:tcBorders>
                  <w:shd w:val="clear" w:color="auto" w:fill="FFFFFF"/>
                  <w:vAlign w:val="center"/>
                </w:tcPr>
                <w:p w14:paraId="14DEFE60">
                  <w:pPr>
                    <w:pStyle w:val="183"/>
                    <w:spacing w:before="120"/>
                    <w:ind w:right="0" w:rightChars="0" w:firstLine="0" w:firstLineChars="0"/>
                    <w:rPr>
                      <w:bCs/>
                      <w:color w:val="auto"/>
                      <w:szCs w:val="21"/>
                    </w:rPr>
                  </w:pPr>
                  <w:r>
                    <w:rPr>
                      <w:rFonts w:hint="eastAsia"/>
                      <w:bCs/>
                      <w:color w:val="auto"/>
                      <w:szCs w:val="21"/>
                    </w:rPr>
                    <w:t>0</w:t>
                  </w:r>
                </w:p>
              </w:tc>
              <w:tc>
                <w:tcPr>
                  <w:tcW w:w="738" w:type="dxa"/>
                  <w:tcBorders>
                    <w:top w:val="single" w:color="auto" w:sz="4" w:space="0"/>
                  </w:tcBorders>
                  <w:shd w:val="clear" w:color="auto" w:fill="FFFFFF"/>
                  <w:vAlign w:val="center"/>
                </w:tcPr>
                <w:p w14:paraId="0DDFBF97">
                  <w:pPr>
                    <w:pStyle w:val="183"/>
                    <w:spacing w:before="120"/>
                    <w:ind w:right="0" w:rightChars="0" w:firstLine="0" w:firstLineChars="0"/>
                    <w:rPr>
                      <w:bCs/>
                      <w:color w:val="auto"/>
                      <w:szCs w:val="21"/>
                    </w:rPr>
                  </w:pPr>
                  <w:r>
                    <w:rPr>
                      <w:rFonts w:hint="eastAsia"/>
                      <w:bCs/>
                      <w:color w:val="auto"/>
                      <w:szCs w:val="21"/>
                    </w:rPr>
                    <w:t>0</w:t>
                  </w:r>
                </w:p>
              </w:tc>
              <w:tc>
                <w:tcPr>
                  <w:tcW w:w="1779" w:type="dxa"/>
                  <w:tcBorders>
                    <w:top w:val="single" w:color="auto" w:sz="4" w:space="0"/>
                  </w:tcBorders>
                  <w:shd w:val="clear" w:color="auto" w:fill="FFFFFF"/>
                  <w:vAlign w:val="center"/>
                </w:tcPr>
                <w:p w14:paraId="000FA9BD">
                  <w:pPr>
                    <w:pStyle w:val="183"/>
                    <w:spacing w:before="120"/>
                    <w:ind w:right="0" w:rightChars="0" w:firstLine="0" w:firstLineChars="0"/>
                    <w:rPr>
                      <w:rFonts w:hint="eastAsia" w:eastAsia="宋体"/>
                      <w:bCs/>
                      <w:szCs w:val="21"/>
                      <w:lang w:eastAsia="zh-CN"/>
                    </w:rPr>
                  </w:pPr>
                  <w:r>
                    <w:rPr>
                      <w:rFonts w:hint="eastAsia"/>
                      <w:bCs/>
                      <w:szCs w:val="21"/>
                    </w:rPr>
                    <w:t>拆除现有2台</w:t>
                  </w:r>
                  <w:r>
                    <w:rPr>
                      <w:rFonts w:hint="eastAsia"/>
                      <w:szCs w:val="21"/>
                    </w:rPr>
                    <w:t>UV光氧催化废气处理设备</w:t>
                  </w:r>
                  <w:r>
                    <w:rPr>
                      <w:rFonts w:hint="eastAsia"/>
                      <w:szCs w:val="21"/>
                      <w:lang w:eastAsia="zh-CN"/>
                    </w:rPr>
                    <w:t>，</w:t>
                  </w:r>
                  <w:r>
                    <w:rPr>
                      <w:rFonts w:hint="eastAsia"/>
                      <w:szCs w:val="21"/>
                      <w:lang w:val="en-US" w:eastAsia="zh-CN"/>
                    </w:rPr>
                    <w:t>该</w:t>
                  </w:r>
                  <w:r>
                    <w:rPr>
                      <w:rFonts w:hint="eastAsia"/>
                      <w:bCs/>
                      <w:color w:val="auto"/>
                      <w:kern w:val="0"/>
                      <w:szCs w:val="21"/>
                      <w:lang w:val="en-US" w:eastAsia="zh-CN"/>
                    </w:rPr>
                    <w:t>设备拆除后外售</w:t>
                  </w:r>
                </w:p>
              </w:tc>
            </w:tr>
            <w:tr w14:paraId="609E9FD7">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15" w:type="dxa"/>
                  <w:left w:w="15" w:type="dxa"/>
                  <w:bottom w:w="15" w:type="dxa"/>
                  <w:right w:w="15" w:type="dxa"/>
                </w:tblCellMar>
              </w:tblPrEx>
              <w:trPr>
                <w:trHeight w:val="284" w:hRule="atLeast"/>
                <w:jc w:val="center"/>
              </w:trPr>
              <w:tc>
                <w:tcPr>
                  <w:tcW w:w="758" w:type="dxa"/>
                  <w:shd w:val="clear" w:color="auto" w:fill="FFFFFF"/>
                  <w:vAlign w:val="center"/>
                </w:tcPr>
                <w:p w14:paraId="145174E7">
                  <w:pPr>
                    <w:pStyle w:val="183"/>
                    <w:spacing w:before="120"/>
                    <w:rPr>
                      <w:color w:val="000000"/>
                      <w:szCs w:val="21"/>
                    </w:rPr>
                  </w:pPr>
                  <w:r>
                    <w:rPr>
                      <w:rFonts w:hint="eastAsia"/>
                      <w:color w:val="000000"/>
                      <w:szCs w:val="21"/>
                    </w:rPr>
                    <w:t>19</w:t>
                  </w:r>
                </w:p>
              </w:tc>
              <w:tc>
                <w:tcPr>
                  <w:tcW w:w="1138" w:type="dxa"/>
                  <w:shd w:val="clear" w:color="auto" w:fill="FFFFFF"/>
                  <w:vAlign w:val="center"/>
                </w:tcPr>
                <w:p w14:paraId="695272F2">
                  <w:pPr>
                    <w:pStyle w:val="183"/>
                    <w:spacing w:before="120"/>
                    <w:ind w:right="0" w:rightChars="0" w:firstLine="0" w:firstLineChars="0"/>
                    <w:rPr>
                      <w:bCs/>
                      <w:kern w:val="0"/>
                      <w:szCs w:val="21"/>
                    </w:rPr>
                  </w:pPr>
                  <w:r>
                    <w:rPr>
                      <w:rFonts w:hint="eastAsia"/>
                      <w:szCs w:val="21"/>
                    </w:rPr>
                    <w:t>活性炭环保吸附箱</w:t>
                  </w:r>
                </w:p>
              </w:tc>
              <w:tc>
                <w:tcPr>
                  <w:tcW w:w="1250" w:type="dxa"/>
                  <w:shd w:val="clear" w:color="auto" w:fill="FFFFFF"/>
                  <w:vAlign w:val="center"/>
                </w:tcPr>
                <w:p w14:paraId="0A8C2535">
                  <w:pPr>
                    <w:pStyle w:val="183"/>
                    <w:spacing w:before="120"/>
                    <w:ind w:right="0" w:rightChars="0" w:firstLine="0" w:firstLineChars="0"/>
                    <w:rPr>
                      <w:bCs/>
                      <w:kern w:val="0"/>
                      <w:szCs w:val="21"/>
                    </w:rPr>
                  </w:pPr>
                  <w:r>
                    <w:rPr>
                      <w:rFonts w:hint="eastAsia"/>
                      <w:szCs w:val="21"/>
                    </w:rPr>
                    <w:t>/</w:t>
                  </w:r>
                </w:p>
              </w:tc>
              <w:tc>
                <w:tcPr>
                  <w:tcW w:w="863" w:type="dxa"/>
                  <w:shd w:val="clear" w:color="auto" w:fill="FFFFFF"/>
                  <w:vAlign w:val="center"/>
                </w:tcPr>
                <w:p w14:paraId="1C486B9E">
                  <w:pPr>
                    <w:pStyle w:val="183"/>
                    <w:spacing w:before="120"/>
                    <w:ind w:right="0" w:rightChars="0" w:firstLine="0" w:firstLineChars="0"/>
                    <w:rPr>
                      <w:bCs/>
                      <w:kern w:val="0"/>
                      <w:szCs w:val="21"/>
                    </w:rPr>
                  </w:pPr>
                  <w:r>
                    <w:rPr>
                      <w:rFonts w:hint="eastAsia"/>
                      <w:bCs/>
                      <w:szCs w:val="21"/>
                    </w:rPr>
                    <w:t>个</w:t>
                  </w:r>
                </w:p>
              </w:tc>
              <w:tc>
                <w:tcPr>
                  <w:tcW w:w="787" w:type="dxa"/>
                  <w:shd w:val="clear" w:color="auto" w:fill="FFFFFF"/>
                  <w:vAlign w:val="center"/>
                </w:tcPr>
                <w:p w14:paraId="4CF0827E">
                  <w:pPr>
                    <w:pStyle w:val="183"/>
                    <w:spacing w:before="120"/>
                    <w:ind w:right="0" w:rightChars="0" w:firstLine="0" w:firstLineChars="0"/>
                    <w:rPr>
                      <w:bCs/>
                      <w:kern w:val="0"/>
                      <w:szCs w:val="21"/>
                    </w:rPr>
                  </w:pPr>
                  <w:r>
                    <w:rPr>
                      <w:rFonts w:hint="eastAsia"/>
                      <w:bCs/>
                      <w:szCs w:val="21"/>
                    </w:rPr>
                    <w:t>2</w:t>
                  </w:r>
                </w:p>
              </w:tc>
              <w:tc>
                <w:tcPr>
                  <w:tcW w:w="775" w:type="dxa"/>
                  <w:shd w:val="clear" w:color="auto" w:fill="FFFFFF"/>
                  <w:vAlign w:val="center"/>
                </w:tcPr>
                <w:p w14:paraId="02616D7D">
                  <w:pPr>
                    <w:pStyle w:val="183"/>
                    <w:spacing w:before="120"/>
                    <w:ind w:right="0" w:rightChars="0" w:firstLine="0" w:firstLineChars="0"/>
                    <w:rPr>
                      <w:color w:val="00B0F0"/>
                      <w:kern w:val="28"/>
                      <w:szCs w:val="21"/>
                    </w:rPr>
                  </w:pPr>
                  <w:r>
                    <w:rPr>
                      <w:rFonts w:hint="eastAsia"/>
                      <w:bCs/>
                      <w:szCs w:val="21"/>
                    </w:rPr>
                    <w:t>2</w:t>
                  </w:r>
                </w:p>
              </w:tc>
              <w:tc>
                <w:tcPr>
                  <w:tcW w:w="738" w:type="dxa"/>
                  <w:shd w:val="clear" w:color="auto" w:fill="FFFFFF"/>
                  <w:vAlign w:val="center"/>
                </w:tcPr>
                <w:p w14:paraId="781DE71F">
                  <w:pPr>
                    <w:pStyle w:val="183"/>
                    <w:spacing w:before="120"/>
                    <w:ind w:right="0" w:rightChars="0" w:firstLine="0" w:firstLineChars="0"/>
                    <w:rPr>
                      <w:color w:val="00B0F0"/>
                      <w:kern w:val="28"/>
                      <w:szCs w:val="21"/>
                    </w:rPr>
                  </w:pPr>
                  <w:r>
                    <w:rPr>
                      <w:rFonts w:hint="eastAsia"/>
                      <w:bCs/>
                      <w:szCs w:val="21"/>
                    </w:rPr>
                    <w:t>2</w:t>
                  </w:r>
                </w:p>
              </w:tc>
              <w:tc>
                <w:tcPr>
                  <w:tcW w:w="1779" w:type="dxa"/>
                  <w:shd w:val="clear" w:color="auto" w:fill="FFFFFF"/>
                  <w:vAlign w:val="center"/>
                </w:tcPr>
                <w:p w14:paraId="7576B8A6">
                  <w:pPr>
                    <w:pStyle w:val="183"/>
                    <w:spacing w:before="120"/>
                    <w:ind w:right="0" w:rightChars="0" w:firstLine="0" w:firstLineChars="0"/>
                    <w:rPr>
                      <w:bCs/>
                      <w:szCs w:val="21"/>
                    </w:rPr>
                  </w:pPr>
                  <w:r>
                    <w:rPr>
                      <w:rFonts w:hint="eastAsia"/>
                      <w:bCs/>
                      <w:szCs w:val="21"/>
                    </w:rPr>
                    <w:t>新增2个</w:t>
                  </w:r>
                  <w:r>
                    <w:rPr>
                      <w:rFonts w:hint="eastAsia"/>
                      <w:szCs w:val="21"/>
                    </w:rPr>
                    <w:t>活性炭环保吸附箱</w:t>
                  </w:r>
                </w:p>
              </w:tc>
            </w:tr>
          </w:tbl>
          <w:p w14:paraId="0F01F892">
            <w:pPr>
              <w:spacing w:line="360" w:lineRule="auto"/>
              <w:ind w:firstLine="482" w:firstLineChars="200"/>
              <w:rPr>
                <w:b/>
                <w:sz w:val="24"/>
              </w:rPr>
            </w:pPr>
            <w:r>
              <w:rPr>
                <w:rFonts w:hint="eastAsia"/>
                <w:b/>
                <w:sz w:val="24"/>
              </w:rPr>
              <w:t>6、主要原辅材料及能源消耗</w:t>
            </w:r>
          </w:p>
          <w:p w14:paraId="2D01D64E">
            <w:pPr>
              <w:spacing w:line="360" w:lineRule="auto"/>
              <w:ind w:firstLine="480" w:firstLineChars="200"/>
              <w:rPr>
                <w:b/>
                <w:bCs/>
                <w:sz w:val="24"/>
              </w:rPr>
            </w:pPr>
            <w:r>
              <w:rPr>
                <w:rFonts w:hint="eastAsia"/>
                <w:sz w:val="24"/>
              </w:rPr>
              <w:t>本项目原辅材料及能源消耗见表2-4</w:t>
            </w:r>
            <w:bookmarkStart w:id="6" w:name="_Hlk86146251"/>
          </w:p>
          <w:p w14:paraId="430616E5">
            <w:pPr>
              <w:pStyle w:val="15"/>
              <w:spacing w:before="0" w:after="0" w:line="240" w:lineRule="auto"/>
              <w:ind w:right="0"/>
              <w:jc w:val="center"/>
              <w:rPr>
                <w:b/>
                <w:bCs/>
                <w:sz w:val="21"/>
                <w:szCs w:val="21"/>
              </w:rPr>
            </w:pPr>
            <w:r>
              <w:rPr>
                <w:rFonts w:hint="eastAsia"/>
                <w:b/>
                <w:bCs/>
                <w:sz w:val="24"/>
                <w:szCs w:val="24"/>
              </w:rPr>
              <w:t>表</w:t>
            </w:r>
            <w:r>
              <w:rPr>
                <w:b/>
                <w:bCs/>
                <w:sz w:val="24"/>
                <w:szCs w:val="24"/>
              </w:rPr>
              <w:t>2-</w:t>
            </w:r>
            <w:r>
              <w:rPr>
                <w:rFonts w:hint="eastAsia"/>
                <w:b/>
                <w:bCs/>
                <w:sz w:val="24"/>
                <w:szCs w:val="24"/>
              </w:rPr>
              <w:t>4</w:t>
            </w:r>
            <w:r>
              <w:rPr>
                <w:b/>
                <w:bCs/>
                <w:sz w:val="24"/>
                <w:szCs w:val="24"/>
              </w:rPr>
              <w:t xml:space="preserve">  </w:t>
            </w:r>
            <w:r>
              <w:rPr>
                <w:rFonts w:hint="eastAsia"/>
                <w:b/>
                <w:bCs/>
                <w:sz w:val="24"/>
                <w:szCs w:val="24"/>
              </w:rPr>
              <w:t xml:space="preserve">   主要原辅材料及能源消耗</w:t>
            </w:r>
            <w:r>
              <w:rPr>
                <w:b/>
                <w:bCs/>
                <w:sz w:val="24"/>
                <w:szCs w:val="24"/>
              </w:rPr>
              <w:t xml:space="preserve"> </w:t>
            </w:r>
            <w:r>
              <w:rPr>
                <w:b/>
                <w:bCs/>
                <w:sz w:val="21"/>
                <w:szCs w:val="21"/>
              </w:rPr>
              <w:t xml:space="preserve"> </w:t>
            </w:r>
          </w:p>
          <w:bookmarkEnd w:id="6"/>
          <w:tbl>
            <w:tblPr>
              <w:tblStyle w:val="36"/>
              <w:tblW w:w="805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35"/>
              <w:gridCol w:w="1275"/>
              <w:gridCol w:w="1035"/>
              <w:gridCol w:w="1095"/>
              <w:gridCol w:w="1260"/>
              <w:gridCol w:w="2658"/>
            </w:tblGrid>
            <w:tr w14:paraId="27CA90C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735" w:type="dxa"/>
                  <w:tcBorders>
                    <w:tl2br w:val="nil"/>
                    <w:tr2bl w:val="nil"/>
                  </w:tcBorders>
                  <w:vAlign w:val="center"/>
                </w:tcPr>
                <w:p w14:paraId="3385894D">
                  <w:pPr>
                    <w:jc w:val="center"/>
                    <w:rPr>
                      <w:szCs w:val="21"/>
                    </w:rPr>
                  </w:pPr>
                  <w:r>
                    <w:rPr>
                      <w:rFonts w:hint="eastAsia"/>
                      <w:szCs w:val="21"/>
                    </w:rPr>
                    <w:t>序号</w:t>
                  </w:r>
                </w:p>
              </w:tc>
              <w:tc>
                <w:tcPr>
                  <w:tcW w:w="1275" w:type="dxa"/>
                  <w:tcBorders>
                    <w:tl2br w:val="nil"/>
                    <w:tr2bl w:val="nil"/>
                  </w:tcBorders>
                  <w:vAlign w:val="center"/>
                </w:tcPr>
                <w:p w14:paraId="63F81128">
                  <w:pPr>
                    <w:jc w:val="center"/>
                    <w:rPr>
                      <w:szCs w:val="21"/>
                    </w:rPr>
                  </w:pPr>
                  <w:r>
                    <w:rPr>
                      <w:szCs w:val="21"/>
                    </w:rPr>
                    <w:t>名称</w:t>
                  </w:r>
                </w:p>
              </w:tc>
              <w:tc>
                <w:tcPr>
                  <w:tcW w:w="1035" w:type="dxa"/>
                  <w:tcBorders>
                    <w:tl2br w:val="nil"/>
                    <w:tr2bl w:val="nil"/>
                  </w:tcBorders>
                  <w:vAlign w:val="center"/>
                </w:tcPr>
                <w:p w14:paraId="164C5A36">
                  <w:pPr>
                    <w:widowControl/>
                    <w:jc w:val="center"/>
                    <w:rPr>
                      <w:kern w:val="0"/>
                      <w:szCs w:val="21"/>
                    </w:rPr>
                  </w:pPr>
                  <w:r>
                    <w:rPr>
                      <w:rFonts w:hint="eastAsia"/>
                      <w:kern w:val="0"/>
                      <w:szCs w:val="21"/>
                    </w:rPr>
                    <w:t>现有工程年用量（t/a）</w:t>
                  </w:r>
                </w:p>
              </w:tc>
              <w:tc>
                <w:tcPr>
                  <w:tcW w:w="1095" w:type="dxa"/>
                  <w:tcBorders>
                    <w:tl2br w:val="nil"/>
                    <w:tr2bl w:val="nil"/>
                  </w:tcBorders>
                  <w:vAlign w:val="center"/>
                </w:tcPr>
                <w:p w14:paraId="35A7DC4B">
                  <w:pPr>
                    <w:widowControl/>
                    <w:jc w:val="center"/>
                    <w:rPr>
                      <w:kern w:val="0"/>
                      <w:szCs w:val="21"/>
                    </w:rPr>
                  </w:pPr>
                  <w:r>
                    <w:rPr>
                      <w:rFonts w:hint="eastAsia"/>
                      <w:kern w:val="0"/>
                      <w:szCs w:val="21"/>
                      <w:lang w:val="en-US" w:eastAsia="zh-CN"/>
                    </w:rPr>
                    <w:t>改建</w:t>
                  </w:r>
                  <w:r>
                    <w:rPr>
                      <w:rFonts w:hint="eastAsia"/>
                      <w:kern w:val="0"/>
                      <w:szCs w:val="21"/>
                    </w:rPr>
                    <w:t>工程年用量(t/a)</w:t>
                  </w:r>
                </w:p>
              </w:tc>
              <w:tc>
                <w:tcPr>
                  <w:tcW w:w="1260" w:type="dxa"/>
                  <w:tcBorders>
                    <w:tl2br w:val="nil"/>
                    <w:tr2bl w:val="nil"/>
                  </w:tcBorders>
                  <w:vAlign w:val="center"/>
                </w:tcPr>
                <w:p w14:paraId="23D7E2ED">
                  <w:pPr>
                    <w:widowControl/>
                    <w:jc w:val="center"/>
                    <w:rPr>
                      <w:kern w:val="0"/>
                      <w:szCs w:val="21"/>
                    </w:rPr>
                  </w:pPr>
                  <w:r>
                    <w:rPr>
                      <w:rFonts w:hint="eastAsia"/>
                      <w:kern w:val="0"/>
                      <w:szCs w:val="21"/>
                      <w:lang w:val="en-US" w:eastAsia="zh-CN"/>
                    </w:rPr>
                    <w:t>改建</w:t>
                  </w:r>
                  <w:r>
                    <w:rPr>
                      <w:rFonts w:hint="eastAsia"/>
                      <w:kern w:val="0"/>
                      <w:szCs w:val="21"/>
                    </w:rPr>
                    <w:t>后年用量（t/a）</w:t>
                  </w:r>
                </w:p>
              </w:tc>
              <w:tc>
                <w:tcPr>
                  <w:tcW w:w="2658" w:type="dxa"/>
                  <w:tcBorders>
                    <w:tl2br w:val="nil"/>
                    <w:tr2bl w:val="nil"/>
                  </w:tcBorders>
                  <w:vAlign w:val="center"/>
                </w:tcPr>
                <w:p w14:paraId="6F330831">
                  <w:pPr>
                    <w:widowControl/>
                    <w:jc w:val="center"/>
                    <w:rPr>
                      <w:kern w:val="0"/>
                      <w:szCs w:val="21"/>
                    </w:rPr>
                  </w:pPr>
                  <w:r>
                    <w:rPr>
                      <w:rFonts w:hint="eastAsia"/>
                      <w:kern w:val="0"/>
                      <w:szCs w:val="21"/>
                    </w:rPr>
                    <w:t>备注</w:t>
                  </w:r>
                </w:p>
              </w:tc>
            </w:tr>
            <w:tr w14:paraId="7D31E97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735" w:type="dxa"/>
                  <w:vAlign w:val="center"/>
                </w:tcPr>
                <w:p w14:paraId="2A2BDCCF">
                  <w:pPr>
                    <w:jc w:val="center"/>
                    <w:rPr>
                      <w:szCs w:val="21"/>
                    </w:rPr>
                  </w:pPr>
                  <w:r>
                    <w:rPr>
                      <w:szCs w:val="21"/>
                    </w:rPr>
                    <w:t>1</w:t>
                  </w:r>
                </w:p>
              </w:tc>
              <w:tc>
                <w:tcPr>
                  <w:tcW w:w="1275" w:type="dxa"/>
                  <w:vAlign w:val="center"/>
                </w:tcPr>
                <w:p w14:paraId="703CDF32">
                  <w:pPr>
                    <w:jc w:val="center"/>
                    <w:rPr>
                      <w:szCs w:val="21"/>
                    </w:rPr>
                  </w:pPr>
                  <w:r>
                    <w:rPr>
                      <w:szCs w:val="21"/>
                    </w:rPr>
                    <w:t>钢材</w:t>
                  </w:r>
                </w:p>
              </w:tc>
              <w:tc>
                <w:tcPr>
                  <w:tcW w:w="1035" w:type="dxa"/>
                  <w:vAlign w:val="center"/>
                </w:tcPr>
                <w:p w14:paraId="7DF1B745">
                  <w:pPr>
                    <w:jc w:val="center"/>
                    <w:rPr>
                      <w:bCs/>
                      <w:szCs w:val="21"/>
                    </w:rPr>
                  </w:pPr>
                  <w:r>
                    <w:rPr>
                      <w:rFonts w:hint="eastAsia"/>
                      <w:szCs w:val="21"/>
                    </w:rPr>
                    <w:t>1200</w:t>
                  </w:r>
                </w:p>
              </w:tc>
              <w:tc>
                <w:tcPr>
                  <w:tcW w:w="1095" w:type="dxa"/>
                  <w:vAlign w:val="center"/>
                </w:tcPr>
                <w:p w14:paraId="4C83F7A6">
                  <w:pPr>
                    <w:jc w:val="center"/>
                    <w:rPr>
                      <w:rFonts w:hint="default" w:eastAsia="宋体"/>
                      <w:bCs/>
                      <w:szCs w:val="21"/>
                      <w:lang w:val="en-US" w:eastAsia="zh-CN"/>
                    </w:rPr>
                  </w:pPr>
                  <w:r>
                    <w:rPr>
                      <w:rFonts w:hint="eastAsia"/>
                      <w:szCs w:val="21"/>
                      <w:lang w:val="en-US" w:eastAsia="zh-CN"/>
                    </w:rPr>
                    <w:t>960</w:t>
                  </w:r>
                </w:p>
              </w:tc>
              <w:tc>
                <w:tcPr>
                  <w:tcW w:w="1260" w:type="dxa"/>
                  <w:vAlign w:val="center"/>
                </w:tcPr>
                <w:p w14:paraId="1FE26B33">
                  <w:pPr>
                    <w:jc w:val="center"/>
                    <w:rPr>
                      <w:rFonts w:hint="default" w:eastAsia="宋体"/>
                      <w:szCs w:val="21"/>
                      <w:lang w:val="en-US" w:eastAsia="zh-CN"/>
                    </w:rPr>
                  </w:pPr>
                  <w:r>
                    <w:rPr>
                      <w:rFonts w:hint="eastAsia"/>
                      <w:szCs w:val="21"/>
                      <w:lang w:val="en-US" w:eastAsia="zh-CN"/>
                    </w:rPr>
                    <w:t>960</w:t>
                  </w:r>
                </w:p>
              </w:tc>
              <w:tc>
                <w:tcPr>
                  <w:tcW w:w="2658" w:type="dxa"/>
                  <w:vAlign w:val="center"/>
                </w:tcPr>
                <w:p w14:paraId="78D0BDF4">
                  <w:pPr>
                    <w:jc w:val="center"/>
                    <w:rPr>
                      <w:szCs w:val="21"/>
                    </w:rPr>
                  </w:pPr>
                  <w:r>
                    <w:rPr>
                      <w:szCs w:val="21"/>
                    </w:rPr>
                    <w:t>外购，500kg/卷，位于原料堆放区</w:t>
                  </w:r>
                </w:p>
              </w:tc>
            </w:tr>
            <w:tr w14:paraId="39C5E1C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735" w:type="dxa"/>
                  <w:vAlign w:val="center"/>
                </w:tcPr>
                <w:p w14:paraId="5D3ACF5C">
                  <w:pPr>
                    <w:jc w:val="center"/>
                    <w:rPr>
                      <w:bCs/>
                      <w:szCs w:val="21"/>
                    </w:rPr>
                  </w:pPr>
                  <w:r>
                    <w:rPr>
                      <w:szCs w:val="21"/>
                    </w:rPr>
                    <w:t>2</w:t>
                  </w:r>
                </w:p>
              </w:tc>
              <w:tc>
                <w:tcPr>
                  <w:tcW w:w="1275" w:type="dxa"/>
                  <w:vAlign w:val="center"/>
                </w:tcPr>
                <w:p w14:paraId="6EF8CA17">
                  <w:pPr>
                    <w:jc w:val="center"/>
                    <w:rPr>
                      <w:bCs/>
                      <w:szCs w:val="21"/>
                    </w:rPr>
                  </w:pPr>
                  <w:r>
                    <w:rPr>
                      <w:rFonts w:hint="eastAsia"/>
                      <w:szCs w:val="21"/>
                    </w:rPr>
                    <w:t xml:space="preserve"> </w:t>
                  </w:r>
                  <w:r>
                    <w:rPr>
                      <w:szCs w:val="21"/>
                    </w:rPr>
                    <w:t>聚乙烯</w:t>
                  </w:r>
                </w:p>
              </w:tc>
              <w:tc>
                <w:tcPr>
                  <w:tcW w:w="1035" w:type="dxa"/>
                  <w:vAlign w:val="center"/>
                </w:tcPr>
                <w:p w14:paraId="75C2DE42">
                  <w:pPr>
                    <w:jc w:val="center"/>
                    <w:rPr>
                      <w:bCs/>
                      <w:szCs w:val="21"/>
                    </w:rPr>
                  </w:pPr>
                  <w:r>
                    <w:rPr>
                      <w:rFonts w:hint="eastAsia"/>
                      <w:szCs w:val="21"/>
                    </w:rPr>
                    <w:t>1320</w:t>
                  </w:r>
                </w:p>
              </w:tc>
              <w:tc>
                <w:tcPr>
                  <w:tcW w:w="1095" w:type="dxa"/>
                  <w:vAlign w:val="center"/>
                </w:tcPr>
                <w:p w14:paraId="61B4D1E8">
                  <w:pPr>
                    <w:jc w:val="center"/>
                    <w:rPr>
                      <w:rFonts w:hint="default" w:eastAsia="宋体"/>
                      <w:bCs/>
                      <w:szCs w:val="21"/>
                      <w:lang w:val="en-US" w:eastAsia="zh-CN"/>
                    </w:rPr>
                  </w:pPr>
                  <w:r>
                    <w:rPr>
                      <w:rFonts w:hint="eastAsia"/>
                      <w:szCs w:val="21"/>
                      <w:lang w:val="en-US" w:eastAsia="zh-CN"/>
                    </w:rPr>
                    <w:t>1056</w:t>
                  </w:r>
                </w:p>
              </w:tc>
              <w:tc>
                <w:tcPr>
                  <w:tcW w:w="1260" w:type="dxa"/>
                  <w:vAlign w:val="center"/>
                </w:tcPr>
                <w:p w14:paraId="7578D164">
                  <w:pPr>
                    <w:jc w:val="center"/>
                    <w:rPr>
                      <w:rFonts w:hint="default" w:eastAsia="宋体"/>
                      <w:bCs/>
                      <w:szCs w:val="21"/>
                      <w:lang w:val="en-US" w:eastAsia="zh-CN"/>
                    </w:rPr>
                  </w:pPr>
                  <w:r>
                    <w:rPr>
                      <w:rFonts w:hint="eastAsia"/>
                      <w:szCs w:val="21"/>
                      <w:lang w:val="en-US" w:eastAsia="zh-CN"/>
                    </w:rPr>
                    <w:t>1056</w:t>
                  </w:r>
                </w:p>
              </w:tc>
              <w:tc>
                <w:tcPr>
                  <w:tcW w:w="2658" w:type="dxa"/>
                  <w:vAlign w:val="center"/>
                </w:tcPr>
                <w:p w14:paraId="3A6BFC91">
                  <w:pPr>
                    <w:jc w:val="center"/>
                    <w:rPr>
                      <w:bCs/>
                      <w:szCs w:val="21"/>
                    </w:rPr>
                  </w:pPr>
                  <w:r>
                    <w:rPr>
                      <w:szCs w:val="21"/>
                    </w:rPr>
                    <w:t>外购，25kg/袋，位于原料堆放区</w:t>
                  </w:r>
                </w:p>
              </w:tc>
            </w:tr>
            <w:tr w14:paraId="14A357B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735" w:type="dxa"/>
                  <w:vAlign w:val="center"/>
                </w:tcPr>
                <w:p w14:paraId="74E7ACBD">
                  <w:pPr>
                    <w:jc w:val="center"/>
                    <w:rPr>
                      <w:szCs w:val="21"/>
                    </w:rPr>
                  </w:pPr>
                  <w:r>
                    <w:rPr>
                      <w:szCs w:val="21"/>
                    </w:rPr>
                    <w:t>3</w:t>
                  </w:r>
                </w:p>
              </w:tc>
              <w:tc>
                <w:tcPr>
                  <w:tcW w:w="1275" w:type="dxa"/>
                  <w:vAlign w:val="center"/>
                </w:tcPr>
                <w:p w14:paraId="4CD3AA66">
                  <w:pPr>
                    <w:jc w:val="center"/>
                    <w:rPr>
                      <w:szCs w:val="21"/>
                    </w:rPr>
                  </w:pPr>
                  <w:r>
                    <w:rPr>
                      <w:szCs w:val="21"/>
                    </w:rPr>
                    <w:t>天然气</w:t>
                  </w:r>
                </w:p>
              </w:tc>
              <w:tc>
                <w:tcPr>
                  <w:tcW w:w="1035" w:type="dxa"/>
                  <w:vAlign w:val="center"/>
                </w:tcPr>
                <w:p w14:paraId="6018B274">
                  <w:pPr>
                    <w:jc w:val="center"/>
                    <w:rPr>
                      <w:bCs/>
                      <w:szCs w:val="21"/>
                    </w:rPr>
                  </w:pPr>
                  <w:r>
                    <w:rPr>
                      <w:rFonts w:hint="eastAsia"/>
                      <w:szCs w:val="21"/>
                    </w:rPr>
                    <w:t>5.1</w:t>
                  </w:r>
                  <w:r>
                    <w:rPr>
                      <w:szCs w:val="21"/>
                    </w:rPr>
                    <w:t>万m</w:t>
                  </w:r>
                  <w:r>
                    <w:rPr>
                      <w:szCs w:val="21"/>
                      <w:vertAlign w:val="superscript"/>
                    </w:rPr>
                    <w:t>3</w:t>
                  </w:r>
                </w:p>
              </w:tc>
              <w:tc>
                <w:tcPr>
                  <w:tcW w:w="1095" w:type="dxa"/>
                  <w:vAlign w:val="center"/>
                </w:tcPr>
                <w:p w14:paraId="250FCC59">
                  <w:pPr>
                    <w:jc w:val="center"/>
                    <w:rPr>
                      <w:bCs/>
                      <w:szCs w:val="21"/>
                    </w:rPr>
                  </w:pPr>
                  <w:r>
                    <w:rPr>
                      <w:rFonts w:hint="eastAsia"/>
                      <w:szCs w:val="21"/>
                      <w:lang w:val="en-US" w:eastAsia="zh-CN"/>
                    </w:rPr>
                    <w:t>4.08</w:t>
                  </w:r>
                  <w:r>
                    <w:rPr>
                      <w:szCs w:val="21"/>
                    </w:rPr>
                    <w:t>万m</w:t>
                  </w:r>
                  <w:r>
                    <w:rPr>
                      <w:szCs w:val="21"/>
                      <w:vertAlign w:val="superscript"/>
                    </w:rPr>
                    <w:t>3</w:t>
                  </w:r>
                </w:p>
              </w:tc>
              <w:tc>
                <w:tcPr>
                  <w:tcW w:w="1260" w:type="dxa"/>
                  <w:vAlign w:val="center"/>
                </w:tcPr>
                <w:p w14:paraId="50ADB65C">
                  <w:pPr>
                    <w:jc w:val="center"/>
                    <w:rPr>
                      <w:szCs w:val="21"/>
                    </w:rPr>
                  </w:pPr>
                  <w:r>
                    <w:rPr>
                      <w:rFonts w:hint="eastAsia"/>
                      <w:szCs w:val="21"/>
                      <w:lang w:val="en-US" w:eastAsia="zh-CN"/>
                    </w:rPr>
                    <w:t>4.08</w:t>
                  </w:r>
                  <w:r>
                    <w:rPr>
                      <w:szCs w:val="21"/>
                    </w:rPr>
                    <w:t>万m</w:t>
                  </w:r>
                  <w:r>
                    <w:rPr>
                      <w:szCs w:val="21"/>
                      <w:vertAlign w:val="superscript"/>
                    </w:rPr>
                    <w:t>3</w:t>
                  </w:r>
                </w:p>
              </w:tc>
              <w:tc>
                <w:tcPr>
                  <w:tcW w:w="2658" w:type="dxa"/>
                  <w:vAlign w:val="center"/>
                </w:tcPr>
                <w:p w14:paraId="1514C380">
                  <w:pPr>
                    <w:jc w:val="center"/>
                    <w:rPr>
                      <w:szCs w:val="21"/>
                    </w:rPr>
                  </w:pPr>
                  <w:r>
                    <w:rPr>
                      <w:szCs w:val="21"/>
                    </w:rPr>
                    <w:t>市政天然气管道</w:t>
                  </w:r>
                </w:p>
              </w:tc>
            </w:tr>
            <w:tr w14:paraId="688DC9F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735" w:type="dxa"/>
                  <w:vAlign w:val="center"/>
                </w:tcPr>
                <w:p w14:paraId="7D00AE5F">
                  <w:pPr>
                    <w:jc w:val="center"/>
                    <w:rPr>
                      <w:szCs w:val="21"/>
                    </w:rPr>
                  </w:pPr>
                  <w:r>
                    <w:rPr>
                      <w:szCs w:val="21"/>
                    </w:rPr>
                    <w:t>4</w:t>
                  </w:r>
                </w:p>
              </w:tc>
              <w:tc>
                <w:tcPr>
                  <w:tcW w:w="1275" w:type="dxa"/>
                  <w:vAlign w:val="center"/>
                </w:tcPr>
                <w:p w14:paraId="266C40F9">
                  <w:pPr>
                    <w:jc w:val="center"/>
                    <w:rPr>
                      <w:szCs w:val="21"/>
                    </w:rPr>
                  </w:pPr>
                  <w:r>
                    <w:rPr>
                      <w:szCs w:val="21"/>
                    </w:rPr>
                    <w:t>齿轮油</w:t>
                  </w:r>
                </w:p>
              </w:tc>
              <w:tc>
                <w:tcPr>
                  <w:tcW w:w="1035" w:type="dxa"/>
                  <w:vAlign w:val="center"/>
                </w:tcPr>
                <w:p w14:paraId="7DEE2D4B">
                  <w:pPr>
                    <w:jc w:val="center"/>
                    <w:rPr>
                      <w:bCs/>
                      <w:szCs w:val="21"/>
                    </w:rPr>
                  </w:pPr>
                  <w:r>
                    <w:rPr>
                      <w:rFonts w:hint="eastAsia"/>
                      <w:szCs w:val="21"/>
                    </w:rPr>
                    <w:t>24</w:t>
                  </w:r>
                  <w:r>
                    <w:rPr>
                      <w:szCs w:val="21"/>
                    </w:rPr>
                    <w:t>桶</w:t>
                  </w:r>
                </w:p>
              </w:tc>
              <w:tc>
                <w:tcPr>
                  <w:tcW w:w="1095" w:type="dxa"/>
                  <w:vAlign w:val="center"/>
                </w:tcPr>
                <w:p w14:paraId="01933727">
                  <w:pPr>
                    <w:jc w:val="center"/>
                    <w:rPr>
                      <w:bCs/>
                      <w:szCs w:val="21"/>
                    </w:rPr>
                  </w:pPr>
                  <w:r>
                    <w:rPr>
                      <w:rFonts w:hint="eastAsia"/>
                      <w:szCs w:val="21"/>
                      <w:lang w:val="en-US" w:eastAsia="zh-CN"/>
                    </w:rPr>
                    <w:t>20</w:t>
                  </w:r>
                  <w:r>
                    <w:rPr>
                      <w:rFonts w:hint="eastAsia"/>
                      <w:szCs w:val="21"/>
                    </w:rPr>
                    <w:t>桶</w:t>
                  </w:r>
                </w:p>
              </w:tc>
              <w:tc>
                <w:tcPr>
                  <w:tcW w:w="1260" w:type="dxa"/>
                  <w:vAlign w:val="center"/>
                </w:tcPr>
                <w:p w14:paraId="71880635">
                  <w:pPr>
                    <w:jc w:val="center"/>
                    <w:rPr>
                      <w:szCs w:val="21"/>
                    </w:rPr>
                  </w:pPr>
                  <w:r>
                    <w:rPr>
                      <w:rFonts w:hint="eastAsia"/>
                      <w:szCs w:val="21"/>
                      <w:lang w:val="en-US" w:eastAsia="zh-CN"/>
                    </w:rPr>
                    <w:t>20</w:t>
                  </w:r>
                  <w:r>
                    <w:rPr>
                      <w:rFonts w:hint="eastAsia"/>
                      <w:szCs w:val="21"/>
                    </w:rPr>
                    <w:t>桶</w:t>
                  </w:r>
                </w:p>
              </w:tc>
              <w:tc>
                <w:tcPr>
                  <w:tcW w:w="2658" w:type="dxa"/>
                  <w:vAlign w:val="center"/>
                </w:tcPr>
                <w:p w14:paraId="4C5F139A">
                  <w:pPr>
                    <w:jc w:val="center"/>
                    <w:rPr>
                      <w:szCs w:val="21"/>
                    </w:rPr>
                  </w:pPr>
                  <w:r>
                    <w:rPr>
                      <w:szCs w:val="21"/>
                    </w:rPr>
                    <w:t>外购，18L/桶，约17</w:t>
                  </w:r>
                  <w:r>
                    <w:rPr>
                      <w:rFonts w:hint="eastAsia"/>
                      <w:szCs w:val="21"/>
                    </w:rPr>
                    <w:t>.5</w:t>
                  </w:r>
                  <w:r>
                    <w:rPr>
                      <w:szCs w:val="21"/>
                    </w:rPr>
                    <w:t>kg/桶储存在五金仓库内</w:t>
                  </w:r>
                </w:p>
              </w:tc>
            </w:tr>
            <w:tr w14:paraId="125A955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735" w:type="dxa"/>
                  <w:vAlign w:val="center"/>
                </w:tcPr>
                <w:p w14:paraId="00F6C8CD">
                  <w:pPr>
                    <w:jc w:val="center"/>
                  </w:pPr>
                  <w:r>
                    <w:rPr>
                      <w:szCs w:val="21"/>
                    </w:rPr>
                    <w:t>5</w:t>
                  </w:r>
                </w:p>
              </w:tc>
              <w:tc>
                <w:tcPr>
                  <w:tcW w:w="1275" w:type="dxa"/>
                  <w:vAlign w:val="center"/>
                </w:tcPr>
                <w:p w14:paraId="127947D2">
                  <w:pPr>
                    <w:jc w:val="center"/>
                  </w:pPr>
                  <w:r>
                    <w:rPr>
                      <w:szCs w:val="21"/>
                    </w:rPr>
                    <w:t>导轨油</w:t>
                  </w:r>
                </w:p>
              </w:tc>
              <w:tc>
                <w:tcPr>
                  <w:tcW w:w="1035" w:type="dxa"/>
                  <w:vAlign w:val="center"/>
                </w:tcPr>
                <w:p w14:paraId="5C95CFAD">
                  <w:pPr>
                    <w:jc w:val="center"/>
                    <w:rPr>
                      <w:bCs/>
                      <w:kern w:val="28"/>
                      <w:szCs w:val="32"/>
                    </w:rPr>
                  </w:pPr>
                  <w:r>
                    <w:rPr>
                      <w:rFonts w:hint="eastAsia"/>
                      <w:szCs w:val="21"/>
                    </w:rPr>
                    <w:t>24</w:t>
                  </w:r>
                  <w:r>
                    <w:rPr>
                      <w:szCs w:val="21"/>
                    </w:rPr>
                    <w:t>桶</w:t>
                  </w:r>
                </w:p>
              </w:tc>
              <w:tc>
                <w:tcPr>
                  <w:tcW w:w="1095" w:type="dxa"/>
                  <w:vAlign w:val="center"/>
                </w:tcPr>
                <w:p w14:paraId="4EBE721A">
                  <w:pPr>
                    <w:jc w:val="center"/>
                    <w:rPr>
                      <w:bCs/>
                      <w:kern w:val="28"/>
                      <w:szCs w:val="32"/>
                    </w:rPr>
                  </w:pPr>
                  <w:r>
                    <w:rPr>
                      <w:rFonts w:hint="eastAsia"/>
                      <w:szCs w:val="21"/>
                      <w:lang w:val="en-US" w:eastAsia="zh-CN"/>
                    </w:rPr>
                    <w:t>20</w:t>
                  </w:r>
                  <w:r>
                    <w:rPr>
                      <w:rFonts w:hint="eastAsia"/>
                      <w:szCs w:val="21"/>
                    </w:rPr>
                    <w:t>桶</w:t>
                  </w:r>
                </w:p>
              </w:tc>
              <w:tc>
                <w:tcPr>
                  <w:tcW w:w="1260" w:type="dxa"/>
                  <w:vAlign w:val="center"/>
                </w:tcPr>
                <w:p w14:paraId="57C96BB2">
                  <w:pPr>
                    <w:jc w:val="center"/>
                  </w:pPr>
                  <w:r>
                    <w:rPr>
                      <w:rFonts w:hint="eastAsia"/>
                      <w:szCs w:val="21"/>
                      <w:lang w:val="en-US" w:eastAsia="zh-CN"/>
                    </w:rPr>
                    <w:t>20</w:t>
                  </w:r>
                  <w:r>
                    <w:rPr>
                      <w:rFonts w:hint="eastAsia"/>
                      <w:szCs w:val="21"/>
                    </w:rPr>
                    <w:t>桶</w:t>
                  </w:r>
                </w:p>
              </w:tc>
              <w:tc>
                <w:tcPr>
                  <w:tcW w:w="2658" w:type="dxa"/>
                  <w:vAlign w:val="center"/>
                </w:tcPr>
                <w:p w14:paraId="6D9C0526">
                  <w:pPr>
                    <w:jc w:val="center"/>
                  </w:pPr>
                  <w:r>
                    <w:rPr>
                      <w:szCs w:val="21"/>
                    </w:rPr>
                    <w:t>外购，18L/桶，约17</w:t>
                  </w:r>
                  <w:r>
                    <w:rPr>
                      <w:rFonts w:hint="eastAsia"/>
                      <w:szCs w:val="21"/>
                    </w:rPr>
                    <w:t>.5</w:t>
                  </w:r>
                  <w:r>
                    <w:rPr>
                      <w:szCs w:val="21"/>
                    </w:rPr>
                    <w:t>kg/桶储存在五金仓库内</w:t>
                  </w:r>
                </w:p>
              </w:tc>
            </w:tr>
            <w:tr w14:paraId="22A4669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735" w:type="dxa"/>
                  <w:vAlign w:val="center"/>
                </w:tcPr>
                <w:p w14:paraId="43E589D8">
                  <w:pPr>
                    <w:jc w:val="center"/>
                  </w:pPr>
                  <w:r>
                    <w:rPr>
                      <w:szCs w:val="21"/>
                    </w:rPr>
                    <w:t>6</w:t>
                  </w:r>
                </w:p>
              </w:tc>
              <w:tc>
                <w:tcPr>
                  <w:tcW w:w="1275" w:type="dxa"/>
                  <w:vAlign w:val="center"/>
                </w:tcPr>
                <w:p w14:paraId="629D970A">
                  <w:pPr>
                    <w:jc w:val="center"/>
                  </w:pPr>
                  <w:r>
                    <w:rPr>
                      <w:szCs w:val="21"/>
                    </w:rPr>
                    <w:t>防锈乳化油</w:t>
                  </w:r>
                </w:p>
              </w:tc>
              <w:tc>
                <w:tcPr>
                  <w:tcW w:w="1035" w:type="dxa"/>
                  <w:vAlign w:val="center"/>
                </w:tcPr>
                <w:p w14:paraId="5E918F58">
                  <w:pPr>
                    <w:jc w:val="center"/>
                    <w:rPr>
                      <w:bCs/>
                      <w:kern w:val="28"/>
                      <w:szCs w:val="32"/>
                    </w:rPr>
                  </w:pPr>
                  <w:r>
                    <w:rPr>
                      <w:rFonts w:hint="eastAsia"/>
                      <w:szCs w:val="21"/>
                    </w:rPr>
                    <w:t>24</w:t>
                  </w:r>
                  <w:r>
                    <w:rPr>
                      <w:szCs w:val="21"/>
                    </w:rPr>
                    <w:t>桶</w:t>
                  </w:r>
                </w:p>
              </w:tc>
              <w:tc>
                <w:tcPr>
                  <w:tcW w:w="1095" w:type="dxa"/>
                  <w:vAlign w:val="center"/>
                </w:tcPr>
                <w:p w14:paraId="3CC305C3">
                  <w:pPr>
                    <w:jc w:val="center"/>
                    <w:rPr>
                      <w:bCs/>
                      <w:kern w:val="28"/>
                      <w:szCs w:val="32"/>
                    </w:rPr>
                  </w:pPr>
                  <w:r>
                    <w:rPr>
                      <w:rFonts w:hint="eastAsia"/>
                      <w:szCs w:val="21"/>
                      <w:lang w:val="en-US" w:eastAsia="zh-CN"/>
                    </w:rPr>
                    <w:t>20</w:t>
                  </w:r>
                  <w:r>
                    <w:rPr>
                      <w:rFonts w:hint="eastAsia"/>
                      <w:szCs w:val="21"/>
                    </w:rPr>
                    <w:t>桶</w:t>
                  </w:r>
                </w:p>
              </w:tc>
              <w:tc>
                <w:tcPr>
                  <w:tcW w:w="1260" w:type="dxa"/>
                  <w:vAlign w:val="center"/>
                </w:tcPr>
                <w:p w14:paraId="346CE731">
                  <w:pPr>
                    <w:jc w:val="center"/>
                  </w:pPr>
                  <w:r>
                    <w:rPr>
                      <w:rFonts w:hint="eastAsia"/>
                      <w:szCs w:val="21"/>
                      <w:lang w:val="en-US" w:eastAsia="zh-CN"/>
                    </w:rPr>
                    <w:t>20</w:t>
                  </w:r>
                  <w:r>
                    <w:rPr>
                      <w:rFonts w:hint="eastAsia"/>
                      <w:szCs w:val="21"/>
                    </w:rPr>
                    <w:t>桶</w:t>
                  </w:r>
                </w:p>
              </w:tc>
              <w:tc>
                <w:tcPr>
                  <w:tcW w:w="2658" w:type="dxa"/>
                  <w:vAlign w:val="center"/>
                </w:tcPr>
                <w:p w14:paraId="5E98F1D4">
                  <w:pPr>
                    <w:jc w:val="center"/>
                  </w:pPr>
                  <w:r>
                    <w:rPr>
                      <w:szCs w:val="21"/>
                    </w:rPr>
                    <w:t>外购，16L/桶，约15.5kg/桶储存在生产车间内</w:t>
                  </w:r>
                </w:p>
              </w:tc>
            </w:tr>
            <w:tr w14:paraId="49C9AE9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735" w:type="dxa"/>
                  <w:vAlign w:val="center"/>
                </w:tcPr>
                <w:p w14:paraId="5853FCCF">
                  <w:pPr>
                    <w:jc w:val="center"/>
                  </w:pPr>
                  <w:r>
                    <w:rPr>
                      <w:szCs w:val="21"/>
                    </w:rPr>
                    <w:t>7</w:t>
                  </w:r>
                </w:p>
              </w:tc>
              <w:tc>
                <w:tcPr>
                  <w:tcW w:w="1275" w:type="dxa"/>
                  <w:vAlign w:val="center"/>
                </w:tcPr>
                <w:p w14:paraId="6C7EFC23">
                  <w:pPr>
                    <w:jc w:val="center"/>
                  </w:pPr>
                  <w:r>
                    <w:rPr>
                      <w:szCs w:val="21"/>
                    </w:rPr>
                    <w:t>甲基硅油</w:t>
                  </w:r>
                </w:p>
              </w:tc>
              <w:tc>
                <w:tcPr>
                  <w:tcW w:w="1035" w:type="dxa"/>
                  <w:vAlign w:val="center"/>
                </w:tcPr>
                <w:p w14:paraId="163D3CF3">
                  <w:pPr>
                    <w:jc w:val="center"/>
                    <w:rPr>
                      <w:bCs/>
                      <w:kern w:val="28"/>
                      <w:szCs w:val="32"/>
                    </w:rPr>
                  </w:pPr>
                  <w:r>
                    <w:rPr>
                      <w:rFonts w:hint="eastAsia"/>
                      <w:szCs w:val="21"/>
                    </w:rPr>
                    <w:t>120kg</w:t>
                  </w:r>
                </w:p>
              </w:tc>
              <w:tc>
                <w:tcPr>
                  <w:tcW w:w="1095" w:type="dxa"/>
                  <w:vAlign w:val="center"/>
                </w:tcPr>
                <w:p w14:paraId="00B43D51">
                  <w:pPr>
                    <w:jc w:val="center"/>
                    <w:rPr>
                      <w:bCs/>
                      <w:kern w:val="28"/>
                      <w:szCs w:val="32"/>
                    </w:rPr>
                  </w:pPr>
                  <w:r>
                    <w:rPr>
                      <w:rFonts w:hint="eastAsia"/>
                      <w:szCs w:val="21"/>
                      <w:lang w:val="en-US" w:eastAsia="zh-CN"/>
                    </w:rPr>
                    <w:t>96</w:t>
                  </w:r>
                  <w:r>
                    <w:rPr>
                      <w:rFonts w:hint="eastAsia"/>
                      <w:szCs w:val="21"/>
                    </w:rPr>
                    <w:t>Kg</w:t>
                  </w:r>
                </w:p>
              </w:tc>
              <w:tc>
                <w:tcPr>
                  <w:tcW w:w="1260" w:type="dxa"/>
                  <w:vAlign w:val="center"/>
                </w:tcPr>
                <w:p w14:paraId="0A37A802">
                  <w:pPr>
                    <w:jc w:val="center"/>
                  </w:pPr>
                  <w:r>
                    <w:rPr>
                      <w:rFonts w:hint="eastAsia"/>
                      <w:szCs w:val="21"/>
                      <w:lang w:val="en-US" w:eastAsia="zh-CN"/>
                    </w:rPr>
                    <w:t>96</w:t>
                  </w:r>
                  <w:r>
                    <w:rPr>
                      <w:rFonts w:hint="eastAsia"/>
                      <w:szCs w:val="21"/>
                    </w:rPr>
                    <w:t>Kg</w:t>
                  </w:r>
                </w:p>
              </w:tc>
              <w:tc>
                <w:tcPr>
                  <w:tcW w:w="2658" w:type="dxa"/>
                  <w:vAlign w:val="center"/>
                </w:tcPr>
                <w:p w14:paraId="02D9E240">
                  <w:pPr>
                    <w:jc w:val="center"/>
                    <w:rPr>
                      <w:szCs w:val="21"/>
                    </w:rPr>
                  </w:pPr>
                  <w:r>
                    <w:rPr>
                      <w:szCs w:val="21"/>
                    </w:rPr>
                    <w:t>外购，5kg/桶</w:t>
                  </w:r>
                </w:p>
                <w:p w14:paraId="57413AD5">
                  <w:pPr>
                    <w:jc w:val="center"/>
                  </w:pPr>
                  <w:r>
                    <w:rPr>
                      <w:szCs w:val="21"/>
                    </w:rPr>
                    <w:t>储存在五金仓库内</w:t>
                  </w:r>
                </w:p>
              </w:tc>
            </w:tr>
            <w:tr w14:paraId="7EB1A73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735" w:type="dxa"/>
                  <w:vAlign w:val="center"/>
                </w:tcPr>
                <w:p w14:paraId="5136C428">
                  <w:pPr>
                    <w:jc w:val="center"/>
                  </w:pPr>
                  <w:r>
                    <w:rPr>
                      <w:szCs w:val="21"/>
                    </w:rPr>
                    <w:t>8</w:t>
                  </w:r>
                </w:p>
              </w:tc>
              <w:tc>
                <w:tcPr>
                  <w:tcW w:w="1275" w:type="dxa"/>
                  <w:vAlign w:val="center"/>
                </w:tcPr>
                <w:p w14:paraId="4306F79C">
                  <w:pPr>
                    <w:jc w:val="center"/>
                  </w:pPr>
                  <w:r>
                    <w:rPr>
                      <w:szCs w:val="21"/>
                    </w:rPr>
                    <w:t>氩气</w:t>
                  </w:r>
                </w:p>
              </w:tc>
              <w:tc>
                <w:tcPr>
                  <w:tcW w:w="1035" w:type="dxa"/>
                  <w:vAlign w:val="center"/>
                </w:tcPr>
                <w:p w14:paraId="689EC6C2">
                  <w:pPr>
                    <w:jc w:val="center"/>
                    <w:rPr>
                      <w:bCs/>
                      <w:kern w:val="28"/>
                      <w:szCs w:val="32"/>
                    </w:rPr>
                  </w:pPr>
                  <w:r>
                    <w:rPr>
                      <w:rFonts w:hint="eastAsia"/>
                      <w:szCs w:val="21"/>
                    </w:rPr>
                    <w:t>432</w:t>
                  </w:r>
                  <w:r>
                    <w:rPr>
                      <w:szCs w:val="21"/>
                    </w:rPr>
                    <w:t>瓶</w:t>
                  </w:r>
                </w:p>
              </w:tc>
              <w:tc>
                <w:tcPr>
                  <w:tcW w:w="1095" w:type="dxa"/>
                  <w:vAlign w:val="center"/>
                </w:tcPr>
                <w:p w14:paraId="4A55C64F">
                  <w:pPr>
                    <w:jc w:val="center"/>
                    <w:rPr>
                      <w:bCs/>
                      <w:kern w:val="28"/>
                      <w:szCs w:val="32"/>
                    </w:rPr>
                  </w:pPr>
                  <w:r>
                    <w:rPr>
                      <w:rFonts w:hint="eastAsia"/>
                      <w:szCs w:val="21"/>
                      <w:lang w:val="en-US" w:eastAsia="zh-CN"/>
                    </w:rPr>
                    <w:t>346</w:t>
                  </w:r>
                  <w:r>
                    <w:rPr>
                      <w:rFonts w:hint="eastAsia"/>
                      <w:szCs w:val="21"/>
                    </w:rPr>
                    <w:t>瓶</w:t>
                  </w:r>
                </w:p>
              </w:tc>
              <w:tc>
                <w:tcPr>
                  <w:tcW w:w="1260" w:type="dxa"/>
                  <w:vAlign w:val="center"/>
                </w:tcPr>
                <w:p w14:paraId="184C602E">
                  <w:pPr>
                    <w:jc w:val="center"/>
                  </w:pPr>
                  <w:r>
                    <w:rPr>
                      <w:rFonts w:hint="eastAsia"/>
                      <w:szCs w:val="21"/>
                      <w:lang w:val="en-US" w:eastAsia="zh-CN"/>
                    </w:rPr>
                    <w:t>346</w:t>
                  </w:r>
                  <w:r>
                    <w:rPr>
                      <w:rFonts w:hint="eastAsia"/>
                      <w:szCs w:val="21"/>
                    </w:rPr>
                    <w:t>瓶</w:t>
                  </w:r>
                </w:p>
              </w:tc>
              <w:tc>
                <w:tcPr>
                  <w:tcW w:w="2658" w:type="dxa"/>
                  <w:vAlign w:val="center"/>
                </w:tcPr>
                <w:p w14:paraId="1BD82EAE">
                  <w:pPr>
                    <w:jc w:val="center"/>
                  </w:pPr>
                  <w:r>
                    <w:rPr>
                      <w:szCs w:val="21"/>
                    </w:rPr>
                    <w:t>外购，40L/瓶，储存在生产车间内</w:t>
                  </w:r>
                </w:p>
              </w:tc>
            </w:tr>
            <w:tr w14:paraId="075FCF4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735" w:type="dxa"/>
                  <w:vAlign w:val="center"/>
                </w:tcPr>
                <w:p w14:paraId="5BC95BBA">
                  <w:pPr>
                    <w:jc w:val="center"/>
                  </w:pPr>
                  <w:r>
                    <w:rPr>
                      <w:szCs w:val="21"/>
                    </w:rPr>
                    <w:t>9</w:t>
                  </w:r>
                </w:p>
              </w:tc>
              <w:tc>
                <w:tcPr>
                  <w:tcW w:w="1275" w:type="dxa"/>
                  <w:vAlign w:val="center"/>
                </w:tcPr>
                <w:p w14:paraId="19E12B8C">
                  <w:pPr>
                    <w:jc w:val="center"/>
                  </w:pPr>
                  <w:r>
                    <w:rPr>
                      <w:szCs w:val="21"/>
                    </w:rPr>
                    <w:t>氧气</w:t>
                  </w:r>
                </w:p>
              </w:tc>
              <w:tc>
                <w:tcPr>
                  <w:tcW w:w="1035" w:type="dxa"/>
                  <w:vAlign w:val="center"/>
                </w:tcPr>
                <w:p w14:paraId="7187756E">
                  <w:pPr>
                    <w:jc w:val="center"/>
                    <w:rPr>
                      <w:bCs/>
                      <w:kern w:val="28"/>
                      <w:szCs w:val="32"/>
                    </w:rPr>
                  </w:pPr>
                  <w:r>
                    <w:rPr>
                      <w:rFonts w:hint="eastAsia"/>
                      <w:szCs w:val="21"/>
                    </w:rPr>
                    <w:t>168</w:t>
                  </w:r>
                  <w:r>
                    <w:rPr>
                      <w:szCs w:val="21"/>
                    </w:rPr>
                    <w:t>瓶</w:t>
                  </w:r>
                </w:p>
              </w:tc>
              <w:tc>
                <w:tcPr>
                  <w:tcW w:w="1095" w:type="dxa"/>
                  <w:vAlign w:val="center"/>
                </w:tcPr>
                <w:p w14:paraId="4F3058EB">
                  <w:pPr>
                    <w:jc w:val="center"/>
                    <w:rPr>
                      <w:bCs/>
                      <w:kern w:val="28"/>
                      <w:szCs w:val="32"/>
                    </w:rPr>
                  </w:pPr>
                  <w:r>
                    <w:rPr>
                      <w:rFonts w:hint="eastAsia"/>
                      <w:szCs w:val="21"/>
                      <w:lang w:val="en-US" w:eastAsia="zh-CN"/>
                    </w:rPr>
                    <w:t>135</w:t>
                  </w:r>
                  <w:r>
                    <w:rPr>
                      <w:rFonts w:hint="eastAsia"/>
                      <w:szCs w:val="21"/>
                    </w:rPr>
                    <w:t>瓶</w:t>
                  </w:r>
                </w:p>
              </w:tc>
              <w:tc>
                <w:tcPr>
                  <w:tcW w:w="1260" w:type="dxa"/>
                  <w:vAlign w:val="center"/>
                </w:tcPr>
                <w:p w14:paraId="7AB3E789">
                  <w:pPr>
                    <w:jc w:val="center"/>
                  </w:pPr>
                  <w:r>
                    <w:rPr>
                      <w:rFonts w:hint="eastAsia"/>
                      <w:szCs w:val="21"/>
                      <w:lang w:val="en-US" w:eastAsia="zh-CN"/>
                    </w:rPr>
                    <w:t>135</w:t>
                  </w:r>
                  <w:r>
                    <w:rPr>
                      <w:rFonts w:hint="eastAsia"/>
                      <w:szCs w:val="21"/>
                    </w:rPr>
                    <w:t>瓶</w:t>
                  </w:r>
                </w:p>
              </w:tc>
              <w:tc>
                <w:tcPr>
                  <w:tcW w:w="2658" w:type="dxa"/>
                  <w:vAlign w:val="center"/>
                </w:tcPr>
                <w:p w14:paraId="5C22731C">
                  <w:pPr>
                    <w:jc w:val="center"/>
                  </w:pPr>
                  <w:r>
                    <w:rPr>
                      <w:szCs w:val="21"/>
                    </w:rPr>
                    <w:t>外购，40L/瓶，储存在生产车间内</w:t>
                  </w:r>
                </w:p>
              </w:tc>
            </w:tr>
            <w:tr w14:paraId="55979A2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735" w:type="dxa"/>
                  <w:vAlign w:val="center"/>
                </w:tcPr>
                <w:p w14:paraId="0D6B3ECF">
                  <w:pPr>
                    <w:jc w:val="center"/>
                    <w:rPr>
                      <w:bCs/>
                      <w:kern w:val="28"/>
                      <w:szCs w:val="32"/>
                    </w:rPr>
                  </w:pPr>
                  <w:r>
                    <w:rPr>
                      <w:szCs w:val="21"/>
                    </w:rPr>
                    <w:t>10</w:t>
                  </w:r>
                </w:p>
              </w:tc>
              <w:tc>
                <w:tcPr>
                  <w:tcW w:w="1275" w:type="dxa"/>
                  <w:vAlign w:val="center"/>
                </w:tcPr>
                <w:p w14:paraId="34B6AC97">
                  <w:pPr>
                    <w:jc w:val="center"/>
                    <w:rPr>
                      <w:bCs/>
                      <w:kern w:val="28"/>
                      <w:szCs w:val="32"/>
                    </w:rPr>
                  </w:pPr>
                  <w:r>
                    <w:rPr>
                      <w:szCs w:val="21"/>
                    </w:rPr>
                    <w:t>丙烷</w:t>
                  </w:r>
                </w:p>
              </w:tc>
              <w:tc>
                <w:tcPr>
                  <w:tcW w:w="1035" w:type="dxa"/>
                  <w:vAlign w:val="center"/>
                </w:tcPr>
                <w:p w14:paraId="5B5DC01A">
                  <w:pPr>
                    <w:jc w:val="center"/>
                    <w:rPr>
                      <w:bCs/>
                      <w:kern w:val="28"/>
                      <w:szCs w:val="32"/>
                    </w:rPr>
                  </w:pPr>
                  <w:r>
                    <w:rPr>
                      <w:rFonts w:hint="eastAsia"/>
                      <w:szCs w:val="21"/>
                    </w:rPr>
                    <w:t>24</w:t>
                  </w:r>
                  <w:r>
                    <w:rPr>
                      <w:szCs w:val="21"/>
                    </w:rPr>
                    <w:t>瓶</w:t>
                  </w:r>
                </w:p>
              </w:tc>
              <w:tc>
                <w:tcPr>
                  <w:tcW w:w="1095" w:type="dxa"/>
                  <w:vAlign w:val="center"/>
                </w:tcPr>
                <w:p w14:paraId="051A4A06">
                  <w:pPr>
                    <w:jc w:val="center"/>
                    <w:rPr>
                      <w:bCs/>
                      <w:kern w:val="28"/>
                      <w:szCs w:val="32"/>
                    </w:rPr>
                  </w:pPr>
                  <w:r>
                    <w:rPr>
                      <w:rFonts w:hint="eastAsia"/>
                      <w:szCs w:val="21"/>
                      <w:lang w:val="en-US" w:eastAsia="zh-CN"/>
                    </w:rPr>
                    <w:t>20</w:t>
                  </w:r>
                  <w:r>
                    <w:rPr>
                      <w:rFonts w:hint="eastAsia"/>
                      <w:szCs w:val="21"/>
                    </w:rPr>
                    <w:t>瓶</w:t>
                  </w:r>
                </w:p>
              </w:tc>
              <w:tc>
                <w:tcPr>
                  <w:tcW w:w="1260" w:type="dxa"/>
                  <w:vAlign w:val="center"/>
                </w:tcPr>
                <w:p w14:paraId="177E72FF">
                  <w:pPr>
                    <w:jc w:val="center"/>
                  </w:pPr>
                  <w:r>
                    <w:rPr>
                      <w:rFonts w:hint="eastAsia"/>
                      <w:szCs w:val="21"/>
                      <w:lang w:val="en-US" w:eastAsia="zh-CN"/>
                    </w:rPr>
                    <w:t>20</w:t>
                  </w:r>
                  <w:r>
                    <w:rPr>
                      <w:rFonts w:hint="eastAsia"/>
                      <w:szCs w:val="21"/>
                    </w:rPr>
                    <w:t>瓶</w:t>
                  </w:r>
                </w:p>
              </w:tc>
              <w:tc>
                <w:tcPr>
                  <w:tcW w:w="2658" w:type="dxa"/>
                  <w:vAlign w:val="center"/>
                </w:tcPr>
                <w:p w14:paraId="5B640989">
                  <w:pPr>
                    <w:jc w:val="center"/>
                  </w:pPr>
                  <w:r>
                    <w:rPr>
                      <w:szCs w:val="21"/>
                    </w:rPr>
                    <w:t>外购，72L/瓶，约29kg/瓶，储存在生产车间内</w:t>
                  </w:r>
                </w:p>
              </w:tc>
            </w:tr>
            <w:tr w14:paraId="3909268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735" w:type="dxa"/>
                  <w:vAlign w:val="center"/>
                </w:tcPr>
                <w:p w14:paraId="5C2795CE">
                  <w:pPr>
                    <w:jc w:val="center"/>
                    <w:rPr>
                      <w:bCs/>
                      <w:kern w:val="28"/>
                      <w:szCs w:val="32"/>
                    </w:rPr>
                  </w:pPr>
                  <w:r>
                    <w:rPr>
                      <w:szCs w:val="21"/>
                    </w:rPr>
                    <w:t>11</w:t>
                  </w:r>
                </w:p>
              </w:tc>
              <w:tc>
                <w:tcPr>
                  <w:tcW w:w="1275" w:type="dxa"/>
                  <w:vAlign w:val="center"/>
                </w:tcPr>
                <w:p w14:paraId="4164F230">
                  <w:pPr>
                    <w:jc w:val="center"/>
                    <w:rPr>
                      <w:bCs/>
                      <w:kern w:val="28"/>
                      <w:szCs w:val="32"/>
                    </w:rPr>
                  </w:pPr>
                  <w:r>
                    <w:rPr>
                      <w:szCs w:val="21"/>
                    </w:rPr>
                    <w:t>气保焊丝</w:t>
                  </w:r>
                </w:p>
              </w:tc>
              <w:tc>
                <w:tcPr>
                  <w:tcW w:w="1035" w:type="dxa"/>
                  <w:vAlign w:val="center"/>
                </w:tcPr>
                <w:p w14:paraId="2536E9B0">
                  <w:pPr>
                    <w:jc w:val="center"/>
                    <w:rPr>
                      <w:bCs/>
                      <w:kern w:val="28"/>
                      <w:szCs w:val="32"/>
                    </w:rPr>
                  </w:pPr>
                  <w:r>
                    <w:rPr>
                      <w:rFonts w:hint="eastAsia"/>
                      <w:szCs w:val="21"/>
                    </w:rPr>
                    <w:t>240卷</w:t>
                  </w:r>
                </w:p>
              </w:tc>
              <w:tc>
                <w:tcPr>
                  <w:tcW w:w="1095" w:type="dxa"/>
                  <w:vAlign w:val="center"/>
                </w:tcPr>
                <w:p w14:paraId="5850F28F">
                  <w:pPr>
                    <w:jc w:val="center"/>
                    <w:rPr>
                      <w:bCs/>
                      <w:kern w:val="28"/>
                      <w:szCs w:val="32"/>
                    </w:rPr>
                  </w:pPr>
                  <w:r>
                    <w:rPr>
                      <w:rFonts w:hint="eastAsia"/>
                      <w:szCs w:val="21"/>
                      <w:lang w:val="en-US" w:eastAsia="zh-CN"/>
                    </w:rPr>
                    <w:t>192</w:t>
                  </w:r>
                  <w:r>
                    <w:rPr>
                      <w:rFonts w:hint="eastAsia"/>
                      <w:szCs w:val="21"/>
                    </w:rPr>
                    <w:t>卷</w:t>
                  </w:r>
                </w:p>
              </w:tc>
              <w:tc>
                <w:tcPr>
                  <w:tcW w:w="1260" w:type="dxa"/>
                  <w:vAlign w:val="center"/>
                </w:tcPr>
                <w:p w14:paraId="55A359D1">
                  <w:pPr>
                    <w:jc w:val="center"/>
                  </w:pPr>
                  <w:r>
                    <w:rPr>
                      <w:rFonts w:hint="eastAsia"/>
                      <w:szCs w:val="21"/>
                      <w:lang w:val="en-US" w:eastAsia="zh-CN"/>
                    </w:rPr>
                    <w:t>192</w:t>
                  </w:r>
                  <w:r>
                    <w:rPr>
                      <w:rFonts w:hint="eastAsia"/>
                      <w:szCs w:val="21"/>
                    </w:rPr>
                    <w:t>卷</w:t>
                  </w:r>
                </w:p>
              </w:tc>
              <w:tc>
                <w:tcPr>
                  <w:tcW w:w="2658" w:type="dxa"/>
                  <w:vAlign w:val="center"/>
                </w:tcPr>
                <w:p w14:paraId="5F98EEA9">
                  <w:pPr>
                    <w:jc w:val="center"/>
                  </w:pPr>
                  <w:r>
                    <w:rPr>
                      <w:szCs w:val="21"/>
                    </w:rPr>
                    <w:t>外购，单卷20</w:t>
                  </w:r>
                  <w:r>
                    <w:rPr>
                      <w:rFonts w:hint="eastAsia"/>
                      <w:szCs w:val="21"/>
                    </w:rPr>
                    <w:t>kg，</w:t>
                  </w:r>
                  <w:r>
                    <w:rPr>
                      <w:szCs w:val="21"/>
                    </w:rPr>
                    <w:t>储存在生产车间内</w:t>
                  </w:r>
                </w:p>
              </w:tc>
            </w:tr>
            <w:tr w14:paraId="429F08F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735" w:type="dxa"/>
                  <w:vAlign w:val="center"/>
                </w:tcPr>
                <w:p w14:paraId="0DF58182">
                  <w:pPr>
                    <w:jc w:val="center"/>
                    <w:rPr>
                      <w:bCs/>
                      <w:kern w:val="28"/>
                      <w:szCs w:val="32"/>
                    </w:rPr>
                  </w:pPr>
                  <w:r>
                    <w:rPr>
                      <w:szCs w:val="21"/>
                    </w:rPr>
                    <w:t>12</w:t>
                  </w:r>
                </w:p>
              </w:tc>
              <w:tc>
                <w:tcPr>
                  <w:tcW w:w="1275" w:type="dxa"/>
                  <w:vAlign w:val="center"/>
                </w:tcPr>
                <w:p w14:paraId="049FD12A">
                  <w:pPr>
                    <w:jc w:val="center"/>
                    <w:rPr>
                      <w:bCs/>
                      <w:kern w:val="28"/>
                      <w:szCs w:val="32"/>
                    </w:rPr>
                  </w:pPr>
                  <w:r>
                    <w:rPr>
                      <w:szCs w:val="21"/>
                    </w:rPr>
                    <w:t>塑钢打包带</w:t>
                  </w:r>
                </w:p>
              </w:tc>
              <w:tc>
                <w:tcPr>
                  <w:tcW w:w="1035" w:type="dxa"/>
                  <w:vAlign w:val="center"/>
                </w:tcPr>
                <w:p w14:paraId="2F649B16">
                  <w:pPr>
                    <w:jc w:val="center"/>
                    <w:rPr>
                      <w:bCs/>
                      <w:kern w:val="28"/>
                      <w:szCs w:val="32"/>
                    </w:rPr>
                  </w:pPr>
                  <w:r>
                    <w:rPr>
                      <w:rFonts w:hint="eastAsia"/>
                      <w:szCs w:val="21"/>
                    </w:rPr>
                    <w:t>168卷</w:t>
                  </w:r>
                </w:p>
              </w:tc>
              <w:tc>
                <w:tcPr>
                  <w:tcW w:w="1095" w:type="dxa"/>
                  <w:vAlign w:val="center"/>
                </w:tcPr>
                <w:p w14:paraId="2452F782">
                  <w:pPr>
                    <w:jc w:val="center"/>
                    <w:rPr>
                      <w:bCs/>
                      <w:kern w:val="28"/>
                      <w:szCs w:val="32"/>
                    </w:rPr>
                  </w:pPr>
                  <w:r>
                    <w:rPr>
                      <w:rFonts w:hint="eastAsia"/>
                      <w:szCs w:val="21"/>
                      <w:lang w:val="en-US" w:eastAsia="zh-CN"/>
                    </w:rPr>
                    <w:t>135</w:t>
                  </w:r>
                  <w:r>
                    <w:rPr>
                      <w:rFonts w:hint="eastAsia"/>
                      <w:szCs w:val="21"/>
                    </w:rPr>
                    <w:t>卷</w:t>
                  </w:r>
                </w:p>
              </w:tc>
              <w:tc>
                <w:tcPr>
                  <w:tcW w:w="1260" w:type="dxa"/>
                  <w:vAlign w:val="center"/>
                </w:tcPr>
                <w:p w14:paraId="29C70CF3">
                  <w:pPr>
                    <w:jc w:val="center"/>
                  </w:pPr>
                  <w:r>
                    <w:rPr>
                      <w:rFonts w:hint="eastAsia"/>
                      <w:szCs w:val="21"/>
                      <w:lang w:val="en-US" w:eastAsia="zh-CN"/>
                    </w:rPr>
                    <w:t>135</w:t>
                  </w:r>
                  <w:r>
                    <w:rPr>
                      <w:rFonts w:hint="eastAsia"/>
                      <w:szCs w:val="21"/>
                    </w:rPr>
                    <w:t>卷</w:t>
                  </w:r>
                </w:p>
              </w:tc>
              <w:tc>
                <w:tcPr>
                  <w:tcW w:w="2658" w:type="dxa"/>
                  <w:vAlign w:val="center"/>
                </w:tcPr>
                <w:p w14:paraId="5603F4F7">
                  <w:pPr>
                    <w:jc w:val="center"/>
                  </w:pPr>
                  <w:r>
                    <w:rPr>
                      <w:szCs w:val="21"/>
                    </w:rPr>
                    <w:t>外购，单</w:t>
                  </w:r>
                  <w:r>
                    <w:rPr>
                      <w:rFonts w:hint="eastAsia"/>
                      <w:szCs w:val="21"/>
                    </w:rPr>
                    <w:t>卷</w:t>
                  </w:r>
                  <w:r>
                    <w:rPr>
                      <w:szCs w:val="21"/>
                    </w:rPr>
                    <w:t>20</w:t>
                  </w:r>
                  <w:r>
                    <w:rPr>
                      <w:rFonts w:hint="eastAsia"/>
                      <w:szCs w:val="21"/>
                    </w:rPr>
                    <w:t>kg，</w:t>
                  </w:r>
                  <w:r>
                    <w:rPr>
                      <w:szCs w:val="21"/>
                    </w:rPr>
                    <w:t>储存在原料堆放区</w:t>
                  </w:r>
                </w:p>
              </w:tc>
            </w:tr>
            <w:tr w14:paraId="0C1C147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735" w:type="dxa"/>
                  <w:vAlign w:val="center"/>
                </w:tcPr>
                <w:p w14:paraId="2F57FE08">
                  <w:pPr>
                    <w:jc w:val="center"/>
                    <w:rPr>
                      <w:bCs/>
                      <w:kern w:val="28"/>
                      <w:szCs w:val="32"/>
                    </w:rPr>
                  </w:pPr>
                  <w:r>
                    <w:rPr>
                      <w:szCs w:val="21"/>
                    </w:rPr>
                    <w:t>13</w:t>
                  </w:r>
                </w:p>
              </w:tc>
              <w:tc>
                <w:tcPr>
                  <w:tcW w:w="1275" w:type="dxa"/>
                  <w:vAlign w:val="center"/>
                </w:tcPr>
                <w:p w14:paraId="4CBECCF9">
                  <w:pPr>
                    <w:jc w:val="center"/>
                    <w:rPr>
                      <w:bCs/>
                      <w:kern w:val="28"/>
                      <w:szCs w:val="32"/>
                    </w:rPr>
                  </w:pPr>
                  <w:r>
                    <w:rPr>
                      <w:szCs w:val="21"/>
                    </w:rPr>
                    <w:t>机用打包膜</w:t>
                  </w:r>
                </w:p>
              </w:tc>
              <w:tc>
                <w:tcPr>
                  <w:tcW w:w="1035" w:type="dxa"/>
                  <w:vAlign w:val="center"/>
                </w:tcPr>
                <w:p w14:paraId="3261B376">
                  <w:pPr>
                    <w:jc w:val="center"/>
                    <w:rPr>
                      <w:bCs/>
                      <w:kern w:val="28"/>
                      <w:szCs w:val="32"/>
                    </w:rPr>
                  </w:pPr>
                  <w:r>
                    <w:rPr>
                      <w:rFonts w:hint="eastAsia"/>
                      <w:szCs w:val="21"/>
                    </w:rPr>
                    <w:t>192卷</w:t>
                  </w:r>
                </w:p>
              </w:tc>
              <w:tc>
                <w:tcPr>
                  <w:tcW w:w="1095" w:type="dxa"/>
                  <w:vAlign w:val="center"/>
                </w:tcPr>
                <w:p w14:paraId="0340B05F">
                  <w:pPr>
                    <w:jc w:val="center"/>
                    <w:rPr>
                      <w:bCs/>
                      <w:kern w:val="28"/>
                      <w:szCs w:val="32"/>
                    </w:rPr>
                  </w:pPr>
                  <w:r>
                    <w:rPr>
                      <w:rFonts w:hint="eastAsia"/>
                      <w:szCs w:val="21"/>
                      <w:lang w:val="en-US" w:eastAsia="zh-CN"/>
                    </w:rPr>
                    <w:t>154</w:t>
                  </w:r>
                  <w:r>
                    <w:rPr>
                      <w:rFonts w:hint="eastAsia"/>
                      <w:szCs w:val="21"/>
                    </w:rPr>
                    <w:t>卷</w:t>
                  </w:r>
                </w:p>
              </w:tc>
              <w:tc>
                <w:tcPr>
                  <w:tcW w:w="1260" w:type="dxa"/>
                  <w:vAlign w:val="center"/>
                </w:tcPr>
                <w:p w14:paraId="7FC65F9A">
                  <w:pPr>
                    <w:jc w:val="center"/>
                  </w:pPr>
                  <w:r>
                    <w:rPr>
                      <w:rFonts w:hint="eastAsia"/>
                      <w:szCs w:val="21"/>
                      <w:lang w:val="en-US" w:eastAsia="zh-CN"/>
                    </w:rPr>
                    <w:t>154</w:t>
                  </w:r>
                  <w:r>
                    <w:rPr>
                      <w:rFonts w:hint="eastAsia"/>
                      <w:szCs w:val="21"/>
                    </w:rPr>
                    <w:t>卷</w:t>
                  </w:r>
                </w:p>
              </w:tc>
              <w:tc>
                <w:tcPr>
                  <w:tcW w:w="2658" w:type="dxa"/>
                  <w:vAlign w:val="center"/>
                </w:tcPr>
                <w:p w14:paraId="2DB95D1C">
                  <w:pPr>
                    <w:jc w:val="center"/>
                  </w:pPr>
                  <w:r>
                    <w:rPr>
                      <w:szCs w:val="21"/>
                    </w:rPr>
                    <w:t>外购，单</w:t>
                  </w:r>
                  <w:r>
                    <w:rPr>
                      <w:rFonts w:hint="eastAsia"/>
                      <w:szCs w:val="21"/>
                    </w:rPr>
                    <w:t>卷15kg，</w:t>
                  </w:r>
                  <w:r>
                    <w:rPr>
                      <w:szCs w:val="21"/>
                    </w:rPr>
                    <w:t>储存在原料堆放区</w:t>
                  </w:r>
                </w:p>
              </w:tc>
            </w:tr>
            <w:tr w14:paraId="3B8F734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735" w:type="dxa"/>
                  <w:vAlign w:val="center"/>
                </w:tcPr>
                <w:p w14:paraId="7A0A73D0">
                  <w:pPr>
                    <w:jc w:val="center"/>
                    <w:rPr>
                      <w:szCs w:val="21"/>
                    </w:rPr>
                  </w:pPr>
                  <w:r>
                    <w:rPr>
                      <w:rFonts w:hint="eastAsia"/>
                      <w:szCs w:val="21"/>
                    </w:rPr>
                    <w:t>14</w:t>
                  </w:r>
                </w:p>
              </w:tc>
              <w:tc>
                <w:tcPr>
                  <w:tcW w:w="1275" w:type="dxa"/>
                  <w:vAlign w:val="center"/>
                </w:tcPr>
                <w:p w14:paraId="4960E0BE">
                  <w:pPr>
                    <w:jc w:val="center"/>
                    <w:rPr>
                      <w:szCs w:val="21"/>
                    </w:rPr>
                  </w:pPr>
                  <w:r>
                    <w:rPr>
                      <w:rFonts w:hint="eastAsia"/>
                      <w:szCs w:val="21"/>
                    </w:rPr>
                    <w:t>塑粉</w:t>
                  </w:r>
                </w:p>
              </w:tc>
              <w:tc>
                <w:tcPr>
                  <w:tcW w:w="1035" w:type="dxa"/>
                  <w:vAlign w:val="center"/>
                </w:tcPr>
                <w:p w14:paraId="5507E382">
                  <w:pPr>
                    <w:jc w:val="center"/>
                    <w:rPr>
                      <w:szCs w:val="21"/>
                    </w:rPr>
                  </w:pPr>
                  <w:r>
                    <w:rPr>
                      <w:rFonts w:hint="eastAsia"/>
                      <w:szCs w:val="21"/>
                    </w:rPr>
                    <w:t>10</w:t>
                  </w:r>
                </w:p>
              </w:tc>
              <w:tc>
                <w:tcPr>
                  <w:tcW w:w="1095" w:type="dxa"/>
                  <w:vAlign w:val="center"/>
                </w:tcPr>
                <w:p w14:paraId="2AD68E76">
                  <w:pPr>
                    <w:jc w:val="center"/>
                    <w:rPr>
                      <w:rFonts w:hint="eastAsia" w:eastAsia="宋体"/>
                      <w:szCs w:val="21"/>
                      <w:lang w:eastAsia="zh-CN"/>
                    </w:rPr>
                  </w:pPr>
                  <w:r>
                    <w:rPr>
                      <w:rFonts w:hint="eastAsia"/>
                      <w:szCs w:val="21"/>
                      <w:lang w:val="en-US" w:eastAsia="zh-CN"/>
                    </w:rPr>
                    <w:t>8</w:t>
                  </w:r>
                </w:p>
              </w:tc>
              <w:tc>
                <w:tcPr>
                  <w:tcW w:w="1260" w:type="dxa"/>
                  <w:vAlign w:val="center"/>
                </w:tcPr>
                <w:p w14:paraId="3450A0C3">
                  <w:pPr>
                    <w:jc w:val="center"/>
                    <w:rPr>
                      <w:rFonts w:hint="eastAsia" w:eastAsia="宋体"/>
                      <w:lang w:eastAsia="zh-CN"/>
                    </w:rPr>
                  </w:pPr>
                  <w:r>
                    <w:rPr>
                      <w:rFonts w:hint="eastAsia"/>
                      <w:szCs w:val="21"/>
                      <w:lang w:val="en-US" w:eastAsia="zh-CN"/>
                    </w:rPr>
                    <w:t>8</w:t>
                  </w:r>
                </w:p>
              </w:tc>
              <w:tc>
                <w:tcPr>
                  <w:tcW w:w="2658" w:type="dxa"/>
                  <w:vAlign w:val="center"/>
                </w:tcPr>
                <w:p w14:paraId="327F6CE2">
                  <w:pPr>
                    <w:jc w:val="center"/>
                    <w:rPr>
                      <w:szCs w:val="21"/>
                    </w:rPr>
                  </w:pPr>
                  <w:r>
                    <w:rPr>
                      <w:szCs w:val="21"/>
                    </w:rPr>
                    <w:t>外购，储存在原料堆放区</w:t>
                  </w:r>
                </w:p>
              </w:tc>
            </w:tr>
            <w:tr w14:paraId="7A56E6A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735" w:type="dxa"/>
                  <w:vAlign w:val="center"/>
                </w:tcPr>
                <w:p w14:paraId="62377EDB">
                  <w:pPr>
                    <w:jc w:val="center"/>
                    <w:rPr>
                      <w:color w:val="auto"/>
                      <w:szCs w:val="21"/>
                    </w:rPr>
                  </w:pPr>
                  <w:r>
                    <w:rPr>
                      <w:rFonts w:hint="eastAsia"/>
                      <w:color w:val="auto"/>
                      <w:szCs w:val="21"/>
                    </w:rPr>
                    <w:t>15</w:t>
                  </w:r>
                </w:p>
              </w:tc>
              <w:tc>
                <w:tcPr>
                  <w:tcW w:w="1275" w:type="dxa"/>
                  <w:vAlign w:val="center"/>
                </w:tcPr>
                <w:p w14:paraId="214867E8">
                  <w:pPr>
                    <w:jc w:val="center"/>
                    <w:rPr>
                      <w:color w:val="auto"/>
                      <w:szCs w:val="21"/>
                    </w:rPr>
                  </w:pPr>
                  <w:r>
                    <w:rPr>
                      <w:rFonts w:hint="eastAsia"/>
                      <w:color w:val="auto"/>
                      <w:szCs w:val="21"/>
                    </w:rPr>
                    <w:t>活性炭</w:t>
                  </w:r>
                </w:p>
              </w:tc>
              <w:tc>
                <w:tcPr>
                  <w:tcW w:w="1035" w:type="dxa"/>
                  <w:vAlign w:val="center"/>
                </w:tcPr>
                <w:p w14:paraId="169B3DFC">
                  <w:pPr>
                    <w:jc w:val="center"/>
                    <w:rPr>
                      <w:rFonts w:hint="default" w:eastAsia="宋体"/>
                      <w:color w:val="auto"/>
                      <w:szCs w:val="21"/>
                      <w:lang w:val="en-US" w:eastAsia="zh-CN"/>
                    </w:rPr>
                  </w:pPr>
                  <w:r>
                    <w:rPr>
                      <w:rFonts w:hint="eastAsia"/>
                      <w:color w:val="auto"/>
                      <w:szCs w:val="21"/>
                      <w:lang w:val="en-US" w:eastAsia="zh-CN"/>
                    </w:rPr>
                    <w:t>3.624</w:t>
                  </w:r>
                </w:p>
              </w:tc>
              <w:tc>
                <w:tcPr>
                  <w:tcW w:w="1095" w:type="dxa"/>
                  <w:vAlign w:val="center"/>
                </w:tcPr>
                <w:p w14:paraId="6223FEEC">
                  <w:pPr>
                    <w:jc w:val="center"/>
                    <w:rPr>
                      <w:color w:val="auto"/>
                      <w:szCs w:val="21"/>
                    </w:rPr>
                  </w:pPr>
                  <w:r>
                    <w:rPr>
                      <w:rFonts w:hint="eastAsia"/>
                      <w:color w:val="auto"/>
                      <w:szCs w:val="21"/>
                      <w:lang w:val="en-US" w:eastAsia="zh-CN"/>
                    </w:rPr>
                    <w:t>3.624</w:t>
                  </w:r>
                </w:p>
              </w:tc>
              <w:tc>
                <w:tcPr>
                  <w:tcW w:w="1260" w:type="dxa"/>
                  <w:vAlign w:val="center"/>
                </w:tcPr>
                <w:p w14:paraId="551990FE">
                  <w:pPr>
                    <w:jc w:val="center"/>
                    <w:rPr>
                      <w:color w:val="auto"/>
                      <w:szCs w:val="21"/>
                    </w:rPr>
                  </w:pPr>
                  <w:r>
                    <w:rPr>
                      <w:rFonts w:hint="eastAsia"/>
                      <w:color w:val="auto"/>
                      <w:szCs w:val="21"/>
                      <w:lang w:val="en-US" w:eastAsia="zh-CN"/>
                    </w:rPr>
                    <w:t>3.624</w:t>
                  </w:r>
                </w:p>
              </w:tc>
              <w:tc>
                <w:tcPr>
                  <w:tcW w:w="2658" w:type="dxa"/>
                  <w:vAlign w:val="center"/>
                </w:tcPr>
                <w:p w14:paraId="5AF92ECC">
                  <w:pPr>
                    <w:jc w:val="center"/>
                    <w:rPr>
                      <w:color w:val="auto"/>
                      <w:szCs w:val="21"/>
                    </w:rPr>
                  </w:pPr>
                  <w:r>
                    <w:rPr>
                      <w:rFonts w:hint="eastAsia"/>
                      <w:color w:val="auto"/>
                      <w:szCs w:val="21"/>
                    </w:rPr>
                    <w:t>外购，不在厂区内储存</w:t>
                  </w:r>
                </w:p>
              </w:tc>
            </w:tr>
            <w:tr w14:paraId="5482480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735" w:type="dxa"/>
                  <w:vAlign w:val="center"/>
                </w:tcPr>
                <w:p w14:paraId="7CCE3DBF">
                  <w:pPr>
                    <w:jc w:val="center"/>
                    <w:rPr>
                      <w:szCs w:val="21"/>
                    </w:rPr>
                  </w:pPr>
                  <w:r>
                    <w:rPr>
                      <w:rFonts w:hint="eastAsia"/>
                      <w:szCs w:val="21"/>
                    </w:rPr>
                    <w:t>16</w:t>
                  </w:r>
                </w:p>
              </w:tc>
              <w:tc>
                <w:tcPr>
                  <w:tcW w:w="1275" w:type="dxa"/>
                  <w:vAlign w:val="center"/>
                </w:tcPr>
                <w:p w14:paraId="0940D032">
                  <w:pPr>
                    <w:jc w:val="center"/>
                    <w:rPr>
                      <w:szCs w:val="21"/>
                    </w:rPr>
                  </w:pPr>
                  <w:r>
                    <w:rPr>
                      <w:rFonts w:hint="eastAsia"/>
                      <w:szCs w:val="21"/>
                    </w:rPr>
                    <w:t>电</w:t>
                  </w:r>
                </w:p>
              </w:tc>
              <w:tc>
                <w:tcPr>
                  <w:tcW w:w="1035" w:type="dxa"/>
                  <w:vAlign w:val="center"/>
                </w:tcPr>
                <w:p w14:paraId="7F6CC23F">
                  <w:pPr>
                    <w:jc w:val="center"/>
                    <w:rPr>
                      <w:szCs w:val="21"/>
                    </w:rPr>
                  </w:pPr>
                  <w:r>
                    <w:rPr>
                      <w:rFonts w:hint="eastAsia"/>
                      <w:bCs/>
                      <w:kern w:val="0"/>
                      <w:szCs w:val="21"/>
                    </w:rPr>
                    <w:t>90</w:t>
                  </w:r>
                  <w:r>
                    <w:rPr>
                      <w:bCs/>
                      <w:kern w:val="0"/>
                      <w:szCs w:val="21"/>
                    </w:rPr>
                    <w:t>万</w:t>
                  </w:r>
                  <w:r>
                    <w:rPr>
                      <w:rFonts w:hint="eastAsia"/>
                      <w:bCs/>
                      <w:kern w:val="0"/>
                      <w:szCs w:val="21"/>
                    </w:rPr>
                    <w:t>KWh</w:t>
                  </w:r>
                  <w:r>
                    <w:rPr>
                      <w:bCs/>
                      <w:kern w:val="0"/>
                      <w:szCs w:val="21"/>
                    </w:rPr>
                    <w:t>/a</w:t>
                  </w:r>
                </w:p>
              </w:tc>
              <w:tc>
                <w:tcPr>
                  <w:tcW w:w="1095" w:type="dxa"/>
                  <w:vAlign w:val="center"/>
                </w:tcPr>
                <w:p w14:paraId="00EA2D67">
                  <w:pPr>
                    <w:jc w:val="center"/>
                    <w:rPr>
                      <w:szCs w:val="21"/>
                    </w:rPr>
                  </w:pPr>
                  <w:r>
                    <w:rPr>
                      <w:rFonts w:hint="eastAsia"/>
                      <w:bCs/>
                      <w:kern w:val="0"/>
                      <w:szCs w:val="21"/>
                      <w:lang w:val="en-US" w:eastAsia="zh-CN"/>
                    </w:rPr>
                    <w:t>72</w:t>
                  </w:r>
                  <w:r>
                    <w:rPr>
                      <w:bCs/>
                      <w:kern w:val="0"/>
                      <w:szCs w:val="21"/>
                    </w:rPr>
                    <w:t>万</w:t>
                  </w:r>
                  <w:r>
                    <w:rPr>
                      <w:rFonts w:hint="eastAsia"/>
                      <w:bCs/>
                      <w:kern w:val="0"/>
                      <w:szCs w:val="21"/>
                    </w:rPr>
                    <w:t>KWh</w:t>
                  </w:r>
                  <w:r>
                    <w:rPr>
                      <w:bCs/>
                      <w:kern w:val="0"/>
                      <w:szCs w:val="21"/>
                    </w:rPr>
                    <w:t>/a</w:t>
                  </w:r>
                </w:p>
              </w:tc>
              <w:tc>
                <w:tcPr>
                  <w:tcW w:w="1260" w:type="dxa"/>
                  <w:vAlign w:val="center"/>
                </w:tcPr>
                <w:p w14:paraId="01E695C4">
                  <w:pPr>
                    <w:jc w:val="center"/>
                    <w:rPr>
                      <w:szCs w:val="21"/>
                    </w:rPr>
                  </w:pPr>
                  <w:r>
                    <w:rPr>
                      <w:rFonts w:hint="eastAsia"/>
                      <w:bCs/>
                      <w:kern w:val="0"/>
                      <w:szCs w:val="21"/>
                      <w:lang w:val="en-US" w:eastAsia="zh-CN"/>
                    </w:rPr>
                    <w:t>72</w:t>
                  </w:r>
                  <w:r>
                    <w:rPr>
                      <w:bCs/>
                      <w:kern w:val="0"/>
                      <w:szCs w:val="21"/>
                    </w:rPr>
                    <w:t>万</w:t>
                  </w:r>
                  <w:r>
                    <w:rPr>
                      <w:rFonts w:hint="eastAsia"/>
                      <w:bCs/>
                      <w:kern w:val="0"/>
                      <w:szCs w:val="21"/>
                    </w:rPr>
                    <w:t>KWh</w:t>
                  </w:r>
                  <w:r>
                    <w:rPr>
                      <w:bCs/>
                      <w:kern w:val="0"/>
                      <w:szCs w:val="21"/>
                    </w:rPr>
                    <w:t>/a</w:t>
                  </w:r>
                </w:p>
              </w:tc>
              <w:tc>
                <w:tcPr>
                  <w:tcW w:w="2658" w:type="dxa"/>
                  <w:vAlign w:val="center"/>
                </w:tcPr>
                <w:p w14:paraId="469FB340">
                  <w:pPr>
                    <w:jc w:val="center"/>
                    <w:rPr>
                      <w:szCs w:val="21"/>
                    </w:rPr>
                  </w:pPr>
                  <w:r>
                    <w:rPr>
                      <w:rFonts w:hint="eastAsia"/>
                      <w:szCs w:val="21"/>
                    </w:rPr>
                    <w:t>/</w:t>
                  </w:r>
                </w:p>
              </w:tc>
            </w:tr>
            <w:tr w14:paraId="29E489E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735" w:type="dxa"/>
                  <w:vAlign w:val="center"/>
                </w:tcPr>
                <w:p w14:paraId="2D634F28">
                  <w:pPr>
                    <w:jc w:val="center"/>
                    <w:rPr>
                      <w:szCs w:val="21"/>
                    </w:rPr>
                  </w:pPr>
                  <w:r>
                    <w:rPr>
                      <w:rFonts w:hint="eastAsia"/>
                      <w:szCs w:val="21"/>
                    </w:rPr>
                    <w:t>17</w:t>
                  </w:r>
                </w:p>
              </w:tc>
              <w:tc>
                <w:tcPr>
                  <w:tcW w:w="1275" w:type="dxa"/>
                  <w:vAlign w:val="center"/>
                </w:tcPr>
                <w:p w14:paraId="5246FB13">
                  <w:pPr>
                    <w:jc w:val="center"/>
                    <w:rPr>
                      <w:szCs w:val="21"/>
                    </w:rPr>
                  </w:pPr>
                  <w:r>
                    <w:rPr>
                      <w:rFonts w:hint="eastAsia"/>
                      <w:szCs w:val="21"/>
                    </w:rPr>
                    <w:t>水</w:t>
                  </w:r>
                </w:p>
              </w:tc>
              <w:tc>
                <w:tcPr>
                  <w:tcW w:w="1035" w:type="dxa"/>
                  <w:vAlign w:val="center"/>
                </w:tcPr>
                <w:p w14:paraId="5EFE48CB">
                  <w:pPr>
                    <w:jc w:val="center"/>
                    <w:rPr>
                      <w:szCs w:val="21"/>
                    </w:rPr>
                  </w:pPr>
                  <w:r>
                    <w:rPr>
                      <w:rFonts w:hint="eastAsia"/>
                      <w:szCs w:val="21"/>
                    </w:rPr>
                    <w:t>811m</w:t>
                  </w:r>
                  <w:r>
                    <w:rPr>
                      <w:rFonts w:hint="eastAsia"/>
                      <w:szCs w:val="21"/>
                      <w:vertAlign w:val="superscript"/>
                    </w:rPr>
                    <w:t>3</w:t>
                  </w:r>
                  <w:r>
                    <w:rPr>
                      <w:rFonts w:hint="eastAsia"/>
                      <w:szCs w:val="21"/>
                    </w:rPr>
                    <w:t>/a</w:t>
                  </w:r>
                </w:p>
              </w:tc>
              <w:tc>
                <w:tcPr>
                  <w:tcW w:w="1095" w:type="dxa"/>
                  <w:vAlign w:val="center"/>
                </w:tcPr>
                <w:p w14:paraId="712497A1">
                  <w:pPr>
                    <w:jc w:val="center"/>
                    <w:rPr>
                      <w:szCs w:val="21"/>
                    </w:rPr>
                  </w:pPr>
                  <w:r>
                    <w:rPr>
                      <w:rFonts w:hint="eastAsia"/>
                      <w:szCs w:val="21"/>
                    </w:rPr>
                    <w:t>406m</w:t>
                  </w:r>
                  <w:r>
                    <w:rPr>
                      <w:rFonts w:hint="eastAsia"/>
                      <w:szCs w:val="21"/>
                      <w:vertAlign w:val="superscript"/>
                    </w:rPr>
                    <w:t>3</w:t>
                  </w:r>
                  <w:r>
                    <w:rPr>
                      <w:rFonts w:hint="eastAsia"/>
                      <w:szCs w:val="21"/>
                    </w:rPr>
                    <w:t>/a</w:t>
                  </w:r>
                </w:p>
              </w:tc>
              <w:tc>
                <w:tcPr>
                  <w:tcW w:w="1260" w:type="dxa"/>
                  <w:vAlign w:val="center"/>
                </w:tcPr>
                <w:p w14:paraId="256E0F17">
                  <w:pPr>
                    <w:jc w:val="center"/>
                    <w:rPr>
                      <w:szCs w:val="21"/>
                    </w:rPr>
                  </w:pPr>
                  <w:r>
                    <w:rPr>
                      <w:rFonts w:hint="eastAsia"/>
                      <w:szCs w:val="21"/>
                    </w:rPr>
                    <w:t>406m</w:t>
                  </w:r>
                  <w:r>
                    <w:rPr>
                      <w:rFonts w:hint="eastAsia"/>
                      <w:szCs w:val="21"/>
                      <w:vertAlign w:val="superscript"/>
                    </w:rPr>
                    <w:t>3</w:t>
                  </w:r>
                  <w:r>
                    <w:rPr>
                      <w:rFonts w:hint="eastAsia"/>
                      <w:szCs w:val="21"/>
                    </w:rPr>
                    <w:t>/a</w:t>
                  </w:r>
                </w:p>
              </w:tc>
              <w:tc>
                <w:tcPr>
                  <w:tcW w:w="2658" w:type="dxa"/>
                  <w:vAlign w:val="center"/>
                </w:tcPr>
                <w:p w14:paraId="4C087EDA">
                  <w:pPr>
                    <w:jc w:val="center"/>
                    <w:rPr>
                      <w:szCs w:val="21"/>
                    </w:rPr>
                  </w:pPr>
                  <w:r>
                    <w:rPr>
                      <w:rFonts w:hint="eastAsia"/>
                      <w:szCs w:val="21"/>
                    </w:rPr>
                    <w:t>/</w:t>
                  </w:r>
                </w:p>
              </w:tc>
            </w:tr>
          </w:tbl>
          <w:p w14:paraId="6355C5DC">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说明：本项目所使用的聚乙烯颗粒物为原生塑料，不是再生塑料（废塑料）。因此不属于明确禁止使用的废塑料</w:t>
            </w:r>
          </w:p>
          <w:p w14:paraId="6F6C4C6B">
            <w:pPr>
              <w:spacing w:line="360" w:lineRule="auto"/>
              <w:ind w:firstLine="482" w:firstLineChars="200"/>
              <w:rPr>
                <w:b/>
                <w:sz w:val="24"/>
              </w:rPr>
            </w:pPr>
            <w:r>
              <w:rPr>
                <w:rFonts w:hint="eastAsia"/>
                <w:b/>
                <w:sz w:val="24"/>
              </w:rPr>
              <w:t>原辅材料理化性质</w:t>
            </w:r>
          </w:p>
          <w:p w14:paraId="3AF3E1A8">
            <w:pPr>
              <w:spacing w:line="360" w:lineRule="auto"/>
              <w:ind w:firstLine="480" w:firstLineChars="200"/>
              <w:rPr>
                <w:sz w:val="24"/>
              </w:rPr>
            </w:pPr>
            <w:r>
              <w:rPr>
                <w:rFonts w:hint="eastAsia"/>
                <w:sz w:val="24"/>
              </w:rPr>
              <w:t>①聚乙烯：聚乙烯是通用合成树脂中产量最大的品种，主要包括低密度聚乙烯（LDPE）、线型低密度聚乙烯（LLDPE），高密度聚乙烯（HDPE）及一些具有特殊性能的产品，本项目选用的聚乙烯为低密度聚乙烯主要组成成分为乙烯单体，通过自由基聚合反应制得。在工业生产中，LDPE通常还含有少量添加剂，包括抗氧剂（如受阻酚类、亚磷酸酯类）用于防止加工和使用过程中的氧化降解，光稳定剂（如紫外线吸收剂）用于提高耐候性，以及开口剂、爽滑剂等加工助剂。这些添加剂的含量一般控制在0.1%-1%之间，具体配方根据产品用途而定。</w:t>
            </w:r>
          </w:p>
          <w:p w14:paraId="52A47C08">
            <w:pPr>
              <w:spacing w:line="360" w:lineRule="auto"/>
              <w:ind w:firstLine="480" w:firstLineChars="200"/>
              <w:rPr>
                <w:sz w:val="24"/>
              </w:rPr>
            </w:pPr>
            <w:r>
              <w:rPr>
                <w:rFonts w:hint="eastAsia"/>
                <w:sz w:val="24"/>
              </w:rPr>
              <w:t>LDPE的分子量分布较宽，结晶度较低（约45%-65%），分子链排列较疏松，因此具有较好的柔韧性和透明性。</w:t>
            </w:r>
          </w:p>
          <w:p w14:paraId="57280B09">
            <w:pPr>
              <w:spacing w:line="360" w:lineRule="auto"/>
              <w:ind w:firstLine="480" w:firstLineChars="200"/>
              <w:rPr>
                <w:sz w:val="24"/>
              </w:rPr>
            </w:pPr>
            <w:r>
              <w:rPr>
                <w:rFonts w:hint="eastAsia"/>
                <w:sz w:val="24"/>
              </w:rPr>
              <w:t>②齿轮油：齿轮油是一种专门用于润滑齿轮传动装置的润滑油，主要作用是减少齿轮间的摩擦、磨损，传递动力，并起到冷却、防锈、清洁和缓冲等作用。</w:t>
            </w:r>
          </w:p>
          <w:p w14:paraId="1302BEF8">
            <w:pPr>
              <w:spacing w:line="360" w:lineRule="auto"/>
              <w:ind w:firstLine="480" w:firstLineChars="200"/>
              <w:rPr>
                <w:sz w:val="24"/>
              </w:rPr>
            </w:pPr>
            <w:r>
              <w:rPr>
                <w:rFonts w:hint="eastAsia"/>
                <w:sz w:val="24"/>
              </w:rPr>
              <w:t>主要性能特点</w:t>
            </w:r>
          </w:p>
          <w:p w14:paraId="20EED9EB">
            <w:pPr>
              <w:spacing w:line="360" w:lineRule="auto"/>
              <w:ind w:firstLine="480" w:firstLineChars="200"/>
              <w:rPr>
                <w:sz w:val="24"/>
              </w:rPr>
            </w:pPr>
            <w:r>
              <w:rPr>
                <w:rFonts w:hint="eastAsia"/>
                <w:sz w:val="24"/>
              </w:rPr>
              <w:t>（1）极压抗磨性：齿轮油含有极压抗磨添加剂，能在高负荷下形成保护膜，防止齿轮表面磨损和胶合。</w:t>
            </w:r>
          </w:p>
          <w:p w14:paraId="2D777BD6">
            <w:pPr>
              <w:spacing w:line="360" w:lineRule="auto"/>
              <w:ind w:firstLine="480" w:firstLineChars="200"/>
              <w:rPr>
                <w:sz w:val="24"/>
              </w:rPr>
            </w:pPr>
            <w:r>
              <w:rPr>
                <w:rFonts w:hint="eastAsia"/>
                <w:sz w:val="24"/>
              </w:rPr>
              <w:t>（2）粘温性能：具有良好的粘度指数，在高温下保持足够的油膜强度，低温下保持良好的流动性。</w:t>
            </w:r>
          </w:p>
          <w:p w14:paraId="4FE2FDE5">
            <w:pPr>
              <w:spacing w:line="360" w:lineRule="auto"/>
              <w:ind w:firstLine="480" w:firstLineChars="200"/>
              <w:rPr>
                <w:sz w:val="24"/>
              </w:rPr>
            </w:pPr>
            <w:r>
              <w:rPr>
                <w:rFonts w:hint="eastAsia"/>
                <w:sz w:val="24"/>
              </w:rPr>
              <w:t>（3）氧化安定性：能抵抗高温氧化，延长使用寿命。</w:t>
            </w:r>
          </w:p>
          <w:p w14:paraId="12FA8E9E">
            <w:pPr>
              <w:spacing w:line="360" w:lineRule="auto"/>
              <w:ind w:firstLine="480" w:firstLineChars="200"/>
              <w:rPr>
                <w:sz w:val="24"/>
              </w:rPr>
            </w:pPr>
            <w:r>
              <w:rPr>
                <w:rFonts w:hint="eastAsia"/>
                <w:sz w:val="24"/>
              </w:rPr>
              <w:t>（4）抗泡性：能迅速消除泡沫，保证润滑效果。</w:t>
            </w:r>
          </w:p>
          <w:p w14:paraId="3A9535A1">
            <w:pPr>
              <w:spacing w:line="360" w:lineRule="auto"/>
              <w:ind w:firstLine="480" w:firstLineChars="200"/>
              <w:rPr>
                <w:sz w:val="24"/>
              </w:rPr>
            </w:pPr>
            <w:r>
              <w:rPr>
                <w:rFonts w:hint="eastAsia"/>
                <w:sz w:val="24"/>
              </w:rPr>
              <w:t>（5）防锈防腐性：保护金属表面不受腐蚀。</w:t>
            </w:r>
          </w:p>
          <w:p w14:paraId="40866C57">
            <w:pPr>
              <w:spacing w:line="360" w:lineRule="auto"/>
              <w:ind w:firstLine="480" w:firstLineChars="200"/>
              <w:rPr>
                <w:sz w:val="24"/>
              </w:rPr>
            </w:pPr>
            <w:r>
              <w:rPr>
                <w:rFonts w:hint="eastAsia"/>
                <w:sz w:val="24"/>
              </w:rPr>
              <w:t>应用领域：汽车变速箱、后桥齿轮箱、工业齿轮箱、船舶齿轮箱等各类齿轮传动装置。不同工况下需选用不同粘度等级和性能等级的齿轮油，以确保设备正常运行和延长使用寿命。</w:t>
            </w:r>
          </w:p>
          <w:p w14:paraId="134247E9">
            <w:pPr>
              <w:spacing w:line="360" w:lineRule="auto"/>
              <w:ind w:firstLine="480" w:firstLineChars="200"/>
              <w:rPr>
                <w:sz w:val="24"/>
              </w:rPr>
            </w:pPr>
            <w:r>
              <w:rPr>
                <w:rFonts w:hint="eastAsia"/>
                <w:sz w:val="24"/>
              </w:rPr>
              <w:t>③导轨油：导轨油是一种专门用于机床导轨润滑的专用润滑油，主要作用是减少导轨与工作台之间的摩擦、防止爬行现象、保护导轨表面、传递动力并起到冷却和防锈作用。</w:t>
            </w:r>
          </w:p>
          <w:p w14:paraId="6E1D0472">
            <w:pPr>
              <w:spacing w:line="360" w:lineRule="auto"/>
              <w:ind w:firstLine="480" w:firstLineChars="200"/>
              <w:rPr>
                <w:sz w:val="24"/>
              </w:rPr>
            </w:pPr>
            <w:r>
              <w:rPr>
                <w:rFonts w:hint="eastAsia"/>
                <w:sz w:val="24"/>
              </w:rPr>
              <w:t>主要性能特点</w:t>
            </w:r>
          </w:p>
          <w:p w14:paraId="4A6716F5">
            <w:pPr>
              <w:spacing w:line="360" w:lineRule="auto"/>
              <w:ind w:firstLine="480" w:firstLineChars="200"/>
              <w:rPr>
                <w:sz w:val="24"/>
              </w:rPr>
            </w:pPr>
            <w:r>
              <w:rPr>
                <w:rFonts w:hint="eastAsia"/>
                <w:sz w:val="24"/>
              </w:rPr>
              <w:t>（1）防爬行性能：导轨油含有特殊的防爬行添加剂，能有效防止低速重载下工作台出现爬行或抖动现象，保证加工精度。</w:t>
            </w:r>
          </w:p>
          <w:p w14:paraId="7E2599C7">
            <w:pPr>
              <w:spacing w:line="360" w:lineRule="auto"/>
              <w:ind w:firstLine="480" w:firstLineChars="200"/>
              <w:rPr>
                <w:sz w:val="24"/>
              </w:rPr>
            </w:pPr>
            <w:r>
              <w:rPr>
                <w:rFonts w:hint="eastAsia"/>
                <w:sz w:val="24"/>
              </w:rPr>
              <w:t>（2）粘附性：具有良好的粘附性和油膜强度，能在垂直或倾斜导轨表面形成稳定的润滑膜。</w:t>
            </w:r>
          </w:p>
          <w:p w14:paraId="76BA4D3E">
            <w:pPr>
              <w:spacing w:line="360" w:lineRule="auto"/>
              <w:ind w:firstLine="480" w:firstLineChars="200"/>
              <w:rPr>
                <w:sz w:val="24"/>
              </w:rPr>
            </w:pPr>
            <w:r>
              <w:rPr>
                <w:rFonts w:hint="eastAsia"/>
                <w:sz w:val="24"/>
              </w:rPr>
              <w:t>（3）极压抗磨性：含有极压抗磨添加剂，能在高负荷下保护导轨表面，减少磨损。</w:t>
            </w:r>
          </w:p>
          <w:p w14:paraId="5E0028BE">
            <w:pPr>
              <w:spacing w:line="360" w:lineRule="auto"/>
              <w:ind w:firstLine="480" w:firstLineChars="200"/>
              <w:rPr>
                <w:sz w:val="24"/>
              </w:rPr>
            </w:pPr>
            <w:r>
              <w:rPr>
                <w:rFonts w:hint="eastAsia"/>
                <w:sz w:val="24"/>
              </w:rPr>
              <w:t>（4）抗氧化性：具有良好的氧化安定性，延长使用寿命。</w:t>
            </w:r>
          </w:p>
          <w:p w14:paraId="0F142892">
            <w:pPr>
              <w:spacing w:line="360" w:lineRule="auto"/>
              <w:ind w:firstLine="480" w:firstLineChars="200"/>
              <w:rPr>
                <w:sz w:val="24"/>
              </w:rPr>
            </w:pPr>
            <w:r>
              <w:rPr>
                <w:rFonts w:hint="eastAsia"/>
                <w:sz w:val="24"/>
              </w:rPr>
              <w:t>（5）防锈防腐性：保护导轨表面不受腐蚀。</w:t>
            </w:r>
          </w:p>
          <w:p w14:paraId="7C941EE0">
            <w:pPr>
              <w:spacing w:line="360" w:lineRule="auto"/>
              <w:ind w:firstLine="480" w:firstLineChars="200"/>
              <w:rPr>
                <w:sz w:val="24"/>
              </w:rPr>
            </w:pPr>
            <w:r>
              <w:rPr>
                <w:rFonts w:hint="eastAsia"/>
                <w:sz w:val="24"/>
              </w:rPr>
              <w:t>定期更换导轨油对保证机床精度和延长使用寿命至关重要。</w:t>
            </w:r>
          </w:p>
          <w:p w14:paraId="013ED385">
            <w:pPr>
              <w:spacing w:line="360" w:lineRule="auto"/>
              <w:ind w:firstLine="480" w:firstLineChars="200"/>
              <w:rPr>
                <w:sz w:val="24"/>
              </w:rPr>
            </w:pPr>
            <w:r>
              <w:rPr>
                <w:rFonts w:hint="eastAsia"/>
                <w:sz w:val="24"/>
              </w:rPr>
              <w:t>④除锈乳化油：除锈乳化油是一种集除锈、防锈、润滑于一体的多功能金属加工液，主要用于金属表面的除锈防锈处理。</w:t>
            </w:r>
          </w:p>
          <w:p w14:paraId="3CE62E25">
            <w:pPr>
              <w:spacing w:line="360" w:lineRule="auto"/>
              <w:ind w:firstLine="480" w:firstLineChars="200"/>
              <w:rPr>
                <w:sz w:val="24"/>
              </w:rPr>
            </w:pPr>
            <w:r>
              <w:rPr>
                <w:sz w:val="24"/>
              </w:rPr>
              <w:t>主要组成成分</w:t>
            </w:r>
            <w:r>
              <w:rPr>
                <w:rFonts w:hint="eastAsia"/>
                <w:sz w:val="24"/>
              </w:rPr>
              <w:t>：</w:t>
            </w:r>
            <w:r>
              <w:rPr>
                <w:sz w:val="24"/>
              </w:rPr>
              <w:t>除锈乳化油主要由基础油、乳化剂、防锈剂、除锈剂、极压添加剂等组成。基础油通常选用矿物油或合成油，乳化剂使油水形成稳定乳液，防锈剂在金属表面形成保护膜，除锈剂能溶解金属表面的氧化物，极压添加剂提高润滑性能。</w:t>
            </w:r>
          </w:p>
          <w:p w14:paraId="53CA4CFE">
            <w:pPr>
              <w:pStyle w:val="2"/>
              <w:spacing w:line="360" w:lineRule="auto"/>
              <w:ind w:firstLine="480"/>
              <w:rPr>
                <w:rFonts w:ascii="Times New Roman"/>
              </w:rPr>
            </w:pPr>
            <w:r>
              <w:rPr>
                <w:rFonts w:ascii="Times New Roman"/>
              </w:rPr>
              <w:t>⑤甲基硅油：是一种无色、无味、无毒的有机硅聚合物，化学名称为聚二甲基硅氧烷。</w:t>
            </w:r>
          </w:p>
          <w:p w14:paraId="1C808694">
            <w:pPr>
              <w:pStyle w:val="2"/>
              <w:spacing w:line="360" w:lineRule="auto"/>
              <w:ind w:firstLine="480"/>
              <w:rPr>
                <w:rFonts w:ascii="Times New Roman"/>
              </w:rPr>
            </w:pPr>
            <w:r>
              <w:rPr>
                <w:rFonts w:ascii="Times New Roman"/>
              </w:rPr>
              <w:t>物理性质：甲基硅油为透明粘稠液体，粘度范围宽，凝固点低（-50℃以下），闪点高（</w:t>
            </w:r>
            <w:r>
              <w:rPr>
                <w:rFonts w:hint="eastAsia" w:ascii="Times New Roman"/>
                <w:lang w:eastAsia="zh-CN"/>
              </w:rPr>
              <w:t>〉</w:t>
            </w:r>
            <w:r>
              <w:rPr>
                <w:rFonts w:ascii="Times New Roman"/>
              </w:rPr>
              <w:t>300℃），热稳定性好，可在-50℃至200℃范围内长期使用。</w:t>
            </w:r>
          </w:p>
          <w:p w14:paraId="043DA973">
            <w:pPr>
              <w:pStyle w:val="2"/>
              <w:spacing w:line="360" w:lineRule="auto"/>
              <w:ind w:firstLine="480"/>
              <w:rPr>
                <w:rFonts w:ascii="Times New Roman"/>
              </w:rPr>
            </w:pPr>
            <w:r>
              <w:rPr>
                <w:rFonts w:ascii="Times New Roman"/>
              </w:rPr>
              <w:t>化学性质：化学惰性强，耐氧化、耐候性好，不溶于水、甲醇、乙醇，但溶于苯、甲苯、二甲苯等有机溶剂。对金属、塑料、橡胶等材料无腐蚀性。</w:t>
            </w:r>
          </w:p>
          <w:p w14:paraId="7CED4256">
            <w:pPr>
              <w:pStyle w:val="2"/>
              <w:spacing w:line="360" w:lineRule="auto"/>
              <w:ind w:firstLine="480"/>
              <w:rPr>
                <w:rFonts w:ascii="Times New Roman"/>
              </w:rPr>
            </w:pPr>
            <w:r>
              <w:rPr>
                <w:rFonts w:ascii="Times New Roman"/>
              </w:rPr>
              <w:t>表面性能：表面张力极低（约21mN/m），具有优异的疏水性和润滑性。</w:t>
            </w:r>
          </w:p>
          <w:p w14:paraId="72406FA6">
            <w:pPr>
              <w:pStyle w:val="2"/>
              <w:spacing w:line="360" w:lineRule="auto"/>
              <w:ind w:firstLine="480"/>
              <w:rPr>
                <w:rFonts w:ascii="Times New Roman"/>
              </w:rPr>
            </w:pPr>
            <w:r>
              <w:rPr>
                <w:rFonts w:ascii="Times New Roman"/>
              </w:rPr>
              <w:t>（1）润滑剂：用于塑料、橡胶、金属等材料的润滑，特别适合高温、低温或宽温范围使用。</w:t>
            </w:r>
          </w:p>
          <w:p w14:paraId="3D45932C">
            <w:pPr>
              <w:pStyle w:val="2"/>
              <w:spacing w:line="360" w:lineRule="auto"/>
              <w:ind w:firstLine="480"/>
              <w:rPr>
                <w:rFonts w:ascii="Times New Roman"/>
              </w:rPr>
            </w:pPr>
            <w:r>
              <w:rPr>
                <w:rFonts w:ascii="Times New Roman"/>
              </w:rPr>
              <w:t>（2）脱模剂：在塑料、橡胶制品加工中作为脱模剂，防止制品与模具粘连。</w:t>
            </w:r>
          </w:p>
          <w:p w14:paraId="4D8BF6BB">
            <w:pPr>
              <w:pStyle w:val="2"/>
              <w:spacing w:line="360" w:lineRule="auto"/>
              <w:ind w:firstLine="480"/>
              <w:rPr>
                <w:rFonts w:ascii="Times New Roman"/>
              </w:rPr>
            </w:pPr>
            <w:r>
              <w:rPr>
                <w:rFonts w:ascii="Times New Roman"/>
              </w:rPr>
              <w:t>（</w:t>
            </w:r>
            <w:r>
              <w:rPr>
                <w:rFonts w:hint="eastAsia" w:ascii="Times New Roman"/>
              </w:rPr>
              <w:t>3</w:t>
            </w:r>
            <w:r>
              <w:rPr>
                <w:rFonts w:ascii="Times New Roman"/>
              </w:rPr>
              <w:t>）其他应用：还可用作防水剂、防粘剂、表面处理剂等。</w:t>
            </w:r>
          </w:p>
          <w:p w14:paraId="4B756E02">
            <w:pPr>
              <w:spacing w:line="360" w:lineRule="auto"/>
              <w:ind w:firstLine="480" w:firstLineChars="200"/>
              <w:rPr>
                <w:sz w:val="24"/>
              </w:rPr>
            </w:pPr>
            <w:r>
              <w:rPr>
                <w:sz w:val="24"/>
              </w:rPr>
              <w:t>⑥</w:t>
            </w:r>
            <w:r>
              <w:rPr>
                <w:rFonts w:hint="eastAsia"/>
                <w:sz w:val="24"/>
              </w:rPr>
              <w:t>喷塑塑粉：属于热固性粉末涂料，主要用于喷涂行业，本项目所使用的塑粉是一种由纯聚酯、TGIC、钛白粉、蜡、硫酸钡、流平剂、颜料及其他助剂组成的混合物，根据建设方提供的资料，项目所用塑粉中纯聚酯占比39.41</w:t>
            </w:r>
            <w:r>
              <w:rPr>
                <w:sz w:val="24"/>
              </w:rPr>
              <w:t>%、</w:t>
            </w:r>
            <w:r>
              <w:rPr>
                <w:rFonts w:hint="eastAsia"/>
                <w:sz w:val="24"/>
              </w:rPr>
              <w:t>TGIC占比3.</w:t>
            </w:r>
            <w:r>
              <w:rPr>
                <w:sz w:val="24"/>
              </w:rPr>
              <w:t>20%、</w:t>
            </w:r>
            <w:r>
              <w:rPr>
                <w:rFonts w:hint="eastAsia"/>
                <w:sz w:val="24"/>
              </w:rPr>
              <w:t>钛白粉占比24.63</w:t>
            </w:r>
            <w:r>
              <w:rPr>
                <w:sz w:val="24"/>
              </w:rPr>
              <w:t>%、</w:t>
            </w:r>
            <w:r>
              <w:rPr>
                <w:rFonts w:hint="eastAsia"/>
                <w:sz w:val="24"/>
              </w:rPr>
              <w:t>硫酸钡占比27.09</w:t>
            </w:r>
            <w:r>
              <w:rPr>
                <w:sz w:val="24"/>
              </w:rPr>
              <w:t>%、</w:t>
            </w:r>
            <w:r>
              <w:rPr>
                <w:rFonts w:hint="eastAsia"/>
                <w:sz w:val="24"/>
              </w:rPr>
              <w:t>蜡占比0.99%，流平剂占比0.25</w:t>
            </w:r>
            <w:r>
              <w:rPr>
                <w:sz w:val="24"/>
              </w:rPr>
              <w:t>%</w:t>
            </w:r>
            <w:r>
              <w:rPr>
                <w:rFonts w:hint="eastAsia"/>
                <w:sz w:val="24"/>
              </w:rPr>
              <w:t>、颜料占比2.46</w:t>
            </w:r>
            <w:r>
              <w:rPr>
                <w:sz w:val="24"/>
              </w:rPr>
              <w:t>%</w:t>
            </w:r>
            <w:r>
              <w:rPr>
                <w:rFonts w:hint="eastAsia"/>
                <w:sz w:val="24"/>
              </w:rPr>
              <w:t>、其他助剂占比1.97</w:t>
            </w:r>
            <w:r>
              <w:rPr>
                <w:sz w:val="24"/>
              </w:rPr>
              <w:t>%。</w:t>
            </w:r>
          </w:p>
          <w:p w14:paraId="35703C31">
            <w:pPr>
              <w:spacing w:line="360" w:lineRule="auto"/>
              <w:ind w:firstLine="482" w:firstLineChars="200"/>
              <w:rPr>
                <w:b/>
                <w:sz w:val="24"/>
              </w:rPr>
            </w:pPr>
            <w:r>
              <w:rPr>
                <w:b/>
                <w:sz w:val="24"/>
              </w:rPr>
              <w:t>6</w:t>
            </w:r>
            <w:r>
              <w:rPr>
                <w:rFonts w:hint="eastAsia"/>
                <w:b/>
                <w:sz w:val="24"/>
              </w:rPr>
              <w:t>、公用及辅助工程</w:t>
            </w:r>
          </w:p>
          <w:p w14:paraId="672B6ABD">
            <w:pPr>
              <w:spacing w:line="360" w:lineRule="auto"/>
              <w:ind w:firstLine="480" w:firstLineChars="200"/>
              <w:rPr>
                <w:sz w:val="24"/>
              </w:rPr>
            </w:pPr>
            <w:r>
              <w:rPr>
                <w:rFonts w:hint="eastAsia"/>
                <w:sz w:val="24"/>
              </w:rPr>
              <w:t>（</w:t>
            </w:r>
            <w:r>
              <w:rPr>
                <w:sz w:val="24"/>
              </w:rPr>
              <w:t>1</w:t>
            </w:r>
            <w:r>
              <w:rPr>
                <w:rFonts w:hint="eastAsia"/>
                <w:sz w:val="24"/>
              </w:rPr>
              <w:t>）给水</w:t>
            </w:r>
          </w:p>
          <w:p w14:paraId="2B00F241">
            <w:pPr>
              <w:spacing w:line="360" w:lineRule="auto"/>
              <w:ind w:firstLine="480" w:firstLineChars="200"/>
              <w:rPr>
                <w:sz w:val="24"/>
              </w:rPr>
            </w:pPr>
            <w:r>
              <w:rPr>
                <w:sz w:val="24"/>
              </w:rPr>
              <w:t>本项目用水由市政供水管网提供，市政供水管网系统完善，可满足本项目</w:t>
            </w:r>
            <w:r>
              <w:rPr>
                <w:rFonts w:hint="eastAsia"/>
                <w:sz w:val="24"/>
              </w:rPr>
              <w:t>营运期</w:t>
            </w:r>
            <w:r>
              <w:rPr>
                <w:sz w:val="24"/>
              </w:rPr>
              <w:t>生产</w:t>
            </w:r>
            <w:r>
              <w:rPr>
                <w:rFonts w:hint="eastAsia"/>
                <w:sz w:val="24"/>
              </w:rPr>
              <w:t>用水</w:t>
            </w:r>
            <w:r>
              <w:rPr>
                <w:sz w:val="24"/>
              </w:rPr>
              <w:t>、生活用水。</w:t>
            </w:r>
          </w:p>
          <w:p w14:paraId="68BFCFC3">
            <w:pPr>
              <w:spacing w:line="360" w:lineRule="auto"/>
              <w:ind w:firstLine="480" w:firstLineChars="200"/>
              <w:rPr>
                <w:sz w:val="24"/>
              </w:rPr>
            </w:pPr>
            <w:r>
              <w:rPr>
                <w:sz w:val="24"/>
              </w:rPr>
              <w:t>①生活用水</w:t>
            </w:r>
          </w:p>
          <w:p w14:paraId="56F9F2A8">
            <w:pPr>
              <w:spacing w:line="360" w:lineRule="auto"/>
              <w:ind w:firstLine="480" w:firstLineChars="200"/>
              <w:rPr>
                <w:sz w:val="24"/>
              </w:rPr>
            </w:pPr>
            <w:r>
              <w:rPr>
                <w:rFonts w:hint="eastAsia"/>
                <w:sz w:val="24"/>
              </w:rPr>
              <w:t>本</w:t>
            </w:r>
            <w:r>
              <w:rPr>
                <w:sz w:val="24"/>
              </w:rPr>
              <w:t>项目</w:t>
            </w:r>
            <w:r>
              <w:rPr>
                <w:rFonts w:hint="eastAsia"/>
                <w:sz w:val="24"/>
              </w:rPr>
              <w:t>员工30</w:t>
            </w:r>
            <w:r>
              <w:rPr>
                <w:sz w:val="24"/>
              </w:rPr>
              <w:t>人，年工作300天，厂内不提供</w:t>
            </w:r>
            <w:r>
              <w:rPr>
                <w:rFonts w:hint="eastAsia"/>
                <w:sz w:val="24"/>
              </w:rPr>
              <w:t>食宿</w:t>
            </w:r>
            <w:r>
              <w:rPr>
                <w:sz w:val="24"/>
              </w:rPr>
              <w:t>，根据</w:t>
            </w:r>
            <w:r>
              <w:rPr>
                <w:rFonts w:hint="eastAsia"/>
                <w:sz w:val="24"/>
              </w:rPr>
              <w:t>《湖南省用水定额》 (DB43/T 388-2025 )</w:t>
            </w:r>
            <w:r>
              <w:rPr>
                <w:sz w:val="24"/>
              </w:rPr>
              <w:t xml:space="preserve"> ，员工生活用水量按</w:t>
            </w:r>
            <w:r>
              <w:rPr>
                <w:rFonts w:hint="eastAsia"/>
                <w:sz w:val="24"/>
              </w:rPr>
              <w:t>45</w:t>
            </w:r>
            <w:r>
              <w:rPr>
                <w:sz w:val="24"/>
              </w:rPr>
              <w:t>L/人·日计，则生活用水量为</w:t>
            </w:r>
            <w:r>
              <w:rPr>
                <w:rFonts w:hint="eastAsia"/>
                <w:sz w:val="24"/>
              </w:rPr>
              <w:t>1.35</w:t>
            </w:r>
            <w:r>
              <w:rPr>
                <w:sz w:val="24"/>
              </w:rPr>
              <w:t>m</w:t>
            </w:r>
            <w:r>
              <w:rPr>
                <w:sz w:val="24"/>
                <w:vertAlign w:val="superscript"/>
              </w:rPr>
              <w:t>3</w:t>
            </w:r>
            <w:r>
              <w:rPr>
                <w:sz w:val="24"/>
              </w:rPr>
              <w:t>/d，</w:t>
            </w:r>
            <w:r>
              <w:rPr>
                <w:rFonts w:hint="eastAsia"/>
                <w:sz w:val="24"/>
              </w:rPr>
              <w:t>405</w:t>
            </w:r>
            <w:r>
              <w:rPr>
                <w:sz w:val="24"/>
              </w:rPr>
              <w:t>m</w:t>
            </w:r>
            <w:r>
              <w:rPr>
                <w:sz w:val="24"/>
                <w:vertAlign w:val="superscript"/>
              </w:rPr>
              <w:t>3</w:t>
            </w:r>
            <w:r>
              <w:rPr>
                <w:sz w:val="24"/>
              </w:rPr>
              <w:t>/a。废水排放系数按0.8计算，则生活污水产生量为</w:t>
            </w:r>
            <w:r>
              <w:rPr>
                <w:rFonts w:hint="eastAsia"/>
                <w:sz w:val="24"/>
              </w:rPr>
              <w:t>1.08</w:t>
            </w:r>
            <w:r>
              <w:rPr>
                <w:sz w:val="24"/>
              </w:rPr>
              <w:t>m</w:t>
            </w:r>
            <w:r>
              <w:rPr>
                <w:sz w:val="24"/>
                <w:vertAlign w:val="superscript"/>
              </w:rPr>
              <w:t>3</w:t>
            </w:r>
            <w:r>
              <w:rPr>
                <w:sz w:val="24"/>
              </w:rPr>
              <w:t>/d，</w:t>
            </w:r>
            <w:r>
              <w:rPr>
                <w:rFonts w:hint="eastAsia"/>
                <w:sz w:val="24"/>
              </w:rPr>
              <w:t>324</w:t>
            </w:r>
            <w:r>
              <w:rPr>
                <w:sz w:val="24"/>
              </w:rPr>
              <w:t>m</w:t>
            </w:r>
            <w:r>
              <w:rPr>
                <w:sz w:val="24"/>
                <w:vertAlign w:val="superscript"/>
              </w:rPr>
              <w:t>3</w:t>
            </w:r>
            <w:r>
              <w:rPr>
                <w:sz w:val="24"/>
              </w:rPr>
              <w:t>/a。</w:t>
            </w:r>
            <w:r>
              <w:rPr>
                <w:rFonts w:hint="eastAsia"/>
                <w:sz w:val="24"/>
              </w:rPr>
              <w:t>生活污水经化粪池处理达到《污水综合排放标准》（GB8978-1996）中三级标准后</w:t>
            </w:r>
            <w:r>
              <w:rPr>
                <w:sz w:val="24"/>
              </w:rPr>
              <w:t>排入</w:t>
            </w:r>
            <w:r>
              <w:rPr>
                <w:rFonts w:hint="eastAsia"/>
                <w:sz w:val="24"/>
              </w:rPr>
              <w:t>衡钢西区污水处理厂，处理达标后排放。</w:t>
            </w:r>
          </w:p>
          <w:p w14:paraId="251093C7">
            <w:pPr>
              <w:tabs>
                <w:tab w:val="center" w:pos="4044"/>
              </w:tabs>
              <w:spacing w:line="360" w:lineRule="auto"/>
              <w:ind w:firstLine="480" w:firstLineChars="200"/>
              <w:rPr>
                <w:sz w:val="24"/>
              </w:rPr>
            </w:pPr>
            <w:r>
              <w:rPr>
                <w:rFonts w:hint="eastAsia"/>
                <w:sz w:val="24"/>
              </w:rPr>
              <w:t>②冷却塔用水</w:t>
            </w:r>
          </w:p>
          <w:p w14:paraId="7BE61E09">
            <w:pPr>
              <w:spacing w:line="360" w:lineRule="auto"/>
              <w:ind w:firstLine="480" w:firstLineChars="200"/>
            </w:pPr>
            <w:r>
              <w:rPr>
                <w:rFonts w:hint="eastAsia"/>
                <w:sz w:val="24"/>
              </w:rPr>
              <w:t>本项目配套采购1台冷却塔，冷却塔有效容积1.5m</w:t>
            </w:r>
            <w:r>
              <w:rPr>
                <w:rFonts w:hint="eastAsia"/>
                <w:sz w:val="24"/>
                <w:vertAlign w:val="superscript"/>
              </w:rPr>
              <w:t>3</w:t>
            </w:r>
            <w:r>
              <w:rPr>
                <w:rFonts w:hint="eastAsia"/>
                <w:sz w:val="24"/>
              </w:rPr>
              <w:t>，每年补充新鲜水一次，冷却塔用水量为1m</w:t>
            </w:r>
            <w:r>
              <w:rPr>
                <w:rFonts w:hint="eastAsia"/>
                <w:sz w:val="24"/>
                <w:vertAlign w:val="superscript"/>
              </w:rPr>
              <w:t>3</w:t>
            </w:r>
            <w:r>
              <w:rPr>
                <w:rFonts w:hint="eastAsia"/>
                <w:sz w:val="24"/>
              </w:rPr>
              <w:t>/a，补充新鲜用水量为1m</w:t>
            </w:r>
            <w:r>
              <w:rPr>
                <w:rFonts w:hint="eastAsia"/>
                <w:sz w:val="24"/>
                <w:vertAlign w:val="superscript"/>
              </w:rPr>
              <w:t>3</w:t>
            </w:r>
            <w:r>
              <w:rPr>
                <w:rFonts w:hint="eastAsia"/>
                <w:sz w:val="24"/>
              </w:rPr>
              <w:t>/a。冷却水经收集后循环使用，不外排。</w:t>
            </w:r>
          </w:p>
          <w:p w14:paraId="2F78FC9A">
            <w:pPr>
              <w:spacing w:line="360" w:lineRule="auto"/>
              <w:ind w:firstLine="480" w:firstLineChars="200"/>
              <w:rPr>
                <w:sz w:val="24"/>
              </w:rPr>
            </w:pPr>
            <w:r>
              <w:rPr>
                <w:rFonts w:hint="eastAsia"/>
                <w:sz w:val="24"/>
              </w:rPr>
              <w:t>（2）排水</w:t>
            </w:r>
          </w:p>
          <w:p w14:paraId="7BB1EF28">
            <w:pPr>
              <w:spacing w:line="360" w:lineRule="auto"/>
              <w:ind w:firstLine="480" w:firstLineChars="200"/>
              <w:rPr>
                <w:rFonts w:hint="eastAsia" w:eastAsia="宋体"/>
                <w:sz w:val="24"/>
                <w:lang w:eastAsia="zh-CN"/>
              </w:rPr>
            </w:pPr>
            <w:r>
              <w:rPr>
                <w:rFonts w:hint="eastAsia"/>
                <w:sz w:val="24"/>
              </w:rPr>
              <w:t>本项目雨污分流，雨水经厂区内雨水沟收集后排入市政雨水管网，</w:t>
            </w:r>
            <w:r>
              <w:rPr>
                <w:rFonts w:hint="eastAsia"/>
                <w:sz w:val="24"/>
                <w:lang w:eastAsia="zh-CN"/>
              </w:rPr>
              <w:t>生活污水依托衡钢原有的化粪池处理后经厂区污水管网排入衡钢西区污水处理厂处理达到《污水综合排放标准》（GB8978-1996）表4 中三级标准，排入幸福河，然后进入铜桥港污水处理厂进一步处理，处理后排入湘江。</w:t>
            </w:r>
          </w:p>
          <w:p w14:paraId="5D7BFB70">
            <w:pPr>
              <w:pStyle w:val="2"/>
              <w:ind w:firstLine="480"/>
              <w:rPr>
                <w:rFonts w:ascii="Times New Roman"/>
              </w:rPr>
            </w:pPr>
            <w:r>
              <w:rPr>
                <w:rFonts w:ascii="Times New Roman"/>
              </w:rPr>
              <w:t>本项目水平衡见图2-1</w:t>
            </w:r>
          </w:p>
          <w:p w14:paraId="79205843">
            <w:pPr>
              <w:pStyle w:val="4"/>
              <w:ind w:left="420" w:hanging="420"/>
            </w:pPr>
            <w:r>
              <w:object>
                <v:shape id="_x0000_i1025" o:spt="75" type="#_x0000_t75" style="height:155.25pt;width:390.75pt;" o:ole="t" filled="f" o:preferrelative="t" stroked="f" coordsize="21600,21600">
                  <v:path/>
                  <v:fill on="f" focussize="0,0"/>
                  <v:stroke on="f"/>
                  <v:imagedata r:id="rId15" o:title=""/>
                  <o:lock v:ext="edit" aspectratio="f"/>
                  <w10:wrap type="none"/>
                  <w10:anchorlock/>
                </v:shape>
                <o:OLEObject Type="Embed" ProgID="Visio.Drawing.11" ShapeID="_x0000_i1025" DrawAspect="Content" ObjectID="_1468075725" r:id="rId14">
                  <o:LockedField>false</o:LockedField>
                </o:OLEObject>
              </w:object>
            </w:r>
          </w:p>
          <w:p w14:paraId="5EF7CBFE">
            <w:pPr>
              <w:spacing w:line="360" w:lineRule="auto"/>
              <w:ind w:firstLine="480" w:firstLineChars="200"/>
              <w:rPr>
                <w:sz w:val="24"/>
              </w:rPr>
            </w:pPr>
            <w:r>
              <w:rPr>
                <w:rFonts w:hint="eastAsia"/>
                <w:sz w:val="24"/>
              </w:rPr>
              <w:t>（</w:t>
            </w:r>
            <w:r>
              <w:rPr>
                <w:sz w:val="24"/>
              </w:rPr>
              <w:t>3</w:t>
            </w:r>
            <w:r>
              <w:rPr>
                <w:rFonts w:hint="eastAsia"/>
                <w:sz w:val="24"/>
              </w:rPr>
              <w:t>）供电</w:t>
            </w:r>
          </w:p>
          <w:p w14:paraId="52E36F59">
            <w:pPr>
              <w:spacing w:line="360" w:lineRule="auto"/>
              <w:ind w:firstLine="480" w:firstLineChars="200"/>
              <w:rPr>
                <w:sz w:val="24"/>
              </w:rPr>
            </w:pPr>
            <w:r>
              <w:rPr>
                <w:rFonts w:hint="eastAsia"/>
                <w:sz w:val="24"/>
              </w:rPr>
              <w:t>市政电网提供。</w:t>
            </w:r>
          </w:p>
          <w:p w14:paraId="4FF98E79">
            <w:pPr>
              <w:spacing w:line="360" w:lineRule="auto"/>
              <w:ind w:left="-60" w:firstLine="480"/>
              <w:rPr>
                <w:sz w:val="24"/>
              </w:rPr>
            </w:pPr>
            <w:r>
              <w:rPr>
                <w:rFonts w:hint="eastAsia"/>
                <w:sz w:val="24"/>
              </w:rPr>
              <w:t>（4）制热、制冷</w:t>
            </w:r>
          </w:p>
          <w:p w14:paraId="596349CA">
            <w:pPr>
              <w:spacing w:line="360" w:lineRule="auto"/>
              <w:ind w:firstLine="480" w:firstLineChars="200"/>
              <w:rPr>
                <w:sz w:val="24"/>
              </w:rPr>
            </w:pPr>
            <w:r>
              <w:rPr>
                <w:rFonts w:hint="eastAsia"/>
                <w:sz w:val="24"/>
              </w:rPr>
              <w:t>生产车间夏季采用风扇降温、员工办公制热、制冷均采用分体空调。</w:t>
            </w:r>
          </w:p>
          <w:p w14:paraId="7E392D14">
            <w:pPr>
              <w:spacing w:line="360" w:lineRule="auto"/>
              <w:ind w:firstLine="482" w:firstLineChars="200"/>
              <w:rPr>
                <w:b/>
                <w:sz w:val="24"/>
              </w:rPr>
            </w:pPr>
            <w:r>
              <w:rPr>
                <w:rFonts w:hint="eastAsia"/>
                <w:b/>
                <w:sz w:val="24"/>
              </w:rPr>
              <w:t>7、劳动定员及生产班制</w:t>
            </w:r>
          </w:p>
          <w:p w14:paraId="4926D7CB">
            <w:pPr>
              <w:spacing w:line="360" w:lineRule="auto"/>
              <w:ind w:firstLine="480" w:firstLineChars="200"/>
              <w:rPr>
                <w:sz w:val="24"/>
              </w:rPr>
            </w:pPr>
            <w:r>
              <w:rPr>
                <w:rFonts w:hint="eastAsia"/>
                <w:sz w:val="24"/>
              </w:rPr>
              <w:t>本项目</w:t>
            </w:r>
            <w:r>
              <w:rPr>
                <w:sz w:val="24"/>
              </w:rPr>
              <w:t>劳动定员</w:t>
            </w:r>
            <w:r>
              <w:rPr>
                <w:rFonts w:hint="eastAsia"/>
                <w:sz w:val="24"/>
              </w:rPr>
              <w:t>30</w:t>
            </w:r>
            <w:r>
              <w:rPr>
                <w:sz w:val="24"/>
              </w:rPr>
              <w:t>人</w:t>
            </w:r>
            <w:r>
              <w:rPr>
                <w:rFonts w:hint="eastAsia"/>
                <w:sz w:val="24"/>
              </w:rPr>
              <w:t>，员工均为周边居民，</w:t>
            </w:r>
            <w:r>
              <w:rPr>
                <w:bCs/>
                <w:sz w:val="24"/>
              </w:rPr>
              <w:t>厂内</w:t>
            </w:r>
            <w:r>
              <w:rPr>
                <w:rFonts w:hint="eastAsia"/>
                <w:bCs/>
                <w:sz w:val="24"/>
              </w:rPr>
              <w:t>不提供食宿</w:t>
            </w:r>
            <w:r>
              <w:rPr>
                <w:bCs/>
                <w:sz w:val="24"/>
              </w:rPr>
              <w:t>。全年工作天数</w:t>
            </w:r>
            <w:r>
              <w:rPr>
                <w:rFonts w:hint="eastAsia"/>
                <w:bCs/>
                <w:sz w:val="24"/>
              </w:rPr>
              <w:t>300</w:t>
            </w:r>
            <w:r>
              <w:rPr>
                <w:bCs/>
                <w:sz w:val="24"/>
              </w:rPr>
              <w:t>天，</w:t>
            </w:r>
            <w:r>
              <w:rPr>
                <w:rFonts w:hint="eastAsia"/>
                <w:bCs/>
                <w:sz w:val="24"/>
              </w:rPr>
              <w:t>工作时间8小时</w:t>
            </w:r>
            <w:r>
              <w:rPr>
                <w:rFonts w:hint="eastAsia"/>
                <w:sz w:val="24"/>
              </w:rPr>
              <w:t>。</w:t>
            </w:r>
          </w:p>
          <w:p w14:paraId="77A72F5C">
            <w:pPr>
              <w:spacing w:line="360" w:lineRule="auto"/>
              <w:ind w:firstLine="482" w:firstLineChars="200"/>
              <w:rPr>
                <w:b/>
                <w:bCs/>
                <w:sz w:val="24"/>
              </w:rPr>
            </w:pPr>
            <w:r>
              <w:rPr>
                <w:rFonts w:hint="eastAsia"/>
                <w:b/>
                <w:bCs/>
                <w:sz w:val="24"/>
              </w:rPr>
              <w:t>8、平面布置合理性分析</w:t>
            </w:r>
          </w:p>
          <w:p w14:paraId="55250E7D">
            <w:pPr>
              <w:spacing w:line="360" w:lineRule="auto"/>
              <w:ind w:firstLine="480" w:firstLineChars="200"/>
              <w:rPr>
                <w:kern w:val="0"/>
                <w:sz w:val="24"/>
              </w:rPr>
            </w:pPr>
            <w:r>
              <w:rPr>
                <w:rFonts w:hint="eastAsia"/>
                <w:kern w:val="0"/>
                <w:sz w:val="24"/>
              </w:rPr>
              <w:t>本</w:t>
            </w:r>
            <w:r>
              <w:rPr>
                <w:kern w:val="0"/>
                <w:sz w:val="24"/>
              </w:rPr>
              <w:t>项目位于</w:t>
            </w:r>
            <w:r>
              <w:rPr>
                <w:rFonts w:hint="eastAsia"/>
                <w:kern w:val="0"/>
                <w:sz w:val="24"/>
              </w:rPr>
              <w:t>衡阳市蒸湘区衡阳钢管深加工产业聚集区</w:t>
            </w:r>
            <w:r>
              <w:rPr>
                <w:kern w:val="0"/>
                <w:sz w:val="24"/>
              </w:rPr>
              <w:t>，</w:t>
            </w:r>
            <w:r>
              <w:rPr>
                <w:rFonts w:hint="eastAsia"/>
                <w:kern w:val="0"/>
                <w:sz w:val="24"/>
              </w:rPr>
              <w:t>总</w:t>
            </w:r>
            <w:r>
              <w:rPr>
                <w:kern w:val="0"/>
                <w:sz w:val="24"/>
              </w:rPr>
              <w:t>建筑面积</w:t>
            </w:r>
            <w:r>
              <w:rPr>
                <w:rFonts w:hint="eastAsia"/>
                <w:kern w:val="0"/>
                <w:sz w:val="24"/>
              </w:rPr>
              <w:t>8750</w:t>
            </w:r>
            <w:r>
              <w:rPr>
                <w:kern w:val="0"/>
                <w:sz w:val="24"/>
              </w:rPr>
              <w:t>m</w:t>
            </w:r>
            <w:r>
              <w:rPr>
                <w:kern w:val="0"/>
                <w:sz w:val="24"/>
                <w:vertAlign w:val="superscript"/>
              </w:rPr>
              <w:t>2</w:t>
            </w:r>
            <w:r>
              <w:rPr>
                <w:rFonts w:hint="eastAsia"/>
                <w:kern w:val="0"/>
                <w:sz w:val="24"/>
              </w:rPr>
              <w:t>，厂房整体呈长方向，原辅材料库位于西面、生产车间位于厂区北面和东面，废气治理设施布设于厂区东面，一般固废暂存间和危险废物暂存间均位于厂区西面。</w:t>
            </w:r>
          </w:p>
          <w:p w14:paraId="565188B3">
            <w:pPr>
              <w:pStyle w:val="2"/>
              <w:spacing w:line="360" w:lineRule="auto"/>
              <w:ind w:firstLine="480"/>
            </w:pPr>
            <w:r>
              <w:rPr>
                <w:rFonts w:hint="eastAsia" w:ascii="Times New Roman"/>
                <w:kern w:val="0"/>
              </w:rPr>
              <w:t>以上各功能分开设置，布置有利于车间内产品的生产、物流及管理。车间分区明确，平面布局简单合理。</w:t>
            </w:r>
          </w:p>
        </w:tc>
      </w:tr>
      <w:tr w14:paraId="396D30A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57" w:type="dxa"/>
            <w:vAlign w:val="center"/>
          </w:tcPr>
          <w:p w14:paraId="3E93A1CE">
            <w:pPr>
              <w:jc w:val="center"/>
            </w:pPr>
            <w:r>
              <w:rPr>
                <w:rFonts w:hint="eastAsia"/>
                <w:sz w:val="24"/>
                <w:szCs w:val="32"/>
              </w:rPr>
              <w:t>工艺流程和产排污环节</w:t>
            </w:r>
          </w:p>
        </w:tc>
        <w:tc>
          <w:tcPr>
            <w:tcW w:w="8304" w:type="dxa"/>
            <w:vAlign w:val="center"/>
          </w:tcPr>
          <w:p w14:paraId="7540AEEE">
            <w:pPr>
              <w:spacing w:line="360" w:lineRule="auto"/>
              <w:ind w:firstLine="482" w:firstLineChars="200"/>
              <w:rPr>
                <w:b/>
                <w:bCs/>
                <w:sz w:val="24"/>
              </w:rPr>
            </w:pPr>
            <w:r>
              <w:rPr>
                <w:b/>
                <w:bCs/>
                <w:sz w:val="24"/>
              </w:rPr>
              <w:t>1、施工期工艺流程</w:t>
            </w:r>
          </w:p>
          <w:p w14:paraId="0F1765F0">
            <w:pPr>
              <w:spacing w:line="360" w:lineRule="auto"/>
              <w:ind w:firstLine="480" w:firstLineChars="200"/>
              <w:rPr>
                <w:sz w:val="24"/>
              </w:rPr>
            </w:pPr>
            <w:r>
              <w:rPr>
                <w:rFonts w:hint="eastAsia"/>
                <w:sz w:val="24"/>
                <w:lang w:val="en-US" w:eastAsia="zh-CN"/>
              </w:rPr>
              <w:t>本项目在</w:t>
            </w:r>
            <w:r>
              <w:rPr>
                <w:sz w:val="24"/>
              </w:rPr>
              <w:t>已建成的</w:t>
            </w:r>
            <w:r>
              <w:rPr>
                <w:rFonts w:hint="eastAsia"/>
                <w:sz w:val="24"/>
              </w:rPr>
              <w:t>标准</w:t>
            </w:r>
            <w:r>
              <w:rPr>
                <w:sz w:val="24"/>
              </w:rPr>
              <w:t>厂房</w:t>
            </w:r>
            <w:r>
              <w:rPr>
                <w:rFonts w:hint="eastAsia"/>
                <w:sz w:val="24"/>
                <w:lang w:val="en-US" w:eastAsia="zh-CN"/>
              </w:rPr>
              <w:t>进行生产，施工期</w:t>
            </w:r>
            <w:r>
              <w:rPr>
                <w:sz w:val="24"/>
              </w:rPr>
              <w:t>主要为</w:t>
            </w:r>
            <w:r>
              <w:rPr>
                <w:rFonts w:hint="eastAsia"/>
                <w:sz w:val="24"/>
                <w:lang w:val="en-US" w:eastAsia="zh-CN"/>
              </w:rPr>
              <w:t>部分</w:t>
            </w:r>
            <w:r>
              <w:rPr>
                <w:sz w:val="24"/>
              </w:rPr>
              <w:t>设备</w:t>
            </w:r>
            <w:r>
              <w:rPr>
                <w:rFonts w:hint="eastAsia"/>
                <w:sz w:val="24"/>
                <w:lang w:val="en-US" w:eastAsia="zh-CN"/>
              </w:rPr>
              <w:t>拆除</w:t>
            </w:r>
            <w:r>
              <w:rPr>
                <w:sz w:val="24"/>
              </w:rPr>
              <w:t>，随之产生的影响为设备</w:t>
            </w:r>
            <w:r>
              <w:rPr>
                <w:rFonts w:hint="eastAsia"/>
                <w:sz w:val="24"/>
                <w:lang w:val="en-US" w:eastAsia="zh-CN"/>
              </w:rPr>
              <w:t>拆除</w:t>
            </w:r>
            <w:r>
              <w:rPr>
                <w:sz w:val="24"/>
              </w:rPr>
              <w:t>过程产生的噪声影响</w:t>
            </w:r>
            <w:r>
              <w:rPr>
                <w:rFonts w:hint="eastAsia"/>
                <w:sz w:val="24"/>
                <w:lang w:eastAsia="zh-CN"/>
              </w:rPr>
              <w:t>，</w:t>
            </w:r>
            <w:r>
              <w:rPr>
                <w:rFonts w:hint="eastAsia"/>
                <w:sz w:val="24"/>
                <w:lang w:val="en-US" w:eastAsia="zh-CN"/>
              </w:rPr>
              <w:t>该噪声对周边环境产生的影响较小</w:t>
            </w:r>
            <w:r>
              <w:rPr>
                <w:sz w:val="24"/>
              </w:rPr>
              <w:t>。</w:t>
            </w:r>
            <w:r>
              <w:rPr>
                <w:rFonts w:hint="eastAsia"/>
                <w:sz w:val="24"/>
                <w:lang w:val="en-US" w:eastAsia="zh-CN"/>
              </w:rPr>
              <w:t>因此，本环评不再对施工期的影响进行评价。</w:t>
            </w:r>
          </w:p>
          <w:p w14:paraId="782E857A">
            <w:pPr>
              <w:numPr>
                <w:ilvl w:val="0"/>
                <w:numId w:val="4"/>
              </w:numPr>
              <w:spacing w:line="360" w:lineRule="auto"/>
              <w:ind w:firstLine="482" w:firstLineChars="200"/>
              <w:rPr>
                <w:b/>
                <w:bCs/>
                <w:sz w:val="24"/>
              </w:rPr>
            </w:pPr>
            <w:r>
              <w:rPr>
                <w:b/>
                <w:bCs/>
                <w:sz w:val="24"/>
              </w:rPr>
              <w:t>营运期工艺流程</w:t>
            </w:r>
          </w:p>
          <w:p w14:paraId="6F9D7C9C">
            <w:pPr>
              <w:pStyle w:val="2"/>
              <w:spacing w:line="360" w:lineRule="auto"/>
              <w:ind w:firstLine="480"/>
            </w:pPr>
            <w:r>
              <w:rPr>
                <w:rFonts w:hint="eastAsia"/>
              </w:rPr>
              <w:t>本项目</w:t>
            </w:r>
            <w:r>
              <w:rPr>
                <w:rFonts w:hint="eastAsia" w:ascii="Times New Roman"/>
                <w:color w:val="auto"/>
              </w:rPr>
              <w:t>生产的螺纹保护器主要类型有三种，分别为外钢内塑、外塑内钢、冲口内钢外塑。</w:t>
            </w:r>
            <w:r>
              <w:rPr>
                <w:rFonts w:hint="eastAsia"/>
              </w:rPr>
              <w:t>营运期生产工艺流程见下图：</w:t>
            </w:r>
          </w:p>
          <w:p w14:paraId="4C6216D6">
            <w:pPr>
              <w:pStyle w:val="4"/>
              <w:ind w:left="420" w:hanging="420"/>
              <w:jc w:val="center"/>
            </w:pPr>
            <w:r>
              <w:rPr>
                <w:rFonts w:hint="eastAsia"/>
              </w:rPr>
              <w:object>
                <v:shape id="_x0000_i1026" o:spt="75" type="#_x0000_t75" style="height:154.55pt;width:238.5pt;" o:ole="t" filled="f" o:preferrelative="t" stroked="f" coordsize="21600,21600">
                  <v:path/>
                  <v:fill on="f" focussize="0,0"/>
                  <v:stroke on="f"/>
                  <v:imagedata r:id="rId17" o:title=""/>
                  <o:lock v:ext="edit" aspectratio="f"/>
                  <w10:wrap type="none"/>
                  <w10:anchorlock/>
                </v:shape>
                <o:OLEObject Type="Embed" ProgID="Visio.Drawing.11" ShapeID="_x0000_i1026" DrawAspect="Content" ObjectID="_1468075726" r:id="rId16">
                  <o:LockedField>false</o:LockedField>
                </o:OLEObject>
              </w:object>
            </w:r>
          </w:p>
          <w:p w14:paraId="02FF4140">
            <w:r>
              <w:rPr>
                <w:sz w:val="24"/>
              </w:rPr>
              <mc:AlternateContent>
                <mc:Choice Requires="wps">
                  <w:drawing>
                    <wp:anchor distT="0" distB="0" distL="114300" distR="114300" simplePos="0" relativeHeight="251665408" behindDoc="0" locked="0" layoutInCell="1" allowOverlap="1">
                      <wp:simplePos x="0" y="0"/>
                      <wp:positionH relativeFrom="column">
                        <wp:posOffset>537210</wp:posOffset>
                      </wp:positionH>
                      <wp:positionV relativeFrom="paragraph">
                        <wp:posOffset>6350</wp:posOffset>
                      </wp:positionV>
                      <wp:extent cx="3572510" cy="273050"/>
                      <wp:effectExtent l="0" t="0" r="8890" b="12700"/>
                      <wp:wrapNone/>
                      <wp:docPr id="25" name="文本框 25"/>
                      <wp:cNvGraphicFramePr/>
                      <a:graphic xmlns:a="http://schemas.openxmlformats.org/drawingml/2006/main">
                        <a:graphicData uri="http://schemas.microsoft.com/office/word/2010/wordprocessingShape">
                          <wps:wsp>
                            <wps:cNvSpPr txBox="1"/>
                            <wps:spPr>
                              <a:xfrm>
                                <a:off x="0" y="0"/>
                                <a:ext cx="3572510" cy="320040"/>
                              </a:xfrm>
                              <a:prstGeom prst="rect">
                                <a:avLst/>
                              </a:prstGeom>
                              <a:solidFill>
                                <a:srgbClr val="FFFFFF"/>
                              </a:solidFill>
                              <a:ln w="6350">
                                <a:noFill/>
                              </a:ln>
                              <a:effectLst/>
                            </wps:spPr>
                            <wps:txbx>
                              <w:txbxContent>
                                <w:p w14:paraId="3B6EC49F">
                                  <w:pPr>
                                    <w:spacing w:line="360" w:lineRule="auto"/>
                                    <w:jc w:val="center"/>
                                    <w:rPr>
                                      <w:sz w:val="24"/>
                                    </w:rPr>
                                  </w:pPr>
                                  <w:r>
                                    <w:rPr>
                                      <w:b/>
                                      <w:bCs/>
                                      <w:sz w:val="24"/>
                                    </w:rPr>
                                    <w:t>图</w:t>
                                  </w:r>
                                  <w:r>
                                    <w:rPr>
                                      <w:rFonts w:hint="eastAsia"/>
                                      <w:b/>
                                      <w:bCs/>
                                      <w:sz w:val="24"/>
                                    </w:rPr>
                                    <w:t>2-2    注塑件</w:t>
                                  </w:r>
                                  <w:r>
                                    <w:rPr>
                                      <w:b/>
                                      <w:bCs/>
                                      <w:sz w:val="24"/>
                                    </w:rPr>
                                    <w:t>生产工艺流程</w:t>
                                  </w:r>
                                  <w:r>
                                    <w:rPr>
                                      <w:rFonts w:hint="eastAsia"/>
                                      <w:b/>
                                      <w:bCs/>
                                      <w:sz w:val="24"/>
                                    </w:rPr>
                                    <w:t>及产污节点图</w:t>
                                  </w:r>
                                </w:p>
                                <w:p w14:paraId="3549EB88"/>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2.3pt;margin-top:0.5pt;height:21.5pt;width:281.3pt;z-index:251665408;mso-width-relative:page;mso-height-relative:page;" fillcolor="#FFFFFF" filled="t" stroked="f" coordsize="21600,21600" o:gfxdata="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Av4x0z0gAAAAcBAAAP&#10;AAAAAAAAAAEAIAAAACIAAABkcnMvZG93bnJldi54bWxQSwECFAAUAAAACACHTuJANzvfMFcCAACf&#10;BAAADgAAAAAAAAABACAAAAAhAQAAZHJzL2Uyb0RvYy54bWxQSwUGAAAAAAYABgBZAQAA6gUAAAAA&#10;">
                      <v:fill on="t" focussize="0,0"/>
                      <v:stroke on="f" weight="0.5pt"/>
                      <v:imagedata o:title=""/>
                      <o:lock v:ext="edit" aspectratio="f"/>
                      <v:textbox>
                        <w:txbxContent>
                          <w:p w14:paraId="3B6EC49F">
                            <w:pPr>
                              <w:spacing w:line="360" w:lineRule="auto"/>
                              <w:jc w:val="center"/>
                              <w:rPr>
                                <w:sz w:val="24"/>
                              </w:rPr>
                            </w:pPr>
                            <w:r>
                              <w:rPr>
                                <w:b/>
                                <w:bCs/>
                                <w:sz w:val="24"/>
                              </w:rPr>
                              <w:t>图</w:t>
                            </w:r>
                            <w:r>
                              <w:rPr>
                                <w:rFonts w:hint="eastAsia"/>
                                <w:b/>
                                <w:bCs/>
                                <w:sz w:val="24"/>
                              </w:rPr>
                              <w:t>2-2    注塑件</w:t>
                            </w:r>
                            <w:r>
                              <w:rPr>
                                <w:b/>
                                <w:bCs/>
                                <w:sz w:val="24"/>
                              </w:rPr>
                              <w:t>生产工艺流程</w:t>
                            </w:r>
                            <w:r>
                              <w:rPr>
                                <w:rFonts w:hint="eastAsia"/>
                                <w:b/>
                                <w:bCs/>
                                <w:sz w:val="24"/>
                              </w:rPr>
                              <w:t>及产污节点图</w:t>
                            </w:r>
                          </w:p>
                          <w:p w14:paraId="3549EB88"/>
                        </w:txbxContent>
                      </v:textbox>
                    </v:shape>
                  </w:pict>
                </mc:Fallback>
              </mc:AlternateContent>
            </w:r>
          </w:p>
          <w:p w14:paraId="6BDA6B0E">
            <w:pPr>
              <w:pStyle w:val="4"/>
              <w:ind w:left="420" w:hanging="420"/>
            </w:pPr>
          </w:p>
          <w:p w14:paraId="7763FFAA">
            <w:pPr>
              <w:spacing w:line="360" w:lineRule="auto"/>
              <w:jc w:val="center"/>
              <w:rPr>
                <w:b/>
                <w:bCs/>
                <w:sz w:val="24"/>
              </w:rPr>
            </w:pPr>
            <w:r>
              <w:rPr>
                <w:sz w:val="24"/>
              </w:rPr>
              <mc:AlternateContent>
                <mc:Choice Requires="wps">
                  <w:drawing>
                    <wp:anchor distT="0" distB="0" distL="114300" distR="114300" simplePos="0" relativeHeight="251663360" behindDoc="0" locked="0" layoutInCell="1" allowOverlap="1">
                      <wp:simplePos x="0" y="0"/>
                      <wp:positionH relativeFrom="column">
                        <wp:posOffset>941070</wp:posOffset>
                      </wp:positionH>
                      <wp:positionV relativeFrom="paragraph">
                        <wp:posOffset>2666365</wp:posOffset>
                      </wp:positionV>
                      <wp:extent cx="3572510" cy="320040"/>
                      <wp:effectExtent l="0" t="0" r="8890" b="3810"/>
                      <wp:wrapNone/>
                      <wp:docPr id="23" name="文本框 22"/>
                      <wp:cNvGraphicFramePr/>
                      <a:graphic xmlns:a="http://schemas.openxmlformats.org/drawingml/2006/main">
                        <a:graphicData uri="http://schemas.microsoft.com/office/word/2010/wordprocessingShape">
                          <wps:wsp>
                            <wps:cNvSpPr txBox="1"/>
                            <wps:spPr>
                              <a:xfrm>
                                <a:off x="4177665" y="6641465"/>
                                <a:ext cx="3572510" cy="320040"/>
                              </a:xfrm>
                              <a:prstGeom prst="rect">
                                <a:avLst/>
                              </a:prstGeom>
                              <a:solidFill>
                                <a:srgbClr val="FFFFFF"/>
                              </a:solidFill>
                              <a:ln w="6350">
                                <a:noFill/>
                              </a:ln>
                              <a:effectLst/>
                            </wps:spPr>
                            <wps:txbx>
                              <w:txbxContent>
                                <w:p w14:paraId="114560ED">
                                  <w:pPr>
                                    <w:spacing w:line="360" w:lineRule="auto"/>
                                    <w:jc w:val="center"/>
                                    <w:rPr>
                                      <w:b/>
                                      <w:bCs/>
                                      <w:sz w:val="24"/>
                                    </w:rPr>
                                  </w:pPr>
                                  <w:r>
                                    <w:rPr>
                                      <w:b/>
                                      <w:bCs/>
                                      <w:sz w:val="24"/>
                                    </w:rPr>
                                    <w:t>图</w:t>
                                  </w:r>
                                  <w:r>
                                    <w:rPr>
                                      <w:rFonts w:hint="eastAsia"/>
                                      <w:b/>
                                      <w:bCs/>
                                      <w:sz w:val="24"/>
                                    </w:rPr>
                                    <w:t>2-3    外钢内塑</w:t>
                                  </w:r>
                                  <w:r>
                                    <w:rPr>
                                      <w:b/>
                                      <w:bCs/>
                                      <w:sz w:val="24"/>
                                    </w:rPr>
                                    <w:t>生产工艺流程</w:t>
                                  </w:r>
                                  <w:r>
                                    <w:rPr>
                                      <w:rFonts w:hint="eastAsia"/>
                                      <w:b/>
                                      <w:bCs/>
                                      <w:sz w:val="24"/>
                                    </w:rPr>
                                    <w:t>及产污节点图</w:t>
                                  </w:r>
                                </w:p>
                                <w:p w14:paraId="20089105">
                                  <w:pPr>
                                    <w:rPr>
                                      <w:b/>
                                      <w:bCs/>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22" o:spid="_x0000_s1026" o:spt="202" type="#_x0000_t202" style="position:absolute;left:0pt;margin-left:74.1pt;margin-top:209.95pt;height:25.2pt;width:281.3pt;z-index:251663360;mso-width-relative:page;mso-height-relative:page;" fillcolor="#FFFFFF" filled="t" stroked="f" coordsize="21600,21600" o:gfxdata="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BKaL3LVAAAACwEAAA8AAAAAAAAAAQAgAAAAIgAAAGRycy9kb3ducmV2LnhtbFBLAQIUABQAAAAI&#10;AIdO4kAXOR9qYgIAAKsEAAAOAAAAAAAAAAEAIAAAACQBAABkcnMvZTJvRG9jLnhtbFBLBQYAAAAA&#10;BgAGAFkBAAD4BQAAAAA=&#10;">
                      <v:fill on="t" focussize="0,0"/>
                      <v:stroke on="f" weight="0.5pt"/>
                      <v:imagedata o:title=""/>
                      <o:lock v:ext="edit" aspectratio="f"/>
                      <v:textbox>
                        <w:txbxContent>
                          <w:p w14:paraId="114560ED">
                            <w:pPr>
                              <w:spacing w:line="360" w:lineRule="auto"/>
                              <w:jc w:val="center"/>
                              <w:rPr>
                                <w:b/>
                                <w:bCs/>
                                <w:sz w:val="24"/>
                              </w:rPr>
                            </w:pPr>
                            <w:r>
                              <w:rPr>
                                <w:b/>
                                <w:bCs/>
                                <w:sz w:val="24"/>
                              </w:rPr>
                              <w:t>图</w:t>
                            </w:r>
                            <w:r>
                              <w:rPr>
                                <w:rFonts w:hint="eastAsia"/>
                                <w:b/>
                                <w:bCs/>
                                <w:sz w:val="24"/>
                              </w:rPr>
                              <w:t>2-3    外钢内塑</w:t>
                            </w:r>
                            <w:r>
                              <w:rPr>
                                <w:b/>
                                <w:bCs/>
                                <w:sz w:val="24"/>
                              </w:rPr>
                              <w:t>生产工艺流程</w:t>
                            </w:r>
                            <w:r>
                              <w:rPr>
                                <w:rFonts w:hint="eastAsia"/>
                                <w:b/>
                                <w:bCs/>
                                <w:sz w:val="24"/>
                              </w:rPr>
                              <w:t>及产污节点图</w:t>
                            </w:r>
                          </w:p>
                          <w:p w14:paraId="20089105">
                            <w:pPr>
                              <w:rPr>
                                <w:b/>
                                <w:bCs/>
                              </w:rPr>
                            </w:pPr>
                          </w:p>
                        </w:txbxContent>
                      </v:textbox>
                    </v:shape>
                  </w:pict>
                </mc:Fallback>
              </mc:AlternateContent>
            </w:r>
            <w:r>
              <w:rPr>
                <w:b/>
                <w:bCs/>
                <w:sz w:val="24"/>
              </w:rPr>
              <w:object>
                <v:shape id="_x0000_i1027" o:spt="75" type="#_x0000_t75" style="height:231pt;width:403.5pt;" o:ole="t" filled="f" o:preferrelative="t" stroked="f" coordsize="21600,21600">
                  <v:path/>
                  <v:fill on="f" focussize="0,0"/>
                  <v:stroke on="f" joinstyle="miter"/>
                  <v:imagedata r:id="rId19" o:title=""/>
                  <o:lock v:ext="edit" aspectratio="f"/>
                  <w10:wrap type="none"/>
                  <w10:anchorlock/>
                </v:shape>
                <o:OLEObject Type="Embed" ProgID="Visio.Drawing.11" ShapeID="_x0000_i1027" DrawAspect="Content" ObjectID="_1468075727" r:id="rId18">
                  <o:LockedField>false</o:LockedField>
                </o:OLEObject>
              </w:object>
            </w:r>
          </w:p>
          <w:p w14:paraId="56A09CCC">
            <w:pPr>
              <w:spacing w:line="360" w:lineRule="auto"/>
              <w:jc w:val="center"/>
              <w:rPr>
                <w:b/>
                <w:bCs/>
                <w:sz w:val="24"/>
              </w:rPr>
            </w:pPr>
            <w:r>
              <w:rPr>
                <w:sz w:val="24"/>
              </w:rPr>
              <mc:AlternateContent>
                <mc:Choice Requires="wps">
                  <w:drawing>
                    <wp:anchor distT="0" distB="0" distL="114300" distR="114300" simplePos="0" relativeHeight="251664384" behindDoc="0" locked="0" layoutInCell="1" allowOverlap="1">
                      <wp:simplePos x="0" y="0"/>
                      <wp:positionH relativeFrom="column">
                        <wp:posOffset>788035</wp:posOffset>
                      </wp:positionH>
                      <wp:positionV relativeFrom="paragraph">
                        <wp:posOffset>2787015</wp:posOffset>
                      </wp:positionV>
                      <wp:extent cx="3700145" cy="264160"/>
                      <wp:effectExtent l="0" t="0" r="14605" b="2540"/>
                      <wp:wrapNone/>
                      <wp:docPr id="24" name="文本框 24"/>
                      <wp:cNvGraphicFramePr/>
                      <a:graphic xmlns:a="http://schemas.openxmlformats.org/drawingml/2006/main">
                        <a:graphicData uri="http://schemas.microsoft.com/office/word/2010/wordprocessingShape">
                          <wps:wsp>
                            <wps:cNvSpPr txBox="1"/>
                            <wps:spPr>
                              <a:xfrm>
                                <a:off x="4511040" y="2626360"/>
                                <a:ext cx="3700145" cy="264160"/>
                              </a:xfrm>
                              <a:prstGeom prst="rect">
                                <a:avLst/>
                              </a:prstGeom>
                              <a:solidFill>
                                <a:srgbClr val="FFFFFF"/>
                              </a:solidFill>
                              <a:ln w="6350">
                                <a:noFill/>
                              </a:ln>
                              <a:effectLst/>
                            </wps:spPr>
                            <wps:txbx>
                              <w:txbxContent>
                                <w:p w14:paraId="1B7FFB59">
                                  <w:r>
                                    <w:rPr>
                                      <w:b/>
                                      <w:bCs/>
                                      <w:sz w:val="24"/>
                                    </w:rPr>
                                    <w:t>图</w:t>
                                  </w:r>
                                  <w:r>
                                    <w:rPr>
                                      <w:rFonts w:hint="eastAsia"/>
                                      <w:b/>
                                      <w:bCs/>
                                      <w:sz w:val="24"/>
                                    </w:rPr>
                                    <w:t>2-4    外塑内钢</w:t>
                                  </w:r>
                                  <w:r>
                                    <w:rPr>
                                      <w:b/>
                                      <w:bCs/>
                                      <w:sz w:val="24"/>
                                    </w:rPr>
                                    <w:t>生产工艺流程</w:t>
                                  </w:r>
                                  <w:r>
                                    <w:rPr>
                                      <w:rFonts w:hint="eastAsia"/>
                                      <w:b/>
                                      <w:bCs/>
                                      <w:sz w:val="24"/>
                                    </w:rPr>
                                    <w:t>及产污节点图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2.05pt;margin-top:219.45pt;height:20.8pt;width:291.35pt;z-index:251664384;mso-width-relative:page;mso-height-relative:page;" fillcolor="#FFFFFF" filled="t" stroked="f" coordsize="21600,21600" o:gfxdata="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DH08kNUAAAALAQAADwAAAAAAAAABACAAAAAiAAAAZHJzL2Rvd25yZXYueG1sUEsBAhQAFAAAAAgA&#10;h07iQDPcouVhAgAAqwQAAA4AAAAAAAAAAQAgAAAAJAEAAGRycy9lMm9Eb2MueG1sUEsFBgAAAAAG&#10;AAYAWQEAAPcFAAAAAA==&#10;">
                      <v:fill on="t" focussize="0,0"/>
                      <v:stroke on="f" weight="0.5pt"/>
                      <v:imagedata o:title=""/>
                      <o:lock v:ext="edit" aspectratio="f"/>
                      <v:textbox>
                        <w:txbxContent>
                          <w:p w14:paraId="1B7FFB59">
                            <w:r>
                              <w:rPr>
                                <w:b/>
                                <w:bCs/>
                                <w:sz w:val="24"/>
                              </w:rPr>
                              <w:t>图</w:t>
                            </w:r>
                            <w:r>
                              <w:rPr>
                                <w:rFonts w:hint="eastAsia"/>
                                <w:b/>
                                <w:bCs/>
                                <w:sz w:val="24"/>
                              </w:rPr>
                              <w:t>2-4    外塑内钢</w:t>
                            </w:r>
                            <w:r>
                              <w:rPr>
                                <w:b/>
                                <w:bCs/>
                                <w:sz w:val="24"/>
                              </w:rPr>
                              <w:t>生产工艺流程</w:t>
                            </w:r>
                            <w:r>
                              <w:rPr>
                                <w:rFonts w:hint="eastAsia"/>
                                <w:b/>
                                <w:bCs/>
                                <w:sz w:val="24"/>
                              </w:rPr>
                              <w:t>及产污节点图</w:t>
                            </w:r>
                          </w:p>
                        </w:txbxContent>
                      </v:textbox>
                    </v:shape>
                  </w:pict>
                </mc:Fallback>
              </mc:AlternateContent>
            </w:r>
            <w:r>
              <w:rPr>
                <w:rFonts w:hint="eastAsia"/>
                <w:b/>
                <w:bCs/>
                <w:sz w:val="24"/>
              </w:rPr>
              <w:object>
                <v:shape id="_x0000_i1028" o:spt="75" type="#_x0000_t75" style="height:212.25pt;width:407.25pt;" o:ole="t" filled="f" o:preferrelative="t" stroked="f" coordsize="21600,21600">
                  <v:path/>
                  <v:fill on="f" focussize="0,0"/>
                  <v:stroke on="f" joinstyle="miter"/>
                  <v:imagedata r:id="rId21" o:title=""/>
                  <o:lock v:ext="edit" aspectratio="f"/>
                  <w10:wrap type="none"/>
                  <w10:anchorlock/>
                </v:shape>
                <o:OLEObject Type="Embed" ProgID="Visio.Drawing.11" ShapeID="_x0000_i1028" DrawAspect="Content" ObjectID="_1468075728" r:id="rId20">
                  <o:LockedField>false</o:LockedField>
                </o:OLEObject>
              </w:object>
            </w:r>
          </w:p>
          <w:p w14:paraId="6704507E">
            <w:pPr>
              <w:spacing w:beforeLines="100" w:line="360" w:lineRule="auto"/>
              <w:jc w:val="center"/>
              <w:rPr>
                <w:b/>
                <w:bCs/>
                <w:sz w:val="24"/>
              </w:rPr>
            </w:pPr>
            <w:r>
              <w:rPr>
                <w:sz w:val="24"/>
              </w:rPr>
              <w:object>
                <v:shape id="_x0000_i1029" o:spt="75" type="#_x0000_t75" style="height:133.5pt;width:403.5pt;" o:ole="t" filled="f" o:preferrelative="t" stroked="f" coordsize="21600,21600">
                  <v:path/>
                  <v:fill on="f" focussize="0,0"/>
                  <v:stroke on="f" joinstyle="miter"/>
                  <v:imagedata r:id="rId23" o:title=""/>
                  <o:lock v:ext="edit" aspectratio="f"/>
                  <w10:wrap type="none"/>
                  <w10:anchorlock/>
                </v:shape>
                <o:OLEObject Type="Embed" ProgID="Visio.Drawing.11" ShapeID="_x0000_i1029" DrawAspect="Content" ObjectID="_1468075729" r:id="rId22">
                  <o:LockedField>false</o:LockedField>
                </o:OLEObject>
              </w:object>
            </w:r>
          </w:p>
          <w:p w14:paraId="4E1B8AA3">
            <w:pPr>
              <w:spacing w:line="360" w:lineRule="auto"/>
              <w:jc w:val="center"/>
              <w:rPr>
                <w:b/>
                <w:bCs/>
                <w:sz w:val="24"/>
              </w:rPr>
            </w:pPr>
            <w:r>
              <w:rPr>
                <w:b/>
                <w:bCs/>
                <w:sz w:val="24"/>
              </w:rPr>
              <w:t>图</w:t>
            </w:r>
            <w:r>
              <w:rPr>
                <w:rFonts w:hint="eastAsia"/>
                <w:b/>
                <w:bCs/>
                <w:sz w:val="24"/>
              </w:rPr>
              <w:t>2-5    冲口内钢外塑</w:t>
            </w:r>
            <w:r>
              <w:rPr>
                <w:b/>
                <w:bCs/>
                <w:sz w:val="24"/>
              </w:rPr>
              <w:t>生产工艺流程</w:t>
            </w:r>
            <w:r>
              <w:rPr>
                <w:rFonts w:hint="eastAsia"/>
                <w:b/>
                <w:bCs/>
                <w:sz w:val="24"/>
              </w:rPr>
              <w:t>及产污节点图</w:t>
            </w:r>
          </w:p>
          <w:p w14:paraId="5F240A70">
            <w:pPr>
              <w:pStyle w:val="69"/>
              <w:adjustRightInd w:val="0"/>
              <w:snapToGrid w:val="0"/>
              <w:spacing w:line="480" w:lineRule="exact"/>
              <w:ind w:firstLine="480"/>
              <w:rPr>
                <w:b/>
                <w:bCs/>
                <w:szCs w:val="24"/>
              </w:rPr>
            </w:pPr>
            <w:r>
              <w:rPr>
                <w:rFonts w:hint="eastAsia" w:ascii="Times New Roman" w:hAnsi="Times New Roman"/>
              </w:rPr>
              <w:t>企业采购聚乙烯颗粒物，经烘干机烘干后，进入注塑机注塑成型（注塑件），注塑成型的注塑件用作螺纹保护器原料。企业使用的钢板均为外购，由供应商以货运的方式，配送至厂区。</w:t>
            </w:r>
          </w:p>
          <w:p w14:paraId="0C61CA1D">
            <w:pPr>
              <w:pStyle w:val="69"/>
              <w:adjustRightInd w:val="0"/>
              <w:snapToGrid w:val="0"/>
              <w:spacing w:line="480" w:lineRule="exact"/>
              <w:ind w:firstLine="482"/>
              <w:rPr>
                <w:rFonts w:ascii="Times New Roman" w:hAnsi="Times New Roman"/>
                <w:b/>
                <w:bCs/>
              </w:rPr>
            </w:pPr>
            <w:r>
              <w:rPr>
                <w:rFonts w:hint="eastAsia" w:ascii="Times New Roman" w:hAnsi="Times New Roman"/>
                <w:b/>
                <w:bCs/>
              </w:rPr>
              <w:t>2.1注塑件生产工艺流程简述</w:t>
            </w:r>
          </w:p>
          <w:p w14:paraId="6EE29B9B">
            <w:pPr>
              <w:pStyle w:val="69"/>
              <w:adjustRightInd w:val="0"/>
              <w:snapToGrid w:val="0"/>
              <w:spacing w:line="480" w:lineRule="exact"/>
              <w:ind w:firstLine="480"/>
              <w:rPr>
                <w:rFonts w:ascii="Times New Roman" w:hAnsi="Times New Roman"/>
              </w:rPr>
            </w:pPr>
            <w:r>
              <w:rPr>
                <w:rFonts w:hint="eastAsia" w:ascii="Times New Roman" w:hAnsi="Times New Roman"/>
              </w:rPr>
              <w:t>（1）烘干：聚乙烯颗粒物注塑前需烘干，烘干工艺产生烘干废气。烘干热源由天然气燃烧机提供。</w:t>
            </w:r>
          </w:p>
          <w:p w14:paraId="021BA30C">
            <w:pPr>
              <w:pStyle w:val="69"/>
              <w:adjustRightInd w:val="0"/>
              <w:snapToGrid w:val="0"/>
              <w:spacing w:line="480" w:lineRule="exact"/>
              <w:ind w:firstLine="480"/>
              <w:rPr>
                <w:rFonts w:ascii="Times New Roman" w:hAnsi="Times New Roman"/>
              </w:rPr>
            </w:pPr>
            <w:r>
              <w:rPr>
                <w:rFonts w:hint="eastAsia" w:ascii="Times New Roman" w:hAnsi="Times New Roman"/>
              </w:rPr>
              <w:t>（2）注塑成型：聚乙烯颗粒烘干后进入注塑机，经注塑机加热熔化成型后，得到注塑件（该注塑件作为螺纹保护器的原料）。注塑成型工序产生废气和边角料。</w:t>
            </w:r>
          </w:p>
          <w:p w14:paraId="0B7E1A55">
            <w:pPr>
              <w:pStyle w:val="69"/>
              <w:adjustRightInd w:val="0"/>
              <w:snapToGrid w:val="0"/>
              <w:spacing w:line="480" w:lineRule="exact"/>
              <w:ind w:firstLine="482"/>
              <w:rPr>
                <w:rFonts w:ascii="Times New Roman" w:hAnsi="Times New Roman"/>
              </w:rPr>
            </w:pPr>
            <w:r>
              <w:rPr>
                <w:rFonts w:hint="eastAsia" w:ascii="Times New Roman" w:hAnsi="Times New Roman"/>
                <w:b/>
                <w:bCs/>
              </w:rPr>
              <w:t>2.2外钢内塑生产工艺流程简述</w:t>
            </w:r>
          </w:p>
          <w:p w14:paraId="6CBA7935">
            <w:pPr>
              <w:pStyle w:val="69"/>
              <w:adjustRightInd w:val="0"/>
              <w:snapToGrid w:val="0"/>
              <w:spacing w:line="480" w:lineRule="exact"/>
              <w:ind w:firstLine="480"/>
              <w:rPr>
                <w:rFonts w:ascii="Times New Roman" w:hAnsi="Times New Roman"/>
              </w:rPr>
            </w:pPr>
            <w:r>
              <w:rPr>
                <w:rFonts w:hint="eastAsia" w:ascii="Times New Roman" w:hAnsi="Times New Roman"/>
              </w:rPr>
              <w:t>（1）下料：工人采用剪板机将钢板剪切成合适尺寸的小块。该工序产生的污染物为噪声、粉尘。</w:t>
            </w:r>
          </w:p>
          <w:p w14:paraId="4EDAA51C">
            <w:pPr>
              <w:pStyle w:val="69"/>
              <w:adjustRightInd w:val="0"/>
              <w:snapToGrid w:val="0"/>
              <w:spacing w:line="480" w:lineRule="exact"/>
              <w:ind w:firstLine="480"/>
              <w:rPr>
                <w:rFonts w:ascii="Times New Roman" w:hAnsi="Times New Roman"/>
              </w:rPr>
            </w:pPr>
            <w:r>
              <w:rPr>
                <w:rFonts w:hint="eastAsia" w:ascii="Times New Roman" w:hAnsi="Times New Roman"/>
              </w:rPr>
              <w:t>（2）卷圆：将下料工序得到的小块钢板，采用卷圆机进行卷圆处理，形成圆筒形。该工序产生的污染物为噪声。</w:t>
            </w:r>
          </w:p>
          <w:p w14:paraId="121322CA">
            <w:pPr>
              <w:pStyle w:val="69"/>
              <w:adjustRightInd w:val="0"/>
              <w:snapToGrid w:val="0"/>
              <w:spacing w:line="480" w:lineRule="exact"/>
              <w:ind w:firstLine="480"/>
              <w:rPr>
                <w:bCs/>
              </w:rPr>
            </w:pPr>
            <w:r>
              <w:rPr>
                <w:rFonts w:hint="eastAsia" w:ascii="Times New Roman" w:hAnsi="Times New Roman"/>
              </w:rPr>
              <w:t>（3）</w:t>
            </w:r>
            <w:r>
              <w:rPr>
                <w:rFonts w:ascii="Times New Roman" w:hAnsi="Times New Roman"/>
              </w:rPr>
              <w:t>焊接：</w:t>
            </w:r>
            <w:r>
              <w:rPr>
                <w:rFonts w:hint="eastAsia" w:ascii="Times New Roman" w:hAnsi="Times New Roman"/>
              </w:rPr>
              <w:t>卷圆得到圆筒，采用氩焊机进行焊接，该工序产生的污染物为</w:t>
            </w:r>
            <w:r>
              <w:rPr>
                <w:rFonts w:ascii="Times New Roman" w:hAnsi="Times New Roman"/>
              </w:rPr>
              <w:t>焊接烟尘。</w:t>
            </w:r>
          </w:p>
          <w:p w14:paraId="7EB781E9">
            <w:pPr>
              <w:pStyle w:val="69"/>
              <w:adjustRightInd w:val="0"/>
              <w:snapToGrid w:val="0"/>
              <w:spacing w:line="480" w:lineRule="exact"/>
              <w:ind w:firstLine="480"/>
              <w:rPr>
                <w:rFonts w:ascii="Times New Roman" w:hAnsi="Times New Roman"/>
              </w:rPr>
            </w:pPr>
            <w:r>
              <w:rPr>
                <w:rFonts w:hint="eastAsia" w:ascii="Times New Roman" w:hAnsi="Times New Roman"/>
              </w:rPr>
              <w:t>（4）压焊疤：焊接后的钢铁件，经冲床将焊疤碾压平整，该工序产生的污染物为粉尘、噪声。</w:t>
            </w:r>
          </w:p>
          <w:p w14:paraId="0BF3E3AE">
            <w:pPr>
              <w:pStyle w:val="69"/>
              <w:adjustRightInd w:val="0"/>
              <w:snapToGrid w:val="0"/>
              <w:spacing w:line="480" w:lineRule="exact"/>
              <w:ind w:firstLine="480"/>
              <w:rPr>
                <w:rFonts w:ascii="Times New Roman" w:hAnsi="Times New Roman"/>
              </w:rPr>
            </w:pPr>
            <w:r>
              <w:rPr>
                <w:rFonts w:hint="eastAsia" w:ascii="Times New Roman" w:hAnsi="Times New Roman"/>
              </w:rPr>
              <w:t>（5）整圆：采用冲床对钢铁件表面进行整圆（修整），使其铁环周面圆整，径面没有明显缺陷，该工序产生的污染物为噪声。</w:t>
            </w:r>
          </w:p>
          <w:p w14:paraId="4AE0809E">
            <w:pPr>
              <w:pStyle w:val="69"/>
              <w:adjustRightInd w:val="0"/>
              <w:snapToGrid w:val="0"/>
              <w:spacing w:line="480" w:lineRule="exact"/>
              <w:ind w:firstLine="480"/>
              <w:rPr>
                <w:rFonts w:ascii="Times New Roman" w:hAnsi="Times New Roman"/>
              </w:rPr>
            </w:pPr>
            <w:r>
              <w:rPr>
                <w:rFonts w:hint="eastAsia" w:ascii="Times New Roman" w:hAnsi="Times New Roman"/>
              </w:rPr>
              <w:t>（6）卷边：整圆后的钢铁件，送入冲床进行卷边处理，以去除产品表面毛刺、凸起等，该工序产生的污染物为粉尘、噪声。</w:t>
            </w:r>
          </w:p>
          <w:p w14:paraId="0096B73D">
            <w:pPr>
              <w:pStyle w:val="69"/>
              <w:adjustRightInd w:val="0"/>
              <w:snapToGrid w:val="0"/>
              <w:spacing w:line="480" w:lineRule="exact"/>
              <w:ind w:firstLine="480"/>
              <w:rPr>
                <w:rFonts w:ascii="Times New Roman" w:hAnsi="Times New Roman"/>
              </w:rPr>
            </w:pPr>
            <w:r>
              <w:rPr>
                <w:rFonts w:hint="eastAsia" w:ascii="Times New Roman" w:hAnsi="Times New Roman"/>
              </w:rPr>
              <w:t>（7）扩口：卷边后的钢铁件，螺纹保护器外环压塑料前需要扩口，将钢铁件送入冲床做扩口处理，再经扩口模具处理，得到扩口产品。</w:t>
            </w:r>
          </w:p>
          <w:p w14:paraId="2BE1E9BD">
            <w:pPr>
              <w:pStyle w:val="69"/>
              <w:adjustRightInd w:val="0"/>
              <w:snapToGrid w:val="0"/>
              <w:spacing w:line="480" w:lineRule="exact"/>
              <w:ind w:firstLine="480"/>
              <w:rPr>
                <w:rFonts w:ascii="Times New Roman" w:hAnsi="Times New Roman"/>
              </w:rPr>
            </w:pPr>
            <w:r>
              <w:rPr>
                <w:rFonts w:hint="eastAsia" w:ascii="Times New Roman" w:hAnsi="Times New Roman"/>
              </w:rPr>
              <w:t>（8）喷塑：经过扩口处理的钢铁件，送入喷塑机内进行喷塑处理，以起到保护产品表面的作用，得到的钢铁件备用。该工序产生的污染物为噪声、粉尘。</w:t>
            </w:r>
          </w:p>
          <w:p w14:paraId="0058E13F">
            <w:pPr>
              <w:pStyle w:val="69"/>
              <w:adjustRightInd w:val="0"/>
              <w:snapToGrid w:val="0"/>
              <w:spacing w:line="480" w:lineRule="exact"/>
              <w:ind w:firstLine="480"/>
              <w:rPr>
                <w:rFonts w:ascii="Times New Roman" w:hAnsi="Times New Roman"/>
              </w:rPr>
            </w:pPr>
            <w:r>
              <w:rPr>
                <w:rFonts w:hint="eastAsia" w:ascii="Times New Roman" w:hAnsi="Times New Roman"/>
              </w:rPr>
              <w:t>（9）压塑、收口：采用冲床将喷塑后的钢铁件进行压塑和收口处理，产品经压塑和收口成型。</w:t>
            </w:r>
          </w:p>
          <w:p w14:paraId="08778292">
            <w:pPr>
              <w:pStyle w:val="69"/>
              <w:adjustRightInd w:val="0"/>
              <w:snapToGrid w:val="0"/>
              <w:spacing w:line="480" w:lineRule="exact"/>
              <w:ind w:firstLine="480"/>
              <w:rPr>
                <w:rFonts w:ascii="Times New Roman" w:hAnsi="Times New Roman"/>
              </w:rPr>
            </w:pPr>
            <w:r>
              <w:rPr>
                <w:rFonts w:hint="eastAsia" w:ascii="Times New Roman" w:hAnsi="Times New Roman"/>
              </w:rPr>
              <w:t>（10）打钉：</w:t>
            </w:r>
            <w:r>
              <w:rPr>
                <w:rFonts w:ascii="Times New Roman" w:hAnsi="Times New Roman"/>
              </w:rPr>
              <w:t>将</w:t>
            </w:r>
            <w:r>
              <w:rPr>
                <w:rFonts w:hint="eastAsia" w:ascii="Times New Roman" w:hAnsi="Times New Roman"/>
              </w:rPr>
              <w:t>钢铁件放</w:t>
            </w:r>
            <w:r>
              <w:rPr>
                <w:rFonts w:ascii="Times New Roman" w:hAnsi="Times New Roman"/>
              </w:rPr>
              <w:t>在冲床的工装夹具上，通过</w:t>
            </w:r>
            <w:r>
              <w:rPr>
                <w:rFonts w:hint="eastAsia" w:ascii="Times New Roman" w:hAnsi="Times New Roman"/>
              </w:rPr>
              <w:t>打钉</w:t>
            </w:r>
            <w:r>
              <w:rPr>
                <w:rFonts w:ascii="Times New Roman" w:hAnsi="Times New Roman"/>
              </w:rPr>
              <w:t>模具上的定位销、挡块等结构，确保工件在打钉过程中不会发生位移。</w:t>
            </w:r>
          </w:p>
          <w:p w14:paraId="29E01382">
            <w:pPr>
              <w:pStyle w:val="69"/>
              <w:adjustRightInd w:val="0"/>
              <w:snapToGrid w:val="0"/>
              <w:spacing w:line="480" w:lineRule="exact"/>
              <w:ind w:firstLine="480"/>
              <w:rPr>
                <w:rFonts w:ascii="Times New Roman" w:hAnsi="Times New Roman"/>
              </w:rPr>
            </w:pPr>
            <w:r>
              <w:rPr>
                <w:rFonts w:hint="eastAsia" w:ascii="Times New Roman" w:hAnsi="Times New Roman"/>
              </w:rPr>
              <w:t>（11）车螺纹：打钉得到的半成品（钢铁件），进入</w:t>
            </w:r>
            <w:r>
              <w:rPr>
                <w:rFonts w:hint="eastAsia" w:ascii="宋体" w:hAnsi="宋体"/>
                <w:szCs w:val="24"/>
              </w:rPr>
              <w:t>数控铣床</w:t>
            </w:r>
            <w:r>
              <w:rPr>
                <w:rFonts w:hint="eastAsia" w:ascii="Times New Roman" w:hAnsi="Times New Roman"/>
              </w:rPr>
              <w:t>，进行车螺纹，以满足产品规格尺寸要求</w:t>
            </w:r>
            <w:r>
              <w:rPr>
                <w:rFonts w:ascii="Times New Roman" w:hAnsi="Times New Roman"/>
              </w:rPr>
              <w:t>，</w:t>
            </w:r>
            <w:r>
              <w:rPr>
                <w:rFonts w:hint="eastAsia" w:ascii="Times New Roman" w:hAnsi="Times New Roman"/>
              </w:rPr>
              <w:t>该工序产生的污染物为废塑料和</w:t>
            </w:r>
            <w:r>
              <w:rPr>
                <w:rFonts w:ascii="Times New Roman" w:hAnsi="Times New Roman"/>
              </w:rPr>
              <w:t>噪声。</w:t>
            </w:r>
          </w:p>
          <w:p w14:paraId="2AC41796">
            <w:pPr>
              <w:pStyle w:val="69"/>
              <w:adjustRightInd w:val="0"/>
              <w:snapToGrid w:val="0"/>
              <w:spacing w:line="480" w:lineRule="exact"/>
              <w:ind w:firstLine="480"/>
              <w:rPr>
                <w:rFonts w:ascii="Times New Roman" w:hAnsi="Times New Roman"/>
              </w:rPr>
            </w:pPr>
            <w:r>
              <w:rPr>
                <w:rFonts w:hint="eastAsia" w:ascii="Times New Roman" w:hAnsi="Times New Roman"/>
              </w:rPr>
              <w:t>（12）包装</w:t>
            </w:r>
            <w:r>
              <w:rPr>
                <w:rFonts w:ascii="Times New Roman" w:hAnsi="Times New Roman"/>
              </w:rPr>
              <w:t>：</w:t>
            </w:r>
            <w:r>
              <w:rPr>
                <w:rFonts w:hint="eastAsia" w:ascii="Times New Roman" w:hAnsi="Times New Roman"/>
              </w:rPr>
              <w:t>车螺纹后得到的产品为成品，由工人采用塑料薄膜进行包装后，作为产品直接销售。</w:t>
            </w:r>
          </w:p>
          <w:p w14:paraId="3C50732C">
            <w:pPr>
              <w:pStyle w:val="69"/>
              <w:adjustRightInd w:val="0"/>
              <w:snapToGrid w:val="0"/>
              <w:spacing w:line="480" w:lineRule="exact"/>
              <w:ind w:firstLine="482"/>
              <w:rPr>
                <w:rFonts w:ascii="Times New Roman" w:hAnsi="Times New Roman"/>
                <w:b/>
                <w:bCs/>
              </w:rPr>
            </w:pPr>
            <w:r>
              <w:rPr>
                <w:rFonts w:hint="eastAsia" w:ascii="Times New Roman" w:hAnsi="Times New Roman"/>
                <w:b/>
                <w:bCs/>
              </w:rPr>
              <w:t>2.3外塑内钢生产工艺流程简述</w:t>
            </w:r>
          </w:p>
          <w:p w14:paraId="62641575">
            <w:pPr>
              <w:pStyle w:val="69"/>
              <w:adjustRightInd w:val="0"/>
              <w:snapToGrid w:val="0"/>
              <w:spacing w:line="480" w:lineRule="exact"/>
              <w:ind w:firstLine="480"/>
              <w:rPr>
                <w:rFonts w:ascii="Times New Roman" w:hAnsi="Times New Roman"/>
              </w:rPr>
            </w:pPr>
            <w:r>
              <w:rPr>
                <w:rFonts w:hint="eastAsia" w:ascii="Times New Roman" w:hAnsi="Times New Roman"/>
              </w:rPr>
              <w:t>（1）下料：工人采用剪板机将钢板剪切成合适尺寸的小块。该工序产生的污染物为噪声、粉尘。</w:t>
            </w:r>
          </w:p>
          <w:p w14:paraId="1FC20934">
            <w:pPr>
              <w:pStyle w:val="69"/>
              <w:adjustRightInd w:val="0"/>
              <w:snapToGrid w:val="0"/>
              <w:spacing w:line="480" w:lineRule="exact"/>
              <w:ind w:firstLine="480"/>
              <w:rPr>
                <w:rFonts w:ascii="Times New Roman" w:hAnsi="Times New Roman"/>
              </w:rPr>
            </w:pPr>
            <w:r>
              <w:rPr>
                <w:rFonts w:hint="eastAsia" w:ascii="Times New Roman" w:hAnsi="Times New Roman"/>
              </w:rPr>
              <w:t>（2）卷圆：将下料工序得到的小块钢板，采用卷圆机进行卷圆处理，形成圆筒形。该工序产生的污染物为噪声。</w:t>
            </w:r>
          </w:p>
          <w:p w14:paraId="34D68DB5">
            <w:pPr>
              <w:pStyle w:val="69"/>
              <w:adjustRightInd w:val="0"/>
              <w:snapToGrid w:val="0"/>
              <w:spacing w:line="480" w:lineRule="exact"/>
              <w:ind w:firstLine="480"/>
              <w:rPr>
                <w:bCs/>
              </w:rPr>
            </w:pPr>
            <w:r>
              <w:rPr>
                <w:rFonts w:hint="eastAsia" w:ascii="Times New Roman" w:hAnsi="Times New Roman"/>
              </w:rPr>
              <w:t>（3）</w:t>
            </w:r>
            <w:r>
              <w:rPr>
                <w:rFonts w:ascii="Times New Roman" w:hAnsi="Times New Roman"/>
              </w:rPr>
              <w:t>焊接：</w:t>
            </w:r>
            <w:r>
              <w:rPr>
                <w:rFonts w:hint="eastAsia" w:ascii="Times New Roman" w:hAnsi="Times New Roman"/>
              </w:rPr>
              <w:t>卷圆得到圆筒，采用氩焊机进行焊接，</w:t>
            </w:r>
            <w:r>
              <w:rPr>
                <w:rFonts w:ascii="Times New Roman" w:hAnsi="Times New Roman"/>
              </w:rPr>
              <w:t>焊接过程会产生焊接烟尘。</w:t>
            </w:r>
          </w:p>
          <w:p w14:paraId="086AE13D">
            <w:pPr>
              <w:pStyle w:val="7"/>
              <w:tabs>
                <w:tab w:val="left" w:pos="720"/>
                <w:tab w:val="left" w:pos="864"/>
              </w:tabs>
              <w:snapToGrid w:val="0"/>
              <w:spacing w:before="0" w:after="0" w:line="480" w:lineRule="exact"/>
              <w:jc w:val="left"/>
              <w:rPr>
                <w:b w:val="0"/>
                <w:bCs w:val="0"/>
                <w:sz w:val="24"/>
                <w:szCs w:val="22"/>
              </w:rPr>
            </w:pPr>
            <w:r>
              <w:rPr>
                <w:rFonts w:hint="eastAsia"/>
                <w:b w:val="0"/>
                <w:bCs w:val="0"/>
                <w:sz w:val="24"/>
                <w:szCs w:val="22"/>
              </w:rPr>
              <w:t>（4）压焊疤：焊接后的钢铁件，经冲床将焊疤碾压平整，该工序产生的污染物为粉尘、噪声。</w:t>
            </w:r>
          </w:p>
          <w:p w14:paraId="4D9EC2D8">
            <w:pPr>
              <w:pStyle w:val="69"/>
              <w:adjustRightInd w:val="0"/>
              <w:snapToGrid w:val="0"/>
              <w:spacing w:line="480" w:lineRule="exact"/>
              <w:ind w:firstLine="480"/>
              <w:rPr>
                <w:rFonts w:ascii="Times New Roman" w:hAnsi="Times New Roman"/>
              </w:rPr>
            </w:pPr>
            <w:r>
              <w:rPr>
                <w:rFonts w:hint="eastAsia" w:ascii="Times New Roman" w:hAnsi="Times New Roman"/>
              </w:rPr>
              <w:t>（5）整圆：采用冲床对钢铁件表面进行整圆（修整），使其铁环周面圆整，径面没有明显缺陷，该工序产生的污染物为噪声。</w:t>
            </w:r>
          </w:p>
          <w:p w14:paraId="0BAD21EF">
            <w:pPr>
              <w:pStyle w:val="7"/>
              <w:tabs>
                <w:tab w:val="left" w:pos="720"/>
                <w:tab w:val="left" w:pos="864"/>
              </w:tabs>
              <w:snapToGrid w:val="0"/>
              <w:spacing w:before="0" w:after="0" w:line="480" w:lineRule="exact"/>
              <w:jc w:val="left"/>
              <w:rPr>
                <w:b w:val="0"/>
                <w:bCs w:val="0"/>
                <w:sz w:val="24"/>
                <w:szCs w:val="22"/>
              </w:rPr>
            </w:pPr>
            <w:r>
              <w:rPr>
                <w:rFonts w:hint="eastAsia"/>
                <w:b w:val="0"/>
                <w:bCs w:val="0"/>
                <w:sz w:val="24"/>
                <w:szCs w:val="22"/>
              </w:rPr>
              <w:t>（6）卷边：整圆后的钢铁件，送入冲床进行卷边处理，以去除产品表面毛刺、凸起等，该工序产生的污染物为粉尘、噪声。</w:t>
            </w:r>
          </w:p>
          <w:p w14:paraId="35E8B75C">
            <w:pPr>
              <w:pStyle w:val="7"/>
              <w:tabs>
                <w:tab w:val="left" w:pos="720"/>
                <w:tab w:val="left" w:pos="864"/>
              </w:tabs>
              <w:snapToGrid w:val="0"/>
              <w:spacing w:before="0" w:after="0" w:line="480" w:lineRule="exact"/>
              <w:jc w:val="left"/>
              <w:rPr>
                <w:b w:val="0"/>
                <w:bCs w:val="0"/>
                <w:sz w:val="24"/>
                <w:szCs w:val="22"/>
              </w:rPr>
            </w:pPr>
            <w:r>
              <w:rPr>
                <w:rFonts w:hint="eastAsia"/>
                <w:b w:val="0"/>
                <w:bCs w:val="0"/>
                <w:sz w:val="24"/>
                <w:szCs w:val="22"/>
              </w:rPr>
              <w:t>（7）收口：采用冲床将喷塑后的钢铁件进行收口处理，产品经收口模具处理成型。</w:t>
            </w:r>
          </w:p>
          <w:p w14:paraId="634A400E">
            <w:pPr>
              <w:pStyle w:val="7"/>
              <w:tabs>
                <w:tab w:val="left" w:pos="720"/>
                <w:tab w:val="left" w:pos="864"/>
              </w:tabs>
              <w:snapToGrid w:val="0"/>
              <w:spacing w:before="0" w:after="0" w:line="480" w:lineRule="exact"/>
              <w:jc w:val="left"/>
              <w:rPr>
                <w:b w:val="0"/>
                <w:bCs w:val="0"/>
                <w:sz w:val="24"/>
                <w:szCs w:val="22"/>
              </w:rPr>
            </w:pPr>
            <w:r>
              <w:rPr>
                <w:rFonts w:hint="eastAsia"/>
                <w:b w:val="0"/>
                <w:bCs w:val="0"/>
                <w:sz w:val="24"/>
                <w:szCs w:val="22"/>
              </w:rPr>
              <w:t>（8）喷塑：经过收口处理的钢铁件，送入喷塑机内进行喷塑处理，以起到保护产品表面的作用，得到的钢铁件备用。该工序产生的污染物为噪声、粉尘。</w:t>
            </w:r>
          </w:p>
          <w:p w14:paraId="0A359890">
            <w:pPr>
              <w:pStyle w:val="69"/>
              <w:adjustRightInd w:val="0"/>
              <w:snapToGrid w:val="0"/>
              <w:spacing w:line="480" w:lineRule="exact"/>
              <w:ind w:firstLine="480"/>
              <w:rPr>
                <w:rFonts w:ascii="Times New Roman" w:hAnsi="Times New Roman"/>
              </w:rPr>
            </w:pPr>
            <w:r>
              <w:rPr>
                <w:rFonts w:hint="eastAsia" w:ascii="Times New Roman" w:hAnsi="Times New Roman"/>
              </w:rPr>
              <w:t>（9）压塑：采用冲床将喷塑后的钢铁件进行压塑处理，产品经压塑处理成型。</w:t>
            </w:r>
          </w:p>
          <w:p w14:paraId="7F0BFEF7">
            <w:pPr>
              <w:pStyle w:val="69"/>
              <w:adjustRightInd w:val="0"/>
              <w:snapToGrid w:val="0"/>
              <w:spacing w:line="480" w:lineRule="exact"/>
              <w:ind w:firstLine="480"/>
              <w:rPr>
                <w:rFonts w:ascii="Times New Roman" w:hAnsi="Times New Roman"/>
              </w:rPr>
            </w:pPr>
            <w:r>
              <w:rPr>
                <w:rFonts w:hint="eastAsia" w:ascii="Times New Roman" w:hAnsi="Times New Roman"/>
              </w:rPr>
              <w:t>（10）打钉：</w:t>
            </w:r>
            <w:r>
              <w:rPr>
                <w:rFonts w:ascii="Times New Roman" w:hAnsi="Times New Roman"/>
              </w:rPr>
              <w:t>将</w:t>
            </w:r>
            <w:r>
              <w:rPr>
                <w:rFonts w:hint="eastAsia" w:ascii="Times New Roman" w:hAnsi="Times New Roman"/>
              </w:rPr>
              <w:t>钢铁件放</w:t>
            </w:r>
            <w:r>
              <w:rPr>
                <w:rFonts w:ascii="Times New Roman" w:hAnsi="Times New Roman"/>
              </w:rPr>
              <w:t>在冲床的工装夹具上，通过</w:t>
            </w:r>
            <w:r>
              <w:rPr>
                <w:rFonts w:hint="eastAsia" w:ascii="Times New Roman" w:hAnsi="Times New Roman"/>
              </w:rPr>
              <w:t>打钉</w:t>
            </w:r>
            <w:r>
              <w:rPr>
                <w:rFonts w:ascii="Times New Roman" w:hAnsi="Times New Roman"/>
              </w:rPr>
              <w:t>模具上的定位销、挡块等结构，确保工件在打钉过程中不会发生位移。</w:t>
            </w:r>
          </w:p>
          <w:p w14:paraId="3560AF9A">
            <w:pPr>
              <w:pStyle w:val="69"/>
              <w:adjustRightInd w:val="0"/>
              <w:snapToGrid w:val="0"/>
              <w:spacing w:line="480" w:lineRule="exact"/>
              <w:ind w:firstLine="480"/>
              <w:rPr>
                <w:rFonts w:ascii="Times New Roman" w:hAnsi="Times New Roman"/>
              </w:rPr>
            </w:pPr>
            <w:r>
              <w:rPr>
                <w:rFonts w:hint="eastAsia" w:ascii="Times New Roman" w:hAnsi="Times New Roman"/>
              </w:rPr>
              <w:t>（11）车螺纹：打钉得到的半成品（钢铁件），进入数控铣床，进行车螺纹，以满足产品规格尺寸要求，该工序产生的污染物为废塑料和噪声。</w:t>
            </w:r>
          </w:p>
          <w:p w14:paraId="0DADDA09">
            <w:pPr>
              <w:pStyle w:val="69"/>
              <w:adjustRightInd w:val="0"/>
              <w:snapToGrid w:val="0"/>
              <w:spacing w:line="480" w:lineRule="exact"/>
              <w:ind w:firstLine="480"/>
              <w:rPr>
                <w:rFonts w:ascii="Times New Roman" w:hAnsi="Times New Roman"/>
              </w:rPr>
            </w:pPr>
            <w:r>
              <w:rPr>
                <w:rFonts w:hint="eastAsia" w:ascii="Times New Roman" w:hAnsi="Times New Roman"/>
              </w:rPr>
              <w:t>（12）包装：车螺纹后得到的产品为成品，由工人采用塑料薄膜进行包装后，作为产品直接销售。</w:t>
            </w:r>
          </w:p>
          <w:p w14:paraId="54D210F8">
            <w:pPr>
              <w:pStyle w:val="69"/>
              <w:adjustRightInd w:val="0"/>
              <w:snapToGrid w:val="0"/>
              <w:spacing w:line="480" w:lineRule="exact"/>
              <w:ind w:firstLine="482"/>
              <w:rPr>
                <w:rFonts w:hint="eastAsia" w:ascii="Times New Roman" w:hAnsi="Times New Roman"/>
                <w:b/>
                <w:bCs/>
              </w:rPr>
            </w:pPr>
            <w:r>
              <w:rPr>
                <w:rFonts w:hint="eastAsia" w:ascii="Times New Roman" w:hAnsi="Times New Roman"/>
                <w:b/>
                <w:bCs/>
              </w:rPr>
              <w:t>2.4</w:t>
            </w:r>
            <w:r>
              <w:rPr>
                <w:rFonts w:hint="eastAsia" w:ascii="Times New Roman" w:hAnsi="Times New Roman"/>
                <w:b/>
                <w:bCs/>
                <w:szCs w:val="24"/>
              </w:rPr>
              <w:t>冲口内钢外塑</w:t>
            </w:r>
            <w:r>
              <w:rPr>
                <w:rFonts w:hint="eastAsia" w:ascii="Times New Roman" w:hAnsi="Times New Roman"/>
                <w:b/>
                <w:bCs/>
              </w:rPr>
              <w:t>生产工艺流程简述</w:t>
            </w:r>
          </w:p>
          <w:p w14:paraId="180612D0">
            <w:pPr>
              <w:pStyle w:val="69"/>
              <w:adjustRightInd w:val="0"/>
              <w:snapToGrid w:val="0"/>
              <w:spacing w:line="480" w:lineRule="exact"/>
              <w:ind w:firstLine="480"/>
              <w:rPr>
                <w:rFonts w:hint="eastAsia" w:ascii="Times New Roman" w:hAnsi="Times New Roman" w:cs="Times New Roman"/>
                <w:color w:val="FF0000"/>
                <w:lang w:val="en-US" w:eastAsia="zh-CN"/>
              </w:rPr>
            </w:pPr>
            <w:r>
              <w:rPr>
                <w:rFonts w:hint="eastAsia" w:ascii="Times New Roman" w:hAnsi="Times New Roman" w:cs="Times New Roman"/>
                <w:color w:val="auto"/>
              </w:rPr>
              <w:t>冲口内钢外塑</w:t>
            </w:r>
            <w:r>
              <w:rPr>
                <w:rFonts w:hint="eastAsia" w:ascii="Times New Roman" w:hAnsi="Times New Roman" w:cs="Times New Roman"/>
                <w:color w:val="auto"/>
                <w:lang w:val="en-US" w:eastAsia="zh-CN"/>
              </w:rPr>
              <w:t>产品不需要装注塑件及喷塑</w:t>
            </w:r>
          </w:p>
          <w:p w14:paraId="3536D017">
            <w:pPr>
              <w:pStyle w:val="69"/>
              <w:adjustRightInd w:val="0"/>
              <w:snapToGrid w:val="0"/>
              <w:spacing w:line="480" w:lineRule="exact"/>
              <w:ind w:firstLine="480"/>
              <w:rPr>
                <w:rFonts w:ascii="Times New Roman" w:hAnsi="Times New Roman"/>
              </w:rPr>
            </w:pPr>
            <w:r>
              <w:rPr>
                <w:rFonts w:hint="eastAsia" w:ascii="Times New Roman" w:hAnsi="Times New Roman"/>
              </w:rPr>
              <w:t>（1）下料：工人采用剪板机将钢板剪切成合适尺寸的小块。该工序产生的污染物为噪声、粉尘。</w:t>
            </w:r>
          </w:p>
          <w:p w14:paraId="4F0B3E4B">
            <w:pPr>
              <w:pStyle w:val="69"/>
              <w:adjustRightInd w:val="0"/>
              <w:snapToGrid w:val="0"/>
              <w:spacing w:line="480" w:lineRule="exact"/>
              <w:ind w:firstLine="480"/>
              <w:rPr>
                <w:rFonts w:ascii="Times New Roman" w:hAnsi="Times New Roman"/>
              </w:rPr>
            </w:pPr>
            <w:r>
              <w:rPr>
                <w:rFonts w:hint="eastAsia" w:ascii="Times New Roman" w:hAnsi="Times New Roman"/>
              </w:rPr>
              <w:t>（2）卷圆：将下料工序得到的小块钢板，采用卷圆机进行卷圆处理，形成圆筒形。该工序产生的污染物为噪声。</w:t>
            </w:r>
          </w:p>
          <w:p w14:paraId="15E6CBD3">
            <w:pPr>
              <w:pStyle w:val="69"/>
              <w:adjustRightInd w:val="0"/>
              <w:snapToGrid w:val="0"/>
              <w:spacing w:line="480" w:lineRule="exact"/>
              <w:ind w:firstLine="480"/>
              <w:rPr>
                <w:rFonts w:ascii="Times New Roman" w:hAnsi="Times New Roman"/>
              </w:rPr>
            </w:pPr>
            <w:r>
              <w:rPr>
                <w:rFonts w:hint="eastAsia" w:ascii="Times New Roman" w:hAnsi="Times New Roman"/>
              </w:rPr>
              <w:t>（3）焊接：卷圆得到圆筒，采用氩焊机进行焊接，</w:t>
            </w:r>
            <w:r>
              <w:rPr>
                <w:rFonts w:ascii="Times New Roman" w:hAnsi="Times New Roman"/>
              </w:rPr>
              <w:t>焊接过程会产生焊接烟尘。</w:t>
            </w:r>
          </w:p>
          <w:p w14:paraId="5CAD39A5">
            <w:pPr>
              <w:pStyle w:val="69"/>
              <w:adjustRightInd w:val="0"/>
              <w:snapToGrid w:val="0"/>
              <w:spacing w:line="480" w:lineRule="exact"/>
              <w:ind w:firstLine="480"/>
              <w:rPr>
                <w:rFonts w:ascii="Times New Roman" w:hAnsi="Times New Roman"/>
              </w:rPr>
            </w:pPr>
            <w:r>
              <w:rPr>
                <w:rFonts w:hint="eastAsia" w:ascii="Times New Roman" w:hAnsi="Times New Roman"/>
              </w:rPr>
              <w:t>（4）压焊疤：焊接后的</w:t>
            </w:r>
            <w:r>
              <w:rPr>
                <w:rFonts w:hint="eastAsia"/>
              </w:rPr>
              <w:t>钢铁</w:t>
            </w:r>
            <w:r>
              <w:rPr>
                <w:rFonts w:hint="eastAsia" w:ascii="Times New Roman" w:hAnsi="Times New Roman"/>
              </w:rPr>
              <w:t>件，</w:t>
            </w:r>
            <w:r>
              <w:rPr>
                <w:rFonts w:hint="eastAsia"/>
              </w:rPr>
              <w:t>经冲床将焊疤碾压平整，</w:t>
            </w:r>
            <w:r>
              <w:rPr>
                <w:rFonts w:hint="eastAsia" w:ascii="Times New Roman" w:hAnsi="Times New Roman"/>
              </w:rPr>
              <w:t>该工序产生的污染物为</w:t>
            </w:r>
            <w:r>
              <w:rPr>
                <w:rFonts w:hint="eastAsia"/>
              </w:rPr>
              <w:t>粉尘、</w:t>
            </w:r>
            <w:r>
              <w:rPr>
                <w:rFonts w:hint="eastAsia" w:ascii="Times New Roman" w:hAnsi="Times New Roman"/>
              </w:rPr>
              <w:t>噪声。</w:t>
            </w:r>
          </w:p>
          <w:p w14:paraId="5347ACE7">
            <w:pPr>
              <w:pStyle w:val="69"/>
              <w:adjustRightInd w:val="0"/>
              <w:snapToGrid w:val="0"/>
              <w:spacing w:line="480" w:lineRule="exact"/>
              <w:ind w:firstLine="480"/>
              <w:rPr>
                <w:rFonts w:ascii="Times New Roman" w:hAnsi="Times New Roman"/>
              </w:rPr>
            </w:pPr>
            <w:r>
              <w:rPr>
                <w:rFonts w:hint="eastAsia" w:ascii="Times New Roman" w:hAnsi="Times New Roman"/>
              </w:rPr>
              <w:t>（5）整圆：采用冲床对钢铁件表面进行整圆（修整），使其铁环周面圆整，径面没有明显缺陷，该工序产生的污染物为噪声。</w:t>
            </w:r>
          </w:p>
          <w:p w14:paraId="677691AB">
            <w:pPr>
              <w:pStyle w:val="69"/>
              <w:adjustRightInd w:val="0"/>
              <w:snapToGrid w:val="0"/>
              <w:spacing w:line="480" w:lineRule="exact"/>
              <w:ind w:firstLine="480"/>
              <w:rPr>
                <w:rFonts w:ascii="Times New Roman" w:hAnsi="Times New Roman"/>
              </w:rPr>
            </w:pPr>
            <w:r>
              <w:rPr>
                <w:rFonts w:hint="eastAsia" w:ascii="Times New Roman" w:hAnsi="Times New Roman"/>
              </w:rPr>
              <w:t>（6）卷边：整圆后的钢铁件，送入冲床进行卷边处理，以去除产品表面毛刺、凸起等，该工序产生的污染物为粉尘、噪声。</w:t>
            </w:r>
          </w:p>
          <w:p w14:paraId="7EF13001">
            <w:pPr>
              <w:pStyle w:val="69"/>
              <w:adjustRightInd w:val="0"/>
              <w:snapToGrid w:val="0"/>
              <w:spacing w:line="480" w:lineRule="exact"/>
              <w:ind w:firstLine="480"/>
              <w:rPr>
                <w:rFonts w:ascii="Times New Roman" w:hAnsi="Times New Roman"/>
              </w:rPr>
            </w:pPr>
            <w:r>
              <w:rPr>
                <w:rFonts w:hint="eastAsia" w:ascii="Times New Roman" w:hAnsi="Times New Roman"/>
              </w:rPr>
              <w:t>（7）收口：采用冲床将喷塑后的钢铁件进行收口处理，产品经收口模具处理成型。</w:t>
            </w:r>
          </w:p>
          <w:p w14:paraId="757E9585">
            <w:pPr>
              <w:pStyle w:val="69"/>
              <w:adjustRightInd w:val="0"/>
              <w:snapToGrid w:val="0"/>
              <w:spacing w:line="480" w:lineRule="exact"/>
              <w:ind w:firstLine="480"/>
              <w:rPr>
                <w:rFonts w:ascii="Times New Roman" w:hAnsi="Times New Roman"/>
              </w:rPr>
            </w:pPr>
            <w:r>
              <w:rPr>
                <w:rFonts w:hint="eastAsia" w:ascii="Times New Roman" w:hAnsi="Times New Roman"/>
              </w:rPr>
              <w:t>（8）扩口：采用冲床将喷塑后的钢铁件进行收口处理，产品经收口模具处理成型。</w:t>
            </w:r>
          </w:p>
          <w:p w14:paraId="74A6EC7D">
            <w:pPr>
              <w:pStyle w:val="69"/>
              <w:adjustRightInd w:val="0"/>
              <w:snapToGrid w:val="0"/>
              <w:spacing w:line="480" w:lineRule="exact"/>
              <w:ind w:firstLine="480"/>
              <w:rPr>
                <w:rFonts w:ascii="Times New Roman" w:hAnsi="Times New Roman"/>
                <w:u w:val="single"/>
              </w:rPr>
            </w:pPr>
            <w:r>
              <w:rPr>
                <w:rFonts w:hint="eastAsia" w:ascii="Times New Roman" w:hAnsi="Times New Roman"/>
              </w:rPr>
              <w:t>（9）包装：扩口后得到的产品为成品，由工人采用塑料薄膜进行包装后，作为产品直接销售。</w:t>
            </w:r>
          </w:p>
        </w:tc>
      </w:tr>
      <w:tr w14:paraId="51D26D5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221" w:hRule="atLeast"/>
        </w:trPr>
        <w:tc>
          <w:tcPr>
            <w:tcW w:w="757" w:type="dxa"/>
            <w:vAlign w:val="center"/>
          </w:tcPr>
          <w:p w14:paraId="62D522BC">
            <w:pPr>
              <w:spacing w:line="220" w:lineRule="exact"/>
              <w:jc w:val="center"/>
            </w:pPr>
            <w:r>
              <w:rPr>
                <w:kern w:val="0"/>
                <w:sz w:val="24"/>
                <w:szCs w:val="32"/>
              </w:rPr>
              <w:t>与项目有关的原有环境污染问题</w:t>
            </w:r>
          </w:p>
        </w:tc>
        <w:tc>
          <w:tcPr>
            <w:tcW w:w="8304" w:type="dxa"/>
            <w:vAlign w:val="center"/>
          </w:tcPr>
          <w:p w14:paraId="22CB37DD">
            <w:pPr>
              <w:numPr>
                <w:ilvl w:val="1"/>
                <w:numId w:val="0"/>
              </w:numPr>
              <w:spacing w:line="360" w:lineRule="auto"/>
              <w:rPr>
                <w:rFonts w:eastAsia="新宋体"/>
                <w:b/>
                <w:bCs/>
                <w:kern w:val="0"/>
                <w:sz w:val="28"/>
                <w:szCs w:val="28"/>
              </w:rPr>
            </w:pPr>
            <w:r>
              <w:rPr>
                <w:rFonts w:hint="eastAsia" w:eastAsia="新宋体"/>
                <w:b/>
                <w:bCs/>
                <w:kern w:val="0"/>
                <w:sz w:val="28"/>
                <w:szCs w:val="28"/>
              </w:rPr>
              <w:t>一</w:t>
            </w:r>
            <w:r>
              <w:rPr>
                <w:rFonts w:eastAsia="新宋体"/>
                <w:b/>
                <w:bCs/>
                <w:kern w:val="0"/>
                <w:sz w:val="28"/>
                <w:szCs w:val="28"/>
              </w:rPr>
              <w:t>、现有工程回顾分析</w:t>
            </w:r>
          </w:p>
          <w:p w14:paraId="65E58521">
            <w:pPr>
              <w:numPr>
                <w:ilvl w:val="1"/>
                <w:numId w:val="0"/>
              </w:numPr>
              <w:spacing w:line="360" w:lineRule="auto"/>
              <w:ind w:firstLine="482" w:firstLineChars="200"/>
              <w:rPr>
                <w:rFonts w:eastAsia="新宋体"/>
                <w:b/>
                <w:bCs/>
                <w:kern w:val="0"/>
                <w:sz w:val="24"/>
              </w:rPr>
            </w:pPr>
            <w:r>
              <w:rPr>
                <w:rFonts w:hint="eastAsia" w:eastAsia="新宋体"/>
                <w:b/>
                <w:bCs/>
                <w:kern w:val="0"/>
                <w:sz w:val="24"/>
              </w:rPr>
              <w:t>1.1</w:t>
            </w:r>
            <w:r>
              <w:rPr>
                <w:rFonts w:eastAsia="新宋体"/>
                <w:b/>
                <w:bCs/>
                <w:kern w:val="0"/>
                <w:sz w:val="24"/>
              </w:rPr>
              <w:t>现有工程简介</w:t>
            </w:r>
          </w:p>
          <w:p w14:paraId="5C3DF054">
            <w:pPr>
              <w:spacing w:line="360" w:lineRule="auto"/>
              <w:ind w:firstLine="480" w:firstLineChars="200"/>
              <w:rPr>
                <w:sz w:val="24"/>
              </w:rPr>
            </w:pPr>
            <w:r>
              <w:rPr>
                <w:rFonts w:hint="eastAsia"/>
                <w:sz w:val="24"/>
              </w:rPr>
              <w:t>衡阳鸿铭科技股份有限公司</w:t>
            </w:r>
            <w:r>
              <w:rPr>
                <w:sz w:val="24"/>
              </w:rPr>
              <w:t>位于衡阳市</w:t>
            </w:r>
            <w:r>
              <w:rPr>
                <w:rFonts w:hint="eastAsia"/>
                <w:sz w:val="24"/>
              </w:rPr>
              <w:t>衡阳市蒸湘区衡阳钢管深加工产业聚集区</w:t>
            </w:r>
            <w:r>
              <w:rPr>
                <w:sz w:val="24"/>
              </w:rPr>
              <w:t xml:space="preserve">（项目中心坐标为：N </w:t>
            </w:r>
            <w:r>
              <w:rPr>
                <w:rFonts w:hint="eastAsia"/>
                <w:sz w:val="24"/>
              </w:rPr>
              <w:t>26.855352</w:t>
            </w:r>
            <w:r>
              <w:rPr>
                <w:sz w:val="24"/>
              </w:rPr>
              <w:t xml:space="preserve">°，E </w:t>
            </w:r>
            <w:r>
              <w:rPr>
                <w:rFonts w:hint="eastAsia"/>
                <w:sz w:val="24"/>
              </w:rPr>
              <w:t>112.571668</w:t>
            </w:r>
            <w:r>
              <w:rPr>
                <w:sz w:val="24"/>
              </w:rPr>
              <w:t>°）。主要生产各种规格的</w:t>
            </w:r>
            <w:r>
              <w:rPr>
                <w:rFonts w:hint="eastAsia"/>
                <w:sz w:val="24"/>
              </w:rPr>
              <w:t>钢管螺纹保护器</w:t>
            </w:r>
            <w:r>
              <w:rPr>
                <w:sz w:val="24"/>
              </w:rPr>
              <w:t>。</w:t>
            </w:r>
          </w:p>
          <w:p w14:paraId="3D9E96A4">
            <w:pPr>
              <w:pStyle w:val="34"/>
              <w:adjustRightInd/>
              <w:snapToGrid/>
              <w:spacing w:beforeLines="0"/>
              <w:ind w:firstLine="480"/>
            </w:pPr>
            <w:r>
              <w:rPr>
                <w:szCs w:val="24"/>
              </w:rPr>
              <w:t>项目于20</w:t>
            </w:r>
            <w:r>
              <w:rPr>
                <w:rFonts w:hint="eastAsia"/>
                <w:szCs w:val="24"/>
              </w:rPr>
              <w:t>07</w:t>
            </w:r>
            <w:r>
              <w:rPr>
                <w:szCs w:val="24"/>
              </w:rPr>
              <w:t>年</w:t>
            </w:r>
            <w:r>
              <w:rPr>
                <w:rFonts w:hint="eastAsia"/>
                <w:szCs w:val="24"/>
              </w:rPr>
              <w:t>3</w:t>
            </w:r>
            <w:r>
              <w:rPr>
                <w:szCs w:val="24"/>
              </w:rPr>
              <w:t>月委托</w:t>
            </w:r>
            <w:r>
              <w:rPr>
                <w:rFonts w:hint="eastAsia"/>
                <w:szCs w:val="24"/>
              </w:rPr>
              <w:t>湖南省环境保护科学研究院</w:t>
            </w:r>
            <w:r>
              <w:rPr>
                <w:szCs w:val="24"/>
              </w:rPr>
              <w:t>编制完成了《衡钢集团公司管材深加工产业聚区项目环境影响报告书》；</w:t>
            </w:r>
            <w:r>
              <w:rPr>
                <w:rFonts w:hint="eastAsia"/>
                <w:szCs w:val="24"/>
              </w:rPr>
              <w:t>并</w:t>
            </w:r>
            <w:r>
              <w:rPr>
                <w:szCs w:val="24"/>
              </w:rPr>
              <w:t>于20</w:t>
            </w:r>
            <w:r>
              <w:rPr>
                <w:rFonts w:hint="eastAsia"/>
                <w:szCs w:val="24"/>
              </w:rPr>
              <w:t>07</w:t>
            </w:r>
            <w:r>
              <w:rPr>
                <w:szCs w:val="24"/>
              </w:rPr>
              <w:t>年</w:t>
            </w:r>
            <w:r>
              <w:rPr>
                <w:rFonts w:hint="eastAsia"/>
                <w:szCs w:val="24"/>
              </w:rPr>
              <w:t>4</w:t>
            </w:r>
            <w:r>
              <w:rPr>
                <w:szCs w:val="24"/>
              </w:rPr>
              <w:t>月取得</w:t>
            </w:r>
            <w:r>
              <w:rPr>
                <w:rFonts w:hint="eastAsia"/>
                <w:szCs w:val="24"/>
              </w:rPr>
              <w:t>湖南省生态环境厅（原湖南省环境保护局）的批复</w:t>
            </w:r>
            <w:r>
              <w:rPr>
                <w:szCs w:val="24"/>
              </w:rPr>
              <w:t>（湘环评表[2007]32号）。</w:t>
            </w:r>
            <w:r>
              <w:rPr>
                <w:rFonts w:hint="eastAsia"/>
                <w:szCs w:val="24"/>
              </w:rPr>
              <w:t>2010</w:t>
            </w:r>
            <w:r>
              <w:rPr>
                <w:szCs w:val="24"/>
              </w:rPr>
              <w:t>年</w:t>
            </w:r>
            <w:r>
              <w:rPr>
                <w:rFonts w:hint="eastAsia"/>
                <w:szCs w:val="24"/>
              </w:rPr>
              <w:t>7</w:t>
            </w:r>
            <w:r>
              <w:rPr>
                <w:szCs w:val="24"/>
              </w:rPr>
              <w:t>月委托</w:t>
            </w:r>
            <w:r>
              <w:rPr>
                <w:rFonts w:hint="eastAsia"/>
                <w:szCs w:val="24"/>
              </w:rPr>
              <w:t>湖南省环境监测中心站</w:t>
            </w:r>
            <w:r>
              <w:rPr>
                <w:szCs w:val="24"/>
              </w:rPr>
              <w:t>编制了《</w:t>
            </w:r>
            <w:r>
              <w:rPr>
                <w:rFonts w:hint="eastAsia"/>
                <w:szCs w:val="24"/>
              </w:rPr>
              <w:t>衡钢集团公司管材深加工产业集聚区项目</w:t>
            </w:r>
            <w:r>
              <w:rPr>
                <w:szCs w:val="24"/>
              </w:rPr>
              <w:t>建设项目竣工环境保护验收监测报告表》</w:t>
            </w:r>
            <w:r>
              <w:rPr>
                <w:rFonts w:hint="eastAsia"/>
                <w:szCs w:val="24"/>
              </w:rPr>
              <w:t>，并于</w:t>
            </w:r>
            <w:r>
              <w:rPr>
                <w:szCs w:val="24"/>
              </w:rPr>
              <w:t>20</w:t>
            </w:r>
            <w:r>
              <w:rPr>
                <w:rFonts w:hint="eastAsia"/>
                <w:szCs w:val="24"/>
              </w:rPr>
              <w:t>07</w:t>
            </w:r>
            <w:r>
              <w:rPr>
                <w:szCs w:val="24"/>
              </w:rPr>
              <w:t>年</w:t>
            </w:r>
            <w:r>
              <w:rPr>
                <w:rFonts w:hint="eastAsia"/>
                <w:szCs w:val="24"/>
              </w:rPr>
              <w:t>4</w:t>
            </w:r>
            <w:r>
              <w:rPr>
                <w:szCs w:val="24"/>
              </w:rPr>
              <w:t>月取得</w:t>
            </w:r>
            <w:r>
              <w:rPr>
                <w:rFonts w:hint="eastAsia"/>
                <w:szCs w:val="24"/>
              </w:rPr>
              <w:t>湖南省生态环境厅（原湖南省环境保护局）的验收意见</w:t>
            </w:r>
            <w:r>
              <w:rPr>
                <w:szCs w:val="24"/>
              </w:rPr>
              <w:t>（湘环评</w:t>
            </w:r>
            <w:r>
              <w:rPr>
                <w:rFonts w:hint="eastAsia"/>
                <w:szCs w:val="24"/>
              </w:rPr>
              <w:t>验[</w:t>
            </w:r>
            <w:r>
              <w:rPr>
                <w:szCs w:val="24"/>
              </w:rPr>
              <w:t>20</w:t>
            </w:r>
            <w:r>
              <w:rPr>
                <w:rFonts w:hint="eastAsia"/>
                <w:szCs w:val="24"/>
              </w:rPr>
              <w:t>10</w:t>
            </w:r>
            <w:r>
              <w:rPr>
                <w:szCs w:val="24"/>
              </w:rPr>
              <w:t>]</w:t>
            </w:r>
            <w:r>
              <w:rPr>
                <w:rFonts w:hint="eastAsia"/>
                <w:szCs w:val="24"/>
              </w:rPr>
              <w:t>72</w:t>
            </w:r>
            <w:r>
              <w:rPr>
                <w:szCs w:val="24"/>
              </w:rPr>
              <w:t>号）。</w:t>
            </w:r>
          </w:p>
          <w:p w14:paraId="4A468A29">
            <w:pPr>
              <w:pStyle w:val="7"/>
              <w:snapToGrid w:val="0"/>
              <w:spacing w:before="0" w:after="0" w:line="360" w:lineRule="auto"/>
              <w:rPr>
                <w:b w:val="0"/>
                <w:bCs w:val="0"/>
                <w:sz w:val="24"/>
                <w:szCs w:val="24"/>
              </w:rPr>
            </w:pPr>
            <w:r>
              <w:rPr>
                <w:b w:val="0"/>
                <w:bCs w:val="0"/>
                <w:sz w:val="24"/>
                <w:szCs w:val="24"/>
              </w:rPr>
              <w:t>目前，企业设备运行稳定，各环保设施运行正常。企业实际劳动定员</w:t>
            </w:r>
            <w:r>
              <w:rPr>
                <w:rFonts w:hint="eastAsia"/>
                <w:b w:val="0"/>
                <w:bCs w:val="0"/>
                <w:sz w:val="24"/>
                <w:szCs w:val="24"/>
              </w:rPr>
              <w:t>30</w:t>
            </w:r>
            <w:r>
              <w:rPr>
                <w:b w:val="0"/>
                <w:bCs w:val="0"/>
                <w:sz w:val="24"/>
                <w:szCs w:val="24"/>
              </w:rPr>
              <w:t>人，工作制度为一班制，每班8小时，工作天数为300天。</w:t>
            </w:r>
          </w:p>
          <w:p w14:paraId="28D80802">
            <w:pPr>
              <w:numPr>
                <w:ilvl w:val="1"/>
                <w:numId w:val="0"/>
              </w:numPr>
              <w:spacing w:line="360" w:lineRule="auto"/>
              <w:ind w:firstLine="482" w:firstLineChars="200"/>
              <w:rPr>
                <w:b/>
                <w:bCs/>
                <w:kern w:val="0"/>
                <w:sz w:val="24"/>
              </w:rPr>
            </w:pPr>
            <w:r>
              <w:rPr>
                <w:rFonts w:hint="eastAsia"/>
                <w:b/>
                <w:bCs/>
                <w:kern w:val="0"/>
                <w:sz w:val="24"/>
              </w:rPr>
              <w:t>1.2</w:t>
            </w:r>
            <w:r>
              <w:rPr>
                <w:b/>
                <w:bCs/>
                <w:kern w:val="0"/>
                <w:sz w:val="24"/>
              </w:rPr>
              <w:t>现有工程环保手续履行情况</w:t>
            </w:r>
          </w:p>
          <w:p w14:paraId="491DDCC5">
            <w:pPr>
              <w:pStyle w:val="169"/>
              <w:spacing w:line="360" w:lineRule="auto"/>
              <w:ind w:firstLine="480" w:firstLineChars="200"/>
              <w:jc w:val="both"/>
              <w:rPr>
                <w:rFonts w:hint="eastAsia" w:ascii="Times New Roman" w:hAnsi="Times New Roman" w:eastAsiaTheme="minorEastAsia"/>
                <w:color w:val="FF0000"/>
                <w:sz w:val="24"/>
                <w:szCs w:val="24"/>
              </w:rPr>
            </w:pPr>
            <w:r>
              <w:rPr>
                <w:rFonts w:hint="eastAsia" w:ascii="Times New Roman" w:hAnsi="Times New Roman"/>
                <w:sz w:val="24"/>
                <w:szCs w:val="24"/>
              </w:rPr>
              <w:t>衡钢集团有限公司</w:t>
            </w:r>
            <w:r>
              <w:rPr>
                <w:rFonts w:ascii="Times New Roman" w:hAnsi="Times New Roman" w:eastAsia="宋体"/>
                <w:sz w:val="24"/>
                <w:szCs w:val="24"/>
              </w:rPr>
              <w:t>于20</w:t>
            </w:r>
            <w:r>
              <w:rPr>
                <w:rFonts w:hint="eastAsia" w:ascii="Times New Roman" w:hAnsi="Times New Roman"/>
                <w:sz w:val="24"/>
                <w:szCs w:val="24"/>
              </w:rPr>
              <w:t>07</w:t>
            </w:r>
            <w:r>
              <w:rPr>
                <w:rFonts w:ascii="Times New Roman" w:hAnsi="Times New Roman" w:eastAsia="宋体"/>
                <w:sz w:val="24"/>
                <w:szCs w:val="24"/>
              </w:rPr>
              <w:t>年</w:t>
            </w:r>
            <w:r>
              <w:rPr>
                <w:rFonts w:hint="eastAsia" w:ascii="Times New Roman" w:hAnsi="Times New Roman"/>
                <w:sz w:val="24"/>
                <w:szCs w:val="24"/>
              </w:rPr>
              <w:t>3</w:t>
            </w:r>
            <w:r>
              <w:rPr>
                <w:rFonts w:ascii="Times New Roman" w:hAnsi="Times New Roman" w:eastAsia="宋体"/>
                <w:sz w:val="24"/>
                <w:szCs w:val="24"/>
              </w:rPr>
              <w:t>月委托</w:t>
            </w:r>
            <w:r>
              <w:rPr>
                <w:rFonts w:hint="eastAsia" w:ascii="Times New Roman" w:hAnsi="Times New Roman"/>
                <w:sz w:val="24"/>
                <w:szCs w:val="24"/>
              </w:rPr>
              <w:t>湖南省环境保护科学研究院</w:t>
            </w:r>
            <w:r>
              <w:rPr>
                <w:rFonts w:ascii="Times New Roman" w:hAnsi="Times New Roman" w:eastAsia="宋体"/>
                <w:sz w:val="24"/>
                <w:szCs w:val="24"/>
              </w:rPr>
              <w:t>编制完成了《衡钢集团公司管材深加工产业聚区项目环境影响报告书》；</w:t>
            </w:r>
            <w:r>
              <w:rPr>
                <w:rFonts w:hint="eastAsia" w:ascii="Times New Roman" w:hAnsi="Times New Roman"/>
                <w:sz w:val="24"/>
                <w:szCs w:val="24"/>
              </w:rPr>
              <w:t>并</w:t>
            </w:r>
            <w:r>
              <w:rPr>
                <w:rFonts w:ascii="Times New Roman" w:hAnsi="Times New Roman" w:eastAsia="宋体"/>
                <w:sz w:val="24"/>
                <w:szCs w:val="24"/>
              </w:rPr>
              <w:t>于20</w:t>
            </w:r>
            <w:r>
              <w:rPr>
                <w:rFonts w:hint="eastAsia" w:ascii="Times New Roman" w:hAnsi="Times New Roman"/>
                <w:sz w:val="24"/>
                <w:szCs w:val="24"/>
              </w:rPr>
              <w:t>07</w:t>
            </w:r>
            <w:r>
              <w:rPr>
                <w:rFonts w:ascii="Times New Roman" w:hAnsi="Times New Roman" w:eastAsia="宋体"/>
                <w:sz w:val="24"/>
                <w:szCs w:val="24"/>
              </w:rPr>
              <w:t>年</w:t>
            </w:r>
            <w:r>
              <w:rPr>
                <w:rFonts w:hint="eastAsia" w:ascii="Times New Roman" w:hAnsi="Times New Roman"/>
                <w:sz w:val="24"/>
                <w:szCs w:val="24"/>
              </w:rPr>
              <w:t>4</w:t>
            </w:r>
            <w:r>
              <w:rPr>
                <w:rFonts w:ascii="Times New Roman" w:hAnsi="Times New Roman" w:eastAsia="宋体"/>
                <w:sz w:val="24"/>
                <w:szCs w:val="24"/>
              </w:rPr>
              <w:t>月取得</w:t>
            </w:r>
            <w:r>
              <w:rPr>
                <w:rFonts w:hint="eastAsia" w:ascii="Times New Roman" w:hAnsi="Times New Roman"/>
                <w:sz w:val="24"/>
                <w:szCs w:val="24"/>
              </w:rPr>
              <w:t>湖南省生态环境厅（原湖南省环境保护局）的批复</w:t>
            </w:r>
            <w:r>
              <w:rPr>
                <w:rFonts w:ascii="Times New Roman" w:hAnsi="Times New Roman" w:eastAsia="宋体"/>
                <w:sz w:val="24"/>
                <w:szCs w:val="24"/>
              </w:rPr>
              <w:t>（湘环评表[2007]32号）。</w:t>
            </w:r>
            <w:r>
              <w:rPr>
                <w:rFonts w:hint="eastAsia" w:ascii="Times New Roman" w:hAnsi="Times New Roman"/>
                <w:sz w:val="24"/>
                <w:szCs w:val="24"/>
              </w:rPr>
              <w:t>2010</w:t>
            </w:r>
            <w:r>
              <w:rPr>
                <w:rFonts w:ascii="Times New Roman" w:hAnsi="Times New Roman" w:eastAsia="宋体"/>
                <w:sz w:val="24"/>
                <w:szCs w:val="24"/>
              </w:rPr>
              <w:t>年</w:t>
            </w:r>
            <w:r>
              <w:rPr>
                <w:rFonts w:hint="eastAsia" w:ascii="Times New Roman" w:hAnsi="Times New Roman"/>
                <w:sz w:val="24"/>
                <w:szCs w:val="24"/>
              </w:rPr>
              <w:t>7</w:t>
            </w:r>
            <w:r>
              <w:rPr>
                <w:rFonts w:ascii="Times New Roman" w:hAnsi="Times New Roman" w:eastAsia="宋体"/>
                <w:sz w:val="24"/>
                <w:szCs w:val="24"/>
              </w:rPr>
              <w:t>月委托</w:t>
            </w:r>
            <w:r>
              <w:rPr>
                <w:rFonts w:hint="eastAsia" w:ascii="Times New Roman" w:hAnsi="Times New Roman"/>
                <w:sz w:val="24"/>
                <w:szCs w:val="24"/>
              </w:rPr>
              <w:t>湖南省环境监测中心站</w:t>
            </w:r>
            <w:r>
              <w:rPr>
                <w:rFonts w:ascii="Times New Roman" w:hAnsi="Times New Roman" w:eastAsia="宋体"/>
                <w:sz w:val="24"/>
                <w:szCs w:val="24"/>
              </w:rPr>
              <w:t>编制了《</w:t>
            </w:r>
            <w:r>
              <w:rPr>
                <w:rFonts w:hint="eastAsia" w:ascii="Times New Roman" w:hAnsi="Times New Roman"/>
                <w:sz w:val="24"/>
                <w:szCs w:val="24"/>
              </w:rPr>
              <w:t>衡钢集团公司管材深加工产业集聚区项目</w:t>
            </w:r>
            <w:r>
              <w:rPr>
                <w:rFonts w:ascii="Times New Roman" w:hAnsi="Times New Roman" w:eastAsia="宋体"/>
                <w:sz w:val="24"/>
                <w:szCs w:val="24"/>
              </w:rPr>
              <w:t>建设项目竣工环境保护验收监测报告表》</w:t>
            </w:r>
            <w:r>
              <w:rPr>
                <w:rFonts w:hint="eastAsia" w:ascii="Times New Roman" w:hAnsi="Times New Roman"/>
                <w:sz w:val="24"/>
                <w:szCs w:val="24"/>
              </w:rPr>
              <w:t>，并于</w:t>
            </w:r>
            <w:r>
              <w:rPr>
                <w:rFonts w:ascii="Times New Roman" w:hAnsi="Times New Roman" w:eastAsia="宋体"/>
                <w:sz w:val="24"/>
                <w:szCs w:val="24"/>
              </w:rPr>
              <w:t>20</w:t>
            </w:r>
            <w:r>
              <w:rPr>
                <w:rFonts w:hint="eastAsia" w:ascii="Times New Roman" w:hAnsi="Times New Roman"/>
                <w:sz w:val="24"/>
                <w:szCs w:val="24"/>
              </w:rPr>
              <w:t>07</w:t>
            </w:r>
            <w:r>
              <w:rPr>
                <w:rFonts w:ascii="Times New Roman" w:hAnsi="Times New Roman" w:eastAsia="宋体"/>
                <w:sz w:val="24"/>
                <w:szCs w:val="24"/>
              </w:rPr>
              <w:t>年</w:t>
            </w:r>
            <w:r>
              <w:rPr>
                <w:rFonts w:hint="eastAsia" w:ascii="Times New Roman" w:hAnsi="Times New Roman"/>
                <w:sz w:val="24"/>
                <w:szCs w:val="24"/>
              </w:rPr>
              <w:t>4</w:t>
            </w:r>
            <w:r>
              <w:rPr>
                <w:rFonts w:ascii="Times New Roman" w:hAnsi="Times New Roman" w:eastAsia="宋体"/>
                <w:sz w:val="24"/>
                <w:szCs w:val="24"/>
              </w:rPr>
              <w:t>月取得</w:t>
            </w:r>
            <w:r>
              <w:rPr>
                <w:rFonts w:hint="eastAsia" w:ascii="Times New Roman" w:hAnsi="Times New Roman"/>
                <w:sz w:val="24"/>
                <w:szCs w:val="24"/>
              </w:rPr>
              <w:t>湖南省生态环境厅（原湖南省环境保护局）的验收意见</w:t>
            </w:r>
            <w:r>
              <w:rPr>
                <w:rFonts w:ascii="Times New Roman" w:hAnsi="Times New Roman" w:eastAsia="宋体"/>
                <w:sz w:val="24"/>
                <w:szCs w:val="24"/>
              </w:rPr>
              <w:t>（湘环评</w:t>
            </w:r>
            <w:r>
              <w:rPr>
                <w:rFonts w:hint="eastAsia" w:ascii="Times New Roman" w:hAnsi="Times New Roman"/>
                <w:sz w:val="24"/>
                <w:szCs w:val="24"/>
              </w:rPr>
              <w:t>验[</w:t>
            </w:r>
            <w:r>
              <w:rPr>
                <w:rFonts w:ascii="Times New Roman" w:hAnsi="Times New Roman" w:eastAsia="宋体"/>
                <w:sz w:val="24"/>
                <w:szCs w:val="24"/>
              </w:rPr>
              <w:t>20</w:t>
            </w:r>
            <w:r>
              <w:rPr>
                <w:rFonts w:hint="eastAsia" w:ascii="Times New Roman" w:hAnsi="Times New Roman"/>
                <w:sz w:val="24"/>
                <w:szCs w:val="24"/>
              </w:rPr>
              <w:t>10</w:t>
            </w:r>
            <w:r>
              <w:rPr>
                <w:rFonts w:ascii="Times New Roman" w:hAnsi="Times New Roman" w:eastAsia="宋体"/>
                <w:sz w:val="24"/>
                <w:szCs w:val="24"/>
              </w:rPr>
              <w:t>]</w:t>
            </w:r>
            <w:r>
              <w:rPr>
                <w:rFonts w:hint="eastAsia" w:ascii="Times New Roman" w:hAnsi="Times New Roman"/>
                <w:sz w:val="24"/>
                <w:szCs w:val="24"/>
              </w:rPr>
              <w:t>72</w:t>
            </w:r>
            <w:r>
              <w:rPr>
                <w:rFonts w:ascii="Times New Roman" w:hAnsi="Times New Roman" w:eastAsia="宋体"/>
                <w:sz w:val="24"/>
                <w:szCs w:val="24"/>
              </w:rPr>
              <w:t>号）衡钢集团公司管材深加工产业聚区项目环境影响报告书</w:t>
            </w:r>
            <w:r>
              <w:rPr>
                <w:rFonts w:hint="eastAsia" w:ascii="Times New Roman" w:hAnsi="Times New Roman" w:eastAsia="宋体"/>
                <w:sz w:val="24"/>
                <w:szCs w:val="24"/>
              </w:rPr>
              <w:t>包含19家企业，</w:t>
            </w:r>
            <w:r>
              <w:rPr>
                <w:rFonts w:hint="eastAsia" w:ascii="Times New Roman" w:hAnsi="Times New Roman"/>
                <w:sz w:val="24"/>
              </w:rPr>
              <w:t>衡阳鸿铭科技股份有限公司属于其中之一</w:t>
            </w:r>
            <w:r>
              <w:rPr>
                <w:rFonts w:hint="eastAsia" w:ascii="Times New Roman" w:hAnsi="Times New Roman" w:eastAsia="宋体"/>
                <w:sz w:val="24"/>
                <w:lang w:eastAsia="zh-CN"/>
              </w:rPr>
              <w:t>（</w:t>
            </w:r>
            <w:r>
              <w:rPr>
                <w:rFonts w:hint="eastAsia" w:ascii="Times New Roman" w:hAnsi="Times New Roman" w:eastAsia="宋体"/>
                <w:sz w:val="24"/>
                <w:lang w:val="en-US" w:eastAsia="zh-CN"/>
              </w:rPr>
              <w:t>详见附件3、附件4</w:t>
            </w:r>
            <w:r>
              <w:rPr>
                <w:rFonts w:hint="eastAsia" w:ascii="Times New Roman" w:hAnsi="Times New Roman" w:eastAsia="宋体"/>
                <w:sz w:val="24"/>
                <w:lang w:eastAsia="zh-CN"/>
              </w:rPr>
              <w:t>）</w:t>
            </w:r>
            <w:r>
              <w:rPr>
                <w:rFonts w:hint="eastAsia" w:ascii="Times New Roman" w:hAnsi="Times New Roman" w:eastAsia="宋体"/>
                <w:sz w:val="24"/>
                <w:szCs w:val="24"/>
              </w:rPr>
              <w:t>，</w:t>
            </w:r>
            <w:r>
              <w:rPr>
                <w:rFonts w:hint="eastAsia" w:ascii="Times New Roman" w:hAnsi="Times New Roman"/>
                <w:sz w:val="24"/>
              </w:rPr>
              <w:t>衡阳鸿铭科技股份有限公司于2023年2月7日完成排污许可证备案，</w:t>
            </w:r>
            <w:r>
              <w:rPr>
                <w:rFonts w:ascii="Times New Roman" w:hAnsi="Times New Roman"/>
                <w:sz w:val="24"/>
              </w:rPr>
              <w:t>（</w:t>
            </w:r>
            <w:r>
              <w:rPr>
                <w:rFonts w:hint="eastAsia" w:ascii="Times New Roman" w:hAnsi="Times New Roman"/>
                <w:sz w:val="24"/>
              </w:rPr>
              <w:t>排污许可证</w:t>
            </w:r>
            <w:r>
              <w:rPr>
                <w:rFonts w:ascii="Times New Roman" w:hAnsi="Times New Roman"/>
                <w:sz w:val="24"/>
              </w:rPr>
              <w:t>编号：</w:t>
            </w:r>
            <w:r>
              <w:rPr>
                <w:rFonts w:hint="eastAsia" w:ascii="Times New Roman" w:hAnsi="Times New Roman"/>
                <w:sz w:val="24"/>
              </w:rPr>
              <w:t>91430400796859063J001X</w:t>
            </w:r>
            <w:r>
              <w:rPr>
                <w:rFonts w:ascii="Times New Roman" w:hAnsi="Times New Roman"/>
                <w:sz w:val="24"/>
              </w:rPr>
              <w:t>），</w:t>
            </w:r>
            <w:r>
              <w:rPr>
                <w:rFonts w:hint="eastAsia" w:ascii="Times New Roman" w:hAnsi="Times New Roman"/>
                <w:sz w:val="24"/>
              </w:rPr>
              <w:t>排污许可证</w:t>
            </w:r>
            <w:r>
              <w:rPr>
                <w:rFonts w:ascii="Times New Roman" w:hAnsi="Times New Roman"/>
                <w:sz w:val="24"/>
              </w:rPr>
              <w:t>有效时间为</w:t>
            </w:r>
            <w:r>
              <w:rPr>
                <w:rFonts w:hint="eastAsia" w:ascii="Times New Roman" w:hAnsi="Times New Roman"/>
                <w:sz w:val="24"/>
              </w:rPr>
              <w:t>2023</w:t>
            </w:r>
            <w:r>
              <w:rPr>
                <w:rFonts w:ascii="Times New Roman" w:hAnsi="Times New Roman"/>
                <w:sz w:val="24"/>
              </w:rPr>
              <w:t>年</w:t>
            </w:r>
            <w:r>
              <w:rPr>
                <w:rFonts w:hint="eastAsia" w:ascii="Times New Roman" w:hAnsi="Times New Roman"/>
                <w:sz w:val="24"/>
              </w:rPr>
              <w:t>2</w:t>
            </w:r>
            <w:r>
              <w:rPr>
                <w:rFonts w:ascii="Times New Roman" w:hAnsi="Times New Roman"/>
                <w:sz w:val="24"/>
              </w:rPr>
              <w:t>月</w:t>
            </w:r>
            <w:r>
              <w:rPr>
                <w:rFonts w:hint="eastAsia" w:ascii="Times New Roman" w:hAnsi="Times New Roman"/>
                <w:sz w:val="24"/>
              </w:rPr>
              <w:t>7</w:t>
            </w:r>
            <w:r>
              <w:rPr>
                <w:rFonts w:ascii="Times New Roman" w:hAnsi="Times New Roman"/>
                <w:sz w:val="24"/>
              </w:rPr>
              <w:t>日至</w:t>
            </w:r>
            <w:r>
              <w:rPr>
                <w:rFonts w:hint="eastAsia" w:ascii="Times New Roman" w:hAnsi="Times New Roman"/>
                <w:sz w:val="24"/>
              </w:rPr>
              <w:t>2028</w:t>
            </w:r>
            <w:r>
              <w:rPr>
                <w:rFonts w:ascii="Times New Roman" w:hAnsi="Times New Roman"/>
                <w:sz w:val="24"/>
              </w:rPr>
              <w:t>年</w:t>
            </w:r>
            <w:r>
              <w:rPr>
                <w:rFonts w:hint="eastAsia" w:ascii="Times New Roman" w:hAnsi="Times New Roman"/>
                <w:sz w:val="24"/>
              </w:rPr>
              <w:t>2</w:t>
            </w:r>
            <w:r>
              <w:rPr>
                <w:rFonts w:ascii="Times New Roman" w:hAnsi="Times New Roman"/>
                <w:sz w:val="24"/>
              </w:rPr>
              <w:t>月</w:t>
            </w:r>
            <w:r>
              <w:rPr>
                <w:rFonts w:hint="eastAsia" w:ascii="Times New Roman" w:hAnsi="Times New Roman"/>
                <w:sz w:val="24"/>
              </w:rPr>
              <w:t>6</w:t>
            </w:r>
            <w:r>
              <w:rPr>
                <w:rFonts w:ascii="Times New Roman" w:hAnsi="Times New Roman"/>
                <w:sz w:val="24"/>
              </w:rPr>
              <w:t>日</w:t>
            </w:r>
            <w:r>
              <w:rPr>
                <w:rFonts w:hint="eastAsia" w:ascii="Times New Roman" w:hAnsi="Times New Roman"/>
                <w:sz w:val="24"/>
              </w:rPr>
              <w:t>止</w:t>
            </w:r>
            <w:r>
              <w:rPr>
                <w:rFonts w:ascii="Times New Roman" w:hAnsi="Times New Roman"/>
                <w:sz w:val="24"/>
              </w:rPr>
              <w:t>。企业环保手续齐全，自生产以来，污染物稳定达标排放，不存在环保督察问题，且未收到环保投诉，未受到环保处罚。</w:t>
            </w:r>
          </w:p>
          <w:p w14:paraId="68B323FD">
            <w:pPr>
              <w:spacing w:line="360" w:lineRule="auto"/>
              <w:rPr>
                <w:b/>
                <w:bCs/>
                <w:sz w:val="28"/>
                <w:szCs w:val="28"/>
              </w:rPr>
            </w:pPr>
            <w:r>
              <w:rPr>
                <w:rFonts w:hint="eastAsia"/>
                <w:b/>
                <w:bCs/>
                <w:sz w:val="28"/>
                <w:szCs w:val="28"/>
              </w:rPr>
              <w:t>二、</w:t>
            </w:r>
            <w:r>
              <w:rPr>
                <w:b/>
                <w:bCs/>
                <w:sz w:val="28"/>
                <w:szCs w:val="28"/>
              </w:rPr>
              <w:t>现有工程项目存在的环境问题及以新带老措施</w:t>
            </w:r>
          </w:p>
          <w:p w14:paraId="455BF651">
            <w:pPr>
              <w:spacing w:line="360" w:lineRule="auto"/>
              <w:ind w:firstLine="482"/>
              <w:rPr>
                <w:b/>
                <w:bCs/>
                <w:sz w:val="24"/>
                <w:szCs w:val="24"/>
              </w:rPr>
            </w:pPr>
            <w:r>
              <w:rPr>
                <w:rFonts w:hint="eastAsia"/>
                <w:b/>
                <w:bCs/>
                <w:sz w:val="24"/>
                <w:szCs w:val="24"/>
                <w:lang w:val="en-US" w:eastAsia="zh-CN"/>
              </w:rPr>
              <w:t>1</w:t>
            </w:r>
            <w:r>
              <w:rPr>
                <w:b/>
                <w:bCs/>
                <w:sz w:val="24"/>
                <w:szCs w:val="24"/>
              </w:rPr>
              <w:t>、</w:t>
            </w:r>
            <w:r>
              <w:rPr>
                <w:rFonts w:hint="eastAsia"/>
                <w:b/>
                <w:bCs/>
                <w:sz w:val="24"/>
                <w:szCs w:val="24"/>
              </w:rPr>
              <w:t>达标排放情况</w:t>
            </w:r>
          </w:p>
          <w:p w14:paraId="5755AF3D">
            <w:pPr>
              <w:spacing w:line="360" w:lineRule="auto"/>
              <w:ind w:firstLine="480"/>
              <w:rPr>
                <w:sz w:val="24"/>
                <w:szCs w:val="24"/>
              </w:rPr>
            </w:pPr>
            <w:r>
              <w:rPr>
                <w:rFonts w:hint="eastAsia"/>
                <w:sz w:val="24"/>
                <w:szCs w:val="24"/>
              </w:rPr>
              <w:t>根据行政处罚记录查询，现有工程于</w:t>
            </w:r>
            <w:r>
              <w:rPr>
                <w:rFonts w:hint="eastAsia"/>
                <w:sz w:val="24"/>
                <w:szCs w:val="24"/>
                <w:lang w:val="en-US" w:eastAsia="zh-CN"/>
              </w:rPr>
              <w:t>2006</w:t>
            </w:r>
            <w:r>
              <w:rPr>
                <w:rFonts w:hint="eastAsia"/>
                <w:sz w:val="24"/>
                <w:szCs w:val="24"/>
              </w:rPr>
              <w:t>年</w:t>
            </w:r>
            <w:r>
              <w:rPr>
                <w:rFonts w:hint="eastAsia"/>
                <w:sz w:val="24"/>
                <w:szCs w:val="24"/>
                <w:lang w:val="en-US" w:eastAsia="zh-CN"/>
              </w:rPr>
              <w:t>12</w:t>
            </w:r>
            <w:r>
              <w:rPr>
                <w:rFonts w:hint="eastAsia"/>
                <w:sz w:val="24"/>
                <w:szCs w:val="24"/>
              </w:rPr>
              <w:t>月建成并投入试生产以来，未发生过污染物超标排放的行为而受到生态环境主管部门的处罚。</w:t>
            </w:r>
          </w:p>
          <w:p w14:paraId="31A9B386">
            <w:pPr>
              <w:spacing w:line="360" w:lineRule="auto"/>
              <w:ind w:firstLine="482"/>
              <w:rPr>
                <w:b/>
                <w:bCs/>
                <w:sz w:val="24"/>
                <w:szCs w:val="24"/>
              </w:rPr>
            </w:pPr>
            <w:r>
              <w:rPr>
                <w:rFonts w:hint="eastAsia"/>
                <w:b/>
                <w:bCs/>
                <w:sz w:val="24"/>
                <w:szCs w:val="24"/>
                <w:lang w:val="en-US" w:eastAsia="zh-CN"/>
              </w:rPr>
              <w:t>2</w:t>
            </w:r>
            <w:r>
              <w:rPr>
                <w:b/>
                <w:bCs/>
                <w:sz w:val="24"/>
                <w:szCs w:val="24"/>
              </w:rPr>
              <w:t>、</w:t>
            </w:r>
            <w:r>
              <w:rPr>
                <w:rFonts w:hint="eastAsia"/>
                <w:b/>
                <w:bCs/>
                <w:sz w:val="24"/>
                <w:szCs w:val="24"/>
              </w:rPr>
              <w:t>污染防治情况</w:t>
            </w:r>
          </w:p>
          <w:p w14:paraId="0EC8EC8D">
            <w:pPr>
              <w:spacing w:line="360" w:lineRule="auto"/>
              <w:ind w:firstLine="480"/>
              <w:rPr>
                <w:rFonts w:hint="default"/>
                <w:sz w:val="24"/>
                <w:szCs w:val="24"/>
                <w:lang w:val="en-US" w:eastAsia="zh-CN"/>
              </w:rPr>
            </w:pPr>
            <w:r>
              <w:rPr>
                <w:rFonts w:hint="eastAsia"/>
                <w:sz w:val="24"/>
                <w:szCs w:val="24"/>
              </w:rPr>
              <w:t>现有工程按照环评批复要求采取各项环保措施，经检测各项污染物排放情况均满足相应标准要求，并与主体工程同时设计、同时建设、同时投产，严格落实了“</w:t>
            </w:r>
            <w:r>
              <w:rPr>
                <w:rFonts w:hint="eastAsia"/>
                <w:sz w:val="24"/>
                <w:szCs w:val="24"/>
                <w:lang w:val="en-US" w:eastAsia="zh-CN"/>
              </w:rPr>
              <w:t>三同时”制度，企业生产过程中产生的注塑废气注塑废气经UV光解（TA001）+活性炭吸附（TA002）处理后由15m高排气筒排放DA001，喷塑粉尘经旋风除尘+滤芯除尘器+UV光解（TA003）+活性炭吸附（TA004）处理后由15m排气筒排放（DA002），天然气燃烧废气经排气管+8m排气筒排放（DA003），焊接烟尘经移动式焊接烟尘净化器，企业生产过程中无生产废水产生，生活污水依托衡钢原有化粪池处理后经厂区污水管网进入衡钢西区污水处理站处理后，排入幸福河，然后进入铜桥港污水处理厂进一步处理，处理后排入湘江；冷却水直接冷却，冷却水一直循环使用，不外排。配套设置了固废暂存间和危废暂存间，一般固废：废钢筋、废边角料及不合格产品及废包装袋经统一收集后外售综合利用，废焊渣经集中收集后，统一返回厂家回收处理，收集的粉尘经收集后回用于生产，不外排，生活垃圾经收集后，由环卫部门收集清运处理。危险废物：废活性炭委托厂家上门更换回收，不在厂内暂存；废矿物油、废油桶、废滤网、废含油抹布手套经收集后暂存于危废暂存间，定期交由有资质的单位收集处置。企业自投产建成后未受到环保投诉。</w:t>
            </w:r>
          </w:p>
          <w:p w14:paraId="4F4BEB24">
            <w:pPr>
              <w:spacing w:line="360" w:lineRule="auto"/>
              <w:ind w:firstLine="482"/>
              <w:rPr>
                <w:b/>
                <w:bCs/>
                <w:sz w:val="24"/>
                <w:szCs w:val="24"/>
              </w:rPr>
            </w:pPr>
            <w:r>
              <w:rPr>
                <w:rFonts w:hint="eastAsia"/>
                <w:b/>
                <w:bCs/>
                <w:sz w:val="24"/>
                <w:szCs w:val="24"/>
                <w:lang w:val="en-US" w:eastAsia="zh-CN"/>
              </w:rPr>
              <w:t>3</w:t>
            </w:r>
            <w:r>
              <w:rPr>
                <w:b/>
                <w:bCs/>
                <w:sz w:val="24"/>
                <w:szCs w:val="24"/>
              </w:rPr>
              <w:t>、</w:t>
            </w:r>
            <w:r>
              <w:rPr>
                <w:rFonts w:hint="eastAsia"/>
                <w:b/>
                <w:bCs/>
                <w:sz w:val="24"/>
                <w:szCs w:val="24"/>
              </w:rPr>
              <w:t>现有工程存在的环境问题及对应的整改要求</w:t>
            </w:r>
          </w:p>
          <w:p w14:paraId="35DF20AE">
            <w:pPr>
              <w:spacing w:line="360" w:lineRule="auto"/>
              <w:ind w:firstLine="480"/>
              <w:rPr>
                <w:rFonts w:hint="eastAsia"/>
                <w:sz w:val="24"/>
                <w:szCs w:val="24"/>
              </w:rPr>
            </w:pPr>
            <w:r>
              <w:rPr>
                <w:rFonts w:hint="eastAsia"/>
                <w:sz w:val="24"/>
                <w:szCs w:val="24"/>
              </w:rPr>
              <w:t>现有工程存在环保设施</w:t>
            </w:r>
            <w:r>
              <w:rPr>
                <w:rFonts w:hint="eastAsia"/>
                <w:sz w:val="24"/>
                <w:szCs w:val="24"/>
                <w:lang w:val="en-US" w:eastAsia="zh-CN"/>
              </w:rPr>
              <w:t>处理效率不足</w:t>
            </w:r>
            <w:r>
              <w:rPr>
                <w:rFonts w:hint="eastAsia"/>
                <w:sz w:val="24"/>
                <w:szCs w:val="24"/>
              </w:rPr>
              <w:t>，</w:t>
            </w:r>
            <w:r>
              <w:rPr>
                <w:rFonts w:hint="eastAsia"/>
                <w:sz w:val="24"/>
                <w:szCs w:val="24"/>
                <w:lang w:val="en-US" w:eastAsia="zh-CN"/>
              </w:rPr>
              <w:t>固废暂存间堆放杂物，原料及产品摆放混乱</w:t>
            </w:r>
            <w:r>
              <w:rPr>
                <w:rFonts w:hint="eastAsia"/>
                <w:sz w:val="24"/>
                <w:szCs w:val="24"/>
              </w:rPr>
              <w:t>等情况，本环评建议</w:t>
            </w:r>
            <w:r>
              <w:rPr>
                <w:rFonts w:hint="eastAsia"/>
                <w:sz w:val="24"/>
                <w:szCs w:val="24"/>
                <w:lang w:val="en-US" w:eastAsia="zh-CN"/>
              </w:rPr>
              <w:t>改建</w:t>
            </w:r>
            <w:r>
              <w:rPr>
                <w:rFonts w:hint="eastAsia"/>
                <w:sz w:val="24"/>
                <w:szCs w:val="24"/>
              </w:rPr>
              <w:t>工程实施过程中对环保设施</w:t>
            </w:r>
            <w:r>
              <w:rPr>
                <w:rFonts w:hint="eastAsia"/>
                <w:sz w:val="24"/>
                <w:szCs w:val="24"/>
                <w:lang w:val="en-US" w:eastAsia="zh-CN"/>
              </w:rPr>
              <w:t>存在的问题进行改造，建议将UV光解+活性炭处理+15m排气筒调整为集气罩+两级活性炭吸附装置+15m排气筒；</w:t>
            </w:r>
            <w:r>
              <w:rPr>
                <w:rFonts w:hint="eastAsia"/>
                <w:sz w:val="24"/>
                <w:szCs w:val="24"/>
              </w:rPr>
              <w:t>将固废暂存间内的杂物移除，固体废物分区堆放</w:t>
            </w:r>
            <w:r>
              <w:rPr>
                <w:rFonts w:hint="eastAsia"/>
                <w:sz w:val="24"/>
                <w:szCs w:val="24"/>
                <w:lang w:eastAsia="zh-CN"/>
              </w:rPr>
              <w:t>，</w:t>
            </w:r>
            <w:r>
              <w:rPr>
                <w:rFonts w:hint="eastAsia"/>
                <w:sz w:val="24"/>
                <w:szCs w:val="24"/>
                <w:lang w:val="en-US" w:eastAsia="zh-CN"/>
              </w:rPr>
              <w:t>规范原料、产品的位置，有序规整</w:t>
            </w:r>
            <w:r>
              <w:rPr>
                <w:rFonts w:hint="eastAsia"/>
                <w:sz w:val="24"/>
                <w:szCs w:val="24"/>
              </w:rPr>
              <w:t>。</w:t>
            </w:r>
          </w:p>
          <w:p w14:paraId="095CC4C2">
            <w:pPr>
              <w:spacing w:line="360" w:lineRule="auto"/>
              <w:ind w:firstLine="482"/>
              <w:rPr>
                <w:b/>
                <w:bCs/>
                <w:sz w:val="24"/>
                <w:szCs w:val="24"/>
              </w:rPr>
            </w:pPr>
            <w:r>
              <w:rPr>
                <w:rFonts w:hint="eastAsia"/>
                <w:b/>
                <w:bCs/>
                <w:sz w:val="24"/>
                <w:szCs w:val="24"/>
                <w:lang w:val="en-US" w:eastAsia="zh-CN"/>
              </w:rPr>
              <w:t>4</w:t>
            </w:r>
            <w:r>
              <w:rPr>
                <w:rFonts w:hint="eastAsia"/>
                <w:b/>
                <w:bCs/>
                <w:sz w:val="24"/>
                <w:szCs w:val="24"/>
              </w:rPr>
              <w:t>、与项目有关的原有环境污染情况</w:t>
            </w:r>
          </w:p>
          <w:p w14:paraId="73BE661D">
            <w:pPr>
              <w:spacing w:line="360" w:lineRule="auto"/>
              <w:ind w:firstLine="480"/>
              <w:rPr>
                <w:kern w:val="0"/>
                <w:sz w:val="24"/>
                <w:szCs w:val="24"/>
              </w:rPr>
            </w:pPr>
            <w:r>
              <w:rPr>
                <w:rFonts w:hint="eastAsia"/>
                <w:kern w:val="0"/>
                <w:sz w:val="24"/>
                <w:szCs w:val="24"/>
                <w:lang w:val="en-US" w:eastAsia="zh-CN"/>
              </w:rPr>
              <w:t>注塑过程中未收集废气车间内排放，因此车间内有一定的气味</w:t>
            </w:r>
            <w:r>
              <w:rPr>
                <w:rFonts w:hint="eastAsia"/>
                <w:kern w:val="0"/>
                <w:sz w:val="24"/>
                <w:szCs w:val="24"/>
              </w:rPr>
              <w:t>。</w:t>
            </w:r>
          </w:p>
          <w:p w14:paraId="5997C6AA">
            <w:pPr>
              <w:spacing w:line="360" w:lineRule="auto"/>
              <w:ind w:firstLine="482"/>
              <w:rPr>
                <w:rFonts w:hint="eastAsia"/>
                <w:b/>
                <w:bCs/>
                <w:sz w:val="24"/>
                <w:szCs w:val="24"/>
                <w:lang w:val="en-US" w:eastAsia="zh-CN"/>
              </w:rPr>
            </w:pPr>
            <w:r>
              <w:rPr>
                <w:rFonts w:hint="eastAsia"/>
                <w:b/>
                <w:bCs/>
                <w:sz w:val="24"/>
                <w:szCs w:val="24"/>
                <w:lang w:val="en-US" w:eastAsia="zh-CN"/>
              </w:rPr>
              <w:t>5、区域主要环境污染问题</w:t>
            </w:r>
          </w:p>
          <w:p w14:paraId="2BF5FB53">
            <w:pPr>
              <w:spacing w:line="360" w:lineRule="auto"/>
              <w:ind w:firstLine="480"/>
            </w:pPr>
            <w:r>
              <w:rPr>
                <w:rFonts w:hint="eastAsia"/>
                <w:sz w:val="24"/>
                <w:szCs w:val="24"/>
              </w:rPr>
              <w:t>本项目附近居民产生的生活污水经化粪池处理后用于农田浇灌，生活垃圾由当地环卫部门统一收集处理。</w:t>
            </w:r>
          </w:p>
        </w:tc>
      </w:tr>
    </w:tbl>
    <w:p w14:paraId="1E5417B7">
      <w:pPr>
        <w:pStyle w:val="32"/>
        <w:spacing w:before="0" w:beforeAutospacing="0" w:after="0" w:afterAutospacing="0"/>
        <w:outlineLvl w:val="0"/>
        <w:rPr>
          <w:rFonts w:ascii="黑体" w:hAnsi="黑体" w:eastAsia="黑体"/>
          <w:snapToGrid w:val="0"/>
          <w:sz w:val="30"/>
          <w:szCs w:val="30"/>
        </w:rPr>
      </w:pPr>
      <w:r>
        <w:rPr>
          <w:rFonts w:ascii="黑体" w:hAnsi="黑体" w:eastAsia="黑体"/>
          <w:snapToGrid w:val="0"/>
          <w:color w:val="FF0000"/>
          <w:sz w:val="30"/>
          <w:szCs w:val="30"/>
        </w:rPr>
        <w:br w:type="page"/>
      </w:r>
      <w:bookmarkStart w:id="7" w:name="_Toc17318"/>
      <w:r>
        <w:rPr>
          <w:rFonts w:hint="eastAsia" w:ascii="黑体" w:hAnsi="黑体" w:eastAsia="黑体"/>
          <w:snapToGrid w:val="0"/>
          <w:sz w:val="30"/>
          <w:szCs w:val="30"/>
        </w:rPr>
        <w:t>三、区域环境质量现状、环境保护目标及评价标准</w:t>
      </w:r>
      <w:bookmarkEnd w:id="7"/>
    </w:p>
    <w:tbl>
      <w:tblPr>
        <w:tblStyle w:val="36"/>
        <w:tblW w:w="9061"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05"/>
        <w:gridCol w:w="8456"/>
      </w:tblGrid>
      <w:tr w14:paraId="217CAD9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62" w:hRule="atLeast"/>
          <w:jc w:val="center"/>
        </w:trPr>
        <w:tc>
          <w:tcPr>
            <w:tcW w:w="605" w:type="dxa"/>
            <w:vAlign w:val="center"/>
          </w:tcPr>
          <w:p w14:paraId="349A38BC">
            <w:pPr>
              <w:adjustRightInd w:val="0"/>
              <w:snapToGrid w:val="0"/>
              <w:jc w:val="center"/>
              <w:rPr>
                <w:rFonts w:ascii="宋体" w:hAnsi="宋体" w:cs="宋体"/>
                <w:kern w:val="0"/>
                <w:sz w:val="24"/>
              </w:rPr>
            </w:pPr>
            <w:r>
              <w:rPr>
                <w:rFonts w:hint="eastAsia" w:ascii="宋体" w:hAnsi="宋体" w:cs="宋体"/>
                <w:kern w:val="0"/>
                <w:sz w:val="24"/>
              </w:rPr>
              <w:t>区域</w:t>
            </w:r>
          </w:p>
          <w:p w14:paraId="54B9A4AB">
            <w:pPr>
              <w:adjustRightInd w:val="0"/>
              <w:snapToGrid w:val="0"/>
              <w:jc w:val="center"/>
              <w:rPr>
                <w:rFonts w:ascii="宋体" w:hAnsi="宋体" w:cs="宋体"/>
                <w:kern w:val="0"/>
                <w:sz w:val="24"/>
              </w:rPr>
            </w:pPr>
            <w:r>
              <w:rPr>
                <w:rFonts w:hint="eastAsia" w:ascii="宋体" w:hAnsi="宋体" w:cs="宋体"/>
                <w:kern w:val="0"/>
                <w:sz w:val="24"/>
              </w:rPr>
              <w:t>环境</w:t>
            </w:r>
          </w:p>
          <w:p w14:paraId="217D0E58">
            <w:pPr>
              <w:adjustRightInd w:val="0"/>
              <w:snapToGrid w:val="0"/>
              <w:jc w:val="center"/>
              <w:rPr>
                <w:rFonts w:ascii="宋体" w:hAnsi="宋体" w:cs="宋体"/>
                <w:kern w:val="0"/>
                <w:sz w:val="24"/>
              </w:rPr>
            </w:pPr>
            <w:r>
              <w:rPr>
                <w:rFonts w:hint="eastAsia" w:ascii="宋体" w:hAnsi="宋体" w:cs="宋体"/>
                <w:kern w:val="0"/>
                <w:sz w:val="24"/>
              </w:rPr>
              <w:t>质量</w:t>
            </w:r>
          </w:p>
          <w:p w14:paraId="52555CD6">
            <w:pPr>
              <w:adjustRightInd w:val="0"/>
              <w:snapToGrid w:val="0"/>
              <w:jc w:val="center"/>
              <w:rPr>
                <w:rFonts w:ascii="宋体" w:hAnsi="宋体" w:cs="宋体"/>
                <w:color w:val="FF0000"/>
                <w:kern w:val="0"/>
                <w:szCs w:val="21"/>
              </w:rPr>
            </w:pPr>
            <w:r>
              <w:rPr>
                <w:rFonts w:hint="eastAsia" w:ascii="宋体" w:hAnsi="宋体" w:cs="宋体"/>
                <w:kern w:val="0"/>
                <w:sz w:val="24"/>
              </w:rPr>
              <w:t>现状</w:t>
            </w:r>
          </w:p>
        </w:tc>
        <w:tc>
          <w:tcPr>
            <w:tcW w:w="8456" w:type="dxa"/>
            <w:vAlign w:val="center"/>
          </w:tcPr>
          <w:p w14:paraId="0D82D398">
            <w:pPr>
              <w:spacing w:line="360" w:lineRule="auto"/>
              <w:ind w:firstLine="468" w:firstLineChars="200"/>
              <w:outlineLvl w:val="2"/>
              <w:rPr>
                <w:rFonts w:eastAsia="Times New Roman"/>
                <w:b/>
                <w:bCs/>
                <w:spacing w:val="-3"/>
                <w:sz w:val="24"/>
              </w:rPr>
            </w:pPr>
            <w:r>
              <w:rPr>
                <w:rFonts w:hint="eastAsia" w:eastAsia="Times New Roman"/>
                <w:b/>
                <w:bCs/>
                <w:spacing w:val="-3"/>
                <w:sz w:val="24"/>
              </w:rPr>
              <w:t>3.</w:t>
            </w:r>
            <w:r>
              <w:rPr>
                <w:rFonts w:eastAsia="Times New Roman"/>
                <w:b/>
                <w:bCs/>
                <w:spacing w:val="-3"/>
                <w:sz w:val="24"/>
              </w:rPr>
              <w:t>1</w:t>
            </w:r>
            <w:r>
              <w:rPr>
                <w:rFonts w:hint="eastAsia" w:eastAsia="Times New Roman"/>
                <w:b/>
                <w:bCs/>
                <w:spacing w:val="-3"/>
                <w:sz w:val="24"/>
              </w:rPr>
              <w:t xml:space="preserve">环境空气质量现状调查与评价   </w:t>
            </w:r>
          </w:p>
          <w:p w14:paraId="2CE056FB">
            <w:pPr>
              <w:spacing w:line="360" w:lineRule="auto"/>
              <w:ind w:firstLine="468" w:firstLineChars="200"/>
              <w:outlineLvl w:val="2"/>
              <w:rPr>
                <w:rFonts w:eastAsia="Times New Roman"/>
                <w:b/>
                <w:bCs/>
                <w:spacing w:val="-3"/>
                <w:sz w:val="24"/>
              </w:rPr>
            </w:pPr>
            <w:r>
              <w:rPr>
                <w:rFonts w:hint="eastAsia" w:eastAsia="Times New Roman"/>
                <w:b/>
                <w:bCs/>
                <w:spacing w:val="-3"/>
                <w:sz w:val="24"/>
              </w:rPr>
              <w:t>3.1.1 区域达标情况</w:t>
            </w:r>
          </w:p>
          <w:p w14:paraId="6AAA6347">
            <w:pPr>
              <w:pStyle w:val="109"/>
            </w:pPr>
            <w:r>
              <w:t>根据《环境影响评价技术导则-大气环境》（HJ 2.2-2018）及《建设项目环境影响报告表编制技术指南（污染影响类）（试行）》（环办环评〔2020〕33号）要求：“常规污染物引用与建设项目距离近的有效数据，包括近3年的规划环境影响评价的监测数据，国家、地方环境空气质量监测网数据或生态环境主管部门公开发布的质量数据等”。</w:t>
            </w:r>
          </w:p>
          <w:p w14:paraId="67E9C379">
            <w:pPr>
              <w:pStyle w:val="109"/>
            </w:pPr>
            <w:r>
              <w:t>为了解本项目所在区域环境空气质量现状，本环评收集了衡阳市生态环境局发布的环境状况公报《衡阳市2024年12月及1-12月环境质量状况》（网址：http://sthjj.hengyang.gov.cn/hjzl/hjzkgb/20250124/i3567416.html）中</w:t>
            </w:r>
            <w:r>
              <w:rPr>
                <w:rFonts w:hint="eastAsia"/>
              </w:rPr>
              <w:t>蒸湘区</w:t>
            </w:r>
            <w:r>
              <w:t>（本项目位于</w:t>
            </w:r>
            <w:r>
              <w:rPr>
                <w:rFonts w:hint="eastAsia"/>
              </w:rPr>
              <w:t>衡阳市蒸湘区衡阳钢管深加工产业聚集区</w:t>
            </w:r>
            <w:r>
              <w:t>）的基本污染物环境质量现状数据。</w:t>
            </w:r>
          </w:p>
          <w:p w14:paraId="76534DDC">
            <w:pPr>
              <w:spacing w:line="360" w:lineRule="auto"/>
              <w:ind w:firstLine="480" w:firstLineChars="200"/>
              <w:jc w:val="left"/>
              <w:rPr>
                <w:rFonts w:ascii="宋体" w:hAnsi="宋体" w:cs="宋体"/>
                <w:sz w:val="24"/>
              </w:rPr>
            </w:pPr>
            <w:r>
              <w:rPr>
                <w:sz w:val="24"/>
              </w:rPr>
              <mc:AlternateContent>
                <mc:Choice Requires="wps">
                  <w:drawing>
                    <wp:anchor distT="0" distB="0" distL="114300" distR="114300" simplePos="0" relativeHeight="251662336" behindDoc="0" locked="0" layoutInCell="1" allowOverlap="1">
                      <wp:simplePos x="0" y="0"/>
                      <wp:positionH relativeFrom="column">
                        <wp:posOffset>27940</wp:posOffset>
                      </wp:positionH>
                      <wp:positionV relativeFrom="paragraph">
                        <wp:posOffset>1406525</wp:posOffset>
                      </wp:positionV>
                      <wp:extent cx="5002530" cy="121285"/>
                      <wp:effectExtent l="9525" t="9525" r="17145" b="21590"/>
                      <wp:wrapNone/>
                      <wp:docPr id="22" name="文本框 20"/>
                      <wp:cNvGraphicFramePr/>
                      <a:graphic xmlns:a="http://schemas.openxmlformats.org/drawingml/2006/main">
                        <a:graphicData uri="http://schemas.microsoft.com/office/word/2010/wordprocessingShape">
                          <wps:wsp>
                            <wps:cNvSpPr txBox="1"/>
                            <wps:spPr>
                              <a:xfrm>
                                <a:off x="0" y="0"/>
                                <a:ext cx="5002530" cy="121285"/>
                              </a:xfrm>
                              <a:prstGeom prst="rect">
                                <a:avLst/>
                              </a:prstGeom>
                              <a:noFill/>
                              <a:ln w="19050" cap="flat" cmpd="sng">
                                <a:solidFill>
                                  <a:srgbClr val="FF0000"/>
                                </a:solidFill>
                                <a:prstDash val="solid"/>
                                <a:round/>
                                <a:headEnd type="none" w="med" len="med"/>
                                <a:tailEnd type="none" w="med" len="med"/>
                              </a:ln>
                              <a:effectLst/>
                            </wps:spPr>
                            <wps:txbx>
                              <w:txbxContent>
                                <w:p w14:paraId="551A18E5"/>
                              </w:txbxContent>
                            </wps:txbx>
                            <wps:bodyPr vert="horz" wrap="square" anchor="t" upright="1"/>
                          </wps:wsp>
                        </a:graphicData>
                      </a:graphic>
                    </wp:anchor>
                  </w:drawing>
                </mc:Choice>
                <mc:Fallback>
                  <w:pict>
                    <v:shape id="文本框 20" o:spid="_x0000_s1026" o:spt="202" type="#_x0000_t202" style="position:absolute;left:0pt;margin-left:2.2pt;margin-top:110.75pt;height:9.55pt;width:393.9pt;z-index:251662336;mso-width-relative:page;mso-height-relative:page;" filled="f" stroked="t" coordsize="21600,21600" o:gfxdata="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Bc&#10;48vy2QAAAAkBAAAPAAAAAAAAAAEAIAAAACIAAABkcnMvZG93bnJldi54bWxQSwECFAAUAAAACACH&#10;TuJA9nncayMCAABDBAAADgAAAAAAAAABACAAAAAoAQAAZHJzL2Uyb0RvYy54bWxQSwUGAAAAAAYA&#10;BgBZAQAAvQUAAAAA&#10;">
                      <v:fill on="f" focussize="0,0"/>
                      <v:stroke weight="1.5pt" color="#FF0000" joinstyle="round"/>
                      <v:imagedata o:title=""/>
                      <o:lock v:ext="edit" aspectratio="f"/>
                      <v:textbox>
                        <w:txbxContent>
                          <w:p w14:paraId="551A18E5"/>
                        </w:txbxContent>
                      </v:textbox>
                    </v:shape>
                  </w:pict>
                </mc:Fallback>
              </mc:AlternateContent>
            </w:r>
            <w:r>
              <w:rPr>
                <w:sz w:val="24"/>
              </w:rPr>
              <mc:AlternateContent>
                <mc:Choice Requires="wps">
                  <w:drawing>
                    <wp:anchor distT="0" distB="0" distL="114300" distR="114300" simplePos="0" relativeHeight="251661312" behindDoc="0" locked="0" layoutInCell="1" allowOverlap="1">
                      <wp:simplePos x="0" y="0"/>
                      <wp:positionH relativeFrom="column">
                        <wp:posOffset>42545</wp:posOffset>
                      </wp:positionH>
                      <wp:positionV relativeFrom="paragraph">
                        <wp:posOffset>996950</wp:posOffset>
                      </wp:positionV>
                      <wp:extent cx="4978400" cy="121285"/>
                      <wp:effectExtent l="9525" t="9525" r="22225" b="21590"/>
                      <wp:wrapNone/>
                      <wp:docPr id="19" name="文本框 19"/>
                      <wp:cNvGraphicFramePr/>
                      <a:graphic xmlns:a="http://schemas.openxmlformats.org/drawingml/2006/main">
                        <a:graphicData uri="http://schemas.microsoft.com/office/word/2010/wordprocessingShape">
                          <wps:wsp>
                            <wps:cNvSpPr txBox="1"/>
                            <wps:spPr>
                              <a:xfrm>
                                <a:off x="4114165" y="7011670"/>
                                <a:ext cx="4978400" cy="121285"/>
                              </a:xfrm>
                              <a:prstGeom prst="rect">
                                <a:avLst/>
                              </a:prstGeom>
                              <a:noFill/>
                              <a:ln w="19050">
                                <a:solidFill>
                                  <a:srgbClr val="A6A6A6">
                                    <a:lumMod val="65000"/>
                                  </a:srgbClr>
                                </a:solidFill>
                              </a:ln>
                              <a:effectLst/>
                            </wps:spPr>
                            <wps:txbx>
                              <w:txbxContent>
                                <w:p w14:paraId="54883587"/>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35pt;margin-top:78.5pt;height:9.55pt;width:392pt;z-index:251661312;mso-width-relative:page;mso-height-relative:page;" filled="f" stroked="t" coordsize="21600,21600" o:gfxdata="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CAzAum1AAAAAkBAAAPAAAAAAAAAAEAIAAAACIAAABkcnMvZG93bnJl&#10;di54bWxQSwECFAAUAAAACACHTuJAJP/BSXMCAADOBAAADgAAAAAAAAABACAAAAAjAQAAZHJzL2Uy&#10;b0RvYy54bWxQSwUGAAAAAAYABgBZAQAACAYAAAAA&#10;">
                      <v:fill on="f" focussize="0,0"/>
                      <v:stroke weight="1.5pt" color="#6C6C6C" joinstyle="round"/>
                      <v:imagedata o:title=""/>
                      <o:lock v:ext="edit" aspectratio="f"/>
                      <v:textbox>
                        <w:txbxContent>
                          <w:p w14:paraId="54883587"/>
                        </w:txbxContent>
                      </v:textbox>
                    </v:shape>
                  </w:pict>
                </mc:Fallback>
              </mc:AlternateContent>
            </w:r>
            <w:r>
              <w:rPr>
                <w:rFonts w:hint="eastAsia"/>
                <w:color w:val="000000"/>
                <w:sz w:val="24"/>
              </w:rPr>
              <w:t>2024年蒸湘区区环境空气质量统计情况见图3-1、表3-1。</w:t>
            </w:r>
            <w:r>
              <w:rPr>
                <w:color w:val="000000"/>
              </w:rPr>
              <w:drawing>
                <wp:inline distT="0" distB="0" distL="114300" distR="114300">
                  <wp:extent cx="5060950" cy="2010410"/>
                  <wp:effectExtent l="0" t="0" r="6350" b="889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24" cstate="print"/>
                          <a:stretch>
                            <a:fillRect/>
                          </a:stretch>
                        </pic:blipFill>
                        <pic:spPr>
                          <a:xfrm>
                            <a:off x="0" y="0"/>
                            <a:ext cx="5060950" cy="2010410"/>
                          </a:xfrm>
                          <a:prstGeom prst="rect">
                            <a:avLst/>
                          </a:prstGeom>
                          <a:noFill/>
                          <a:ln>
                            <a:noFill/>
                          </a:ln>
                        </pic:spPr>
                      </pic:pic>
                    </a:graphicData>
                  </a:graphic>
                </wp:inline>
              </w:drawing>
            </w:r>
          </w:p>
          <w:p w14:paraId="460379C3">
            <w:pPr>
              <w:pStyle w:val="173"/>
              <w:spacing w:before="120"/>
              <w:rPr>
                <w:rFonts w:hint="default" w:ascii="Times New Roman" w:hAnsi="Times New Roman" w:cs="Times New Roman"/>
                <w:color w:val="000000"/>
              </w:rPr>
            </w:pPr>
            <w:r>
              <w:rPr>
                <w:rFonts w:hint="default" w:ascii="Times New Roman" w:hAnsi="Times New Roman" w:cs="Times New Roman"/>
                <w:color w:val="000000"/>
              </w:rPr>
              <w:t>图3-1  2024年</w:t>
            </w:r>
            <w:r>
              <w:rPr>
                <w:rFonts w:ascii="Times New Roman" w:hAnsi="Times New Roman" w:cs="Times New Roman"/>
                <w:color w:val="000000"/>
              </w:rPr>
              <w:t>蒸湘</w:t>
            </w:r>
            <w:r>
              <w:rPr>
                <w:rFonts w:hint="default" w:ascii="Times New Roman" w:hAnsi="Times New Roman" w:cs="Times New Roman"/>
                <w:color w:val="000000"/>
              </w:rPr>
              <w:t>区环境空气质量统计情况</w:t>
            </w:r>
          </w:p>
          <w:p w14:paraId="7FE7FFA3">
            <w:pPr>
              <w:pStyle w:val="173"/>
              <w:spacing w:before="120"/>
              <w:rPr>
                <w:rFonts w:hint="default" w:ascii="Times New Roman" w:hAnsi="Times New Roman" w:cs="Times New Roman"/>
              </w:rPr>
            </w:pPr>
            <w:r>
              <w:rPr>
                <w:rFonts w:hint="default" w:ascii="Times New Roman" w:hAnsi="Times New Roman" w:cs="Times New Roman"/>
              </w:rPr>
              <w:t>表3-1  202</w:t>
            </w:r>
            <w:r>
              <w:rPr>
                <w:rFonts w:ascii="Times New Roman" w:hAnsi="Times New Roman" w:cs="Times New Roman"/>
              </w:rPr>
              <w:t>4</w:t>
            </w:r>
            <w:r>
              <w:rPr>
                <w:rFonts w:hint="default" w:ascii="Times New Roman" w:hAnsi="Times New Roman" w:cs="Times New Roman"/>
              </w:rPr>
              <w:t xml:space="preserve"> 年度</w:t>
            </w:r>
            <w:r>
              <w:rPr>
                <w:rFonts w:ascii="Times New Roman" w:hAnsi="Times New Roman" w:cs="Times New Roman"/>
              </w:rPr>
              <w:t>蒸湘区</w:t>
            </w:r>
            <w:r>
              <w:rPr>
                <w:rFonts w:hint="default" w:ascii="Times New Roman" w:hAnsi="Times New Roman" w:cs="Times New Roman"/>
              </w:rPr>
              <w:t>环境空气质量状况统计情况</w:t>
            </w:r>
          </w:p>
          <w:tbl>
            <w:tblPr>
              <w:tblStyle w:val="36"/>
              <w:tblW w:w="7971"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79"/>
              <w:gridCol w:w="2758"/>
              <w:gridCol w:w="795"/>
              <w:gridCol w:w="940"/>
              <w:gridCol w:w="798"/>
              <w:gridCol w:w="1350"/>
              <w:gridCol w:w="651"/>
            </w:tblGrid>
            <w:tr w14:paraId="7957231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79" w:type="dxa"/>
                  <w:tcBorders>
                    <w:top w:val="single" w:color="auto" w:sz="12" w:space="0"/>
                    <w:left w:val="nil"/>
                    <w:bottom w:val="single" w:color="auto" w:sz="4" w:space="0"/>
                    <w:right w:val="single" w:color="auto" w:sz="4" w:space="0"/>
                    <w:tl2br w:val="nil"/>
                    <w:tr2bl w:val="nil"/>
                  </w:tcBorders>
                  <w:vAlign w:val="center"/>
                </w:tcPr>
                <w:p w14:paraId="656B0CC7">
                  <w:pPr>
                    <w:pStyle w:val="146"/>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评价因子</w:t>
                  </w:r>
                </w:p>
              </w:tc>
              <w:tc>
                <w:tcPr>
                  <w:tcW w:w="2758" w:type="dxa"/>
                  <w:tcBorders>
                    <w:top w:val="single" w:color="auto" w:sz="12" w:space="0"/>
                    <w:left w:val="single" w:color="auto" w:sz="4" w:space="0"/>
                    <w:bottom w:val="single" w:color="auto" w:sz="4" w:space="0"/>
                    <w:right w:val="single" w:color="auto" w:sz="4" w:space="0"/>
                    <w:tl2br w:val="nil"/>
                    <w:tr2bl w:val="nil"/>
                  </w:tcBorders>
                  <w:vAlign w:val="center"/>
                </w:tcPr>
                <w:p w14:paraId="2467E14E">
                  <w:pPr>
                    <w:pStyle w:val="146"/>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项目</w:t>
                  </w:r>
                </w:p>
              </w:tc>
              <w:tc>
                <w:tcPr>
                  <w:tcW w:w="795" w:type="dxa"/>
                  <w:tcBorders>
                    <w:top w:val="single" w:color="auto" w:sz="12" w:space="0"/>
                    <w:left w:val="single" w:color="auto" w:sz="4" w:space="0"/>
                    <w:bottom w:val="single" w:color="auto" w:sz="4" w:space="0"/>
                    <w:right w:val="single" w:color="auto" w:sz="4" w:space="0"/>
                    <w:tl2br w:val="nil"/>
                    <w:tr2bl w:val="nil"/>
                  </w:tcBorders>
                  <w:vAlign w:val="center"/>
                </w:tcPr>
                <w:p w14:paraId="142BECA5">
                  <w:pPr>
                    <w:pStyle w:val="146"/>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单位</w:t>
                  </w:r>
                </w:p>
              </w:tc>
              <w:tc>
                <w:tcPr>
                  <w:tcW w:w="940" w:type="dxa"/>
                  <w:tcBorders>
                    <w:top w:val="single" w:color="auto" w:sz="12" w:space="0"/>
                    <w:left w:val="single" w:color="auto" w:sz="4" w:space="0"/>
                    <w:bottom w:val="single" w:color="auto" w:sz="4" w:space="0"/>
                    <w:right w:val="single" w:color="auto" w:sz="4" w:space="0"/>
                    <w:tl2br w:val="nil"/>
                    <w:tr2bl w:val="nil"/>
                  </w:tcBorders>
                  <w:vAlign w:val="center"/>
                </w:tcPr>
                <w:p w14:paraId="18D3199A">
                  <w:pPr>
                    <w:pStyle w:val="146"/>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现状浓度</w:t>
                  </w:r>
                </w:p>
              </w:tc>
              <w:tc>
                <w:tcPr>
                  <w:tcW w:w="798" w:type="dxa"/>
                  <w:tcBorders>
                    <w:top w:val="single" w:color="auto" w:sz="12" w:space="0"/>
                    <w:left w:val="single" w:color="auto" w:sz="4" w:space="0"/>
                    <w:bottom w:val="single" w:color="auto" w:sz="4" w:space="0"/>
                    <w:right w:val="single" w:color="auto" w:sz="4" w:space="0"/>
                    <w:tl2br w:val="nil"/>
                    <w:tr2bl w:val="nil"/>
                  </w:tcBorders>
                  <w:vAlign w:val="center"/>
                </w:tcPr>
                <w:p w14:paraId="3EA68FF8">
                  <w:pPr>
                    <w:pStyle w:val="146"/>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标准值</w:t>
                  </w:r>
                </w:p>
              </w:tc>
              <w:tc>
                <w:tcPr>
                  <w:tcW w:w="1350" w:type="dxa"/>
                  <w:tcBorders>
                    <w:top w:val="single" w:color="auto" w:sz="12" w:space="0"/>
                    <w:left w:val="single" w:color="auto" w:sz="4" w:space="0"/>
                    <w:bottom w:val="single" w:color="auto" w:sz="4" w:space="0"/>
                    <w:right w:val="single" w:color="auto" w:sz="4" w:space="0"/>
                    <w:tl2br w:val="nil"/>
                    <w:tr2bl w:val="nil"/>
                  </w:tcBorders>
                  <w:vAlign w:val="center"/>
                </w:tcPr>
                <w:p w14:paraId="08413646">
                  <w:pPr>
                    <w:pStyle w:val="146"/>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占标率（%）</w:t>
                  </w:r>
                </w:p>
              </w:tc>
              <w:tc>
                <w:tcPr>
                  <w:tcW w:w="651" w:type="dxa"/>
                  <w:tcBorders>
                    <w:top w:val="single" w:color="auto" w:sz="12" w:space="0"/>
                    <w:left w:val="single" w:color="auto" w:sz="4" w:space="0"/>
                    <w:bottom w:val="single" w:color="auto" w:sz="4" w:space="0"/>
                    <w:right w:val="nil"/>
                    <w:tl2br w:val="nil"/>
                    <w:tr2bl w:val="nil"/>
                  </w:tcBorders>
                  <w:vAlign w:val="center"/>
                </w:tcPr>
                <w:p w14:paraId="2CAD6DD4">
                  <w:pPr>
                    <w:pStyle w:val="146"/>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达标情况</w:t>
                  </w:r>
                </w:p>
              </w:tc>
            </w:tr>
            <w:tr w14:paraId="0057491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79" w:type="dxa"/>
                  <w:tcBorders>
                    <w:top w:val="single" w:color="auto" w:sz="4" w:space="0"/>
                    <w:left w:val="nil"/>
                    <w:bottom w:val="single" w:color="auto" w:sz="4" w:space="0"/>
                    <w:right w:val="single" w:color="auto" w:sz="4" w:space="0"/>
                    <w:tl2br w:val="nil"/>
                    <w:tr2bl w:val="nil"/>
                  </w:tcBorders>
                  <w:vAlign w:val="center"/>
                </w:tcPr>
                <w:p w14:paraId="6247C0E1">
                  <w:pPr>
                    <w:pStyle w:val="146"/>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PM</w:t>
                  </w:r>
                  <w:r>
                    <w:rPr>
                      <w:rFonts w:hint="default" w:ascii="Times New Roman" w:hAnsi="Times New Roman" w:cs="Times New Roman"/>
                      <w:color w:val="000000"/>
                      <w:sz w:val="18"/>
                      <w:szCs w:val="18"/>
                      <w:vertAlign w:val="subscript"/>
                    </w:rPr>
                    <w:t>10</w:t>
                  </w:r>
                </w:p>
              </w:tc>
              <w:tc>
                <w:tcPr>
                  <w:tcW w:w="2758" w:type="dxa"/>
                  <w:tcBorders>
                    <w:top w:val="single" w:color="auto" w:sz="4" w:space="0"/>
                    <w:left w:val="single" w:color="auto" w:sz="4" w:space="0"/>
                    <w:bottom w:val="single" w:color="auto" w:sz="4" w:space="0"/>
                    <w:right w:val="single" w:color="auto" w:sz="4" w:space="0"/>
                    <w:tl2br w:val="nil"/>
                    <w:tr2bl w:val="nil"/>
                  </w:tcBorders>
                  <w:vAlign w:val="center"/>
                </w:tcPr>
                <w:p w14:paraId="7F5D0682">
                  <w:pPr>
                    <w:pStyle w:val="146"/>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年平均值</w:t>
                  </w:r>
                </w:p>
              </w:tc>
              <w:tc>
                <w:tcPr>
                  <w:tcW w:w="795" w:type="dxa"/>
                  <w:tcBorders>
                    <w:top w:val="single" w:color="auto" w:sz="4" w:space="0"/>
                    <w:left w:val="single" w:color="auto" w:sz="4" w:space="0"/>
                    <w:bottom w:val="single" w:color="auto" w:sz="4" w:space="0"/>
                    <w:right w:val="single" w:color="auto" w:sz="4" w:space="0"/>
                    <w:tl2br w:val="nil"/>
                    <w:tr2bl w:val="nil"/>
                  </w:tcBorders>
                  <w:vAlign w:val="center"/>
                </w:tcPr>
                <w:p w14:paraId="599F2CCC">
                  <w:pPr>
                    <w:pStyle w:val="146"/>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μg/m</w:t>
                  </w:r>
                  <w:r>
                    <w:rPr>
                      <w:rFonts w:hint="default" w:ascii="Times New Roman" w:hAnsi="Times New Roman" w:cs="Times New Roman"/>
                      <w:color w:val="000000"/>
                      <w:sz w:val="18"/>
                      <w:szCs w:val="18"/>
                      <w:vertAlign w:val="superscript"/>
                    </w:rPr>
                    <w:t>3</w:t>
                  </w:r>
                </w:p>
              </w:tc>
              <w:tc>
                <w:tcPr>
                  <w:tcW w:w="940" w:type="dxa"/>
                  <w:tcBorders>
                    <w:top w:val="single" w:color="auto" w:sz="4" w:space="0"/>
                    <w:left w:val="single" w:color="auto" w:sz="4" w:space="0"/>
                    <w:bottom w:val="single" w:color="auto" w:sz="4" w:space="0"/>
                    <w:right w:val="single" w:color="auto" w:sz="4" w:space="0"/>
                    <w:tl2br w:val="nil"/>
                    <w:tr2bl w:val="nil"/>
                  </w:tcBorders>
                  <w:vAlign w:val="center"/>
                </w:tcPr>
                <w:p w14:paraId="45A1D0C1">
                  <w:pPr>
                    <w:pStyle w:val="146"/>
                    <w:rPr>
                      <w:rFonts w:hint="default" w:ascii="Times New Roman" w:hAnsi="Times New Roman" w:cs="Times New Roman"/>
                      <w:color w:val="000000"/>
                      <w:sz w:val="18"/>
                      <w:szCs w:val="18"/>
                    </w:rPr>
                  </w:pPr>
                  <w:r>
                    <w:rPr>
                      <w:rFonts w:ascii="Times New Roman" w:hAnsi="Times New Roman" w:cs="Times New Roman"/>
                      <w:color w:val="000000"/>
                      <w:sz w:val="18"/>
                      <w:szCs w:val="18"/>
                    </w:rPr>
                    <w:t>49</w:t>
                  </w:r>
                </w:p>
              </w:tc>
              <w:tc>
                <w:tcPr>
                  <w:tcW w:w="798" w:type="dxa"/>
                  <w:tcBorders>
                    <w:top w:val="single" w:color="auto" w:sz="4" w:space="0"/>
                    <w:left w:val="single" w:color="auto" w:sz="4" w:space="0"/>
                    <w:bottom w:val="single" w:color="auto" w:sz="4" w:space="0"/>
                    <w:right w:val="single" w:color="auto" w:sz="4" w:space="0"/>
                    <w:tl2br w:val="nil"/>
                    <w:tr2bl w:val="nil"/>
                  </w:tcBorders>
                  <w:vAlign w:val="center"/>
                </w:tcPr>
                <w:p w14:paraId="2F11FAEE">
                  <w:pPr>
                    <w:pStyle w:val="146"/>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70</w:t>
                  </w:r>
                </w:p>
              </w:tc>
              <w:tc>
                <w:tcPr>
                  <w:tcW w:w="1350" w:type="dxa"/>
                  <w:tcBorders>
                    <w:top w:val="single" w:color="auto" w:sz="4" w:space="0"/>
                    <w:left w:val="single" w:color="auto" w:sz="4" w:space="0"/>
                    <w:bottom w:val="single" w:color="auto" w:sz="4" w:space="0"/>
                    <w:right w:val="single" w:color="auto" w:sz="4" w:space="0"/>
                    <w:tl2br w:val="nil"/>
                    <w:tr2bl w:val="nil"/>
                  </w:tcBorders>
                  <w:vAlign w:val="center"/>
                </w:tcPr>
                <w:p w14:paraId="16E009CD">
                  <w:pPr>
                    <w:pStyle w:val="146"/>
                    <w:rPr>
                      <w:rFonts w:hint="default" w:ascii="Times New Roman" w:hAnsi="Times New Roman" w:cs="Times New Roman"/>
                      <w:color w:val="000000"/>
                      <w:sz w:val="18"/>
                      <w:szCs w:val="18"/>
                    </w:rPr>
                  </w:pPr>
                  <w:r>
                    <w:rPr>
                      <w:rFonts w:ascii="Times New Roman" w:hAnsi="Times New Roman" w:cs="Times New Roman"/>
                      <w:color w:val="000000"/>
                      <w:sz w:val="18"/>
                      <w:szCs w:val="18"/>
                    </w:rPr>
                    <w:t>70</w:t>
                  </w:r>
                </w:p>
              </w:tc>
              <w:tc>
                <w:tcPr>
                  <w:tcW w:w="651" w:type="dxa"/>
                  <w:tcBorders>
                    <w:top w:val="single" w:color="auto" w:sz="4" w:space="0"/>
                    <w:left w:val="single" w:color="auto" w:sz="4" w:space="0"/>
                    <w:bottom w:val="single" w:color="auto" w:sz="4" w:space="0"/>
                    <w:right w:val="nil"/>
                    <w:tl2br w:val="nil"/>
                    <w:tr2bl w:val="nil"/>
                  </w:tcBorders>
                  <w:vAlign w:val="center"/>
                </w:tcPr>
                <w:p w14:paraId="61D3ED10">
                  <w:pPr>
                    <w:pStyle w:val="146"/>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达标</w:t>
                  </w:r>
                </w:p>
              </w:tc>
            </w:tr>
            <w:tr w14:paraId="7073C78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79" w:type="dxa"/>
                  <w:tcBorders>
                    <w:top w:val="single" w:color="auto" w:sz="4" w:space="0"/>
                    <w:left w:val="nil"/>
                    <w:bottom w:val="single" w:color="auto" w:sz="4" w:space="0"/>
                    <w:right w:val="single" w:color="auto" w:sz="4" w:space="0"/>
                    <w:tl2br w:val="nil"/>
                    <w:tr2bl w:val="nil"/>
                  </w:tcBorders>
                  <w:vAlign w:val="center"/>
                </w:tcPr>
                <w:p w14:paraId="42A3EBC2">
                  <w:pPr>
                    <w:pStyle w:val="146"/>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PM</w:t>
                  </w:r>
                  <w:r>
                    <w:rPr>
                      <w:rFonts w:hint="default" w:ascii="Times New Roman" w:hAnsi="Times New Roman" w:cs="Times New Roman"/>
                      <w:color w:val="000000"/>
                      <w:sz w:val="18"/>
                      <w:szCs w:val="18"/>
                      <w:vertAlign w:val="subscript"/>
                    </w:rPr>
                    <w:t>2.5</w:t>
                  </w:r>
                </w:p>
              </w:tc>
              <w:tc>
                <w:tcPr>
                  <w:tcW w:w="2758" w:type="dxa"/>
                  <w:tcBorders>
                    <w:top w:val="single" w:color="auto" w:sz="4" w:space="0"/>
                    <w:left w:val="single" w:color="auto" w:sz="4" w:space="0"/>
                    <w:bottom w:val="single" w:color="auto" w:sz="4" w:space="0"/>
                    <w:right w:val="single" w:color="auto" w:sz="4" w:space="0"/>
                    <w:tl2br w:val="nil"/>
                    <w:tr2bl w:val="nil"/>
                  </w:tcBorders>
                  <w:vAlign w:val="center"/>
                </w:tcPr>
                <w:p w14:paraId="31D8A19E">
                  <w:pPr>
                    <w:pStyle w:val="146"/>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年平均值</w:t>
                  </w:r>
                </w:p>
              </w:tc>
              <w:tc>
                <w:tcPr>
                  <w:tcW w:w="795" w:type="dxa"/>
                  <w:tcBorders>
                    <w:top w:val="single" w:color="auto" w:sz="4" w:space="0"/>
                    <w:left w:val="single" w:color="auto" w:sz="4" w:space="0"/>
                    <w:bottom w:val="single" w:color="auto" w:sz="4" w:space="0"/>
                    <w:right w:val="single" w:color="auto" w:sz="4" w:space="0"/>
                    <w:tl2br w:val="nil"/>
                    <w:tr2bl w:val="nil"/>
                  </w:tcBorders>
                  <w:vAlign w:val="center"/>
                </w:tcPr>
                <w:p w14:paraId="02304FF7">
                  <w:pPr>
                    <w:pStyle w:val="146"/>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μg/m</w:t>
                  </w:r>
                  <w:r>
                    <w:rPr>
                      <w:rFonts w:hint="default" w:ascii="Times New Roman" w:hAnsi="Times New Roman" w:cs="Times New Roman"/>
                      <w:color w:val="000000"/>
                      <w:sz w:val="18"/>
                      <w:szCs w:val="18"/>
                      <w:vertAlign w:val="superscript"/>
                    </w:rPr>
                    <w:t>3</w:t>
                  </w:r>
                </w:p>
              </w:tc>
              <w:tc>
                <w:tcPr>
                  <w:tcW w:w="940" w:type="dxa"/>
                  <w:tcBorders>
                    <w:top w:val="single" w:color="auto" w:sz="4" w:space="0"/>
                    <w:left w:val="single" w:color="auto" w:sz="4" w:space="0"/>
                    <w:bottom w:val="single" w:color="auto" w:sz="4" w:space="0"/>
                    <w:right w:val="single" w:color="auto" w:sz="4" w:space="0"/>
                    <w:tl2br w:val="nil"/>
                    <w:tr2bl w:val="nil"/>
                  </w:tcBorders>
                  <w:vAlign w:val="center"/>
                </w:tcPr>
                <w:p w14:paraId="1403EB0F">
                  <w:pPr>
                    <w:pStyle w:val="146"/>
                    <w:rPr>
                      <w:rFonts w:hint="default" w:ascii="Times New Roman" w:hAnsi="Times New Roman" w:cs="Times New Roman"/>
                      <w:color w:val="000000"/>
                      <w:sz w:val="18"/>
                      <w:szCs w:val="18"/>
                    </w:rPr>
                  </w:pPr>
                  <w:r>
                    <w:rPr>
                      <w:rFonts w:ascii="Times New Roman" w:hAnsi="Times New Roman" w:cs="Times New Roman"/>
                      <w:color w:val="000000"/>
                      <w:sz w:val="18"/>
                      <w:szCs w:val="18"/>
                    </w:rPr>
                    <w:t>36</w:t>
                  </w:r>
                </w:p>
              </w:tc>
              <w:tc>
                <w:tcPr>
                  <w:tcW w:w="798" w:type="dxa"/>
                  <w:tcBorders>
                    <w:top w:val="single" w:color="auto" w:sz="4" w:space="0"/>
                    <w:left w:val="single" w:color="auto" w:sz="4" w:space="0"/>
                    <w:bottom w:val="single" w:color="auto" w:sz="4" w:space="0"/>
                    <w:right w:val="single" w:color="auto" w:sz="4" w:space="0"/>
                    <w:tl2br w:val="nil"/>
                    <w:tr2bl w:val="nil"/>
                  </w:tcBorders>
                  <w:vAlign w:val="center"/>
                </w:tcPr>
                <w:p w14:paraId="65021065">
                  <w:pPr>
                    <w:pStyle w:val="146"/>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35</w:t>
                  </w:r>
                </w:p>
              </w:tc>
              <w:tc>
                <w:tcPr>
                  <w:tcW w:w="1350" w:type="dxa"/>
                  <w:tcBorders>
                    <w:top w:val="single" w:color="auto" w:sz="4" w:space="0"/>
                    <w:left w:val="single" w:color="auto" w:sz="4" w:space="0"/>
                    <w:bottom w:val="single" w:color="auto" w:sz="4" w:space="0"/>
                    <w:right w:val="single" w:color="auto" w:sz="4" w:space="0"/>
                    <w:tl2br w:val="nil"/>
                    <w:tr2bl w:val="nil"/>
                  </w:tcBorders>
                  <w:vAlign w:val="center"/>
                </w:tcPr>
                <w:p w14:paraId="44E624E5">
                  <w:pPr>
                    <w:pStyle w:val="146"/>
                    <w:rPr>
                      <w:rFonts w:hint="default" w:ascii="Times New Roman" w:hAnsi="Times New Roman" w:cs="Times New Roman"/>
                      <w:color w:val="000000"/>
                      <w:sz w:val="18"/>
                      <w:szCs w:val="18"/>
                    </w:rPr>
                  </w:pPr>
                  <w:r>
                    <w:rPr>
                      <w:rFonts w:ascii="Times New Roman" w:hAnsi="Times New Roman" w:cs="Times New Roman"/>
                      <w:color w:val="000000"/>
                      <w:sz w:val="18"/>
                      <w:szCs w:val="18"/>
                    </w:rPr>
                    <w:t>102.86</w:t>
                  </w:r>
                </w:p>
              </w:tc>
              <w:tc>
                <w:tcPr>
                  <w:tcW w:w="651" w:type="dxa"/>
                  <w:tcBorders>
                    <w:top w:val="single" w:color="auto" w:sz="4" w:space="0"/>
                    <w:left w:val="single" w:color="auto" w:sz="4" w:space="0"/>
                    <w:bottom w:val="single" w:color="auto" w:sz="4" w:space="0"/>
                    <w:right w:val="nil"/>
                    <w:tl2br w:val="nil"/>
                    <w:tr2bl w:val="nil"/>
                  </w:tcBorders>
                  <w:vAlign w:val="center"/>
                </w:tcPr>
                <w:p w14:paraId="5CFD884F">
                  <w:pPr>
                    <w:pStyle w:val="146"/>
                    <w:rPr>
                      <w:rFonts w:hint="default" w:ascii="Times New Roman" w:hAnsi="Times New Roman" w:cs="Times New Roman"/>
                      <w:color w:val="000000"/>
                      <w:sz w:val="18"/>
                      <w:szCs w:val="18"/>
                    </w:rPr>
                  </w:pPr>
                  <w:r>
                    <w:rPr>
                      <w:rFonts w:ascii="Times New Roman" w:hAnsi="Times New Roman" w:cs="Times New Roman"/>
                      <w:color w:val="000000"/>
                      <w:sz w:val="18"/>
                      <w:szCs w:val="18"/>
                    </w:rPr>
                    <w:t>超标</w:t>
                  </w:r>
                </w:p>
              </w:tc>
            </w:tr>
            <w:tr w14:paraId="5FB95F9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79" w:type="dxa"/>
                  <w:tcBorders>
                    <w:top w:val="single" w:color="auto" w:sz="4" w:space="0"/>
                    <w:left w:val="nil"/>
                    <w:bottom w:val="single" w:color="auto" w:sz="4" w:space="0"/>
                    <w:right w:val="single" w:color="auto" w:sz="4" w:space="0"/>
                    <w:tl2br w:val="nil"/>
                    <w:tr2bl w:val="nil"/>
                  </w:tcBorders>
                  <w:vAlign w:val="center"/>
                </w:tcPr>
                <w:p w14:paraId="4F3F15D3">
                  <w:pPr>
                    <w:pStyle w:val="146"/>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SO</w:t>
                  </w:r>
                  <w:r>
                    <w:rPr>
                      <w:rFonts w:hint="default" w:ascii="Times New Roman" w:hAnsi="Times New Roman" w:cs="Times New Roman"/>
                      <w:color w:val="000000"/>
                      <w:sz w:val="18"/>
                      <w:szCs w:val="18"/>
                      <w:vertAlign w:val="subscript"/>
                    </w:rPr>
                    <w:t>2</w:t>
                  </w:r>
                </w:p>
              </w:tc>
              <w:tc>
                <w:tcPr>
                  <w:tcW w:w="2758" w:type="dxa"/>
                  <w:tcBorders>
                    <w:top w:val="single" w:color="auto" w:sz="4" w:space="0"/>
                    <w:left w:val="single" w:color="auto" w:sz="4" w:space="0"/>
                    <w:bottom w:val="single" w:color="auto" w:sz="4" w:space="0"/>
                    <w:right w:val="single" w:color="auto" w:sz="4" w:space="0"/>
                    <w:tl2br w:val="nil"/>
                    <w:tr2bl w:val="nil"/>
                  </w:tcBorders>
                  <w:vAlign w:val="center"/>
                </w:tcPr>
                <w:p w14:paraId="6559A8EF">
                  <w:pPr>
                    <w:pStyle w:val="146"/>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年平均值</w:t>
                  </w:r>
                </w:p>
              </w:tc>
              <w:tc>
                <w:tcPr>
                  <w:tcW w:w="795" w:type="dxa"/>
                  <w:tcBorders>
                    <w:top w:val="single" w:color="auto" w:sz="4" w:space="0"/>
                    <w:left w:val="single" w:color="auto" w:sz="4" w:space="0"/>
                    <w:bottom w:val="single" w:color="auto" w:sz="4" w:space="0"/>
                    <w:right w:val="single" w:color="auto" w:sz="4" w:space="0"/>
                    <w:tl2br w:val="nil"/>
                    <w:tr2bl w:val="nil"/>
                  </w:tcBorders>
                  <w:vAlign w:val="center"/>
                </w:tcPr>
                <w:p w14:paraId="1D7679AE">
                  <w:pPr>
                    <w:pStyle w:val="146"/>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μg/m</w:t>
                  </w:r>
                  <w:r>
                    <w:rPr>
                      <w:rFonts w:hint="default" w:ascii="Times New Roman" w:hAnsi="Times New Roman" w:cs="Times New Roman"/>
                      <w:color w:val="000000"/>
                      <w:sz w:val="18"/>
                      <w:szCs w:val="18"/>
                      <w:vertAlign w:val="superscript"/>
                    </w:rPr>
                    <w:t>3</w:t>
                  </w:r>
                </w:p>
              </w:tc>
              <w:tc>
                <w:tcPr>
                  <w:tcW w:w="940" w:type="dxa"/>
                  <w:tcBorders>
                    <w:top w:val="single" w:color="auto" w:sz="4" w:space="0"/>
                    <w:left w:val="single" w:color="auto" w:sz="4" w:space="0"/>
                    <w:bottom w:val="single" w:color="auto" w:sz="4" w:space="0"/>
                    <w:right w:val="single" w:color="auto" w:sz="4" w:space="0"/>
                    <w:tl2br w:val="nil"/>
                    <w:tr2bl w:val="nil"/>
                  </w:tcBorders>
                  <w:vAlign w:val="center"/>
                </w:tcPr>
                <w:p w14:paraId="5B326301">
                  <w:pPr>
                    <w:pStyle w:val="146"/>
                    <w:rPr>
                      <w:rFonts w:hint="default" w:ascii="Times New Roman" w:hAnsi="Times New Roman" w:cs="Times New Roman"/>
                      <w:color w:val="000000"/>
                      <w:sz w:val="18"/>
                      <w:szCs w:val="18"/>
                    </w:rPr>
                  </w:pPr>
                  <w:r>
                    <w:rPr>
                      <w:rFonts w:ascii="Times New Roman" w:hAnsi="Times New Roman" w:cs="Times New Roman"/>
                      <w:color w:val="000000"/>
                      <w:sz w:val="18"/>
                      <w:szCs w:val="18"/>
                    </w:rPr>
                    <w:t>9</w:t>
                  </w:r>
                </w:p>
              </w:tc>
              <w:tc>
                <w:tcPr>
                  <w:tcW w:w="798" w:type="dxa"/>
                  <w:tcBorders>
                    <w:top w:val="single" w:color="auto" w:sz="4" w:space="0"/>
                    <w:left w:val="single" w:color="auto" w:sz="4" w:space="0"/>
                    <w:bottom w:val="single" w:color="auto" w:sz="4" w:space="0"/>
                    <w:right w:val="single" w:color="auto" w:sz="4" w:space="0"/>
                    <w:tl2br w:val="nil"/>
                    <w:tr2bl w:val="nil"/>
                  </w:tcBorders>
                  <w:vAlign w:val="center"/>
                </w:tcPr>
                <w:p w14:paraId="13AA7B2C">
                  <w:pPr>
                    <w:pStyle w:val="146"/>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60</w:t>
                  </w:r>
                </w:p>
              </w:tc>
              <w:tc>
                <w:tcPr>
                  <w:tcW w:w="1350" w:type="dxa"/>
                  <w:tcBorders>
                    <w:top w:val="single" w:color="auto" w:sz="4" w:space="0"/>
                    <w:left w:val="single" w:color="auto" w:sz="4" w:space="0"/>
                    <w:bottom w:val="single" w:color="auto" w:sz="4" w:space="0"/>
                    <w:right w:val="single" w:color="auto" w:sz="4" w:space="0"/>
                    <w:tl2br w:val="nil"/>
                    <w:tr2bl w:val="nil"/>
                  </w:tcBorders>
                  <w:vAlign w:val="center"/>
                </w:tcPr>
                <w:p w14:paraId="441A005A">
                  <w:pPr>
                    <w:pStyle w:val="146"/>
                    <w:rPr>
                      <w:rFonts w:hint="default" w:ascii="Times New Roman" w:hAnsi="Times New Roman" w:cs="Times New Roman"/>
                      <w:color w:val="000000"/>
                      <w:sz w:val="18"/>
                      <w:szCs w:val="18"/>
                    </w:rPr>
                  </w:pPr>
                  <w:r>
                    <w:rPr>
                      <w:rFonts w:ascii="Times New Roman" w:hAnsi="Times New Roman" w:cs="Times New Roman"/>
                      <w:color w:val="000000"/>
                      <w:sz w:val="18"/>
                      <w:szCs w:val="18"/>
                    </w:rPr>
                    <w:t>15</w:t>
                  </w:r>
                </w:p>
              </w:tc>
              <w:tc>
                <w:tcPr>
                  <w:tcW w:w="651" w:type="dxa"/>
                  <w:tcBorders>
                    <w:top w:val="single" w:color="auto" w:sz="4" w:space="0"/>
                    <w:left w:val="single" w:color="auto" w:sz="4" w:space="0"/>
                    <w:bottom w:val="single" w:color="auto" w:sz="4" w:space="0"/>
                    <w:right w:val="nil"/>
                    <w:tl2br w:val="nil"/>
                    <w:tr2bl w:val="nil"/>
                  </w:tcBorders>
                  <w:vAlign w:val="center"/>
                </w:tcPr>
                <w:p w14:paraId="1B4751D8">
                  <w:pPr>
                    <w:pStyle w:val="146"/>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达标</w:t>
                  </w:r>
                </w:p>
              </w:tc>
            </w:tr>
            <w:tr w14:paraId="166665E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79" w:type="dxa"/>
                  <w:tcBorders>
                    <w:top w:val="single" w:color="auto" w:sz="4" w:space="0"/>
                    <w:left w:val="nil"/>
                    <w:bottom w:val="single" w:color="auto" w:sz="4" w:space="0"/>
                    <w:right w:val="single" w:color="auto" w:sz="4" w:space="0"/>
                    <w:tl2br w:val="nil"/>
                    <w:tr2bl w:val="nil"/>
                  </w:tcBorders>
                  <w:vAlign w:val="center"/>
                </w:tcPr>
                <w:p w14:paraId="769FEC6F">
                  <w:pPr>
                    <w:pStyle w:val="146"/>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NO</w:t>
                  </w:r>
                  <w:r>
                    <w:rPr>
                      <w:rFonts w:hint="default" w:ascii="Times New Roman" w:hAnsi="Times New Roman" w:cs="Times New Roman"/>
                      <w:color w:val="000000"/>
                      <w:sz w:val="18"/>
                      <w:szCs w:val="18"/>
                      <w:vertAlign w:val="subscript"/>
                    </w:rPr>
                    <w:t>2</w:t>
                  </w:r>
                </w:p>
              </w:tc>
              <w:tc>
                <w:tcPr>
                  <w:tcW w:w="2758" w:type="dxa"/>
                  <w:tcBorders>
                    <w:top w:val="single" w:color="auto" w:sz="4" w:space="0"/>
                    <w:left w:val="single" w:color="auto" w:sz="4" w:space="0"/>
                    <w:bottom w:val="single" w:color="auto" w:sz="4" w:space="0"/>
                    <w:right w:val="single" w:color="auto" w:sz="4" w:space="0"/>
                    <w:tl2br w:val="nil"/>
                    <w:tr2bl w:val="nil"/>
                  </w:tcBorders>
                  <w:vAlign w:val="center"/>
                </w:tcPr>
                <w:p w14:paraId="2EDCEC4F">
                  <w:pPr>
                    <w:pStyle w:val="146"/>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年平均值</w:t>
                  </w:r>
                </w:p>
              </w:tc>
              <w:tc>
                <w:tcPr>
                  <w:tcW w:w="795" w:type="dxa"/>
                  <w:tcBorders>
                    <w:top w:val="single" w:color="auto" w:sz="4" w:space="0"/>
                    <w:left w:val="single" w:color="auto" w:sz="4" w:space="0"/>
                    <w:bottom w:val="single" w:color="auto" w:sz="4" w:space="0"/>
                    <w:right w:val="single" w:color="auto" w:sz="4" w:space="0"/>
                    <w:tl2br w:val="nil"/>
                    <w:tr2bl w:val="nil"/>
                  </w:tcBorders>
                  <w:vAlign w:val="center"/>
                </w:tcPr>
                <w:p w14:paraId="70E45E03">
                  <w:pPr>
                    <w:pStyle w:val="146"/>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μg/m</w:t>
                  </w:r>
                  <w:r>
                    <w:rPr>
                      <w:rFonts w:hint="default" w:ascii="Times New Roman" w:hAnsi="Times New Roman" w:cs="Times New Roman"/>
                      <w:color w:val="000000"/>
                      <w:sz w:val="18"/>
                      <w:szCs w:val="18"/>
                      <w:vertAlign w:val="superscript"/>
                    </w:rPr>
                    <w:t>3</w:t>
                  </w:r>
                </w:p>
              </w:tc>
              <w:tc>
                <w:tcPr>
                  <w:tcW w:w="940" w:type="dxa"/>
                  <w:tcBorders>
                    <w:top w:val="single" w:color="auto" w:sz="4" w:space="0"/>
                    <w:left w:val="single" w:color="auto" w:sz="4" w:space="0"/>
                    <w:bottom w:val="single" w:color="auto" w:sz="4" w:space="0"/>
                    <w:right w:val="single" w:color="auto" w:sz="4" w:space="0"/>
                    <w:tl2br w:val="nil"/>
                    <w:tr2bl w:val="nil"/>
                  </w:tcBorders>
                  <w:vAlign w:val="center"/>
                </w:tcPr>
                <w:p w14:paraId="18F2F599">
                  <w:pPr>
                    <w:pStyle w:val="146"/>
                    <w:rPr>
                      <w:rFonts w:hint="default" w:ascii="Times New Roman" w:hAnsi="Times New Roman" w:cs="Times New Roman"/>
                      <w:color w:val="000000"/>
                      <w:sz w:val="18"/>
                      <w:szCs w:val="18"/>
                    </w:rPr>
                  </w:pPr>
                  <w:r>
                    <w:rPr>
                      <w:rFonts w:ascii="Times New Roman" w:hAnsi="Times New Roman" w:cs="Times New Roman"/>
                      <w:color w:val="000000"/>
                      <w:sz w:val="18"/>
                      <w:szCs w:val="18"/>
                    </w:rPr>
                    <w:t>17</w:t>
                  </w:r>
                </w:p>
              </w:tc>
              <w:tc>
                <w:tcPr>
                  <w:tcW w:w="798" w:type="dxa"/>
                  <w:tcBorders>
                    <w:top w:val="single" w:color="auto" w:sz="4" w:space="0"/>
                    <w:left w:val="single" w:color="auto" w:sz="4" w:space="0"/>
                    <w:bottom w:val="single" w:color="auto" w:sz="4" w:space="0"/>
                    <w:right w:val="single" w:color="auto" w:sz="4" w:space="0"/>
                    <w:tl2br w:val="nil"/>
                    <w:tr2bl w:val="nil"/>
                  </w:tcBorders>
                  <w:vAlign w:val="center"/>
                </w:tcPr>
                <w:p w14:paraId="0EC1FE8E">
                  <w:pPr>
                    <w:pStyle w:val="146"/>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40</w:t>
                  </w:r>
                </w:p>
              </w:tc>
              <w:tc>
                <w:tcPr>
                  <w:tcW w:w="1350" w:type="dxa"/>
                  <w:tcBorders>
                    <w:top w:val="single" w:color="auto" w:sz="4" w:space="0"/>
                    <w:left w:val="single" w:color="auto" w:sz="4" w:space="0"/>
                    <w:bottom w:val="single" w:color="auto" w:sz="4" w:space="0"/>
                    <w:right w:val="single" w:color="auto" w:sz="4" w:space="0"/>
                    <w:tl2br w:val="nil"/>
                    <w:tr2bl w:val="nil"/>
                  </w:tcBorders>
                  <w:vAlign w:val="center"/>
                </w:tcPr>
                <w:p w14:paraId="319D8104">
                  <w:pPr>
                    <w:pStyle w:val="146"/>
                    <w:rPr>
                      <w:rFonts w:hint="default" w:ascii="Times New Roman" w:hAnsi="Times New Roman" w:cs="Times New Roman"/>
                      <w:color w:val="000000"/>
                      <w:sz w:val="18"/>
                      <w:szCs w:val="18"/>
                    </w:rPr>
                  </w:pPr>
                  <w:r>
                    <w:rPr>
                      <w:rFonts w:ascii="Times New Roman" w:hAnsi="Times New Roman" w:cs="Times New Roman"/>
                      <w:color w:val="000000"/>
                      <w:sz w:val="18"/>
                      <w:szCs w:val="18"/>
                    </w:rPr>
                    <w:t>42.5</w:t>
                  </w:r>
                </w:p>
              </w:tc>
              <w:tc>
                <w:tcPr>
                  <w:tcW w:w="651" w:type="dxa"/>
                  <w:tcBorders>
                    <w:top w:val="single" w:color="auto" w:sz="4" w:space="0"/>
                    <w:left w:val="single" w:color="auto" w:sz="4" w:space="0"/>
                    <w:bottom w:val="single" w:color="auto" w:sz="4" w:space="0"/>
                    <w:right w:val="nil"/>
                    <w:tl2br w:val="nil"/>
                    <w:tr2bl w:val="nil"/>
                  </w:tcBorders>
                  <w:vAlign w:val="center"/>
                </w:tcPr>
                <w:p w14:paraId="7938E881">
                  <w:pPr>
                    <w:pStyle w:val="146"/>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达标</w:t>
                  </w:r>
                </w:p>
              </w:tc>
            </w:tr>
            <w:tr w14:paraId="64A5213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79" w:type="dxa"/>
                  <w:tcBorders>
                    <w:top w:val="single" w:color="auto" w:sz="4" w:space="0"/>
                    <w:left w:val="nil"/>
                    <w:bottom w:val="single" w:color="auto" w:sz="4" w:space="0"/>
                    <w:right w:val="single" w:color="auto" w:sz="4" w:space="0"/>
                    <w:tl2br w:val="nil"/>
                    <w:tr2bl w:val="nil"/>
                  </w:tcBorders>
                  <w:vAlign w:val="center"/>
                </w:tcPr>
                <w:p w14:paraId="0BA36942">
                  <w:pPr>
                    <w:pStyle w:val="146"/>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CO</w:t>
                  </w:r>
                </w:p>
              </w:tc>
              <w:tc>
                <w:tcPr>
                  <w:tcW w:w="2758" w:type="dxa"/>
                  <w:tcBorders>
                    <w:top w:val="single" w:color="auto" w:sz="4" w:space="0"/>
                    <w:left w:val="single" w:color="auto" w:sz="4" w:space="0"/>
                    <w:bottom w:val="single" w:color="auto" w:sz="4" w:space="0"/>
                    <w:right w:val="single" w:color="auto" w:sz="4" w:space="0"/>
                    <w:tl2br w:val="nil"/>
                    <w:tr2bl w:val="nil"/>
                  </w:tcBorders>
                  <w:vAlign w:val="center"/>
                </w:tcPr>
                <w:p w14:paraId="7E414C96">
                  <w:pPr>
                    <w:pStyle w:val="146"/>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日均值百分之95位数</w:t>
                  </w:r>
                </w:p>
              </w:tc>
              <w:tc>
                <w:tcPr>
                  <w:tcW w:w="795" w:type="dxa"/>
                  <w:tcBorders>
                    <w:top w:val="single" w:color="auto" w:sz="4" w:space="0"/>
                    <w:left w:val="single" w:color="auto" w:sz="4" w:space="0"/>
                    <w:bottom w:val="single" w:color="auto" w:sz="4" w:space="0"/>
                    <w:right w:val="single" w:color="auto" w:sz="4" w:space="0"/>
                    <w:tl2br w:val="nil"/>
                    <w:tr2bl w:val="nil"/>
                  </w:tcBorders>
                  <w:vAlign w:val="center"/>
                </w:tcPr>
                <w:p w14:paraId="655FBB69">
                  <w:pPr>
                    <w:pStyle w:val="146"/>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mg/m</w:t>
                  </w:r>
                  <w:r>
                    <w:rPr>
                      <w:rFonts w:hint="default" w:ascii="Times New Roman" w:hAnsi="Times New Roman" w:cs="Times New Roman"/>
                      <w:color w:val="000000"/>
                      <w:sz w:val="18"/>
                      <w:szCs w:val="18"/>
                      <w:vertAlign w:val="superscript"/>
                    </w:rPr>
                    <w:t>3</w:t>
                  </w:r>
                </w:p>
              </w:tc>
              <w:tc>
                <w:tcPr>
                  <w:tcW w:w="940" w:type="dxa"/>
                  <w:tcBorders>
                    <w:top w:val="single" w:color="auto" w:sz="4" w:space="0"/>
                    <w:left w:val="single" w:color="auto" w:sz="4" w:space="0"/>
                    <w:bottom w:val="single" w:color="auto" w:sz="4" w:space="0"/>
                    <w:right w:val="single" w:color="auto" w:sz="4" w:space="0"/>
                    <w:tl2br w:val="nil"/>
                    <w:tr2bl w:val="nil"/>
                  </w:tcBorders>
                  <w:vAlign w:val="center"/>
                </w:tcPr>
                <w:p w14:paraId="2196AEFD">
                  <w:pPr>
                    <w:pStyle w:val="146"/>
                    <w:rPr>
                      <w:rFonts w:hint="default" w:ascii="Times New Roman" w:hAnsi="Times New Roman" w:cs="Times New Roman"/>
                      <w:color w:val="000000"/>
                      <w:sz w:val="18"/>
                      <w:szCs w:val="18"/>
                    </w:rPr>
                  </w:pPr>
                  <w:r>
                    <w:rPr>
                      <w:rFonts w:ascii="Times New Roman" w:hAnsi="Times New Roman" w:cs="Times New Roman"/>
                      <w:color w:val="000000"/>
                      <w:sz w:val="18"/>
                      <w:szCs w:val="18"/>
                    </w:rPr>
                    <w:t>1.5</w:t>
                  </w:r>
                </w:p>
              </w:tc>
              <w:tc>
                <w:tcPr>
                  <w:tcW w:w="798" w:type="dxa"/>
                  <w:tcBorders>
                    <w:top w:val="single" w:color="auto" w:sz="4" w:space="0"/>
                    <w:left w:val="single" w:color="auto" w:sz="4" w:space="0"/>
                    <w:bottom w:val="single" w:color="auto" w:sz="4" w:space="0"/>
                    <w:right w:val="single" w:color="auto" w:sz="4" w:space="0"/>
                    <w:tl2br w:val="nil"/>
                    <w:tr2bl w:val="nil"/>
                  </w:tcBorders>
                  <w:vAlign w:val="center"/>
                </w:tcPr>
                <w:p w14:paraId="1521CBAD">
                  <w:pPr>
                    <w:pStyle w:val="146"/>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4</w:t>
                  </w:r>
                </w:p>
              </w:tc>
              <w:tc>
                <w:tcPr>
                  <w:tcW w:w="1350" w:type="dxa"/>
                  <w:tcBorders>
                    <w:top w:val="single" w:color="auto" w:sz="4" w:space="0"/>
                    <w:left w:val="single" w:color="auto" w:sz="4" w:space="0"/>
                    <w:bottom w:val="single" w:color="auto" w:sz="4" w:space="0"/>
                    <w:right w:val="single" w:color="auto" w:sz="4" w:space="0"/>
                    <w:tl2br w:val="nil"/>
                    <w:tr2bl w:val="nil"/>
                  </w:tcBorders>
                  <w:vAlign w:val="center"/>
                </w:tcPr>
                <w:p w14:paraId="63494E48">
                  <w:pPr>
                    <w:pStyle w:val="146"/>
                    <w:rPr>
                      <w:rFonts w:hint="default" w:ascii="Times New Roman" w:hAnsi="Times New Roman" w:cs="Times New Roman"/>
                      <w:color w:val="000000"/>
                      <w:sz w:val="18"/>
                      <w:szCs w:val="18"/>
                    </w:rPr>
                  </w:pPr>
                  <w:r>
                    <w:rPr>
                      <w:rFonts w:ascii="Times New Roman" w:hAnsi="Times New Roman" w:cs="Times New Roman"/>
                      <w:color w:val="000000"/>
                      <w:sz w:val="18"/>
                      <w:szCs w:val="18"/>
                    </w:rPr>
                    <w:t>37.5</w:t>
                  </w:r>
                </w:p>
              </w:tc>
              <w:tc>
                <w:tcPr>
                  <w:tcW w:w="651" w:type="dxa"/>
                  <w:tcBorders>
                    <w:top w:val="single" w:color="auto" w:sz="4" w:space="0"/>
                    <w:left w:val="single" w:color="auto" w:sz="4" w:space="0"/>
                    <w:bottom w:val="single" w:color="auto" w:sz="4" w:space="0"/>
                    <w:right w:val="nil"/>
                    <w:tl2br w:val="nil"/>
                    <w:tr2bl w:val="nil"/>
                  </w:tcBorders>
                  <w:vAlign w:val="center"/>
                </w:tcPr>
                <w:p w14:paraId="0FEA456A">
                  <w:pPr>
                    <w:pStyle w:val="146"/>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达标</w:t>
                  </w:r>
                </w:p>
              </w:tc>
            </w:tr>
            <w:tr w14:paraId="43FF98D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79" w:type="dxa"/>
                  <w:tcBorders>
                    <w:top w:val="single" w:color="auto" w:sz="4" w:space="0"/>
                    <w:left w:val="nil"/>
                    <w:bottom w:val="single" w:color="auto" w:sz="4" w:space="0"/>
                    <w:right w:val="single" w:color="auto" w:sz="4" w:space="0"/>
                    <w:tl2br w:val="nil"/>
                    <w:tr2bl w:val="nil"/>
                  </w:tcBorders>
                  <w:vAlign w:val="center"/>
                </w:tcPr>
                <w:p w14:paraId="6DE4F52D">
                  <w:pPr>
                    <w:pStyle w:val="146"/>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O</w:t>
                  </w:r>
                  <w:r>
                    <w:rPr>
                      <w:rFonts w:hint="default" w:ascii="Times New Roman" w:hAnsi="Times New Roman" w:cs="Times New Roman"/>
                      <w:color w:val="000000"/>
                      <w:sz w:val="18"/>
                      <w:szCs w:val="18"/>
                      <w:vertAlign w:val="subscript"/>
                    </w:rPr>
                    <w:t>3</w:t>
                  </w:r>
                </w:p>
              </w:tc>
              <w:tc>
                <w:tcPr>
                  <w:tcW w:w="2758" w:type="dxa"/>
                  <w:tcBorders>
                    <w:top w:val="single" w:color="auto" w:sz="4" w:space="0"/>
                    <w:left w:val="single" w:color="auto" w:sz="4" w:space="0"/>
                    <w:bottom w:val="single" w:color="auto" w:sz="4" w:space="0"/>
                    <w:right w:val="single" w:color="auto" w:sz="4" w:space="0"/>
                    <w:tl2br w:val="nil"/>
                    <w:tr2bl w:val="nil"/>
                  </w:tcBorders>
                  <w:vAlign w:val="center"/>
                </w:tcPr>
                <w:p w14:paraId="7D6DF8CB">
                  <w:pPr>
                    <w:pStyle w:val="146"/>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日最大8小时平均百分之90位数</w:t>
                  </w:r>
                </w:p>
              </w:tc>
              <w:tc>
                <w:tcPr>
                  <w:tcW w:w="795" w:type="dxa"/>
                  <w:tcBorders>
                    <w:top w:val="single" w:color="auto" w:sz="4" w:space="0"/>
                    <w:left w:val="single" w:color="auto" w:sz="4" w:space="0"/>
                    <w:bottom w:val="single" w:color="auto" w:sz="4" w:space="0"/>
                    <w:right w:val="single" w:color="auto" w:sz="4" w:space="0"/>
                    <w:tl2br w:val="nil"/>
                    <w:tr2bl w:val="nil"/>
                  </w:tcBorders>
                  <w:vAlign w:val="center"/>
                </w:tcPr>
                <w:p w14:paraId="4E6FD8D1">
                  <w:pPr>
                    <w:pStyle w:val="146"/>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μg/m</w:t>
                  </w:r>
                  <w:r>
                    <w:rPr>
                      <w:rFonts w:hint="default" w:ascii="Times New Roman" w:hAnsi="Times New Roman" w:cs="Times New Roman"/>
                      <w:color w:val="000000"/>
                      <w:sz w:val="18"/>
                      <w:szCs w:val="18"/>
                      <w:vertAlign w:val="superscript"/>
                    </w:rPr>
                    <w:t>3</w:t>
                  </w:r>
                </w:p>
              </w:tc>
              <w:tc>
                <w:tcPr>
                  <w:tcW w:w="940" w:type="dxa"/>
                  <w:tcBorders>
                    <w:top w:val="single" w:color="auto" w:sz="4" w:space="0"/>
                    <w:left w:val="single" w:color="auto" w:sz="4" w:space="0"/>
                    <w:bottom w:val="single" w:color="auto" w:sz="4" w:space="0"/>
                    <w:right w:val="single" w:color="auto" w:sz="4" w:space="0"/>
                    <w:tl2br w:val="nil"/>
                    <w:tr2bl w:val="nil"/>
                  </w:tcBorders>
                  <w:vAlign w:val="center"/>
                </w:tcPr>
                <w:p w14:paraId="61B45AB4">
                  <w:pPr>
                    <w:pStyle w:val="146"/>
                    <w:rPr>
                      <w:rFonts w:hint="default" w:ascii="Times New Roman" w:hAnsi="Times New Roman" w:cs="Times New Roman"/>
                      <w:color w:val="000000"/>
                      <w:sz w:val="18"/>
                      <w:szCs w:val="18"/>
                    </w:rPr>
                  </w:pPr>
                  <w:r>
                    <w:rPr>
                      <w:rFonts w:ascii="Times New Roman" w:hAnsi="Times New Roman" w:cs="Times New Roman"/>
                      <w:color w:val="000000"/>
                      <w:sz w:val="18"/>
                      <w:szCs w:val="18"/>
                    </w:rPr>
                    <w:t>137</w:t>
                  </w:r>
                </w:p>
              </w:tc>
              <w:tc>
                <w:tcPr>
                  <w:tcW w:w="798" w:type="dxa"/>
                  <w:tcBorders>
                    <w:top w:val="single" w:color="auto" w:sz="4" w:space="0"/>
                    <w:left w:val="single" w:color="auto" w:sz="4" w:space="0"/>
                    <w:bottom w:val="single" w:color="auto" w:sz="4" w:space="0"/>
                    <w:right w:val="single" w:color="auto" w:sz="4" w:space="0"/>
                    <w:tl2br w:val="nil"/>
                    <w:tr2bl w:val="nil"/>
                  </w:tcBorders>
                  <w:vAlign w:val="center"/>
                </w:tcPr>
                <w:p w14:paraId="4A130F60">
                  <w:pPr>
                    <w:pStyle w:val="146"/>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160</w:t>
                  </w:r>
                </w:p>
              </w:tc>
              <w:tc>
                <w:tcPr>
                  <w:tcW w:w="1350" w:type="dxa"/>
                  <w:tcBorders>
                    <w:top w:val="single" w:color="auto" w:sz="4" w:space="0"/>
                    <w:left w:val="single" w:color="auto" w:sz="4" w:space="0"/>
                    <w:bottom w:val="single" w:color="auto" w:sz="4" w:space="0"/>
                    <w:right w:val="single" w:color="auto" w:sz="4" w:space="0"/>
                    <w:tl2br w:val="nil"/>
                    <w:tr2bl w:val="nil"/>
                  </w:tcBorders>
                  <w:vAlign w:val="center"/>
                </w:tcPr>
                <w:p w14:paraId="282766C0">
                  <w:pPr>
                    <w:pStyle w:val="146"/>
                    <w:rPr>
                      <w:rFonts w:hint="default" w:ascii="Times New Roman" w:hAnsi="Times New Roman" w:cs="Times New Roman"/>
                      <w:color w:val="000000"/>
                      <w:sz w:val="18"/>
                      <w:szCs w:val="18"/>
                    </w:rPr>
                  </w:pPr>
                  <w:r>
                    <w:rPr>
                      <w:rFonts w:ascii="Times New Roman" w:hAnsi="Times New Roman" w:cs="Times New Roman"/>
                      <w:color w:val="000000"/>
                      <w:sz w:val="18"/>
                      <w:szCs w:val="18"/>
                    </w:rPr>
                    <w:t xml:space="preserve">85.625 </w:t>
                  </w:r>
                </w:p>
              </w:tc>
              <w:tc>
                <w:tcPr>
                  <w:tcW w:w="651" w:type="dxa"/>
                  <w:tcBorders>
                    <w:top w:val="single" w:color="auto" w:sz="4" w:space="0"/>
                    <w:left w:val="single" w:color="auto" w:sz="4" w:space="0"/>
                    <w:bottom w:val="single" w:color="auto" w:sz="4" w:space="0"/>
                    <w:right w:val="nil"/>
                    <w:tl2br w:val="nil"/>
                    <w:tr2bl w:val="nil"/>
                  </w:tcBorders>
                  <w:vAlign w:val="center"/>
                </w:tcPr>
                <w:p w14:paraId="5488E018">
                  <w:pPr>
                    <w:pStyle w:val="146"/>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达标</w:t>
                  </w:r>
                </w:p>
              </w:tc>
            </w:tr>
            <w:tr w14:paraId="22AB610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971" w:type="dxa"/>
                  <w:gridSpan w:val="7"/>
                  <w:tcBorders>
                    <w:top w:val="single" w:color="auto" w:sz="4" w:space="0"/>
                    <w:left w:val="nil"/>
                    <w:bottom w:val="single" w:color="auto" w:sz="12" w:space="0"/>
                    <w:right w:val="nil"/>
                    <w:tl2br w:val="nil"/>
                    <w:tr2bl w:val="nil"/>
                  </w:tcBorders>
                </w:tcPr>
                <w:p w14:paraId="48511DC4">
                  <w:pPr>
                    <w:pStyle w:val="146"/>
                    <w:jc w:val="both"/>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备注：标准值来源于《环境空气质量标准》（GB3095-2012）及修改单二级标准</w:t>
                  </w:r>
                </w:p>
              </w:tc>
            </w:tr>
          </w:tbl>
          <w:p w14:paraId="0FB256D7">
            <w:pPr>
              <w:pStyle w:val="109"/>
              <w:rPr>
                <w:color w:val="000000"/>
              </w:rPr>
            </w:pPr>
            <w:r>
              <w:rPr>
                <w:rFonts w:hint="eastAsia"/>
                <w:color w:val="000000"/>
              </w:rPr>
              <w:t>根据上述内容可知，蒸湘区2024年SO</w:t>
            </w:r>
            <w:r>
              <w:rPr>
                <w:rFonts w:hint="eastAsia"/>
                <w:color w:val="000000"/>
                <w:vertAlign w:val="subscript"/>
              </w:rPr>
              <w:t>2</w:t>
            </w:r>
            <w:r>
              <w:rPr>
                <w:rFonts w:hint="eastAsia"/>
                <w:color w:val="000000"/>
              </w:rPr>
              <w:t>、NO</w:t>
            </w:r>
            <w:r>
              <w:rPr>
                <w:rFonts w:hint="eastAsia"/>
                <w:color w:val="000000"/>
                <w:vertAlign w:val="subscript"/>
              </w:rPr>
              <w:t>2</w:t>
            </w:r>
            <w:r>
              <w:rPr>
                <w:rFonts w:hint="eastAsia"/>
                <w:color w:val="000000"/>
              </w:rPr>
              <w:t>、PM</w:t>
            </w:r>
            <w:r>
              <w:rPr>
                <w:rFonts w:hint="eastAsia"/>
                <w:color w:val="000000"/>
                <w:vertAlign w:val="subscript"/>
              </w:rPr>
              <w:t>10</w:t>
            </w:r>
            <w:r>
              <w:rPr>
                <w:rFonts w:hint="eastAsia"/>
                <w:color w:val="000000"/>
              </w:rPr>
              <w:t>、O</w:t>
            </w:r>
            <w:r>
              <w:rPr>
                <w:rFonts w:hint="eastAsia"/>
                <w:color w:val="000000"/>
                <w:vertAlign w:val="subscript"/>
              </w:rPr>
              <w:t>3</w:t>
            </w:r>
            <w:r>
              <w:rPr>
                <w:rFonts w:hint="eastAsia"/>
                <w:color w:val="000000"/>
              </w:rPr>
              <w:t>和CO均达到《环境空气质量标准》（GB3095-2012）及修改单二级标准，PM</w:t>
            </w:r>
            <w:r>
              <w:rPr>
                <w:rFonts w:hint="eastAsia"/>
                <w:color w:val="000000"/>
                <w:vertAlign w:val="subscript"/>
              </w:rPr>
              <w:t>2.5</w:t>
            </w:r>
            <w:r>
              <w:rPr>
                <w:rFonts w:hint="eastAsia"/>
                <w:color w:val="000000"/>
              </w:rPr>
              <w:t>未达到《环境空气质量标准》（GB3095-2012）及修改单二级标准要求。故蒸湘区为不达标区。</w:t>
            </w:r>
          </w:p>
          <w:p w14:paraId="6D0B5F95">
            <w:pPr>
              <w:pStyle w:val="109"/>
              <w:rPr>
                <w:color w:val="000000"/>
              </w:rPr>
            </w:pPr>
            <w:r>
              <w:rPr>
                <w:color w:val="000000"/>
              </w:rPr>
              <w:t>2025年</w:t>
            </w:r>
            <w:r>
              <w:rPr>
                <w:rFonts w:hint="eastAsia"/>
                <w:color w:val="000000"/>
              </w:rPr>
              <w:t>4</w:t>
            </w:r>
            <w:r>
              <w:rPr>
                <w:color w:val="000000"/>
              </w:rPr>
              <w:t>月，衡阳市市政府召开衡阳市大气污染防治特护期调度会，会议指出要深入学习贯彻习近平生态文明思想，加快形成“大生态”合力，持续改善空气质量，全力守护好衡阳的蓝天。严格管控超标车辆、生物质锅炉，严格执行城区禁燃烟花爆竹相关规定，杜绝露天垃圾焚烧行为，加强道路、工地扬尘治理，加大雾炮车出勤频率，积极开展全市大扫除活动。在做好上述工作的前提下，衡阳市蒸湘区实现达标区指日可待。</w:t>
            </w:r>
          </w:p>
          <w:p w14:paraId="2F302F13">
            <w:pPr>
              <w:spacing w:line="360" w:lineRule="auto"/>
              <w:ind w:firstLine="480" w:firstLineChars="200"/>
              <w:outlineLvl w:val="2"/>
              <w:rPr>
                <w:rFonts w:ascii="宋体" w:hAnsi="宋体" w:cs="宋体"/>
                <w:sz w:val="24"/>
              </w:rPr>
            </w:pPr>
            <w:r>
              <w:rPr>
                <w:rFonts w:eastAsia="Times New Roman"/>
                <w:b/>
                <w:bCs/>
                <w:sz w:val="24"/>
              </w:rPr>
              <w:t xml:space="preserve">3.1.2 </w:t>
            </w:r>
            <w:r>
              <w:rPr>
                <w:rFonts w:ascii="宋体" w:hAnsi="宋体" w:cs="宋体"/>
                <w:sz w:val="24"/>
              </w:rPr>
              <w:t>特征污染物</w:t>
            </w:r>
          </w:p>
          <w:p w14:paraId="2132F960">
            <w:pPr>
              <w:pStyle w:val="109"/>
            </w:pPr>
            <w:r>
              <w:t>本项目特征污染物为TSP、VOCs（以非甲烷总烃计）。</w:t>
            </w:r>
          </w:p>
          <w:p w14:paraId="2B3EB134">
            <w:pPr>
              <w:pStyle w:val="109"/>
            </w:pPr>
            <w:r>
              <w:t>根据《建设项目环境影响报告表编制技术指南（污染影响类）（试行）》内容“排放国家、地方环境空气质量标准中有标准限值要求的特征污染物时，引用建设项目周边5千米范围内近3年的现有监测数据”。</w:t>
            </w:r>
          </w:p>
          <w:p w14:paraId="595CA35C">
            <w:pPr>
              <w:widowControl/>
              <w:spacing w:line="360" w:lineRule="auto"/>
              <w:ind w:firstLine="480" w:firstLineChars="200"/>
            </w:pPr>
            <w:r>
              <w:rPr>
                <w:sz w:val="24"/>
              </w:rPr>
              <w:t>本次评价</w:t>
            </w:r>
            <w:r>
              <w:rPr>
                <w:rFonts w:hint="eastAsia"/>
                <w:sz w:val="24"/>
              </w:rPr>
              <w:t>引用《特变电工南方输变电装备再制造中心项目环境影响报告表》于2</w:t>
            </w:r>
            <w:r>
              <w:rPr>
                <w:sz w:val="24"/>
              </w:rPr>
              <w:t>023</w:t>
            </w:r>
            <w:r>
              <w:rPr>
                <w:rFonts w:hint="eastAsia"/>
                <w:sz w:val="24"/>
              </w:rPr>
              <w:t>年</w:t>
            </w:r>
            <w:r>
              <w:rPr>
                <w:sz w:val="24"/>
              </w:rPr>
              <w:t>6</w:t>
            </w:r>
            <w:r>
              <w:rPr>
                <w:rFonts w:hint="eastAsia"/>
                <w:sz w:val="24"/>
              </w:rPr>
              <w:t>月2</w:t>
            </w:r>
            <w:r>
              <w:rPr>
                <w:sz w:val="24"/>
              </w:rPr>
              <w:t>1</w:t>
            </w:r>
            <w:r>
              <w:rPr>
                <w:rFonts w:hint="eastAsia"/>
                <w:sz w:val="24"/>
              </w:rPr>
              <w:t>日-</w:t>
            </w:r>
            <w:r>
              <w:rPr>
                <w:sz w:val="24"/>
              </w:rPr>
              <w:t>23</w:t>
            </w:r>
            <w:r>
              <w:rPr>
                <w:rFonts w:hint="eastAsia"/>
                <w:sz w:val="24"/>
              </w:rPr>
              <w:t>日委托湖南中雁环保科技有限公司对中共金龙坪街道的监测数据。监测点位于本项目东南侧</w:t>
            </w:r>
            <w:r>
              <w:rPr>
                <w:sz w:val="24"/>
              </w:rPr>
              <w:t>4.</w:t>
            </w:r>
            <w:r>
              <w:rPr>
                <w:rFonts w:hint="eastAsia"/>
                <w:sz w:val="24"/>
              </w:rPr>
              <w:t>98km，数据引用符合要求。</w:t>
            </w:r>
          </w:p>
          <w:p w14:paraId="79E8773B">
            <w:pPr>
              <w:widowControl/>
              <w:spacing w:line="360" w:lineRule="auto"/>
              <w:ind w:firstLine="480" w:firstLineChars="200"/>
              <w:rPr>
                <w:sz w:val="24"/>
              </w:rPr>
            </w:pPr>
            <w:r>
              <w:rPr>
                <w:sz w:val="24"/>
              </w:rPr>
              <w:t>（1）监测因子、布点及监测时间</w:t>
            </w:r>
          </w:p>
          <w:p w14:paraId="0C041B2B">
            <w:pPr>
              <w:widowControl/>
              <w:spacing w:line="360" w:lineRule="auto"/>
              <w:ind w:firstLine="480" w:firstLineChars="200"/>
              <w:rPr>
                <w:sz w:val="24"/>
              </w:rPr>
            </w:pPr>
            <w:r>
              <w:rPr>
                <w:sz w:val="24"/>
              </w:rPr>
              <w:t>大气监测点的具体布设位置详表3-2。</w:t>
            </w:r>
          </w:p>
          <w:p w14:paraId="37F7E23E">
            <w:pPr>
              <w:adjustRightInd w:val="0"/>
              <w:snapToGrid w:val="0"/>
              <w:jc w:val="center"/>
              <w:rPr>
                <w:b/>
                <w:color w:val="000000"/>
              </w:rPr>
            </w:pPr>
            <w:r>
              <w:rPr>
                <w:b/>
                <w:bCs/>
                <w:szCs w:val="21"/>
              </w:rPr>
              <w:t>表3-2  空气环境监测因子、布点及监测时间和频率表</w:t>
            </w:r>
          </w:p>
          <w:tbl>
            <w:tblPr>
              <w:tblStyle w:val="36"/>
              <w:tblW w:w="8052" w:type="dxa"/>
              <w:tblInd w:w="0" w:type="dxa"/>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
            <w:tblGrid>
              <w:gridCol w:w="2722"/>
              <w:gridCol w:w="2269"/>
              <w:gridCol w:w="3061"/>
            </w:tblGrid>
            <w:tr w14:paraId="6E87C249">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tblHeader/>
              </w:trPr>
              <w:tc>
                <w:tcPr>
                  <w:tcW w:w="2722" w:type="dxa"/>
                  <w:vAlign w:val="center"/>
                </w:tcPr>
                <w:p w14:paraId="47C468CE">
                  <w:pPr>
                    <w:adjustRightInd w:val="0"/>
                    <w:snapToGrid w:val="0"/>
                    <w:jc w:val="center"/>
                    <w:rPr>
                      <w:b/>
                      <w:bCs/>
                      <w:szCs w:val="21"/>
                    </w:rPr>
                  </w:pPr>
                  <w:r>
                    <w:rPr>
                      <w:b/>
                      <w:bCs/>
                      <w:szCs w:val="21"/>
                    </w:rPr>
                    <w:t>监测点位</w:t>
                  </w:r>
                </w:p>
              </w:tc>
              <w:tc>
                <w:tcPr>
                  <w:tcW w:w="2269" w:type="dxa"/>
                  <w:vAlign w:val="center"/>
                </w:tcPr>
                <w:p w14:paraId="4578D07C">
                  <w:pPr>
                    <w:adjustRightInd w:val="0"/>
                    <w:snapToGrid w:val="0"/>
                    <w:jc w:val="center"/>
                    <w:rPr>
                      <w:b/>
                      <w:bCs/>
                      <w:szCs w:val="21"/>
                    </w:rPr>
                  </w:pPr>
                  <w:r>
                    <w:rPr>
                      <w:b/>
                      <w:bCs/>
                      <w:szCs w:val="21"/>
                    </w:rPr>
                    <w:t>监测因子</w:t>
                  </w:r>
                </w:p>
              </w:tc>
              <w:tc>
                <w:tcPr>
                  <w:tcW w:w="3061" w:type="dxa"/>
                  <w:vAlign w:val="center"/>
                </w:tcPr>
                <w:p w14:paraId="415E45E7">
                  <w:pPr>
                    <w:adjustRightInd w:val="0"/>
                    <w:snapToGrid w:val="0"/>
                    <w:jc w:val="center"/>
                    <w:rPr>
                      <w:b/>
                      <w:bCs/>
                      <w:szCs w:val="21"/>
                    </w:rPr>
                  </w:pPr>
                  <w:r>
                    <w:rPr>
                      <w:b/>
                      <w:bCs/>
                      <w:szCs w:val="21"/>
                    </w:rPr>
                    <w:t>监测频次</w:t>
                  </w:r>
                </w:p>
              </w:tc>
            </w:tr>
            <w:tr w14:paraId="11D2CC62">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2722" w:type="dxa"/>
                  <w:vMerge w:val="restart"/>
                  <w:vAlign w:val="center"/>
                </w:tcPr>
                <w:p w14:paraId="53CDC7AC">
                  <w:pPr>
                    <w:adjustRightInd w:val="0"/>
                    <w:snapToGrid w:val="0"/>
                    <w:jc w:val="center"/>
                    <w:rPr>
                      <w:szCs w:val="21"/>
                    </w:rPr>
                  </w:pPr>
                  <w:r>
                    <w:rPr>
                      <w:bCs/>
                      <w:szCs w:val="21"/>
                    </w:rPr>
                    <w:t>G1项目拟建地</w:t>
                  </w:r>
                </w:p>
              </w:tc>
              <w:tc>
                <w:tcPr>
                  <w:tcW w:w="2269" w:type="dxa"/>
                  <w:vAlign w:val="center"/>
                </w:tcPr>
                <w:p w14:paraId="7D6FD860">
                  <w:pPr>
                    <w:adjustRightInd w:val="0"/>
                    <w:snapToGrid w:val="0"/>
                    <w:jc w:val="center"/>
                    <w:rPr>
                      <w:szCs w:val="21"/>
                    </w:rPr>
                  </w:pPr>
                  <w:r>
                    <w:rPr>
                      <w:rFonts w:hint="eastAsia"/>
                      <w:szCs w:val="21"/>
                    </w:rPr>
                    <w:t>T</w:t>
                  </w:r>
                  <w:r>
                    <w:rPr>
                      <w:szCs w:val="21"/>
                    </w:rPr>
                    <w:t>SP</w:t>
                  </w:r>
                </w:p>
              </w:tc>
              <w:tc>
                <w:tcPr>
                  <w:tcW w:w="3061" w:type="dxa"/>
                  <w:vAlign w:val="center"/>
                </w:tcPr>
                <w:p w14:paraId="5D02B2C8">
                  <w:pPr>
                    <w:adjustRightInd w:val="0"/>
                    <w:snapToGrid w:val="0"/>
                    <w:jc w:val="center"/>
                    <w:rPr>
                      <w:szCs w:val="21"/>
                    </w:rPr>
                  </w:pPr>
                  <w:r>
                    <w:rPr>
                      <w:szCs w:val="21"/>
                    </w:rPr>
                    <w:t>连续监测3天，</w:t>
                  </w:r>
                  <w:r>
                    <w:rPr>
                      <w:rFonts w:hint="eastAsia"/>
                      <w:szCs w:val="21"/>
                    </w:rPr>
                    <w:t>监测日均值</w:t>
                  </w:r>
                </w:p>
              </w:tc>
            </w:tr>
            <w:tr w14:paraId="519A15B2">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2722" w:type="dxa"/>
                  <w:vMerge w:val="continue"/>
                  <w:vAlign w:val="center"/>
                </w:tcPr>
                <w:p w14:paraId="48F39A1B">
                  <w:pPr>
                    <w:adjustRightInd w:val="0"/>
                    <w:snapToGrid w:val="0"/>
                    <w:jc w:val="center"/>
                    <w:rPr>
                      <w:bCs/>
                      <w:szCs w:val="21"/>
                    </w:rPr>
                  </w:pPr>
                </w:p>
              </w:tc>
              <w:tc>
                <w:tcPr>
                  <w:tcW w:w="2269" w:type="dxa"/>
                  <w:vAlign w:val="center"/>
                </w:tcPr>
                <w:p w14:paraId="3CD9770E">
                  <w:pPr>
                    <w:adjustRightInd w:val="0"/>
                    <w:snapToGrid w:val="0"/>
                    <w:jc w:val="center"/>
                    <w:rPr>
                      <w:szCs w:val="21"/>
                    </w:rPr>
                  </w:pPr>
                  <w:r>
                    <w:rPr>
                      <w:rFonts w:hint="eastAsia"/>
                      <w:szCs w:val="21"/>
                    </w:rPr>
                    <w:t>非甲烷总烃</w:t>
                  </w:r>
                </w:p>
              </w:tc>
              <w:tc>
                <w:tcPr>
                  <w:tcW w:w="3061" w:type="dxa"/>
                  <w:vAlign w:val="center"/>
                </w:tcPr>
                <w:p w14:paraId="7A9A7B7D">
                  <w:pPr>
                    <w:adjustRightInd w:val="0"/>
                    <w:snapToGrid w:val="0"/>
                    <w:jc w:val="center"/>
                    <w:rPr>
                      <w:szCs w:val="21"/>
                    </w:rPr>
                  </w:pPr>
                  <w:r>
                    <w:rPr>
                      <w:szCs w:val="21"/>
                    </w:rPr>
                    <w:t>连续监测3天，</w:t>
                  </w:r>
                  <w:r>
                    <w:rPr>
                      <w:rFonts w:hint="eastAsia"/>
                      <w:szCs w:val="21"/>
                    </w:rPr>
                    <w:t>监测小时值</w:t>
                  </w:r>
                </w:p>
              </w:tc>
            </w:tr>
          </w:tbl>
          <w:p w14:paraId="5D8FD84C">
            <w:pPr>
              <w:spacing w:line="360" w:lineRule="auto"/>
              <w:ind w:firstLine="480" w:firstLineChars="200"/>
              <w:rPr>
                <w:sz w:val="24"/>
              </w:rPr>
            </w:pPr>
            <w:r>
              <w:rPr>
                <w:sz w:val="24"/>
              </w:rPr>
              <w:t>（2）</w:t>
            </w:r>
            <w:r>
              <w:rPr>
                <w:rFonts w:hint="eastAsia"/>
                <w:sz w:val="24"/>
              </w:rPr>
              <w:t>执行标准</w:t>
            </w:r>
          </w:p>
          <w:p w14:paraId="6C712F91">
            <w:pPr>
              <w:spacing w:line="360" w:lineRule="auto"/>
              <w:ind w:firstLine="480" w:firstLineChars="200"/>
              <w:rPr>
                <w:sz w:val="24"/>
              </w:rPr>
            </w:pPr>
            <w:r>
              <w:rPr>
                <w:rFonts w:hint="eastAsia"/>
                <w:sz w:val="24"/>
              </w:rPr>
              <w:t>TSP执行《环境空气质量标准》（GB3095-2012）二类标准要求、非甲烷总烃执行《大气污染物综合排放标准 详解》标准要求。</w:t>
            </w:r>
          </w:p>
          <w:p w14:paraId="3F229DE7">
            <w:pPr>
              <w:spacing w:line="360" w:lineRule="auto"/>
              <w:ind w:firstLine="480" w:firstLineChars="200"/>
              <w:rPr>
                <w:sz w:val="24"/>
              </w:rPr>
            </w:pPr>
            <w:r>
              <w:rPr>
                <w:sz w:val="24"/>
              </w:rPr>
              <w:t>（3）监测结果统计与评价</w:t>
            </w:r>
          </w:p>
          <w:p w14:paraId="51B7605F">
            <w:pPr>
              <w:widowControl/>
              <w:spacing w:line="360" w:lineRule="auto"/>
              <w:ind w:firstLine="480" w:firstLineChars="200"/>
              <w:rPr>
                <w:sz w:val="24"/>
              </w:rPr>
            </w:pPr>
            <w:r>
              <w:rPr>
                <w:sz w:val="24"/>
              </w:rPr>
              <w:t>监测结果统计详见表</w:t>
            </w:r>
            <w:r>
              <w:rPr>
                <w:rFonts w:hint="eastAsia"/>
                <w:sz w:val="24"/>
              </w:rPr>
              <w:t>3-3</w:t>
            </w:r>
            <w:r>
              <w:rPr>
                <w:sz w:val="24"/>
              </w:rPr>
              <w:t>。</w:t>
            </w:r>
          </w:p>
          <w:p w14:paraId="239396D9">
            <w:pPr>
              <w:adjustRightInd w:val="0"/>
              <w:snapToGrid w:val="0"/>
              <w:jc w:val="center"/>
              <w:rPr>
                <w:b/>
                <w:bCs/>
                <w:szCs w:val="21"/>
              </w:rPr>
            </w:pPr>
          </w:p>
          <w:p w14:paraId="6E2CC70E">
            <w:pPr>
              <w:adjustRightInd w:val="0"/>
              <w:snapToGrid w:val="0"/>
              <w:jc w:val="center"/>
              <w:rPr>
                <w:b/>
                <w:bCs/>
                <w:szCs w:val="21"/>
              </w:rPr>
            </w:pPr>
            <w:r>
              <w:rPr>
                <w:b/>
                <w:bCs/>
                <w:szCs w:val="21"/>
              </w:rPr>
              <w:t>表3-3  特征污染因子环境空气质量监测结果一览表</w:t>
            </w:r>
          </w:p>
          <w:tbl>
            <w:tblPr>
              <w:tblStyle w:val="36"/>
              <w:tblW w:w="8052" w:type="dxa"/>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
            <w:tblGrid>
              <w:gridCol w:w="1245"/>
              <w:gridCol w:w="1108"/>
              <w:gridCol w:w="1232"/>
              <w:gridCol w:w="1052"/>
              <w:gridCol w:w="1053"/>
              <w:gridCol w:w="1053"/>
              <w:gridCol w:w="1309"/>
            </w:tblGrid>
            <w:tr w14:paraId="5649E433">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1245" w:type="dxa"/>
                  <w:vMerge w:val="restart"/>
                  <w:vAlign w:val="center"/>
                </w:tcPr>
                <w:p w14:paraId="0BA3D838">
                  <w:pPr>
                    <w:jc w:val="center"/>
                    <w:rPr>
                      <w:b/>
                      <w:szCs w:val="21"/>
                    </w:rPr>
                  </w:pPr>
                  <w:r>
                    <w:rPr>
                      <w:b/>
                      <w:szCs w:val="21"/>
                    </w:rPr>
                    <w:t>监测点位</w:t>
                  </w:r>
                </w:p>
              </w:tc>
              <w:tc>
                <w:tcPr>
                  <w:tcW w:w="1108" w:type="dxa"/>
                  <w:vMerge w:val="restart"/>
                  <w:vAlign w:val="center"/>
                </w:tcPr>
                <w:p w14:paraId="5B1EA5FD">
                  <w:pPr>
                    <w:jc w:val="center"/>
                    <w:rPr>
                      <w:b/>
                      <w:szCs w:val="21"/>
                    </w:rPr>
                  </w:pPr>
                  <w:r>
                    <w:rPr>
                      <w:b/>
                      <w:szCs w:val="21"/>
                    </w:rPr>
                    <w:t>采样频次</w:t>
                  </w:r>
                </w:p>
              </w:tc>
              <w:tc>
                <w:tcPr>
                  <w:tcW w:w="4390" w:type="dxa"/>
                  <w:gridSpan w:val="4"/>
                  <w:vAlign w:val="center"/>
                </w:tcPr>
                <w:p w14:paraId="74F4FB92">
                  <w:pPr>
                    <w:jc w:val="center"/>
                    <w:rPr>
                      <w:b/>
                      <w:szCs w:val="21"/>
                    </w:rPr>
                  </w:pPr>
                  <w:r>
                    <w:rPr>
                      <w:b/>
                      <w:szCs w:val="21"/>
                    </w:rPr>
                    <w:t>监测结果</w:t>
                  </w:r>
                </w:p>
              </w:tc>
              <w:tc>
                <w:tcPr>
                  <w:tcW w:w="1309" w:type="dxa"/>
                  <w:vMerge w:val="restart"/>
                  <w:vAlign w:val="center"/>
                </w:tcPr>
                <w:p w14:paraId="2D334E56">
                  <w:pPr>
                    <w:jc w:val="center"/>
                    <w:rPr>
                      <w:b/>
                      <w:szCs w:val="21"/>
                    </w:rPr>
                  </w:pPr>
                  <w:r>
                    <w:rPr>
                      <w:b/>
                      <w:szCs w:val="21"/>
                    </w:rPr>
                    <w:t>参考限值</w:t>
                  </w:r>
                </w:p>
              </w:tc>
            </w:tr>
            <w:tr w14:paraId="6165D644">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1245" w:type="dxa"/>
                  <w:vMerge w:val="continue"/>
                  <w:vAlign w:val="center"/>
                </w:tcPr>
                <w:p w14:paraId="7F3C3E3E">
                  <w:pPr>
                    <w:jc w:val="center"/>
                    <w:rPr>
                      <w:b/>
                      <w:szCs w:val="21"/>
                    </w:rPr>
                  </w:pPr>
                </w:p>
              </w:tc>
              <w:tc>
                <w:tcPr>
                  <w:tcW w:w="1108" w:type="dxa"/>
                  <w:vMerge w:val="continue"/>
                  <w:vAlign w:val="center"/>
                </w:tcPr>
                <w:p w14:paraId="1CC82FFF">
                  <w:pPr>
                    <w:jc w:val="center"/>
                    <w:rPr>
                      <w:b/>
                      <w:szCs w:val="21"/>
                    </w:rPr>
                  </w:pPr>
                </w:p>
              </w:tc>
              <w:tc>
                <w:tcPr>
                  <w:tcW w:w="1232" w:type="dxa"/>
                  <w:vAlign w:val="center"/>
                </w:tcPr>
                <w:p w14:paraId="16EB4B4E">
                  <w:pPr>
                    <w:jc w:val="center"/>
                    <w:rPr>
                      <w:b/>
                      <w:szCs w:val="21"/>
                    </w:rPr>
                  </w:pPr>
                  <w:r>
                    <w:rPr>
                      <w:rFonts w:hint="eastAsia"/>
                      <w:b/>
                      <w:szCs w:val="21"/>
                    </w:rPr>
                    <w:t>监测时间</w:t>
                  </w:r>
                </w:p>
              </w:tc>
              <w:tc>
                <w:tcPr>
                  <w:tcW w:w="1052" w:type="dxa"/>
                  <w:vAlign w:val="center"/>
                </w:tcPr>
                <w:p w14:paraId="7CEC10E2">
                  <w:pPr>
                    <w:jc w:val="center"/>
                    <w:rPr>
                      <w:b/>
                      <w:szCs w:val="21"/>
                    </w:rPr>
                  </w:pPr>
                  <w:r>
                    <w:rPr>
                      <w:rFonts w:hint="eastAsia"/>
                      <w:b/>
                      <w:szCs w:val="21"/>
                    </w:rPr>
                    <w:t>第一次</w:t>
                  </w:r>
                </w:p>
              </w:tc>
              <w:tc>
                <w:tcPr>
                  <w:tcW w:w="1053" w:type="dxa"/>
                  <w:vAlign w:val="center"/>
                </w:tcPr>
                <w:p w14:paraId="2969AD66">
                  <w:pPr>
                    <w:jc w:val="center"/>
                    <w:rPr>
                      <w:b/>
                      <w:szCs w:val="21"/>
                    </w:rPr>
                  </w:pPr>
                  <w:r>
                    <w:rPr>
                      <w:rFonts w:hint="eastAsia"/>
                      <w:b/>
                      <w:szCs w:val="21"/>
                    </w:rPr>
                    <w:t>第二次</w:t>
                  </w:r>
                </w:p>
              </w:tc>
              <w:tc>
                <w:tcPr>
                  <w:tcW w:w="1053" w:type="dxa"/>
                  <w:vAlign w:val="center"/>
                </w:tcPr>
                <w:p w14:paraId="1B10DA7C">
                  <w:pPr>
                    <w:jc w:val="center"/>
                    <w:rPr>
                      <w:b/>
                      <w:szCs w:val="21"/>
                    </w:rPr>
                  </w:pPr>
                  <w:r>
                    <w:rPr>
                      <w:rFonts w:hint="eastAsia"/>
                      <w:b/>
                      <w:szCs w:val="21"/>
                    </w:rPr>
                    <w:t>第三次</w:t>
                  </w:r>
                </w:p>
              </w:tc>
              <w:tc>
                <w:tcPr>
                  <w:tcW w:w="1309" w:type="dxa"/>
                  <w:vMerge w:val="continue"/>
                  <w:vAlign w:val="center"/>
                </w:tcPr>
                <w:p w14:paraId="50BED06A">
                  <w:pPr>
                    <w:jc w:val="center"/>
                    <w:rPr>
                      <w:b/>
                      <w:szCs w:val="21"/>
                    </w:rPr>
                  </w:pPr>
                </w:p>
              </w:tc>
            </w:tr>
            <w:tr w14:paraId="20F2F7EB">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1245" w:type="dxa"/>
                  <w:vMerge w:val="restart"/>
                  <w:vAlign w:val="center"/>
                </w:tcPr>
                <w:p w14:paraId="7098FEDA">
                  <w:pPr>
                    <w:jc w:val="center"/>
                    <w:rPr>
                      <w:bCs/>
                      <w:szCs w:val="21"/>
                    </w:rPr>
                  </w:pPr>
                  <w:r>
                    <w:rPr>
                      <w:bCs/>
                      <w:szCs w:val="21"/>
                    </w:rPr>
                    <w:t>G1</w:t>
                  </w:r>
                  <w:r>
                    <w:rPr>
                      <w:rFonts w:hint="eastAsia"/>
                      <w:bCs/>
                      <w:szCs w:val="21"/>
                    </w:rPr>
                    <w:t>中共金龙坪街道居民</w:t>
                  </w:r>
                </w:p>
              </w:tc>
              <w:tc>
                <w:tcPr>
                  <w:tcW w:w="1108" w:type="dxa"/>
                  <w:vMerge w:val="restart"/>
                  <w:vAlign w:val="center"/>
                </w:tcPr>
                <w:p w14:paraId="64BB1FC9">
                  <w:pPr>
                    <w:jc w:val="center"/>
                    <w:rPr>
                      <w:bCs/>
                      <w:szCs w:val="21"/>
                    </w:rPr>
                  </w:pPr>
                  <w:r>
                    <w:rPr>
                      <w:rFonts w:hint="eastAsia"/>
                      <w:bCs/>
                      <w:szCs w:val="21"/>
                    </w:rPr>
                    <w:t>TSP</w:t>
                  </w:r>
                </w:p>
              </w:tc>
              <w:tc>
                <w:tcPr>
                  <w:tcW w:w="1232" w:type="dxa"/>
                  <w:vAlign w:val="center"/>
                </w:tcPr>
                <w:p w14:paraId="3CC0123C">
                  <w:pPr>
                    <w:jc w:val="center"/>
                    <w:rPr>
                      <w:bCs/>
                      <w:szCs w:val="21"/>
                    </w:rPr>
                  </w:pPr>
                  <w:r>
                    <w:rPr>
                      <w:rFonts w:hint="eastAsia"/>
                      <w:bCs/>
                      <w:szCs w:val="21"/>
                    </w:rPr>
                    <w:t>2</w:t>
                  </w:r>
                  <w:r>
                    <w:rPr>
                      <w:bCs/>
                      <w:szCs w:val="21"/>
                    </w:rPr>
                    <w:t>023.6.21</w:t>
                  </w:r>
                </w:p>
              </w:tc>
              <w:tc>
                <w:tcPr>
                  <w:tcW w:w="3158" w:type="dxa"/>
                  <w:gridSpan w:val="3"/>
                  <w:vAlign w:val="center"/>
                </w:tcPr>
                <w:p w14:paraId="2A8871B0">
                  <w:pPr>
                    <w:jc w:val="center"/>
                    <w:rPr>
                      <w:bCs/>
                      <w:szCs w:val="21"/>
                    </w:rPr>
                  </w:pPr>
                  <w:r>
                    <w:rPr>
                      <w:rFonts w:hint="eastAsia"/>
                      <w:bCs/>
                      <w:szCs w:val="21"/>
                    </w:rPr>
                    <w:t>0</w:t>
                  </w:r>
                  <w:r>
                    <w:rPr>
                      <w:bCs/>
                      <w:szCs w:val="21"/>
                    </w:rPr>
                    <w:t>.035</w:t>
                  </w:r>
                </w:p>
              </w:tc>
              <w:tc>
                <w:tcPr>
                  <w:tcW w:w="1309" w:type="dxa"/>
                  <w:vMerge w:val="restart"/>
                  <w:vAlign w:val="center"/>
                </w:tcPr>
                <w:p w14:paraId="24310EC3">
                  <w:pPr>
                    <w:jc w:val="center"/>
                    <w:rPr>
                      <w:bCs/>
                      <w:szCs w:val="21"/>
                    </w:rPr>
                  </w:pPr>
                  <w:r>
                    <w:rPr>
                      <w:bCs/>
                      <w:szCs w:val="21"/>
                    </w:rPr>
                    <w:t>0.3mg/m</w:t>
                  </w:r>
                  <w:r>
                    <w:rPr>
                      <w:bCs/>
                      <w:szCs w:val="21"/>
                      <w:vertAlign w:val="superscript"/>
                    </w:rPr>
                    <w:t>3</w:t>
                  </w:r>
                </w:p>
              </w:tc>
            </w:tr>
            <w:tr w14:paraId="3B009839">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1245" w:type="dxa"/>
                  <w:vMerge w:val="continue"/>
                  <w:vAlign w:val="center"/>
                </w:tcPr>
                <w:p w14:paraId="0BDC4312">
                  <w:pPr>
                    <w:jc w:val="center"/>
                    <w:rPr>
                      <w:bCs/>
                      <w:szCs w:val="21"/>
                    </w:rPr>
                  </w:pPr>
                </w:p>
              </w:tc>
              <w:tc>
                <w:tcPr>
                  <w:tcW w:w="1108" w:type="dxa"/>
                  <w:vMerge w:val="continue"/>
                  <w:vAlign w:val="center"/>
                </w:tcPr>
                <w:p w14:paraId="6FFBE6AF">
                  <w:pPr>
                    <w:jc w:val="center"/>
                    <w:rPr>
                      <w:bCs/>
                      <w:szCs w:val="21"/>
                    </w:rPr>
                  </w:pPr>
                </w:p>
              </w:tc>
              <w:tc>
                <w:tcPr>
                  <w:tcW w:w="1232" w:type="dxa"/>
                  <w:vAlign w:val="center"/>
                </w:tcPr>
                <w:p w14:paraId="4706D2B7">
                  <w:pPr>
                    <w:jc w:val="center"/>
                    <w:rPr>
                      <w:bCs/>
                      <w:szCs w:val="21"/>
                    </w:rPr>
                  </w:pPr>
                  <w:r>
                    <w:rPr>
                      <w:rFonts w:hint="eastAsia"/>
                      <w:bCs/>
                      <w:szCs w:val="21"/>
                    </w:rPr>
                    <w:t>2</w:t>
                  </w:r>
                  <w:r>
                    <w:rPr>
                      <w:bCs/>
                      <w:szCs w:val="21"/>
                    </w:rPr>
                    <w:t>023.6.22</w:t>
                  </w:r>
                </w:p>
              </w:tc>
              <w:tc>
                <w:tcPr>
                  <w:tcW w:w="3158" w:type="dxa"/>
                  <w:gridSpan w:val="3"/>
                  <w:vAlign w:val="center"/>
                </w:tcPr>
                <w:p w14:paraId="74E0FDEA">
                  <w:pPr>
                    <w:jc w:val="center"/>
                    <w:rPr>
                      <w:bCs/>
                      <w:szCs w:val="21"/>
                    </w:rPr>
                  </w:pPr>
                  <w:r>
                    <w:rPr>
                      <w:rFonts w:hint="eastAsia"/>
                      <w:bCs/>
                      <w:szCs w:val="21"/>
                    </w:rPr>
                    <w:t>0</w:t>
                  </w:r>
                  <w:r>
                    <w:rPr>
                      <w:bCs/>
                      <w:szCs w:val="21"/>
                    </w:rPr>
                    <w:t>.043</w:t>
                  </w:r>
                </w:p>
              </w:tc>
              <w:tc>
                <w:tcPr>
                  <w:tcW w:w="1309" w:type="dxa"/>
                  <w:vMerge w:val="continue"/>
                  <w:vAlign w:val="center"/>
                </w:tcPr>
                <w:p w14:paraId="4B206EA6">
                  <w:pPr>
                    <w:jc w:val="center"/>
                    <w:rPr>
                      <w:bCs/>
                      <w:szCs w:val="21"/>
                    </w:rPr>
                  </w:pPr>
                </w:p>
              </w:tc>
            </w:tr>
            <w:tr w14:paraId="2DCCFD0C">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1245" w:type="dxa"/>
                  <w:vMerge w:val="continue"/>
                  <w:vAlign w:val="center"/>
                </w:tcPr>
                <w:p w14:paraId="535B59FD">
                  <w:pPr>
                    <w:jc w:val="center"/>
                    <w:rPr>
                      <w:bCs/>
                      <w:szCs w:val="21"/>
                    </w:rPr>
                  </w:pPr>
                </w:p>
              </w:tc>
              <w:tc>
                <w:tcPr>
                  <w:tcW w:w="1108" w:type="dxa"/>
                  <w:vMerge w:val="continue"/>
                  <w:vAlign w:val="center"/>
                </w:tcPr>
                <w:p w14:paraId="0800BE74">
                  <w:pPr>
                    <w:jc w:val="center"/>
                    <w:rPr>
                      <w:bCs/>
                      <w:szCs w:val="21"/>
                    </w:rPr>
                  </w:pPr>
                </w:p>
              </w:tc>
              <w:tc>
                <w:tcPr>
                  <w:tcW w:w="1232" w:type="dxa"/>
                  <w:vAlign w:val="center"/>
                </w:tcPr>
                <w:p w14:paraId="3A7CD2FA">
                  <w:pPr>
                    <w:jc w:val="center"/>
                    <w:rPr>
                      <w:bCs/>
                      <w:szCs w:val="21"/>
                    </w:rPr>
                  </w:pPr>
                  <w:r>
                    <w:rPr>
                      <w:bCs/>
                      <w:szCs w:val="21"/>
                    </w:rPr>
                    <w:t>2023.6.23</w:t>
                  </w:r>
                </w:p>
              </w:tc>
              <w:tc>
                <w:tcPr>
                  <w:tcW w:w="3158" w:type="dxa"/>
                  <w:gridSpan w:val="3"/>
                  <w:vAlign w:val="center"/>
                </w:tcPr>
                <w:p w14:paraId="588D833B">
                  <w:pPr>
                    <w:jc w:val="center"/>
                    <w:rPr>
                      <w:bCs/>
                      <w:szCs w:val="21"/>
                    </w:rPr>
                  </w:pPr>
                  <w:r>
                    <w:rPr>
                      <w:rFonts w:hint="eastAsia"/>
                      <w:bCs/>
                      <w:szCs w:val="21"/>
                    </w:rPr>
                    <w:t>0</w:t>
                  </w:r>
                  <w:r>
                    <w:rPr>
                      <w:bCs/>
                      <w:szCs w:val="21"/>
                    </w:rPr>
                    <w:t>.038</w:t>
                  </w:r>
                </w:p>
              </w:tc>
              <w:tc>
                <w:tcPr>
                  <w:tcW w:w="1309" w:type="dxa"/>
                  <w:vMerge w:val="continue"/>
                  <w:vAlign w:val="center"/>
                </w:tcPr>
                <w:p w14:paraId="1B98AEF8">
                  <w:pPr>
                    <w:jc w:val="center"/>
                    <w:rPr>
                      <w:bCs/>
                      <w:szCs w:val="21"/>
                    </w:rPr>
                  </w:pPr>
                </w:p>
              </w:tc>
            </w:tr>
            <w:tr w14:paraId="07F73920">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1245" w:type="dxa"/>
                  <w:vMerge w:val="continue"/>
                  <w:vAlign w:val="center"/>
                </w:tcPr>
                <w:p w14:paraId="1C5A2465">
                  <w:pPr>
                    <w:jc w:val="center"/>
                    <w:rPr>
                      <w:bCs/>
                      <w:szCs w:val="21"/>
                    </w:rPr>
                  </w:pPr>
                </w:p>
              </w:tc>
              <w:tc>
                <w:tcPr>
                  <w:tcW w:w="1108" w:type="dxa"/>
                  <w:vMerge w:val="restart"/>
                  <w:vAlign w:val="center"/>
                </w:tcPr>
                <w:p w14:paraId="3902B186">
                  <w:pPr>
                    <w:jc w:val="center"/>
                    <w:rPr>
                      <w:bCs/>
                      <w:szCs w:val="21"/>
                    </w:rPr>
                  </w:pPr>
                  <w:r>
                    <w:rPr>
                      <w:rFonts w:hint="eastAsia"/>
                      <w:bCs/>
                      <w:szCs w:val="21"/>
                    </w:rPr>
                    <w:t>非甲烷总烃</w:t>
                  </w:r>
                </w:p>
              </w:tc>
              <w:tc>
                <w:tcPr>
                  <w:tcW w:w="1232" w:type="dxa"/>
                  <w:vAlign w:val="center"/>
                </w:tcPr>
                <w:p w14:paraId="11E700FC">
                  <w:pPr>
                    <w:jc w:val="center"/>
                    <w:rPr>
                      <w:bCs/>
                      <w:szCs w:val="21"/>
                    </w:rPr>
                  </w:pPr>
                  <w:r>
                    <w:rPr>
                      <w:rFonts w:hint="eastAsia"/>
                      <w:bCs/>
                      <w:szCs w:val="21"/>
                    </w:rPr>
                    <w:t>2</w:t>
                  </w:r>
                  <w:r>
                    <w:rPr>
                      <w:bCs/>
                      <w:szCs w:val="21"/>
                    </w:rPr>
                    <w:t>023.6.21</w:t>
                  </w:r>
                </w:p>
              </w:tc>
              <w:tc>
                <w:tcPr>
                  <w:tcW w:w="1052" w:type="dxa"/>
                  <w:vAlign w:val="center"/>
                </w:tcPr>
                <w:p w14:paraId="3C917912">
                  <w:pPr>
                    <w:jc w:val="center"/>
                    <w:rPr>
                      <w:bCs/>
                      <w:szCs w:val="21"/>
                    </w:rPr>
                  </w:pPr>
                  <w:r>
                    <w:rPr>
                      <w:rFonts w:hint="eastAsia"/>
                      <w:bCs/>
                      <w:szCs w:val="21"/>
                    </w:rPr>
                    <w:t>0</w:t>
                  </w:r>
                  <w:r>
                    <w:rPr>
                      <w:bCs/>
                      <w:szCs w:val="21"/>
                    </w:rPr>
                    <w:t>.87</w:t>
                  </w:r>
                </w:p>
              </w:tc>
              <w:tc>
                <w:tcPr>
                  <w:tcW w:w="1053" w:type="dxa"/>
                  <w:vAlign w:val="center"/>
                </w:tcPr>
                <w:p w14:paraId="77A35449">
                  <w:pPr>
                    <w:jc w:val="center"/>
                    <w:rPr>
                      <w:bCs/>
                      <w:szCs w:val="21"/>
                    </w:rPr>
                  </w:pPr>
                  <w:r>
                    <w:rPr>
                      <w:rFonts w:hint="eastAsia"/>
                      <w:bCs/>
                      <w:szCs w:val="21"/>
                    </w:rPr>
                    <w:t>0</w:t>
                  </w:r>
                  <w:r>
                    <w:rPr>
                      <w:bCs/>
                      <w:szCs w:val="21"/>
                    </w:rPr>
                    <w:t>.84</w:t>
                  </w:r>
                </w:p>
              </w:tc>
              <w:tc>
                <w:tcPr>
                  <w:tcW w:w="1053" w:type="dxa"/>
                  <w:vAlign w:val="center"/>
                </w:tcPr>
                <w:p w14:paraId="31D9A330">
                  <w:pPr>
                    <w:jc w:val="center"/>
                    <w:rPr>
                      <w:bCs/>
                      <w:szCs w:val="21"/>
                    </w:rPr>
                  </w:pPr>
                  <w:r>
                    <w:rPr>
                      <w:rFonts w:hint="eastAsia"/>
                      <w:bCs/>
                      <w:szCs w:val="21"/>
                    </w:rPr>
                    <w:t>0</w:t>
                  </w:r>
                  <w:r>
                    <w:rPr>
                      <w:bCs/>
                      <w:szCs w:val="21"/>
                    </w:rPr>
                    <w:t>.82</w:t>
                  </w:r>
                </w:p>
              </w:tc>
              <w:tc>
                <w:tcPr>
                  <w:tcW w:w="1309" w:type="dxa"/>
                  <w:vMerge w:val="continue"/>
                  <w:vAlign w:val="center"/>
                </w:tcPr>
                <w:p w14:paraId="58457EF7">
                  <w:pPr>
                    <w:jc w:val="center"/>
                    <w:rPr>
                      <w:bCs/>
                      <w:szCs w:val="21"/>
                    </w:rPr>
                  </w:pPr>
                </w:p>
              </w:tc>
            </w:tr>
            <w:tr w14:paraId="53F208F0">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1245" w:type="dxa"/>
                  <w:vMerge w:val="continue"/>
                  <w:vAlign w:val="center"/>
                </w:tcPr>
                <w:p w14:paraId="47E43661">
                  <w:pPr>
                    <w:jc w:val="center"/>
                    <w:rPr>
                      <w:bCs/>
                      <w:szCs w:val="21"/>
                    </w:rPr>
                  </w:pPr>
                </w:p>
              </w:tc>
              <w:tc>
                <w:tcPr>
                  <w:tcW w:w="1108" w:type="dxa"/>
                  <w:vMerge w:val="continue"/>
                  <w:vAlign w:val="center"/>
                </w:tcPr>
                <w:p w14:paraId="28720AFF">
                  <w:pPr>
                    <w:jc w:val="center"/>
                    <w:rPr>
                      <w:bCs/>
                      <w:szCs w:val="21"/>
                    </w:rPr>
                  </w:pPr>
                </w:p>
              </w:tc>
              <w:tc>
                <w:tcPr>
                  <w:tcW w:w="1232" w:type="dxa"/>
                  <w:vAlign w:val="center"/>
                </w:tcPr>
                <w:p w14:paraId="122AB3C3">
                  <w:pPr>
                    <w:jc w:val="center"/>
                    <w:rPr>
                      <w:bCs/>
                      <w:szCs w:val="21"/>
                    </w:rPr>
                  </w:pPr>
                  <w:r>
                    <w:rPr>
                      <w:rFonts w:hint="eastAsia"/>
                      <w:bCs/>
                      <w:szCs w:val="21"/>
                    </w:rPr>
                    <w:t>2</w:t>
                  </w:r>
                  <w:r>
                    <w:rPr>
                      <w:bCs/>
                      <w:szCs w:val="21"/>
                    </w:rPr>
                    <w:t>023.6.22</w:t>
                  </w:r>
                </w:p>
              </w:tc>
              <w:tc>
                <w:tcPr>
                  <w:tcW w:w="1052" w:type="dxa"/>
                  <w:vAlign w:val="center"/>
                </w:tcPr>
                <w:p w14:paraId="3B9C0653">
                  <w:pPr>
                    <w:jc w:val="center"/>
                    <w:rPr>
                      <w:bCs/>
                      <w:szCs w:val="21"/>
                    </w:rPr>
                  </w:pPr>
                  <w:r>
                    <w:rPr>
                      <w:rFonts w:hint="eastAsia"/>
                      <w:bCs/>
                      <w:szCs w:val="21"/>
                    </w:rPr>
                    <w:t>0</w:t>
                  </w:r>
                  <w:r>
                    <w:rPr>
                      <w:bCs/>
                      <w:szCs w:val="21"/>
                    </w:rPr>
                    <w:t>.70</w:t>
                  </w:r>
                </w:p>
              </w:tc>
              <w:tc>
                <w:tcPr>
                  <w:tcW w:w="1053" w:type="dxa"/>
                  <w:vAlign w:val="center"/>
                </w:tcPr>
                <w:p w14:paraId="2A11FD98">
                  <w:pPr>
                    <w:jc w:val="center"/>
                    <w:rPr>
                      <w:bCs/>
                      <w:szCs w:val="21"/>
                    </w:rPr>
                  </w:pPr>
                  <w:r>
                    <w:rPr>
                      <w:rFonts w:hint="eastAsia"/>
                      <w:bCs/>
                      <w:szCs w:val="21"/>
                    </w:rPr>
                    <w:t>0</w:t>
                  </w:r>
                  <w:r>
                    <w:rPr>
                      <w:bCs/>
                      <w:szCs w:val="21"/>
                    </w:rPr>
                    <w:t>.80</w:t>
                  </w:r>
                </w:p>
              </w:tc>
              <w:tc>
                <w:tcPr>
                  <w:tcW w:w="1053" w:type="dxa"/>
                  <w:vAlign w:val="center"/>
                </w:tcPr>
                <w:p w14:paraId="124BDBCA">
                  <w:pPr>
                    <w:jc w:val="center"/>
                    <w:rPr>
                      <w:bCs/>
                      <w:szCs w:val="21"/>
                    </w:rPr>
                  </w:pPr>
                  <w:r>
                    <w:rPr>
                      <w:rFonts w:hint="eastAsia"/>
                      <w:bCs/>
                      <w:szCs w:val="21"/>
                    </w:rPr>
                    <w:t>0</w:t>
                  </w:r>
                  <w:r>
                    <w:rPr>
                      <w:bCs/>
                      <w:szCs w:val="21"/>
                    </w:rPr>
                    <w:t>.63</w:t>
                  </w:r>
                </w:p>
              </w:tc>
              <w:tc>
                <w:tcPr>
                  <w:tcW w:w="1309" w:type="dxa"/>
                  <w:vMerge w:val="continue"/>
                  <w:vAlign w:val="center"/>
                </w:tcPr>
                <w:p w14:paraId="20F3E4CD">
                  <w:pPr>
                    <w:jc w:val="center"/>
                    <w:rPr>
                      <w:bCs/>
                      <w:szCs w:val="21"/>
                    </w:rPr>
                  </w:pPr>
                </w:p>
              </w:tc>
            </w:tr>
            <w:tr w14:paraId="4DD46177">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1245" w:type="dxa"/>
                  <w:vMerge w:val="continue"/>
                  <w:vAlign w:val="center"/>
                </w:tcPr>
                <w:p w14:paraId="0DCDF5AA">
                  <w:pPr>
                    <w:jc w:val="center"/>
                    <w:rPr>
                      <w:bCs/>
                      <w:szCs w:val="21"/>
                    </w:rPr>
                  </w:pPr>
                </w:p>
              </w:tc>
              <w:tc>
                <w:tcPr>
                  <w:tcW w:w="1108" w:type="dxa"/>
                  <w:vMerge w:val="continue"/>
                  <w:vAlign w:val="center"/>
                </w:tcPr>
                <w:p w14:paraId="2E80636B">
                  <w:pPr>
                    <w:jc w:val="center"/>
                    <w:rPr>
                      <w:bCs/>
                      <w:szCs w:val="21"/>
                    </w:rPr>
                  </w:pPr>
                </w:p>
              </w:tc>
              <w:tc>
                <w:tcPr>
                  <w:tcW w:w="1232" w:type="dxa"/>
                  <w:vAlign w:val="center"/>
                </w:tcPr>
                <w:p w14:paraId="619BABBD">
                  <w:pPr>
                    <w:jc w:val="center"/>
                    <w:rPr>
                      <w:bCs/>
                      <w:szCs w:val="21"/>
                    </w:rPr>
                  </w:pPr>
                  <w:r>
                    <w:rPr>
                      <w:bCs/>
                      <w:szCs w:val="21"/>
                    </w:rPr>
                    <w:t>2023.6.23</w:t>
                  </w:r>
                </w:p>
              </w:tc>
              <w:tc>
                <w:tcPr>
                  <w:tcW w:w="1052" w:type="dxa"/>
                  <w:vAlign w:val="center"/>
                </w:tcPr>
                <w:p w14:paraId="3612647C">
                  <w:pPr>
                    <w:jc w:val="center"/>
                    <w:rPr>
                      <w:bCs/>
                      <w:szCs w:val="21"/>
                    </w:rPr>
                  </w:pPr>
                  <w:r>
                    <w:rPr>
                      <w:rFonts w:hint="eastAsia"/>
                      <w:bCs/>
                      <w:szCs w:val="21"/>
                    </w:rPr>
                    <w:t>0</w:t>
                  </w:r>
                  <w:r>
                    <w:rPr>
                      <w:bCs/>
                      <w:szCs w:val="21"/>
                    </w:rPr>
                    <w:t>.38</w:t>
                  </w:r>
                </w:p>
              </w:tc>
              <w:tc>
                <w:tcPr>
                  <w:tcW w:w="1053" w:type="dxa"/>
                  <w:vAlign w:val="center"/>
                </w:tcPr>
                <w:p w14:paraId="72A33A72">
                  <w:pPr>
                    <w:jc w:val="center"/>
                    <w:rPr>
                      <w:bCs/>
                      <w:szCs w:val="21"/>
                    </w:rPr>
                  </w:pPr>
                  <w:r>
                    <w:rPr>
                      <w:rFonts w:hint="eastAsia"/>
                      <w:bCs/>
                      <w:szCs w:val="21"/>
                    </w:rPr>
                    <w:t>0</w:t>
                  </w:r>
                  <w:r>
                    <w:rPr>
                      <w:bCs/>
                      <w:szCs w:val="21"/>
                    </w:rPr>
                    <w:t>.45</w:t>
                  </w:r>
                </w:p>
              </w:tc>
              <w:tc>
                <w:tcPr>
                  <w:tcW w:w="1053" w:type="dxa"/>
                  <w:vAlign w:val="center"/>
                </w:tcPr>
                <w:p w14:paraId="0B4649FF">
                  <w:pPr>
                    <w:jc w:val="center"/>
                    <w:rPr>
                      <w:bCs/>
                      <w:szCs w:val="21"/>
                    </w:rPr>
                  </w:pPr>
                  <w:r>
                    <w:rPr>
                      <w:rFonts w:hint="eastAsia"/>
                      <w:bCs/>
                      <w:szCs w:val="21"/>
                    </w:rPr>
                    <w:t>0</w:t>
                  </w:r>
                  <w:r>
                    <w:rPr>
                      <w:bCs/>
                      <w:szCs w:val="21"/>
                    </w:rPr>
                    <w:t>.64</w:t>
                  </w:r>
                </w:p>
              </w:tc>
              <w:tc>
                <w:tcPr>
                  <w:tcW w:w="1309" w:type="dxa"/>
                  <w:vAlign w:val="center"/>
                </w:tcPr>
                <w:p w14:paraId="45435F37">
                  <w:pPr>
                    <w:jc w:val="center"/>
                    <w:rPr>
                      <w:szCs w:val="21"/>
                    </w:rPr>
                  </w:pPr>
                  <w:r>
                    <w:rPr>
                      <w:bCs/>
                      <w:szCs w:val="21"/>
                    </w:rPr>
                    <w:t>2.0mg/m</w:t>
                  </w:r>
                  <w:r>
                    <w:rPr>
                      <w:bCs/>
                      <w:szCs w:val="21"/>
                      <w:vertAlign w:val="superscript"/>
                    </w:rPr>
                    <w:t>3</w:t>
                  </w:r>
                </w:p>
              </w:tc>
            </w:tr>
          </w:tbl>
          <w:p w14:paraId="2CBEE2D0">
            <w:pPr>
              <w:spacing w:line="360" w:lineRule="auto"/>
              <w:ind w:firstLine="480" w:firstLineChars="200"/>
            </w:pPr>
            <w:r>
              <w:rPr>
                <w:rFonts w:hint="eastAsia"/>
                <w:sz w:val="24"/>
              </w:rPr>
              <w:t>根据上表可知</w:t>
            </w:r>
            <w:r>
              <w:rPr>
                <w:sz w:val="24"/>
              </w:rPr>
              <w:t>，监测点</w:t>
            </w:r>
            <w:r>
              <w:rPr>
                <w:rFonts w:hint="eastAsia"/>
                <w:sz w:val="24"/>
              </w:rPr>
              <w:t>TSP满足《环境空气质量标准》（GB3095-2012）二类标准要求、非甲烷总烃满足《大气污染物综合排放标准 详解》标准要求。项目所在区域环境空气质量良好。</w:t>
            </w:r>
          </w:p>
          <w:p w14:paraId="0EE6DF5A">
            <w:pPr>
              <w:pStyle w:val="109"/>
              <w:ind w:firstLine="482"/>
            </w:pPr>
            <w:r>
              <w:rPr>
                <w:rFonts w:hint="eastAsia"/>
                <w:b/>
                <w:bCs/>
              </w:rPr>
              <w:t>3.</w:t>
            </w:r>
            <w:r>
              <w:rPr>
                <w:b/>
                <w:bCs/>
              </w:rPr>
              <w:t>2、地表水环境质量现状</w:t>
            </w:r>
          </w:p>
          <w:p w14:paraId="42128887">
            <w:pPr>
              <w:pStyle w:val="109"/>
              <w:rPr>
                <w:highlight w:val="yellow"/>
              </w:rPr>
            </w:pPr>
            <w:r>
              <w:t>本项目</w:t>
            </w:r>
            <w:r>
              <w:rPr>
                <w:rFonts w:hint="eastAsia"/>
              </w:rPr>
              <w:t>无生产废水排放</w:t>
            </w:r>
            <w:r>
              <w:t>；</w:t>
            </w:r>
            <w:r>
              <w:rPr>
                <w:rFonts w:hint="eastAsia"/>
                <w:lang w:eastAsia="zh-CN"/>
              </w:rPr>
              <w:t>生活污水依托衡钢原有的化粪池处理后经厂区污水管网排入衡钢西区污水处理厂处理达到《污水综合排放标准》（GB8978-1996）表4 中三级标准，排入幸福河，然后进入铜桥港污水处理厂进一步处理，处理后排入湘江。</w:t>
            </w:r>
            <w:r>
              <w:rPr>
                <w:rFonts w:hint="eastAsia"/>
              </w:rPr>
              <w:t>距离本项目最近的地表水为湘江江东水厂监测断面</w:t>
            </w:r>
            <w:r>
              <w:t>。</w:t>
            </w:r>
          </w:p>
          <w:p w14:paraId="3CF11640">
            <w:pPr>
              <w:pStyle w:val="109"/>
            </w:pPr>
            <w:r>
              <w:t>根据衡阳市生态环境局发布的《衡阳市2024年12月及1-12月环境质量状况》（网址：http://sthjj.hengyang.gov.cn/hjzl/hjzkgb/20250124/i3567416.html）</w:t>
            </w:r>
            <w:r>
              <w:rPr>
                <w:rFonts w:hint="eastAsia"/>
              </w:rPr>
              <w:t>内容，2024年1~12月，衡阳市纳入考核、评价、排名的44个断面中，II类40个，III类4个。其中13个交界断面中II类水质10个，III类3个；13个国考断面中II类12个，III类1个。</w:t>
            </w:r>
          </w:p>
          <w:p w14:paraId="2854B8FF">
            <w:pPr>
              <w:pStyle w:val="109"/>
            </w:pPr>
            <w:r>
              <w:rPr>
                <w:rFonts w:hint="eastAsia"/>
              </w:rPr>
              <w:t>本项目主要受纳水体为湘江，距离铜桥港污水处理厂排污口最近的监测断面为江东水厂监测断面。详情见图3-2。</w:t>
            </w:r>
          </w:p>
          <w:p w14:paraId="373816E5">
            <w:pPr>
              <w:pStyle w:val="173"/>
              <w:spacing w:before="120"/>
              <w:rPr>
                <w:rFonts w:hint="default" w:ascii="Times New Roman" w:hAnsi="Times New Roman" w:cs="Times New Roman"/>
              </w:rPr>
            </w:pPr>
          </w:p>
          <w:p w14:paraId="31EA3F09">
            <w:pPr>
              <w:pStyle w:val="173"/>
              <w:spacing w:before="120"/>
              <w:rPr>
                <w:rFonts w:hint="default" w:ascii="Times New Roman" w:hAnsi="Times New Roman" w:cs="Times New Roman"/>
              </w:rPr>
            </w:pPr>
          </w:p>
          <w:p w14:paraId="3BEE3E6D">
            <w:pPr>
              <w:pStyle w:val="173"/>
              <w:spacing w:before="120"/>
              <w:rPr>
                <w:rFonts w:hint="default" w:ascii="Times New Roman" w:hAnsi="Times New Roman" w:cs="Times New Roman"/>
              </w:rPr>
            </w:pPr>
          </w:p>
          <w:p w14:paraId="037BF3D5">
            <w:pPr>
              <w:pStyle w:val="173"/>
              <w:spacing w:before="120"/>
              <w:rPr>
                <w:rFonts w:hint="default" w:ascii="Times New Roman" w:hAnsi="Times New Roman" w:cs="Times New Roman"/>
              </w:rPr>
            </w:pPr>
          </w:p>
          <w:p w14:paraId="0250EC43">
            <w:pPr>
              <w:pStyle w:val="173"/>
              <w:spacing w:before="120"/>
              <w:rPr>
                <w:rFonts w:hint="default" w:ascii="Times New Roman" w:hAnsi="Times New Roman" w:cs="Times New Roman"/>
              </w:rPr>
            </w:pPr>
          </w:p>
          <w:p w14:paraId="5CB537D7">
            <w:pPr>
              <w:pStyle w:val="173"/>
              <w:spacing w:before="120"/>
              <w:rPr>
                <w:rFonts w:hint="default" w:ascii="Times New Roman" w:hAnsi="Times New Roman" w:cs="Times New Roman"/>
              </w:rPr>
            </w:pPr>
          </w:p>
          <w:p w14:paraId="6D9FF04C">
            <w:pPr>
              <w:pStyle w:val="173"/>
              <w:spacing w:before="120"/>
              <w:rPr>
                <w:rFonts w:hint="default" w:ascii="Times New Roman" w:hAnsi="Times New Roman" w:cs="Times New Roman"/>
              </w:rPr>
            </w:pPr>
          </w:p>
          <w:p w14:paraId="7CA490BE">
            <w:pPr>
              <w:pStyle w:val="173"/>
              <w:spacing w:before="120"/>
              <w:rPr>
                <w:rFonts w:hint="default" w:ascii="Times New Roman" w:hAnsi="Times New Roman" w:cs="Times New Roman"/>
              </w:rPr>
            </w:pPr>
            <w:r>
              <w:rPr>
                <w:rFonts w:hint="default" w:ascii="Times New Roman" w:hAnsi="Times New Roman" w:cs="Times New Roman"/>
              </w:rPr>
              <w:t>表3-3  地表水环境质量现状</w:t>
            </w:r>
          </w:p>
          <w:p w14:paraId="01CD6A52">
            <w:pPr>
              <w:pStyle w:val="173"/>
              <w:spacing w:before="120"/>
              <w:rPr>
                <w:rFonts w:hint="default" w:ascii="Times New Roman" w:hAnsi="Times New Roman" w:cs="Times New Roman"/>
              </w:rPr>
            </w:pPr>
            <w:r>
              <w:rPr>
                <w:color w:val="000000"/>
              </w:rPr>
              <w:drawing>
                <wp:inline distT="0" distB="0" distL="114300" distR="114300">
                  <wp:extent cx="5060315" cy="3153410"/>
                  <wp:effectExtent l="0" t="0" r="6985" b="889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25" cstate="print"/>
                          <a:stretch>
                            <a:fillRect/>
                          </a:stretch>
                        </pic:blipFill>
                        <pic:spPr>
                          <a:xfrm>
                            <a:off x="0" y="0"/>
                            <a:ext cx="5060315" cy="3153410"/>
                          </a:xfrm>
                          <a:prstGeom prst="rect">
                            <a:avLst/>
                          </a:prstGeom>
                          <a:noFill/>
                          <a:ln>
                            <a:noFill/>
                          </a:ln>
                        </pic:spPr>
                      </pic:pic>
                    </a:graphicData>
                  </a:graphic>
                </wp:inline>
              </w:drawing>
            </w:r>
          </w:p>
          <w:p w14:paraId="11351BC5">
            <w:pPr>
              <w:pStyle w:val="173"/>
              <w:spacing w:before="120" w:line="360" w:lineRule="auto"/>
              <w:rPr>
                <w:rFonts w:hint="default" w:ascii="Times New Roman" w:hAnsi="Times New Roman" w:cs="Times New Roman"/>
                <w:color w:val="000000"/>
              </w:rPr>
            </w:pPr>
            <w:r>
              <w:rPr>
                <w:rFonts w:hint="default" w:ascii="Times New Roman" w:hAnsi="Times New Roman" w:cs="Times New Roman"/>
                <w:color w:val="000000"/>
              </w:rPr>
              <w:t>图3-2  江东水厂监测断面地表水水质情况</w:t>
            </w:r>
          </w:p>
          <w:p w14:paraId="35FEB740">
            <w:pPr>
              <w:spacing w:line="360" w:lineRule="auto"/>
              <w:ind w:firstLine="480" w:firstLineChars="200"/>
              <w:rPr>
                <w:sz w:val="24"/>
              </w:rPr>
            </w:pPr>
            <w:r>
              <w:rPr>
                <w:rFonts w:hint="eastAsia"/>
                <w:sz w:val="24"/>
              </w:rPr>
              <w:t>根据上表可知，湘江江东水厂监测断面水质情况满足《地表水环境质量标准》(GB3838-2002)中</w:t>
            </w:r>
            <w:r>
              <w:rPr>
                <w:sz w:val="24"/>
              </w:rPr>
              <w:t>Ⅱ</w:t>
            </w:r>
            <w:r>
              <w:rPr>
                <w:rFonts w:hint="eastAsia"/>
                <w:sz w:val="24"/>
              </w:rPr>
              <w:t>类水质标准。</w:t>
            </w:r>
          </w:p>
          <w:p w14:paraId="030AD88F">
            <w:pPr>
              <w:spacing w:line="360" w:lineRule="auto"/>
              <w:ind w:firstLine="482"/>
              <w:rPr>
                <w:b/>
                <w:bCs/>
                <w:sz w:val="24"/>
              </w:rPr>
            </w:pPr>
            <w:r>
              <w:rPr>
                <w:rFonts w:hint="eastAsia"/>
                <w:b/>
                <w:bCs/>
                <w:sz w:val="24"/>
              </w:rPr>
              <w:t>3.3声环境质量现状</w:t>
            </w:r>
          </w:p>
          <w:p w14:paraId="54294F58">
            <w:pPr>
              <w:spacing w:line="360" w:lineRule="auto"/>
              <w:ind w:firstLine="480" w:firstLineChars="200"/>
              <w:rPr>
                <w:sz w:val="24"/>
              </w:rPr>
            </w:pPr>
            <w:r>
              <w:rPr>
                <w:rFonts w:hint="eastAsia"/>
                <w:sz w:val="24"/>
              </w:rPr>
              <w:t>根据《建设项目环境影响报告表编制技术指南（污染影响类）（试行）》中具体编制要求“声环境、厂界外周边50m范围内存在声环境保护目标的建设项目，应监测保护目标声环境质量现状并评价达标情况。各点位应监测昼夜间噪声，监测时间不少于1天。”结合现场调查，项目厂界50m范围内无环境敏感目标，因此无需进行声环境质量现状监测</w:t>
            </w:r>
            <w:r>
              <w:rPr>
                <w:spacing w:val="-3"/>
                <w:sz w:val="24"/>
              </w:rPr>
              <w:t>。</w:t>
            </w:r>
          </w:p>
          <w:p w14:paraId="669D5439">
            <w:pPr>
              <w:spacing w:line="360" w:lineRule="auto"/>
              <w:ind w:firstLine="482" w:firstLineChars="200"/>
              <w:rPr>
                <w:b/>
                <w:bCs/>
                <w:sz w:val="24"/>
              </w:rPr>
            </w:pPr>
            <w:r>
              <w:rPr>
                <w:rFonts w:hint="eastAsia"/>
                <w:b/>
                <w:bCs/>
                <w:sz w:val="24"/>
              </w:rPr>
              <w:t>3.4生态环境现状</w:t>
            </w:r>
          </w:p>
          <w:p w14:paraId="2E0607C2">
            <w:pPr>
              <w:spacing w:line="360" w:lineRule="auto"/>
              <w:ind w:firstLine="480" w:firstLineChars="200"/>
              <w:rPr>
                <w:sz w:val="24"/>
              </w:rPr>
            </w:pPr>
            <w:r>
              <w:rPr>
                <w:rFonts w:hint="eastAsia"/>
                <w:sz w:val="24"/>
              </w:rPr>
              <w:t>本项目利用已建成厂房进行生产，施工期仅需安装相关生产设备及配套环保设施。本项目用地范围内不涉及生态环境保护目标，根据《建设项目环境影响报告表编制技术指南（污染影响类）（试行）》，本项目无需进行生态现状调查。</w:t>
            </w:r>
          </w:p>
          <w:p w14:paraId="36353FC4">
            <w:pPr>
              <w:spacing w:line="360" w:lineRule="auto"/>
              <w:ind w:firstLine="482"/>
              <w:rPr>
                <w:b/>
                <w:bCs/>
                <w:sz w:val="24"/>
              </w:rPr>
            </w:pPr>
            <w:r>
              <w:rPr>
                <w:rFonts w:hint="eastAsia"/>
                <w:b/>
                <w:bCs/>
                <w:sz w:val="24"/>
              </w:rPr>
              <w:t>3.5地下水、土壤环境</w:t>
            </w:r>
          </w:p>
          <w:p w14:paraId="004007A6">
            <w:pPr>
              <w:spacing w:line="360" w:lineRule="auto"/>
              <w:ind w:firstLine="480" w:firstLineChars="200"/>
              <w:rPr>
                <w:sz w:val="24"/>
              </w:rPr>
            </w:pPr>
            <w:r>
              <w:rPr>
                <w:rFonts w:hint="eastAsia"/>
                <w:sz w:val="24"/>
              </w:rPr>
              <w:t>根据《</w:t>
            </w:r>
            <w:r>
              <w:fldChar w:fldCharType="begin"/>
            </w:r>
            <w:r>
              <w:instrText xml:space="preserve"> HYPERLINK "http://www.gepresearch.com/uploads/soft/210104/1_1746581341.pdf" \h </w:instrText>
            </w:r>
            <w:r>
              <w:fldChar w:fldCharType="separate"/>
            </w:r>
            <w:r>
              <w:rPr>
                <w:rFonts w:hint="eastAsia"/>
                <w:sz w:val="24"/>
              </w:rPr>
              <w:t>建设项目环境影响报告</w:t>
            </w:r>
            <w:r>
              <w:rPr>
                <w:rFonts w:hint="eastAsia"/>
                <w:sz w:val="24"/>
              </w:rPr>
              <w:fldChar w:fldCharType="end"/>
            </w:r>
            <w:r>
              <w:rPr>
                <w:rFonts w:hint="eastAsia"/>
                <w:sz w:val="24"/>
              </w:rPr>
              <w:t>表编制技术指南（污染影响类）（试行）》中具体编制要求“原则上不开展环境质量现状调查。建设项目不存在地下水环境污染途径的，应结合污染源、保护目标分布情况开展现状调查以留作背景值。”结合现场及工艺分析调查，</w:t>
            </w:r>
          </w:p>
          <w:p w14:paraId="3DAE00D3">
            <w:pPr>
              <w:spacing w:line="360" w:lineRule="auto"/>
              <w:ind w:firstLine="480" w:firstLineChars="200"/>
              <w:rPr>
                <w:sz w:val="24"/>
              </w:rPr>
            </w:pPr>
            <w:r>
              <w:rPr>
                <w:rFonts w:hint="eastAsia"/>
                <w:sz w:val="24"/>
              </w:rPr>
              <w:t>本项目位于衡阳市蒸湘区衡阳钢管深加工产业聚集区，采用自来水进行供水，地下水环境敏感程度为不敏感；厂房车间地面已硬化，周边近距离范围内主要为厂房、道路等，污染影响敏感程度为不敏感（工业用地）；不开展环境质量现状调查。</w:t>
            </w:r>
          </w:p>
          <w:p w14:paraId="2BA16397">
            <w:pPr>
              <w:spacing w:line="360" w:lineRule="auto"/>
              <w:ind w:firstLine="482"/>
              <w:rPr>
                <w:b/>
                <w:bCs/>
                <w:sz w:val="24"/>
              </w:rPr>
            </w:pPr>
            <w:r>
              <w:rPr>
                <w:rFonts w:hint="eastAsia"/>
                <w:b/>
                <w:bCs/>
                <w:sz w:val="24"/>
              </w:rPr>
              <w:t xml:space="preserve">3.6电磁辐射 </w:t>
            </w:r>
          </w:p>
          <w:p w14:paraId="089AB699">
            <w:pPr>
              <w:spacing w:line="360" w:lineRule="auto"/>
              <w:ind w:firstLine="480" w:firstLineChars="200"/>
              <w:rPr>
                <w:sz w:val="24"/>
              </w:rPr>
            </w:pPr>
            <w:r>
              <w:rPr>
                <w:rFonts w:hint="eastAsia"/>
                <w:sz w:val="24"/>
              </w:rPr>
              <w:t>项目不属于新建或改建、扩建广播电台、差转台、电视塔台、卫星地球上行站、雷达等电磁辐射类项目，无需对电磁辐射现状开展监测与评价。</w:t>
            </w:r>
          </w:p>
        </w:tc>
      </w:tr>
      <w:tr w14:paraId="0FD8F00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72" w:hRule="atLeast"/>
          <w:jc w:val="center"/>
        </w:trPr>
        <w:tc>
          <w:tcPr>
            <w:tcW w:w="605" w:type="dxa"/>
            <w:vAlign w:val="center"/>
          </w:tcPr>
          <w:p w14:paraId="1C382776">
            <w:pPr>
              <w:adjustRightInd w:val="0"/>
              <w:snapToGrid w:val="0"/>
              <w:jc w:val="center"/>
              <w:rPr>
                <w:rFonts w:ascii="宋体" w:hAnsi="宋体" w:cs="宋体"/>
                <w:kern w:val="0"/>
                <w:sz w:val="24"/>
              </w:rPr>
            </w:pPr>
            <w:r>
              <w:rPr>
                <w:rFonts w:hint="eastAsia" w:ascii="宋体" w:hAnsi="宋体" w:cs="宋体"/>
                <w:kern w:val="0"/>
                <w:sz w:val="24"/>
              </w:rPr>
              <w:t>环境</w:t>
            </w:r>
          </w:p>
          <w:p w14:paraId="7881B442">
            <w:pPr>
              <w:adjustRightInd w:val="0"/>
              <w:snapToGrid w:val="0"/>
              <w:jc w:val="center"/>
              <w:rPr>
                <w:rFonts w:ascii="宋体" w:hAnsi="宋体" w:cs="宋体"/>
                <w:kern w:val="0"/>
                <w:sz w:val="24"/>
              </w:rPr>
            </w:pPr>
            <w:r>
              <w:rPr>
                <w:rFonts w:hint="eastAsia" w:ascii="宋体" w:hAnsi="宋体" w:cs="宋体"/>
                <w:kern w:val="0"/>
                <w:sz w:val="24"/>
              </w:rPr>
              <w:t>保护</w:t>
            </w:r>
          </w:p>
          <w:p w14:paraId="0476CB4D">
            <w:pPr>
              <w:adjustRightInd w:val="0"/>
              <w:snapToGrid w:val="0"/>
              <w:jc w:val="center"/>
              <w:rPr>
                <w:rFonts w:ascii="宋体" w:hAnsi="宋体" w:cs="宋体"/>
                <w:color w:val="FF0000"/>
                <w:kern w:val="0"/>
                <w:szCs w:val="21"/>
              </w:rPr>
            </w:pPr>
            <w:r>
              <w:rPr>
                <w:rFonts w:hint="eastAsia" w:ascii="宋体" w:hAnsi="宋体" w:cs="宋体"/>
                <w:kern w:val="0"/>
                <w:sz w:val="24"/>
              </w:rPr>
              <w:t>目标</w:t>
            </w:r>
          </w:p>
        </w:tc>
        <w:tc>
          <w:tcPr>
            <w:tcW w:w="8456" w:type="dxa"/>
            <w:vAlign w:val="center"/>
          </w:tcPr>
          <w:p w14:paraId="2E6EDE23">
            <w:pPr>
              <w:adjustRightInd w:val="0"/>
              <w:snapToGrid w:val="0"/>
              <w:spacing w:line="360" w:lineRule="auto"/>
              <w:ind w:firstLine="482" w:firstLineChars="200"/>
              <w:rPr>
                <w:b/>
                <w:bCs/>
                <w:sz w:val="24"/>
              </w:rPr>
            </w:pPr>
            <w:bookmarkStart w:id="8" w:name="_Toc12406"/>
            <w:bookmarkStart w:id="9" w:name="_Toc68160370"/>
            <w:r>
              <w:rPr>
                <w:b/>
                <w:bCs/>
                <w:sz w:val="24"/>
              </w:rPr>
              <w:t>1、环境空气保护目标</w:t>
            </w:r>
            <w:bookmarkEnd w:id="8"/>
            <w:bookmarkEnd w:id="9"/>
          </w:p>
          <w:p w14:paraId="1B435711">
            <w:pPr>
              <w:adjustRightInd w:val="0"/>
              <w:snapToGrid w:val="0"/>
              <w:spacing w:line="360" w:lineRule="auto"/>
              <w:ind w:firstLine="480"/>
              <w:jc w:val="left"/>
              <w:rPr>
                <w:sz w:val="24"/>
              </w:rPr>
            </w:pPr>
            <w:r>
              <w:rPr>
                <w:rFonts w:hint="eastAsia"/>
                <w:sz w:val="24"/>
              </w:rPr>
              <w:t>本项目周围无主要文物保护区、风景名胜区、水源保护地、生态敏感点等根据现场踏勘，项目主要环境保护目标见表3-4，项目周边敏感点示意图见附图</w:t>
            </w:r>
          </w:p>
          <w:p w14:paraId="1270273A">
            <w:pPr>
              <w:adjustRightInd w:val="0"/>
              <w:snapToGrid w:val="0"/>
              <w:ind w:firstLine="480"/>
              <w:jc w:val="center"/>
              <w:rPr>
                <w:b/>
                <w:bCs/>
                <w:sz w:val="24"/>
              </w:rPr>
            </w:pPr>
            <w:r>
              <w:rPr>
                <w:rFonts w:hint="eastAsia"/>
                <w:b/>
                <w:bCs/>
                <w:sz w:val="24"/>
              </w:rPr>
              <w:t>表3-4    大气环境保护目标</w:t>
            </w:r>
          </w:p>
          <w:tbl>
            <w:tblPr>
              <w:tblStyle w:val="36"/>
              <w:tblW w:w="8207" w:type="dxa"/>
              <w:tblInd w:w="0" w:type="dxa"/>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Layout w:type="fixed"/>
              <w:tblCellMar>
                <w:top w:w="0" w:type="dxa"/>
                <w:left w:w="23" w:type="dxa"/>
                <w:bottom w:w="0" w:type="dxa"/>
                <w:right w:w="23" w:type="dxa"/>
              </w:tblCellMar>
            </w:tblPr>
            <w:tblGrid>
              <w:gridCol w:w="522"/>
              <w:gridCol w:w="1124"/>
              <w:gridCol w:w="1175"/>
              <w:gridCol w:w="987"/>
              <w:gridCol w:w="750"/>
              <w:gridCol w:w="1088"/>
              <w:gridCol w:w="812"/>
              <w:gridCol w:w="738"/>
              <w:gridCol w:w="1011"/>
            </w:tblGrid>
            <w:tr w14:paraId="2EABBFA6">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23" w:type="dxa"/>
                  <w:bottom w:w="0" w:type="dxa"/>
                  <w:right w:w="23" w:type="dxa"/>
                </w:tblCellMar>
              </w:tblPrEx>
              <w:trPr>
                <w:trHeight w:val="272" w:hRule="atLeast"/>
              </w:trPr>
              <w:tc>
                <w:tcPr>
                  <w:tcW w:w="522" w:type="dxa"/>
                  <w:vMerge w:val="restart"/>
                  <w:tcBorders>
                    <w:tl2br w:val="nil"/>
                    <w:tr2bl w:val="nil"/>
                  </w:tcBorders>
                  <w:vAlign w:val="center"/>
                </w:tcPr>
                <w:p w14:paraId="6E9496D3">
                  <w:pPr>
                    <w:pStyle w:val="183"/>
                    <w:spacing w:before="120"/>
                  </w:pPr>
                  <w:r>
                    <w:rPr>
                      <w:rFonts w:hint="eastAsia"/>
                    </w:rPr>
                    <w:t>环境要素</w:t>
                  </w:r>
                </w:p>
              </w:tc>
              <w:tc>
                <w:tcPr>
                  <w:tcW w:w="1124" w:type="dxa"/>
                  <w:vMerge w:val="restart"/>
                  <w:tcBorders>
                    <w:tl2br w:val="nil"/>
                    <w:tr2bl w:val="nil"/>
                  </w:tcBorders>
                  <w:vAlign w:val="center"/>
                </w:tcPr>
                <w:p w14:paraId="4811DACB">
                  <w:pPr>
                    <w:pStyle w:val="183"/>
                    <w:spacing w:before="120"/>
                  </w:pPr>
                  <w:r>
                    <w:rPr>
                      <w:rFonts w:hint="eastAsia"/>
                    </w:rPr>
                    <w:t>名称</w:t>
                  </w:r>
                </w:p>
              </w:tc>
              <w:tc>
                <w:tcPr>
                  <w:tcW w:w="2162" w:type="dxa"/>
                  <w:gridSpan w:val="2"/>
                  <w:tcBorders>
                    <w:tl2br w:val="nil"/>
                    <w:tr2bl w:val="nil"/>
                  </w:tcBorders>
                  <w:vAlign w:val="center"/>
                </w:tcPr>
                <w:p w14:paraId="7144500C">
                  <w:pPr>
                    <w:pStyle w:val="183"/>
                    <w:spacing w:before="120"/>
                  </w:pPr>
                  <w:r>
                    <w:rPr>
                      <w:rFonts w:hint="eastAsia"/>
                    </w:rPr>
                    <w:t>经纬度</w:t>
                  </w:r>
                </w:p>
              </w:tc>
              <w:tc>
                <w:tcPr>
                  <w:tcW w:w="750" w:type="dxa"/>
                  <w:vMerge w:val="restart"/>
                  <w:tcBorders>
                    <w:tl2br w:val="nil"/>
                    <w:tr2bl w:val="nil"/>
                  </w:tcBorders>
                  <w:vAlign w:val="center"/>
                </w:tcPr>
                <w:p w14:paraId="4114A9BE">
                  <w:pPr>
                    <w:pStyle w:val="183"/>
                    <w:spacing w:before="120"/>
                  </w:pPr>
                  <w:r>
                    <w:rPr>
                      <w:rFonts w:hint="eastAsia"/>
                    </w:rPr>
                    <w:t>保护对象</w:t>
                  </w:r>
                </w:p>
              </w:tc>
              <w:tc>
                <w:tcPr>
                  <w:tcW w:w="1088" w:type="dxa"/>
                  <w:vMerge w:val="restart"/>
                  <w:tcBorders>
                    <w:tl2br w:val="nil"/>
                    <w:tr2bl w:val="nil"/>
                  </w:tcBorders>
                  <w:vAlign w:val="center"/>
                </w:tcPr>
                <w:p w14:paraId="279D404B">
                  <w:pPr>
                    <w:pStyle w:val="183"/>
                    <w:spacing w:before="120"/>
                  </w:pPr>
                  <w:r>
                    <w:rPr>
                      <w:rFonts w:hint="eastAsia"/>
                    </w:rPr>
                    <w:t>保护内容</w:t>
                  </w:r>
                </w:p>
              </w:tc>
              <w:tc>
                <w:tcPr>
                  <w:tcW w:w="812" w:type="dxa"/>
                  <w:vMerge w:val="restart"/>
                  <w:tcBorders>
                    <w:tl2br w:val="nil"/>
                    <w:tr2bl w:val="nil"/>
                  </w:tcBorders>
                  <w:vAlign w:val="center"/>
                </w:tcPr>
                <w:p w14:paraId="6D6C5584">
                  <w:pPr>
                    <w:pStyle w:val="183"/>
                    <w:spacing w:before="120"/>
                  </w:pPr>
                  <w:r>
                    <w:rPr>
                      <w:rFonts w:hint="eastAsia"/>
                    </w:rPr>
                    <w:t>环境功能区</w:t>
                  </w:r>
                </w:p>
              </w:tc>
              <w:tc>
                <w:tcPr>
                  <w:tcW w:w="738" w:type="dxa"/>
                  <w:vMerge w:val="restart"/>
                  <w:tcBorders>
                    <w:tl2br w:val="nil"/>
                    <w:tr2bl w:val="nil"/>
                  </w:tcBorders>
                  <w:vAlign w:val="center"/>
                </w:tcPr>
                <w:p w14:paraId="4281FBB6">
                  <w:pPr>
                    <w:pStyle w:val="183"/>
                    <w:spacing w:before="120"/>
                  </w:pPr>
                  <w:r>
                    <w:rPr>
                      <w:rFonts w:hint="eastAsia"/>
                    </w:rPr>
                    <w:t>方位</w:t>
                  </w:r>
                </w:p>
              </w:tc>
              <w:tc>
                <w:tcPr>
                  <w:tcW w:w="1011" w:type="dxa"/>
                  <w:vMerge w:val="restart"/>
                  <w:tcBorders>
                    <w:tl2br w:val="nil"/>
                    <w:tr2bl w:val="nil"/>
                  </w:tcBorders>
                  <w:vAlign w:val="center"/>
                </w:tcPr>
                <w:p w14:paraId="3E80A60B">
                  <w:pPr>
                    <w:pStyle w:val="183"/>
                    <w:spacing w:before="120"/>
                  </w:pPr>
                  <w:r>
                    <w:rPr>
                      <w:rFonts w:hint="eastAsia"/>
                    </w:rPr>
                    <w:t>相对厂界最近距离</w:t>
                  </w:r>
                  <w:r>
                    <w:t>/m</w:t>
                  </w:r>
                </w:p>
              </w:tc>
            </w:tr>
            <w:tr w14:paraId="25061F95">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23" w:type="dxa"/>
                  <w:bottom w:w="0" w:type="dxa"/>
                  <w:right w:w="23" w:type="dxa"/>
                </w:tblCellMar>
              </w:tblPrEx>
              <w:trPr>
                <w:trHeight w:val="374" w:hRule="atLeast"/>
              </w:trPr>
              <w:tc>
                <w:tcPr>
                  <w:tcW w:w="522" w:type="dxa"/>
                  <w:vMerge w:val="continue"/>
                  <w:tcBorders>
                    <w:tl2br w:val="nil"/>
                    <w:tr2bl w:val="nil"/>
                  </w:tcBorders>
                  <w:vAlign w:val="center"/>
                </w:tcPr>
                <w:p w14:paraId="79BC87E6">
                  <w:pPr>
                    <w:widowControl/>
                    <w:spacing w:afterAutospacing="1"/>
                    <w:jc w:val="center"/>
                  </w:pPr>
                </w:p>
              </w:tc>
              <w:tc>
                <w:tcPr>
                  <w:tcW w:w="1124" w:type="dxa"/>
                  <w:vMerge w:val="continue"/>
                  <w:tcBorders>
                    <w:tl2br w:val="nil"/>
                    <w:tr2bl w:val="nil"/>
                  </w:tcBorders>
                  <w:vAlign w:val="center"/>
                </w:tcPr>
                <w:p w14:paraId="6A15D8BA">
                  <w:pPr>
                    <w:widowControl/>
                    <w:spacing w:afterAutospacing="1"/>
                    <w:jc w:val="center"/>
                  </w:pPr>
                </w:p>
              </w:tc>
              <w:tc>
                <w:tcPr>
                  <w:tcW w:w="1175" w:type="dxa"/>
                  <w:tcBorders>
                    <w:tl2br w:val="nil"/>
                    <w:tr2bl w:val="nil"/>
                  </w:tcBorders>
                  <w:vAlign w:val="center"/>
                </w:tcPr>
                <w:p w14:paraId="31BDD95B">
                  <w:pPr>
                    <w:pStyle w:val="183"/>
                    <w:spacing w:before="120"/>
                  </w:pPr>
                  <w:r>
                    <w:rPr>
                      <w:rFonts w:hint="eastAsia"/>
                    </w:rPr>
                    <w:t>经度</w:t>
                  </w:r>
                  <w:r>
                    <w:t>°</w:t>
                  </w:r>
                </w:p>
              </w:tc>
              <w:tc>
                <w:tcPr>
                  <w:tcW w:w="987" w:type="dxa"/>
                  <w:tcBorders>
                    <w:tl2br w:val="nil"/>
                    <w:tr2bl w:val="nil"/>
                  </w:tcBorders>
                  <w:vAlign w:val="center"/>
                </w:tcPr>
                <w:p w14:paraId="0C4B1E0C">
                  <w:pPr>
                    <w:pStyle w:val="183"/>
                    <w:spacing w:before="120"/>
                  </w:pPr>
                  <w:r>
                    <w:rPr>
                      <w:rFonts w:hint="eastAsia"/>
                    </w:rPr>
                    <w:t>纬度</w:t>
                  </w:r>
                  <w:r>
                    <w:t>°</w:t>
                  </w:r>
                </w:p>
              </w:tc>
              <w:tc>
                <w:tcPr>
                  <w:tcW w:w="750" w:type="dxa"/>
                  <w:vMerge w:val="continue"/>
                  <w:tcBorders>
                    <w:tl2br w:val="nil"/>
                    <w:tr2bl w:val="nil"/>
                  </w:tcBorders>
                  <w:vAlign w:val="center"/>
                </w:tcPr>
                <w:p w14:paraId="7EFB2FF4">
                  <w:pPr>
                    <w:widowControl/>
                    <w:spacing w:afterAutospacing="1"/>
                    <w:jc w:val="center"/>
                  </w:pPr>
                </w:p>
              </w:tc>
              <w:tc>
                <w:tcPr>
                  <w:tcW w:w="1088" w:type="dxa"/>
                  <w:vMerge w:val="continue"/>
                  <w:tcBorders>
                    <w:tl2br w:val="nil"/>
                    <w:tr2bl w:val="nil"/>
                  </w:tcBorders>
                  <w:vAlign w:val="center"/>
                </w:tcPr>
                <w:p w14:paraId="79918982">
                  <w:pPr>
                    <w:widowControl/>
                    <w:spacing w:afterAutospacing="1"/>
                    <w:jc w:val="center"/>
                  </w:pPr>
                </w:p>
              </w:tc>
              <w:tc>
                <w:tcPr>
                  <w:tcW w:w="812" w:type="dxa"/>
                  <w:vMerge w:val="continue"/>
                  <w:tcBorders>
                    <w:tl2br w:val="nil"/>
                    <w:tr2bl w:val="nil"/>
                  </w:tcBorders>
                  <w:vAlign w:val="center"/>
                </w:tcPr>
                <w:p w14:paraId="0D7399D2">
                  <w:pPr>
                    <w:widowControl/>
                    <w:spacing w:afterAutospacing="1"/>
                    <w:jc w:val="center"/>
                  </w:pPr>
                </w:p>
              </w:tc>
              <w:tc>
                <w:tcPr>
                  <w:tcW w:w="738" w:type="dxa"/>
                  <w:vMerge w:val="continue"/>
                  <w:tcBorders>
                    <w:tl2br w:val="nil"/>
                    <w:tr2bl w:val="nil"/>
                  </w:tcBorders>
                  <w:vAlign w:val="center"/>
                </w:tcPr>
                <w:p w14:paraId="7482EA3D">
                  <w:pPr>
                    <w:widowControl/>
                    <w:spacing w:afterAutospacing="1"/>
                    <w:jc w:val="center"/>
                  </w:pPr>
                </w:p>
              </w:tc>
              <w:tc>
                <w:tcPr>
                  <w:tcW w:w="1011" w:type="dxa"/>
                  <w:vMerge w:val="continue"/>
                  <w:tcBorders>
                    <w:tl2br w:val="nil"/>
                    <w:tr2bl w:val="nil"/>
                  </w:tcBorders>
                  <w:vAlign w:val="center"/>
                </w:tcPr>
                <w:p w14:paraId="450E0548">
                  <w:pPr>
                    <w:widowControl/>
                    <w:spacing w:afterAutospacing="1"/>
                    <w:jc w:val="center"/>
                  </w:pPr>
                </w:p>
              </w:tc>
            </w:tr>
            <w:tr w14:paraId="4ED69E91">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23" w:type="dxa"/>
                  <w:bottom w:w="0" w:type="dxa"/>
                  <w:right w:w="23" w:type="dxa"/>
                </w:tblCellMar>
              </w:tblPrEx>
              <w:trPr>
                <w:trHeight w:val="343" w:hRule="atLeast"/>
              </w:trPr>
              <w:tc>
                <w:tcPr>
                  <w:tcW w:w="522" w:type="dxa"/>
                  <w:vMerge w:val="restart"/>
                  <w:tcBorders>
                    <w:tl2br w:val="nil"/>
                    <w:tr2bl w:val="nil"/>
                  </w:tcBorders>
                  <w:vAlign w:val="center"/>
                </w:tcPr>
                <w:p w14:paraId="64AD9A7F">
                  <w:pPr>
                    <w:jc w:val="center"/>
                  </w:pPr>
                  <w:r>
                    <w:rPr>
                      <w:rFonts w:hint="eastAsia"/>
                    </w:rPr>
                    <w:t>环境空气</w:t>
                  </w:r>
                </w:p>
              </w:tc>
              <w:tc>
                <w:tcPr>
                  <w:tcW w:w="1124" w:type="dxa"/>
                  <w:tcBorders>
                    <w:tl2br w:val="nil"/>
                    <w:tr2bl w:val="nil"/>
                  </w:tcBorders>
                  <w:vAlign w:val="center"/>
                </w:tcPr>
                <w:p w14:paraId="053CD914">
                  <w:pPr>
                    <w:jc w:val="center"/>
                  </w:pPr>
                  <w:r>
                    <w:rPr>
                      <w:rFonts w:hint="eastAsia"/>
                    </w:rPr>
                    <w:t>衡阳市仁爱中学</w:t>
                  </w:r>
                </w:p>
              </w:tc>
              <w:tc>
                <w:tcPr>
                  <w:tcW w:w="1175" w:type="dxa"/>
                  <w:tcBorders>
                    <w:tl2br w:val="nil"/>
                    <w:tr2bl w:val="nil"/>
                  </w:tcBorders>
                  <w:vAlign w:val="center"/>
                </w:tcPr>
                <w:p w14:paraId="2C841A17">
                  <w:pPr>
                    <w:jc w:val="center"/>
                    <w:rPr>
                      <w:szCs w:val="21"/>
                    </w:rPr>
                  </w:pPr>
                  <w:r>
                    <w:rPr>
                      <w:szCs w:val="21"/>
                    </w:rPr>
                    <w:t>112.567054</w:t>
                  </w:r>
                </w:p>
              </w:tc>
              <w:tc>
                <w:tcPr>
                  <w:tcW w:w="987" w:type="dxa"/>
                  <w:tcBorders>
                    <w:tl2br w:val="nil"/>
                    <w:tr2bl w:val="nil"/>
                  </w:tcBorders>
                  <w:vAlign w:val="center"/>
                </w:tcPr>
                <w:p w14:paraId="0DE2D285">
                  <w:pPr>
                    <w:jc w:val="center"/>
                    <w:rPr>
                      <w:szCs w:val="21"/>
                    </w:rPr>
                  </w:pPr>
                  <w:r>
                    <w:rPr>
                      <w:szCs w:val="21"/>
                    </w:rPr>
                    <w:t>26.857292</w:t>
                  </w:r>
                </w:p>
              </w:tc>
              <w:tc>
                <w:tcPr>
                  <w:tcW w:w="750" w:type="dxa"/>
                  <w:tcBorders>
                    <w:tl2br w:val="nil"/>
                    <w:tr2bl w:val="nil"/>
                  </w:tcBorders>
                  <w:vAlign w:val="center"/>
                </w:tcPr>
                <w:p w14:paraId="2BF69C49">
                  <w:pPr>
                    <w:jc w:val="center"/>
                  </w:pPr>
                  <w:r>
                    <w:rPr>
                      <w:rFonts w:hint="eastAsia"/>
                    </w:rPr>
                    <w:t>学校</w:t>
                  </w:r>
                </w:p>
              </w:tc>
              <w:tc>
                <w:tcPr>
                  <w:tcW w:w="1088" w:type="dxa"/>
                  <w:tcBorders>
                    <w:tl2br w:val="nil"/>
                    <w:tr2bl w:val="nil"/>
                  </w:tcBorders>
                  <w:vAlign w:val="center"/>
                </w:tcPr>
                <w:p w14:paraId="67204969">
                  <w:pPr>
                    <w:jc w:val="center"/>
                  </w:pPr>
                  <w:r>
                    <w:rPr>
                      <w:rFonts w:hint="eastAsia"/>
                    </w:rPr>
                    <w:t>师生，约3000人</w:t>
                  </w:r>
                </w:p>
              </w:tc>
              <w:tc>
                <w:tcPr>
                  <w:tcW w:w="812" w:type="dxa"/>
                  <w:vMerge w:val="restart"/>
                  <w:tcBorders>
                    <w:tl2br w:val="nil"/>
                    <w:tr2bl w:val="nil"/>
                  </w:tcBorders>
                  <w:vAlign w:val="center"/>
                </w:tcPr>
                <w:p w14:paraId="7D7E6AEE">
                  <w:pPr>
                    <w:pStyle w:val="183"/>
                    <w:spacing w:before="120"/>
                  </w:pPr>
                  <w:r>
                    <w:rPr>
                      <w:rFonts w:hint="eastAsia"/>
                    </w:rPr>
                    <w:t>《环境空气质量标准》（</w:t>
                  </w:r>
                  <w:r>
                    <w:t>GB3095-2012</w:t>
                  </w:r>
                  <w:r>
                    <w:rPr>
                      <w:rFonts w:hint="eastAsia"/>
                    </w:rPr>
                    <w:t>）二类</w:t>
                  </w:r>
                </w:p>
              </w:tc>
              <w:tc>
                <w:tcPr>
                  <w:tcW w:w="738" w:type="dxa"/>
                  <w:tcBorders>
                    <w:tl2br w:val="nil"/>
                    <w:tr2bl w:val="nil"/>
                  </w:tcBorders>
                  <w:vAlign w:val="center"/>
                </w:tcPr>
                <w:p w14:paraId="1C1F37A1">
                  <w:pPr>
                    <w:jc w:val="center"/>
                  </w:pPr>
                  <w:r>
                    <w:rPr>
                      <w:rFonts w:hint="eastAsia"/>
                    </w:rPr>
                    <w:t>西北面</w:t>
                  </w:r>
                </w:p>
              </w:tc>
              <w:tc>
                <w:tcPr>
                  <w:tcW w:w="1011" w:type="dxa"/>
                  <w:tcBorders>
                    <w:tl2br w:val="nil"/>
                    <w:tr2bl w:val="nil"/>
                  </w:tcBorders>
                  <w:vAlign w:val="center"/>
                </w:tcPr>
                <w:p w14:paraId="07DC383E">
                  <w:pPr>
                    <w:jc w:val="center"/>
                  </w:pPr>
                  <w:r>
                    <w:rPr>
                      <w:rFonts w:hint="eastAsia"/>
                    </w:rPr>
                    <w:t>430-500</w:t>
                  </w:r>
                </w:p>
              </w:tc>
            </w:tr>
            <w:tr w14:paraId="3EEB826C">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23" w:type="dxa"/>
                  <w:bottom w:w="0" w:type="dxa"/>
                  <w:right w:w="23" w:type="dxa"/>
                </w:tblCellMar>
              </w:tblPrEx>
              <w:trPr>
                <w:trHeight w:val="343" w:hRule="atLeast"/>
              </w:trPr>
              <w:tc>
                <w:tcPr>
                  <w:tcW w:w="522" w:type="dxa"/>
                  <w:vMerge w:val="continue"/>
                  <w:tcBorders>
                    <w:tl2br w:val="nil"/>
                    <w:tr2bl w:val="nil"/>
                  </w:tcBorders>
                  <w:vAlign w:val="center"/>
                </w:tcPr>
                <w:p w14:paraId="6B2E1620">
                  <w:pPr>
                    <w:jc w:val="center"/>
                  </w:pPr>
                </w:p>
              </w:tc>
              <w:tc>
                <w:tcPr>
                  <w:tcW w:w="1124" w:type="dxa"/>
                  <w:tcBorders>
                    <w:tl2br w:val="nil"/>
                    <w:tr2bl w:val="nil"/>
                  </w:tcBorders>
                  <w:vAlign w:val="center"/>
                </w:tcPr>
                <w:p w14:paraId="38C43E1B">
                  <w:pPr>
                    <w:jc w:val="center"/>
                  </w:pPr>
                  <w:r>
                    <w:rPr>
                      <w:rFonts w:hint="eastAsia"/>
                    </w:rPr>
                    <w:t>梓木村荒塘冲居民点</w:t>
                  </w:r>
                </w:p>
              </w:tc>
              <w:tc>
                <w:tcPr>
                  <w:tcW w:w="1175" w:type="dxa"/>
                  <w:tcBorders>
                    <w:tl2br w:val="nil"/>
                    <w:tr2bl w:val="nil"/>
                  </w:tcBorders>
                  <w:vAlign w:val="center"/>
                </w:tcPr>
                <w:p w14:paraId="69A47A25">
                  <w:pPr>
                    <w:jc w:val="center"/>
                    <w:rPr>
                      <w:szCs w:val="21"/>
                    </w:rPr>
                  </w:pPr>
                  <w:r>
                    <w:rPr>
                      <w:szCs w:val="21"/>
                    </w:rPr>
                    <w:t>112.568269</w:t>
                  </w:r>
                </w:p>
              </w:tc>
              <w:tc>
                <w:tcPr>
                  <w:tcW w:w="987" w:type="dxa"/>
                  <w:tcBorders>
                    <w:tl2br w:val="nil"/>
                    <w:tr2bl w:val="nil"/>
                  </w:tcBorders>
                  <w:vAlign w:val="center"/>
                </w:tcPr>
                <w:p w14:paraId="51BBC708">
                  <w:pPr>
                    <w:jc w:val="center"/>
                    <w:rPr>
                      <w:szCs w:val="21"/>
                    </w:rPr>
                  </w:pPr>
                  <w:r>
                    <w:rPr>
                      <w:szCs w:val="21"/>
                    </w:rPr>
                    <w:t>26.854289</w:t>
                  </w:r>
                </w:p>
              </w:tc>
              <w:tc>
                <w:tcPr>
                  <w:tcW w:w="750" w:type="dxa"/>
                  <w:tcBorders>
                    <w:tl2br w:val="nil"/>
                    <w:tr2bl w:val="nil"/>
                  </w:tcBorders>
                  <w:vAlign w:val="center"/>
                </w:tcPr>
                <w:p w14:paraId="60ED0406">
                  <w:pPr>
                    <w:jc w:val="center"/>
                  </w:pPr>
                  <w:r>
                    <w:rPr>
                      <w:rFonts w:hint="eastAsia"/>
                    </w:rPr>
                    <w:t>居民区</w:t>
                  </w:r>
                </w:p>
              </w:tc>
              <w:tc>
                <w:tcPr>
                  <w:tcW w:w="1088" w:type="dxa"/>
                  <w:tcBorders>
                    <w:tl2br w:val="nil"/>
                    <w:tr2bl w:val="nil"/>
                  </w:tcBorders>
                  <w:vAlign w:val="center"/>
                </w:tcPr>
                <w:p w14:paraId="3C35556A">
                  <w:pPr>
                    <w:jc w:val="center"/>
                  </w:pPr>
                  <w:r>
                    <w:rPr>
                      <w:rFonts w:hint="eastAsia"/>
                    </w:rPr>
                    <w:t>居民，约50人</w:t>
                  </w:r>
                </w:p>
              </w:tc>
              <w:tc>
                <w:tcPr>
                  <w:tcW w:w="812" w:type="dxa"/>
                  <w:vMerge w:val="continue"/>
                  <w:tcBorders>
                    <w:tl2br w:val="nil"/>
                    <w:tr2bl w:val="nil"/>
                  </w:tcBorders>
                  <w:vAlign w:val="center"/>
                </w:tcPr>
                <w:p w14:paraId="783BCA49">
                  <w:pPr>
                    <w:pStyle w:val="183"/>
                    <w:spacing w:before="120"/>
                  </w:pPr>
                </w:p>
              </w:tc>
              <w:tc>
                <w:tcPr>
                  <w:tcW w:w="738" w:type="dxa"/>
                  <w:tcBorders>
                    <w:tl2br w:val="nil"/>
                    <w:tr2bl w:val="nil"/>
                  </w:tcBorders>
                  <w:vAlign w:val="center"/>
                </w:tcPr>
                <w:p w14:paraId="2E967836">
                  <w:pPr>
                    <w:jc w:val="center"/>
                  </w:pPr>
                  <w:r>
                    <w:rPr>
                      <w:rFonts w:hint="eastAsia"/>
                    </w:rPr>
                    <w:t>西南面</w:t>
                  </w:r>
                </w:p>
              </w:tc>
              <w:tc>
                <w:tcPr>
                  <w:tcW w:w="1011" w:type="dxa"/>
                  <w:tcBorders>
                    <w:tl2br w:val="nil"/>
                    <w:tr2bl w:val="nil"/>
                  </w:tcBorders>
                  <w:vAlign w:val="center"/>
                </w:tcPr>
                <w:p w14:paraId="57CB8EB6">
                  <w:pPr>
                    <w:jc w:val="center"/>
                  </w:pPr>
                  <w:r>
                    <w:rPr>
                      <w:rFonts w:hint="eastAsia"/>
                    </w:rPr>
                    <w:t>334-500</w:t>
                  </w:r>
                </w:p>
              </w:tc>
            </w:tr>
            <w:tr w14:paraId="1CB37F03">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23" w:type="dxa"/>
                  <w:bottom w:w="0" w:type="dxa"/>
                  <w:right w:w="23" w:type="dxa"/>
                </w:tblCellMar>
              </w:tblPrEx>
              <w:trPr>
                <w:trHeight w:val="343" w:hRule="atLeast"/>
              </w:trPr>
              <w:tc>
                <w:tcPr>
                  <w:tcW w:w="522" w:type="dxa"/>
                  <w:vMerge w:val="continue"/>
                  <w:tcBorders>
                    <w:tl2br w:val="nil"/>
                    <w:tr2bl w:val="nil"/>
                  </w:tcBorders>
                  <w:vAlign w:val="center"/>
                </w:tcPr>
                <w:p w14:paraId="37D7B501">
                  <w:pPr>
                    <w:jc w:val="center"/>
                  </w:pPr>
                </w:p>
              </w:tc>
              <w:tc>
                <w:tcPr>
                  <w:tcW w:w="1124" w:type="dxa"/>
                  <w:tcBorders>
                    <w:tl2br w:val="nil"/>
                    <w:tr2bl w:val="nil"/>
                  </w:tcBorders>
                  <w:vAlign w:val="center"/>
                </w:tcPr>
                <w:p w14:paraId="1EE7BCB3">
                  <w:pPr>
                    <w:jc w:val="center"/>
                  </w:pPr>
                  <w:r>
                    <w:rPr>
                      <w:rFonts w:hint="eastAsia"/>
                    </w:rPr>
                    <w:t>南湖村安置区居民点</w:t>
                  </w:r>
                </w:p>
              </w:tc>
              <w:tc>
                <w:tcPr>
                  <w:tcW w:w="1175" w:type="dxa"/>
                  <w:tcBorders>
                    <w:tl2br w:val="nil"/>
                    <w:tr2bl w:val="nil"/>
                  </w:tcBorders>
                  <w:vAlign w:val="center"/>
                </w:tcPr>
                <w:p w14:paraId="5040D0CF">
                  <w:pPr>
                    <w:jc w:val="center"/>
                    <w:rPr>
                      <w:szCs w:val="21"/>
                    </w:rPr>
                  </w:pPr>
                  <w:r>
                    <w:rPr>
                      <w:szCs w:val="21"/>
                    </w:rPr>
                    <w:t>112.574052</w:t>
                  </w:r>
                </w:p>
              </w:tc>
              <w:tc>
                <w:tcPr>
                  <w:tcW w:w="987" w:type="dxa"/>
                  <w:tcBorders>
                    <w:tl2br w:val="nil"/>
                    <w:tr2bl w:val="nil"/>
                  </w:tcBorders>
                  <w:vAlign w:val="center"/>
                </w:tcPr>
                <w:p w14:paraId="273D4CA1">
                  <w:pPr>
                    <w:jc w:val="center"/>
                    <w:rPr>
                      <w:szCs w:val="21"/>
                    </w:rPr>
                  </w:pPr>
                  <w:r>
                    <w:rPr>
                      <w:szCs w:val="21"/>
                    </w:rPr>
                    <w:t>26.852583</w:t>
                  </w:r>
                </w:p>
              </w:tc>
              <w:tc>
                <w:tcPr>
                  <w:tcW w:w="750" w:type="dxa"/>
                  <w:tcBorders>
                    <w:tl2br w:val="nil"/>
                    <w:tr2bl w:val="nil"/>
                  </w:tcBorders>
                  <w:vAlign w:val="center"/>
                </w:tcPr>
                <w:p w14:paraId="3530117D">
                  <w:pPr>
                    <w:jc w:val="center"/>
                  </w:pPr>
                  <w:r>
                    <w:rPr>
                      <w:rFonts w:hint="eastAsia"/>
                    </w:rPr>
                    <w:t>居民区</w:t>
                  </w:r>
                </w:p>
              </w:tc>
              <w:tc>
                <w:tcPr>
                  <w:tcW w:w="1088" w:type="dxa"/>
                  <w:tcBorders>
                    <w:tl2br w:val="nil"/>
                    <w:tr2bl w:val="nil"/>
                  </w:tcBorders>
                  <w:vAlign w:val="center"/>
                </w:tcPr>
                <w:p w14:paraId="463BB426">
                  <w:pPr>
                    <w:jc w:val="center"/>
                  </w:pPr>
                  <w:r>
                    <w:rPr>
                      <w:rFonts w:hint="eastAsia"/>
                    </w:rPr>
                    <w:t>居民，约300人</w:t>
                  </w:r>
                </w:p>
              </w:tc>
              <w:tc>
                <w:tcPr>
                  <w:tcW w:w="812" w:type="dxa"/>
                  <w:vMerge w:val="continue"/>
                  <w:tcBorders>
                    <w:tl2br w:val="nil"/>
                    <w:tr2bl w:val="nil"/>
                  </w:tcBorders>
                  <w:vAlign w:val="center"/>
                </w:tcPr>
                <w:p w14:paraId="53042E27">
                  <w:pPr>
                    <w:pStyle w:val="183"/>
                    <w:spacing w:before="120"/>
                  </w:pPr>
                </w:p>
              </w:tc>
              <w:tc>
                <w:tcPr>
                  <w:tcW w:w="738" w:type="dxa"/>
                  <w:tcBorders>
                    <w:tl2br w:val="nil"/>
                    <w:tr2bl w:val="nil"/>
                  </w:tcBorders>
                  <w:vAlign w:val="center"/>
                </w:tcPr>
                <w:p w14:paraId="38CA2800">
                  <w:pPr>
                    <w:jc w:val="center"/>
                  </w:pPr>
                  <w:r>
                    <w:rPr>
                      <w:rFonts w:hint="eastAsia"/>
                    </w:rPr>
                    <w:t>东南面</w:t>
                  </w:r>
                </w:p>
              </w:tc>
              <w:tc>
                <w:tcPr>
                  <w:tcW w:w="1011" w:type="dxa"/>
                  <w:tcBorders>
                    <w:tl2br w:val="nil"/>
                    <w:tr2bl w:val="nil"/>
                  </w:tcBorders>
                  <w:vAlign w:val="center"/>
                </w:tcPr>
                <w:p w14:paraId="36497430">
                  <w:pPr>
                    <w:jc w:val="center"/>
                  </w:pPr>
                  <w:r>
                    <w:rPr>
                      <w:rFonts w:hint="eastAsia"/>
                    </w:rPr>
                    <w:t>320-500</w:t>
                  </w:r>
                </w:p>
              </w:tc>
            </w:tr>
            <w:tr w14:paraId="52A86EB1">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23" w:type="dxa"/>
                  <w:bottom w:w="0" w:type="dxa"/>
                  <w:right w:w="23" w:type="dxa"/>
                </w:tblCellMar>
              </w:tblPrEx>
              <w:trPr>
                <w:trHeight w:val="343" w:hRule="atLeast"/>
              </w:trPr>
              <w:tc>
                <w:tcPr>
                  <w:tcW w:w="522" w:type="dxa"/>
                  <w:vMerge w:val="continue"/>
                  <w:tcBorders>
                    <w:tl2br w:val="nil"/>
                    <w:tr2bl w:val="nil"/>
                  </w:tcBorders>
                  <w:vAlign w:val="center"/>
                </w:tcPr>
                <w:p w14:paraId="127C86D4">
                  <w:pPr>
                    <w:jc w:val="center"/>
                  </w:pPr>
                </w:p>
              </w:tc>
              <w:tc>
                <w:tcPr>
                  <w:tcW w:w="1124" w:type="dxa"/>
                  <w:tcBorders>
                    <w:tl2br w:val="nil"/>
                    <w:tr2bl w:val="nil"/>
                  </w:tcBorders>
                  <w:vAlign w:val="center"/>
                </w:tcPr>
                <w:p w14:paraId="13B82098">
                  <w:pPr>
                    <w:jc w:val="center"/>
                  </w:pPr>
                  <w:r>
                    <w:rPr>
                      <w:rFonts w:hint="eastAsia"/>
                    </w:rPr>
                    <w:t>南湖村三村居民点</w:t>
                  </w:r>
                </w:p>
              </w:tc>
              <w:tc>
                <w:tcPr>
                  <w:tcW w:w="1175" w:type="dxa"/>
                  <w:tcBorders>
                    <w:tl2br w:val="nil"/>
                    <w:tr2bl w:val="nil"/>
                  </w:tcBorders>
                  <w:vAlign w:val="center"/>
                </w:tcPr>
                <w:p w14:paraId="37CCF9D6">
                  <w:pPr>
                    <w:jc w:val="center"/>
                    <w:rPr>
                      <w:szCs w:val="21"/>
                    </w:rPr>
                  </w:pPr>
                  <w:r>
                    <w:rPr>
                      <w:szCs w:val="21"/>
                    </w:rPr>
                    <w:t>112.576015</w:t>
                  </w:r>
                </w:p>
              </w:tc>
              <w:tc>
                <w:tcPr>
                  <w:tcW w:w="987" w:type="dxa"/>
                  <w:tcBorders>
                    <w:tl2br w:val="nil"/>
                    <w:tr2bl w:val="nil"/>
                  </w:tcBorders>
                  <w:vAlign w:val="center"/>
                </w:tcPr>
                <w:p w14:paraId="39663160">
                  <w:pPr>
                    <w:jc w:val="center"/>
                    <w:rPr>
                      <w:szCs w:val="21"/>
                    </w:rPr>
                  </w:pPr>
                  <w:r>
                    <w:rPr>
                      <w:szCs w:val="21"/>
                    </w:rPr>
                    <w:t>26.855437</w:t>
                  </w:r>
                </w:p>
              </w:tc>
              <w:tc>
                <w:tcPr>
                  <w:tcW w:w="750" w:type="dxa"/>
                  <w:tcBorders>
                    <w:tl2br w:val="nil"/>
                    <w:tr2bl w:val="nil"/>
                  </w:tcBorders>
                  <w:vAlign w:val="center"/>
                </w:tcPr>
                <w:p w14:paraId="20B576AD">
                  <w:pPr>
                    <w:jc w:val="center"/>
                  </w:pPr>
                  <w:r>
                    <w:rPr>
                      <w:rFonts w:hint="eastAsia"/>
                    </w:rPr>
                    <w:t>居民区</w:t>
                  </w:r>
                </w:p>
              </w:tc>
              <w:tc>
                <w:tcPr>
                  <w:tcW w:w="1088" w:type="dxa"/>
                  <w:tcBorders>
                    <w:tl2br w:val="nil"/>
                    <w:tr2bl w:val="nil"/>
                  </w:tcBorders>
                  <w:vAlign w:val="center"/>
                </w:tcPr>
                <w:p w14:paraId="4E3A2795">
                  <w:pPr>
                    <w:jc w:val="center"/>
                  </w:pPr>
                  <w:r>
                    <w:rPr>
                      <w:rFonts w:hint="eastAsia"/>
                    </w:rPr>
                    <w:t>居民，约50人</w:t>
                  </w:r>
                </w:p>
              </w:tc>
              <w:tc>
                <w:tcPr>
                  <w:tcW w:w="812" w:type="dxa"/>
                  <w:vMerge w:val="continue"/>
                  <w:tcBorders>
                    <w:tl2br w:val="nil"/>
                    <w:tr2bl w:val="nil"/>
                  </w:tcBorders>
                  <w:vAlign w:val="center"/>
                </w:tcPr>
                <w:p w14:paraId="323ADB9A">
                  <w:pPr>
                    <w:pStyle w:val="183"/>
                    <w:spacing w:before="120"/>
                  </w:pPr>
                </w:p>
              </w:tc>
              <w:tc>
                <w:tcPr>
                  <w:tcW w:w="738" w:type="dxa"/>
                  <w:tcBorders>
                    <w:tl2br w:val="nil"/>
                    <w:tr2bl w:val="nil"/>
                  </w:tcBorders>
                  <w:vAlign w:val="center"/>
                </w:tcPr>
                <w:p w14:paraId="084EA775">
                  <w:pPr>
                    <w:jc w:val="center"/>
                  </w:pPr>
                  <w:r>
                    <w:rPr>
                      <w:rFonts w:hint="eastAsia"/>
                    </w:rPr>
                    <w:t>东北面</w:t>
                  </w:r>
                </w:p>
              </w:tc>
              <w:tc>
                <w:tcPr>
                  <w:tcW w:w="1011" w:type="dxa"/>
                  <w:tcBorders>
                    <w:tl2br w:val="nil"/>
                    <w:tr2bl w:val="nil"/>
                  </w:tcBorders>
                  <w:vAlign w:val="center"/>
                </w:tcPr>
                <w:p w14:paraId="62C954C8">
                  <w:pPr>
                    <w:jc w:val="center"/>
                  </w:pPr>
                  <w:r>
                    <w:rPr>
                      <w:rFonts w:hint="eastAsia"/>
                    </w:rPr>
                    <w:t>370-500</w:t>
                  </w:r>
                </w:p>
              </w:tc>
            </w:tr>
          </w:tbl>
          <w:p w14:paraId="2E32A4F8">
            <w:pPr>
              <w:adjustRightInd w:val="0"/>
              <w:snapToGrid w:val="0"/>
              <w:spacing w:line="360" w:lineRule="auto"/>
              <w:ind w:left="420" w:leftChars="200"/>
              <w:rPr>
                <w:b/>
                <w:bCs/>
                <w:sz w:val="24"/>
              </w:rPr>
            </w:pPr>
            <w:r>
              <w:rPr>
                <w:rFonts w:hint="eastAsia"/>
                <w:b/>
                <w:bCs/>
                <w:sz w:val="24"/>
              </w:rPr>
              <w:t>2、</w:t>
            </w:r>
            <w:r>
              <w:rPr>
                <w:b/>
                <w:bCs/>
                <w:sz w:val="24"/>
              </w:rPr>
              <w:t>水环境保护目标</w:t>
            </w:r>
          </w:p>
          <w:p w14:paraId="6B5D6173">
            <w:pPr>
              <w:pStyle w:val="2"/>
              <w:ind w:left="420" w:leftChars="200" w:firstLine="0" w:firstLineChars="0"/>
              <w:rPr>
                <w:rFonts w:ascii="Times New Roman"/>
              </w:rPr>
            </w:pPr>
            <w:r>
              <w:rPr>
                <w:rFonts w:ascii="Times New Roman"/>
              </w:rPr>
              <w:t>地表水环境保护目标详见表3-5</w:t>
            </w:r>
          </w:p>
          <w:p w14:paraId="306631F2">
            <w:pPr>
              <w:adjustRightInd w:val="0"/>
              <w:snapToGrid w:val="0"/>
              <w:ind w:left="420" w:leftChars="200"/>
              <w:jc w:val="center"/>
              <w:rPr>
                <w:b/>
                <w:bCs/>
                <w:sz w:val="24"/>
              </w:rPr>
            </w:pPr>
            <w:r>
              <w:rPr>
                <w:rFonts w:hint="eastAsia"/>
                <w:b/>
                <w:bCs/>
                <w:sz w:val="24"/>
              </w:rPr>
              <w:t>表</w:t>
            </w:r>
            <w:r>
              <w:rPr>
                <w:b/>
                <w:bCs/>
                <w:sz w:val="24"/>
              </w:rPr>
              <w:t>3-</w:t>
            </w:r>
            <w:r>
              <w:rPr>
                <w:rFonts w:hint="eastAsia"/>
                <w:b/>
                <w:bCs/>
                <w:sz w:val="24"/>
              </w:rPr>
              <w:t>5    地表水环境保护目标</w:t>
            </w:r>
          </w:p>
          <w:tbl>
            <w:tblPr>
              <w:tblStyle w:val="37"/>
              <w:tblW w:w="8210"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841"/>
              <w:gridCol w:w="887"/>
              <w:gridCol w:w="1175"/>
              <w:gridCol w:w="1555"/>
              <w:gridCol w:w="2752"/>
            </w:tblGrid>
            <w:tr w14:paraId="5FF1EF3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8" w:hRule="atLeast"/>
              </w:trPr>
              <w:tc>
                <w:tcPr>
                  <w:tcW w:w="1841" w:type="dxa"/>
                  <w:vAlign w:val="center"/>
                </w:tcPr>
                <w:p w14:paraId="24A4D007">
                  <w:pPr>
                    <w:jc w:val="center"/>
                    <w:rPr>
                      <w:szCs w:val="21"/>
                    </w:rPr>
                  </w:pPr>
                  <w:r>
                    <w:rPr>
                      <w:szCs w:val="21"/>
                    </w:rPr>
                    <w:t>名称</w:t>
                  </w:r>
                </w:p>
              </w:tc>
              <w:tc>
                <w:tcPr>
                  <w:tcW w:w="887" w:type="dxa"/>
                  <w:vAlign w:val="center"/>
                </w:tcPr>
                <w:p w14:paraId="437F86D1">
                  <w:pPr>
                    <w:jc w:val="center"/>
                    <w:rPr>
                      <w:szCs w:val="21"/>
                    </w:rPr>
                  </w:pPr>
                  <w:r>
                    <w:rPr>
                      <w:szCs w:val="21"/>
                    </w:rPr>
                    <w:t>方位</w:t>
                  </w:r>
                </w:p>
              </w:tc>
              <w:tc>
                <w:tcPr>
                  <w:tcW w:w="1175" w:type="dxa"/>
                  <w:vAlign w:val="center"/>
                </w:tcPr>
                <w:p w14:paraId="036C1DBB">
                  <w:pPr>
                    <w:jc w:val="center"/>
                    <w:rPr>
                      <w:szCs w:val="21"/>
                    </w:rPr>
                  </w:pPr>
                  <w:r>
                    <w:rPr>
                      <w:szCs w:val="21"/>
                    </w:rPr>
                    <w:t>直线距离</w:t>
                  </w:r>
                </w:p>
              </w:tc>
              <w:tc>
                <w:tcPr>
                  <w:tcW w:w="1555" w:type="dxa"/>
                  <w:vAlign w:val="center"/>
                </w:tcPr>
                <w:p w14:paraId="1600C80E">
                  <w:pPr>
                    <w:jc w:val="center"/>
                    <w:rPr>
                      <w:szCs w:val="21"/>
                    </w:rPr>
                  </w:pPr>
                  <w:r>
                    <w:rPr>
                      <w:szCs w:val="21"/>
                    </w:rPr>
                    <w:t>保护目标</w:t>
                  </w:r>
                </w:p>
              </w:tc>
              <w:tc>
                <w:tcPr>
                  <w:tcW w:w="2752" w:type="dxa"/>
                </w:tcPr>
                <w:p w14:paraId="453DA9F3">
                  <w:pPr>
                    <w:jc w:val="center"/>
                    <w:rPr>
                      <w:szCs w:val="21"/>
                    </w:rPr>
                  </w:pPr>
                  <w:r>
                    <w:rPr>
                      <w:szCs w:val="21"/>
                    </w:rPr>
                    <w:t>保护级别</w:t>
                  </w:r>
                </w:p>
              </w:tc>
            </w:tr>
            <w:tr w14:paraId="6EB9B8F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8" w:hRule="atLeast"/>
              </w:trPr>
              <w:tc>
                <w:tcPr>
                  <w:tcW w:w="1841" w:type="dxa"/>
                  <w:vAlign w:val="center"/>
                </w:tcPr>
                <w:p w14:paraId="0B692D64">
                  <w:pPr>
                    <w:jc w:val="center"/>
                    <w:rPr>
                      <w:szCs w:val="21"/>
                    </w:rPr>
                  </w:pPr>
                  <w:r>
                    <w:rPr>
                      <w:rFonts w:hint="eastAsia"/>
                      <w:szCs w:val="21"/>
                    </w:rPr>
                    <w:t>幸福河</w:t>
                  </w:r>
                </w:p>
              </w:tc>
              <w:tc>
                <w:tcPr>
                  <w:tcW w:w="887" w:type="dxa"/>
                  <w:vAlign w:val="center"/>
                </w:tcPr>
                <w:p w14:paraId="697C39F0">
                  <w:pPr>
                    <w:jc w:val="center"/>
                    <w:rPr>
                      <w:szCs w:val="21"/>
                    </w:rPr>
                  </w:pPr>
                  <w:r>
                    <w:rPr>
                      <w:rFonts w:hint="eastAsia"/>
                      <w:szCs w:val="21"/>
                    </w:rPr>
                    <w:t>东面</w:t>
                  </w:r>
                </w:p>
              </w:tc>
              <w:tc>
                <w:tcPr>
                  <w:tcW w:w="1175" w:type="dxa"/>
                  <w:vAlign w:val="center"/>
                </w:tcPr>
                <w:p w14:paraId="1902D889">
                  <w:pPr>
                    <w:jc w:val="center"/>
                    <w:rPr>
                      <w:szCs w:val="21"/>
                    </w:rPr>
                  </w:pPr>
                  <w:r>
                    <w:rPr>
                      <w:rFonts w:hint="eastAsia"/>
                      <w:szCs w:val="21"/>
                    </w:rPr>
                    <w:t>150m</w:t>
                  </w:r>
                </w:p>
              </w:tc>
              <w:tc>
                <w:tcPr>
                  <w:tcW w:w="1555" w:type="dxa"/>
                  <w:vAlign w:val="center"/>
                </w:tcPr>
                <w:p w14:paraId="58298897">
                  <w:pPr>
                    <w:jc w:val="center"/>
                    <w:rPr>
                      <w:szCs w:val="21"/>
                    </w:rPr>
                  </w:pPr>
                  <w:r>
                    <w:rPr>
                      <w:rFonts w:hint="eastAsia"/>
                      <w:szCs w:val="21"/>
                    </w:rPr>
                    <w:t>小河、农灌，纳污</w:t>
                  </w:r>
                </w:p>
              </w:tc>
              <w:tc>
                <w:tcPr>
                  <w:tcW w:w="2752" w:type="dxa"/>
                  <w:vAlign w:val="center"/>
                </w:tcPr>
                <w:p w14:paraId="3B7D4E57">
                  <w:pPr>
                    <w:jc w:val="center"/>
                    <w:rPr>
                      <w:rFonts w:hint="default" w:ascii="Times New Roman" w:hAnsi="Times New Roman" w:cs="Times New Roman"/>
                      <w:szCs w:val="21"/>
                    </w:rPr>
                  </w:pPr>
                  <w:r>
                    <w:rPr>
                      <w:rFonts w:hint="default" w:ascii="Times New Roman" w:hAnsi="Times New Roman" w:cs="Times New Roman"/>
                      <w:szCs w:val="21"/>
                      <w:u w:val="none"/>
                    </w:rPr>
                    <w:t>《</w:t>
                  </w:r>
                  <w:r>
                    <w:rPr>
                      <w:rFonts w:hint="default" w:ascii="Times New Roman" w:hAnsi="Times New Roman" w:cs="Times New Roman"/>
                      <w:szCs w:val="21"/>
                      <w:u w:val="none"/>
                      <w:lang w:val="en-US" w:eastAsia="zh-CN"/>
                    </w:rPr>
                    <w:t>农田灌溉水质标准</w:t>
                  </w:r>
                  <w:r>
                    <w:rPr>
                      <w:rFonts w:hint="default" w:ascii="Times New Roman" w:hAnsi="Times New Roman" w:cs="Times New Roman"/>
                      <w:szCs w:val="21"/>
                      <w:u w:val="none"/>
                    </w:rPr>
                    <w:t>》（GB</w:t>
                  </w:r>
                  <w:r>
                    <w:rPr>
                      <w:rFonts w:hint="default" w:ascii="Times New Roman" w:hAnsi="Times New Roman" w:cs="Times New Roman"/>
                      <w:szCs w:val="21"/>
                      <w:u w:val="none"/>
                      <w:lang w:val="en-US" w:eastAsia="zh-CN"/>
                    </w:rPr>
                    <w:t>5084</w:t>
                  </w:r>
                  <w:r>
                    <w:rPr>
                      <w:rFonts w:hint="default" w:ascii="Times New Roman" w:hAnsi="Times New Roman" w:cs="Times New Roman"/>
                      <w:szCs w:val="21"/>
                      <w:u w:val="none"/>
                    </w:rPr>
                    <w:t>-</w:t>
                  </w:r>
                  <w:r>
                    <w:rPr>
                      <w:rFonts w:hint="default" w:ascii="Times New Roman" w:hAnsi="Times New Roman" w:cs="Times New Roman"/>
                      <w:szCs w:val="21"/>
                      <w:u w:val="none"/>
                      <w:lang w:val="en-US" w:eastAsia="zh-CN"/>
                    </w:rPr>
                    <w:t>2021</w:t>
                  </w:r>
                  <w:r>
                    <w:rPr>
                      <w:rFonts w:hint="default" w:ascii="Times New Roman" w:hAnsi="Times New Roman" w:cs="Times New Roman"/>
                      <w:szCs w:val="21"/>
                      <w:u w:val="single"/>
                    </w:rPr>
                    <w:t>）</w:t>
                  </w:r>
                </w:p>
              </w:tc>
            </w:tr>
            <w:tr w14:paraId="6FE7454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8" w:hRule="atLeast"/>
              </w:trPr>
              <w:tc>
                <w:tcPr>
                  <w:tcW w:w="1841" w:type="dxa"/>
                  <w:vAlign w:val="center"/>
                </w:tcPr>
                <w:p w14:paraId="2E0BC863">
                  <w:pPr>
                    <w:rPr>
                      <w:szCs w:val="21"/>
                    </w:rPr>
                  </w:pPr>
                  <w:r>
                    <w:rPr>
                      <w:rFonts w:hint="eastAsia"/>
                      <w:szCs w:val="21"/>
                    </w:rPr>
                    <w:t>湘江（铜桥港至江东水厂取水口上游3000米）</w:t>
                  </w:r>
                </w:p>
              </w:tc>
              <w:tc>
                <w:tcPr>
                  <w:tcW w:w="887" w:type="dxa"/>
                  <w:vAlign w:val="center"/>
                </w:tcPr>
                <w:p w14:paraId="4A7FEDAC">
                  <w:pPr>
                    <w:jc w:val="center"/>
                    <w:rPr>
                      <w:szCs w:val="21"/>
                    </w:rPr>
                  </w:pPr>
                  <w:r>
                    <w:rPr>
                      <w:rFonts w:hint="eastAsia"/>
                      <w:szCs w:val="21"/>
                    </w:rPr>
                    <w:t>东面</w:t>
                  </w:r>
                </w:p>
              </w:tc>
              <w:tc>
                <w:tcPr>
                  <w:tcW w:w="1175" w:type="dxa"/>
                  <w:vAlign w:val="center"/>
                </w:tcPr>
                <w:p w14:paraId="5979AD87">
                  <w:pPr>
                    <w:jc w:val="center"/>
                    <w:rPr>
                      <w:szCs w:val="21"/>
                    </w:rPr>
                  </w:pPr>
                  <w:r>
                    <w:rPr>
                      <w:rFonts w:hint="eastAsia"/>
                      <w:szCs w:val="21"/>
                    </w:rPr>
                    <w:t>2500m</w:t>
                  </w:r>
                </w:p>
              </w:tc>
              <w:tc>
                <w:tcPr>
                  <w:tcW w:w="1555" w:type="dxa"/>
                  <w:vAlign w:val="center"/>
                </w:tcPr>
                <w:p w14:paraId="04BB98EE">
                  <w:pPr>
                    <w:jc w:val="center"/>
                    <w:rPr>
                      <w:szCs w:val="21"/>
                    </w:rPr>
                  </w:pPr>
                  <w:r>
                    <w:rPr>
                      <w:rFonts w:hint="eastAsia"/>
                      <w:szCs w:val="21"/>
                    </w:rPr>
                    <w:t>大河</w:t>
                  </w:r>
                </w:p>
              </w:tc>
              <w:tc>
                <w:tcPr>
                  <w:tcW w:w="2752" w:type="dxa"/>
                  <w:vAlign w:val="center"/>
                </w:tcPr>
                <w:p w14:paraId="6CB6D608">
                  <w:pPr>
                    <w:jc w:val="center"/>
                    <w:rPr>
                      <w:rFonts w:hint="default" w:ascii="Times New Roman" w:hAnsi="Times New Roman" w:cs="Times New Roman"/>
                      <w:szCs w:val="21"/>
                    </w:rPr>
                  </w:pPr>
                  <w:r>
                    <w:rPr>
                      <w:rFonts w:hint="default" w:ascii="Times New Roman" w:hAnsi="Times New Roman" w:cs="Times New Roman"/>
                    </w:rPr>
                    <w:t>四大家鱼种资资源保护区，</w:t>
                  </w:r>
                  <w:r>
                    <w:rPr>
                      <w:rFonts w:hint="default" w:ascii="Times New Roman" w:hAnsi="Times New Roman" w:cs="Times New Roman"/>
                      <w:szCs w:val="21"/>
                    </w:rPr>
                    <w:t>《地表水环境质量标准》（GB3838-2002）Ⅲ类标准</w:t>
                  </w:r>
                </w:p>
              </w:tc>
            </w:tr>
            <w:tr w14:paraId="63F357C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8" w:hRule="atLeast"/>
              </w:trPr>
              <w:tc>
                <w:tcPr>
                  <w:tcW w:w="1841" w:type="dxa"/>
                  <w:vAlign w:val="center"/>
                </w:tcPr>
                <w:p w14:paraId="5E2DB9B4">
                  <w:pPr>
                    <w:rPr>
                      <w:szCs w:val="21"/>
                    </w:rPr>
                  </w:pPr>
                  <w:r>
                    <w:rPr>
                      <w:rFonts w:hint="eastAsia"/>
                      <w:szCs w:val="21"/>
                    </w:rPr>
                    <w:t>湘江（江东水厂取水口上游3000米</w:t>
                  </w:r>
                </w:p>
                <w:p w14:paraId="058C5F76">
                  <w:pPr>
                    <w:jc w:val="center"/>
                    <w:rPr>
                      <w:szCs w:val="21"/>
                    </w:rPr>
                  </w:pPr>
                  <w:r>
                    <w:rPr>
                      <w:rFonts w:hint="eastAsia"/>
                      <w:szCs w:val="21"/>
                    </w:rPr>
                    <w:t>至上游1000米）</w:t>
                  </w:r>
                </w:p>
              </w:tc>
              <w:tc>
                <w:tcPr>
                  <w:tcW w:w="887" w:type="dxa"/>
                  <w:vAlign w:val="center"/>
                </w:tcPr>
                <w:p w14:paraId="08A8B021">
                  <w:pPr>
                    <w:jc w:val="center"/>
                    <w:rPr>
                      <w:szCs w:val="21"/>
                    </w:rPr>
                  </w:pPr>
                  <w:r>
                    <w:rPr>
                      <w:rFonts w:hint="eastAsia"/>
                      <w:szCs w:val="21"/>
                    </w:rPr>
                    <w:t>东南面</w:t>
                  </w:r>
                </w:p>
              </w:tc>
              <w:tc>
                <w:tcPr>
                  <w:tcW w:w="1175" w:type="dxa"/>
                  <w:vAlign w:val="center"/>
                </w:tcPr>
                <w:p w14:paraId="47068160">
                  <w:pPr>
                    <w:jc w:val="center"/>
                    <w:rPr>
                      <w:szCs w:val="21"/>
                    </w:rPr>
                  </w:pPr>
                  <w:r>
                    <w:rPr>
                      <w:rFonts w:hint="eastAsia"/>
                      <w:szCs w:val="21"/>
                    </w:rPr>
                    <w:t>4000m</w:t>
                  </w:r>
                </w:p>
              </w:tc>
              <w:tc>
                <w:tcPr>
                  <w:tcW w:w="1555" w:type="dxa"/>
                  <w:vAlign w:val="center"/>
                </w:tcPr>
                <w:p w14:paraId="18B8CC5A">
                  <w:pPr>
                    <w:jc w:val="center"/>
                    <w:rPr>
                      <w:szCs w:val="21"/>
                    </w:rPr>
                  </w:pPr>
                  <w:r>
                    <w:rPr>
                      <w:rFonts w:hint="eastAsia"/>
                      <w:szCs w:val="21"/>
                    </w:rPr>
                    <w:t>大河，饮用水源保护区</w:t>
                  </w:r>
                </w:p>
              </w:tc>
              <w:tc>
                <w:tcPr>
                  <w:tcW w:w="2752" w:type="dxa"/>
                  <w:vAlign w:val="center"/>
                </w:tcPr>
                <w:p w14:paraId="13CA2EF7">
                  <w:pPr>
                    <w:jc w:val="center"/>
                    <w:rPr>
                      <w:rFonts w:hint="default" w:ascii="Times New Roman" w:hAnsi="Times New Roman" w:cs="Times New Roman"/>
                      <w:szCs w:val="21"/>
                    </w:rPr>
                  </w:pPr>
                  <w:r>
                    <w:rPr>
                      <w:rFonts w:hint="default" w:ascii="Times New Roman" w:hAnsi="Times New Roman" w:cs="Times New Roman"/>
                    </w:rPr>
                    <w:t>四大家鱼种资资源保护区，</w:t>
                  </w:r>
                  <w:r>
                    <w:rPr>
                      <w:rFonts w:hint="default" w:ascii="Times New Roman" w:hAnsi="Times New Roman" w:cs="Times New Roman"/>
                      <w:szCs w:val="21"/>
                    </w:rPr>
                    <w:t>《地表水环境质量标准》（GB3838-2002）Ⅲ类标准</w:t>
                  </w:r>
                </w:p>
              </w:tc>
            </w:tr>
            <w:tr w14:paraId="21D9032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8" w:hRule="atLeast"/>
              </w:trPr>
              <w:tc>
                <w:tcPr>
                  <w:tcW w:w="1841" w:type="dxa"/>
                  <w:vAlign w:val="center"/>
                </w:tcPr>
                <w:p w14:paraId="0565D22C">
                  <w:pPr>
                    <w:rPr>
                      <w:szCs w:val="21"/>
                    </w:rPr>
                  </w:pPr>
                  <w:r>
                    <w:rPr>
                      <w:rFonts w:hint="eastAsia"/>
                      <w:szCs w:val="21"/>
                    </w:rPr>
                    <w:t>湘江（江东水厂上游1000m至下游</w:t>
                  </w:r>
                </w:p>
                <w:p w14:paraId="5575540D">
                  <w:pPr>
                    <w:rPr>
                      <w:szCs w:val="21"/>
                    </w:rPr>
                  </w:pPr>
                  <w:r>
                    <w:rPr>
                      <w:rFonts w:hint="eastAsia"/>
                      <w:szCs w:val="21"/>
                    </w:rPr>
                    <w:t>200m）</w:t>
                  </w:r>
                </w:p>
              </w:tc>
              <w:tc>
                <w:tcPr>
                  <w:tcW w:w="887" w:type="dxa"/>
                  <w:vAlign w:val="center"/>
                </w:tcPr>
                <w:p w14:paraId="351FF885">
                  <w:pPr>
                    <w:jc w:val="center"/>
                    <w:rPr>
                      <w:szCs w:val="21"/>
                    </w:rPr>
                  </w:pPr>
                  <w:r>
                    <w:rPr>
                      <w:rFonts w:hint="eastAsia"/>
                      <w:szCs w:val="21"/>
                    </w:rPr>
                    <w:t>东南面</w:t>
                  </w:r>
                </w:p>
              </w:tc>
              <w:tc>
                <w:tcPr>
                  <w:tcW w:w="1175" w:type="dxa"/>
                  <w:vAlign w:val="center"/>
                </w:tcPr>
                <w:p w14:paraId="539BEC10">
                  <w:pPr>
                    <w:jc w:val="center"/>
                    <w:rPr>
                      <w:szCs w:val="21"/>
                    </w:rPr>
                  </w:pPr>
                  <w:r>
                    <w:rPr>
                      <w:rFonts w:hint="eastAsia"/>
                      <w:szCs w:val="21"/>
                    </w:rPr>
                    <w:t>5200m</w:t>
                  </w:r>
                </w:p>
              </w:tc>
              <w:tc>
                <w:tcPr>
                  <w:tcW w:w="1555" w:type="dxa"/>
                  <w:vAlign w:val="center"/>
                </w:tcPr>
                <w:p w14:paraId="2E7019D1">
                  <w:pPr>
                    <w:jc w:val="center"/>
                    <w:rPr>
                      <w:szCs w:val="21"/>
                    </w:rPr>
                  </w:pPr>
                  <w:r>
                    <w:rPr>
                      <w:rFonts w:hint="eastAsia"/>
                      <w:szCs w:val="21"/>
                    </w:rPr>
                    <w:t>大河，饮用水源保护区</w:t>
                  </w:r>
                </w:p>
              </w:tc>
              <w:tc>
                <w:tcPr>
                  <w:tcW w:w="2752" w:type="dxa"/>
                  <w:vAlign w:val="center"/>
                </w:tcPr>
                <w:p w14:paraId="4072ED6F">
                  <w:pPr>
                    <w:jc w:val="center"/>
                    <w:rPr>
                      <w:rFonts w:hint="default" w:ascii="Times New Roman" w:hAnsi="Times New Roman" w:cs="Times New Roman"/>
                      <w:szCs w:val="21"/>
                    </w:rPr>
                  </w:pPr>
                  <w:r>
                    <w:rPr>
                      <w:rFonts w:hint="default" w:ascii="Times New Roman" w:hAnsi="Times New Roman" w:cs="Times New Roman"/>
                    </w:rPr>
                    <w:t>四大家鱼种资资源保护区，</w:t>
                  </w:r>
                  <w:r>
                    <w:rPr>
                      <w:rFonts w:hint="default" w:ascii="Times New Roman" w:hAnsi="Times New Roman" w:cs="Times New Roman"/>
                      <w:szCs w:val="21"/>
                    </w:rPr>
                    <w:t>《地表水环境质量标准》（GB3838-2002）Ⅲ类标准</w:t>
                  </w:r>
                </w:p>
              </w:tc>
            </w:tr>
          </w:tbl>
          <w:p w14:paraId="6F63EE7E">
            <w:pPr>
              <w:adjustRightInd w:val="0"/>
              <w:snapToGrid w:val="0"/>
              <w:spacing w:line="360" w:lineRule="auto"/>
              <w:ind w:firstLine="482" w:firstLineChars="200"/>
              <w:rPr>
                <w:b/>
                <w:bCs/>
                <w:sz w:val="24"/>
              </w:rPr>
            </w:pPr>
            <w:r>
              <w:rPr>
                <w:b/>
                <w:bCs/>
                <w:sz w:val="24"/>
              </w:rPr>
              <w:t>3、声环境保护目标</w:t>
            </w:r>
          </w:p>
          <w:p w14:paraId="0E4B155C">
            <w:pPr>
              <w:adjustRightInd w:val="0"/>
              <w:snapToGrid w:val="0"/>
              <w:spacing w:line="360" w:lineRule="auto"/>
              <w:ind w:firstLine="480" w:firstLineChars="200"/>
              <w:rPr>
                <w:kern w:val="0"/>
                <w:sz w:val="24"/>
              </w:rPr>
            </w:pPr>
            <w:r>
              <w:rPr>
                <w:kern w:val="0"/>
                <w:sz w:val="24"/>
              </w:rPr>
              <w:t>厂界外50米范围内无声环境保护目标。</w:t>
            </w:r>
          </w:p>
          <w:p w14:paraId="4E821044">
            <w:pPr>
              <w:adjustRightInd w:val="0"/>
              <w:snapToGrid w:val="0"/>
              <w:spacing w:line="360" w:lineRule="auto"/>
              <w:ind w:firstLine="482" w:firstLineChars="200"/>
              <w:rPr>
                <w:sz w:val="24"/>
              </w:rPr>
            </w:pPr>
            <w:r>
              <w:rPr>
                <w:rFonts w:hint="eastAsia"/>
                <w:b/>
                <w:bCs/>
                <w:sz w:val="24"/>
              </w:rPr>
              <w:t>4、地下水环境</w:t>
            </w:r>
          </w:p>
          <w:p w14:paraId="304C4312">
            <w:pPr>
              <w:adjustRightInd w:val="0"/>
              <w:snapToGrid w:val="0"/>
              <w:spacing w:line="360" w:lineRule="auto"/>
              <w:ind w:firstLine="480" w:firstLineChars="200"/>
              <w:rPr>
                <w:sz w:val="24"/>
              </w:rPr>
            </w:pPr>
            <w:r>
              <w:rPr>
                <w:rFonts w:hint="eastAsia"/>
                <w:sz w:val="24"/>
              </w:rPr>
              <w:t>本项目厂界外</w:t>
            </w:r>
            <w:r>
              <w:rPr>
                <w:sz w:val="24"/>
              </w:rPr>
              <w:t>500</w:t>
            </w:r>
            <w:r>
              <w:rPr>
                <w:rFonts w:hint="eastAsia"/>
                <w:sz w:val="24"/>
              </w:rPr>
              <w:t>米范围内无地下水集中式饮用水水源和热水、矿泉水、温泉等特殊地下水资源。</w:t>
            </w:r>
          </w:p>
          <w:p w14:paraId="048F45BC">
            <w:pPr>
              <w:adjustRightInd w:val="0"/>
              <w:snapToGrid w:val="0"/>
              <w:spacing w:line="360" w:lineRule="auto"/>
              <w:ind w:firstLine="482" w:firstLineChars="200"/>
              <w:rPr>
                <w:sz w:val="24"/>
              </w:rPr>
            </w:pPr>
            <w:r>
              <w:rPr>
                <w:rFonts w:hint="eastAsia"/>
                <w:b/>
                <w:bCs/>
                <w:sz w:val="24"/>
              </w:rPr>
              <w:t>5、生态环境</w:t>
            </w:r>
          </w:p>
          <w:p w14:paraId="5B2AB022">
            <w:pPr>
              <w:pStyle w:val="2"/>
              <w:ind w:firstLine="480"/>
            </w:pPr>
            <w:r>
              <w:rPr>
                <w:rFonts w:hint="eastAsia" w:ascii="Times New Roman"/>
                <w:bCs/>
              </w:rPr>
              <w:t>项目周边生态环境保护目标主要为项目周边动植物，不涉及</w:t>
            </w:r>
            <w:r>
              <w:rPr>
                <w:rFonts w:ascii="Times New Roman"/>
                <w:bCs/>
              </w:rPr>
              <w:t>珍稀濒危动植物和古树木。</w:t>
            </w:r>
          </w:p>
        </w:tc>
      </w:tr>
      <w:tr w14:paraId="2DC2061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57" w:hRule="atLeast"/>
          <w:jc w:val="center"/>
        </w:trPr>
        <w:tc>
          <w:tcPr>
            <w:tcW w:w="605" w:type="dxa"/>
            <w:vAlign w:val="center"/>
          </w:tcPr>
          <w:p w14:paraId="243B951B">
            <w:pPr>
              <w:adjustRightInd w:val="0"/>
              <w:snapToGrid w:val="0"/>
              <w:jc w:val="center"/>
              <w:rPr>
                <w:rFonts w:ascii="宋体" w:hAnsi="宋体" w:cs="宋体"/>
                <w:kern w:val="0"/>
                <w:sz w:val="24"/>
              </w:rPr>
            </w:pPr>
            <w:r>
              <w:rPr>
                <w:rFonts w:hint="eastAsia" w:ascii="宋体" w:hAnsi="宋体" w:cs="宋体"/>
                <w:kern w:val="0"/>
                <w:sz w:val="24"/>
              </w:rPr>
              <w:t>污染</w:t>
            </w:r>
          </w:p>
          <w:p w14:paraId="3B38D022">
            <w:pPr>
              <w:adjustRightInd w:val="0"/>
              <w:snapToGrid w:val="0"/>
              <w:jc w:val="center"/>
              <w:rPr>
                <w:rFonts w:ascii="宋体" w:hAnsi="宋体" w:cs="宋体"/>
                <w:kern w:val="0"/>
                <w:sz w:val="24"/>
              </w:rPr>
            </w:pPr>
            <w:r>
              <w:rPr>
                <w:rFonts w:hint="eastAsia" w:ascii="宋体" w:hAnsi="宋体" w:cs="宋体"/>
                <w:kern w:val="0"/>
                <w:sz w:val="24"/>
              </w:rPr>
              <w:t>物排</w:t>
            </w:r>
          </w:p>
          <w:p w14:paraId="54C49960">
            <w:pPr>
              <w:adjustRightInd w:val="0"/>
              <w:snapToGrid w:val="0"/>
              <w:jc w:val="center"/>
              <w:rPr>
                <w:rFonts w:ascii="宋体" w:hAnsi="宋体" w:cs="宋体"/>
                <w:kern w:val="0"/>
                <w:sz w:val="24"/>
              </w:rPr>
            </w:pPr>
            <w:r>
              <w:rPr>
                <w:rFonts w:hint="eastAsia" w:ascii="宋体" w:hAnsi="宋体" w:cs="宋体"/>
                <w:kern w:val="0"/>
                <w:sz w:val="24"/>
              </w:rPr>
              <w:t>放控</w:t>
            </w:r>
          </w:p>
          <w:p w14:paraId="73C75F71">
            <w:pPr>
              <w:adjustRightInd w:val="0"/>
              <w:snapToGrid w:val="0"/>
              <w:jc w:val="center"/>
              <w:rPr>
                <w:rFonts w:ascii="宋体" w:hAnsi="宋体" w:cs="宋体"/>
                <w:kern w:val="0"/>
                <w:sz w:val="24"/>
              </w:rPr>
            </w:pPr>
            <w:r>
              <w:rPr>
                <w:rFonts w:hint="eastAsia" w:ascii="宋体" w:hAnsi="宋体" w:cs="宋体"/>
                <w:kern w:val="0"/>
                <w:sz w:val="24"/>
              </w:rPr>
              <w:t>制标</w:t>
            </w:r>
          </w:p>
          <w:p w14:paraId="35F42196">
            <w:pPr>
              <w:adjustRightInd w:val="0"/>
              <w:snapToGrid w:val="0"/>
              <w:jc w:val="center"/>
              <w:rPr>
                <w:rFonts w:ascii="宋体" w:hAnsi="宋体" w:cs="宋体"/>
                <w:kern w:val="0"/>
                <w:sz w:val="24"/>
              </w:rPr>
            </w:pPr>
            <w:r>
              <w:rPr>
                <w:rFonts w:hint="eastAsia" w:ascii="宋体" w:hAnsi="宋体" w:cs="宋体"/>
                <w:kern w:val="0"/>
                <w:sz w:val="24"/>
              </w:rPr>
              <w:t>准</w:t>
            </w:r>
          </w:p>
        </w:tc>
        <w:tc>
          <w:tcPr>
            <w:tcW w:w="8456" w:type="dxa"/>
            <w:vAlign w:val="center"/>
          </w:tcPr>
          <w:p w14:paraId="210BA53C">
            <w:pPr>
              <w:numPr>
                <w:ilvl w:val="0"/>
                <w:numId w:val="5"/>
              </w:numPr>
              <w:adjustRightInd w:val="0"/>
              <w:snapToGrid w:val="0"/>
              <w:spacing w:line="360" w:lineRule="auto"/>
              <w:ind w:firstLine="482"/>
              <w:rPr>
                <w:b/>
                <w:bCs/>
                <w:sz w:val="24"/>
              </w:rPr>
            </w:pPr>
            <w:r>
              <w:rPr>
                <w:rFonts w:hint="eastAsia"/>
                <w:b/>
                <w:bCs/>
                <w:sz w:val="24"/>
              </w:rPr>
              <w:t>大气污染物</w:t>
            </w:r>
          </w:p>
          <w:p w14:paraId="47A5C408">
            <w:pPr>
              <w:pStyle w:val="14"/>
              <w:keepNext w:val="0"/>
              <w:keepLines w:val="0"/>
              <w:pageBreakBefore w:val="0"/>
              <w:widowControl w:val="0"/>
              <w:kinsoku/>
              <w:wordWrap/>
              <w:overflowPunct/>
              <w:topLinePunct w:val="0"/>
              <w:autoSpaceDE/>
              <w:autoSpaceDN/>
              <w:bidi w:val="0"/>
              <w:adjustRightInd/>
              <w:snapToGrid/>
              <w:spacing w:line="360" w:lineRule="auto"/>
              <w:ind w:firstLine="484" w:firstLineChars="200"/>
              <w:textAlignment w:val="auto"/>
              <w:rPr>
                <w:spacing w:val="1"/>
                <w:sz w:val="24"/>
              </w:rPr>
            </w:pPr>
            <w:r>
              <w:rPr>
                <w:spacing w:val="1"/>
                <w:sz w:val="24"/>
              </w:rPr>
              <w:t>本项目</w:t>
            </w:r>
            <w:r>
              <w:rPr>
                <w:rFonts w:hint="eastAsia"/>
                <w:spacing w:val="1"/>
                <w:sz w:val="24"/>
              </w:rPr>
              <w:t>大气污染物排放标准：注塑废气有组织排放执行《合成树脂工业污染物排放标准》（GB31572-2015）表4大气污染物排放限值；注塑废气无组织排放执行《合成树脂工业污染物排放标准》（GB31572-2015）表9企业边界污染物浓度限值；喷塑粉尘有组织排放执行《合成树脂工业污染物排放标准》（GB31572-2015）表4大气污染物排放限值；喷塑粉尘无组织排放执行《合成树脂工业污染物排放标准》（GB31572-2015）表9企业边界污染物浓度限值。天然气燃烧机废气执行</w:t>
            </w:r>
            <w:r>
              <w:rPr>
                <w:rFonts w:hint="eastAsia" w:cs="Times New Roman"/>
                <w:szCs w:val="21"/>
                <w:u w:val="none"/>
                <w:lang w:eastAsia="zh-CN"/>
              </w:rPr>
              <w:t>《湖南省工业炉窑大气污染综合治理实施方案》（DB43/3082-2024）中附件1工业炉窑大气污染物排放浓度限值</w:t>
            </w:r>
            <w:r>
              <w:rPr>
                <w:rFonts w:hint="eastAsia"/>
                <w:lang w:eastAsia="zh-CN"/>
              </w:rPr>
              <w:t>；</w:t>
            </w:r>
            <w:r>
              <w:rPr>
                <w:rFonts w:hint="eastAsia"/>
                <w:lang w:val="en-US" w:eastAsia="zh-CN"/>
              </w:rPr>
              <w:t>有组织排放</w:t>
            </w:r>
            <w:r>
              <w:rPr>
                <w:rFonts w:hint="eastAsia"/>
                <w:szCs w:val="21"/>
              </w:rPr>
              <w:t>臭气浓度执行</w:t>
            </w:r>
            <w:r>
              <w:rPr>
                <w:rFonts w:hint="eastAsia"/>
              </w:rPr>
              <w:t>《恶臭污染物排放标准》（GB14554-93）表2排放限值</w:t>
            </w:r>
            <w:r>
              <w:rPr>
                <w:rFonts w:hint="eastAsia"/>
                <w:lang w:eastAsia="zh-CN"/>
              </w:rPr>
              <w:t>。</w:t>
            </w:r>
            <w:r>
              <w:rPr>
                <w:rFonts w:hint="eastAsia"/>
                <w:lang w:val="en-US" w:eastAsia="zh-CN"/>
              </w:rPr>
              <w:t>无组织</w:t>
            </w:r>
            <w:r>
              <w:rPr>
                <w:rFonts w:hint="eastAsia" w:cs="Times New Roman"/>
                <w:color w:val="auto"/>
                <w:lang w:eastAsia="zh-CN"/>
              </w:rPr>
              <w:t>臭气浓度执行《恶臭污染物排放标准》（GB14554-93）表1新建二级恶臭污染物厂界标准值；</w:t>
            </w:r>
            <w:r>
              <w:rPr>
                <w:rFonts w:hint="eastAsia"/>
                <w:spacing w:val="1"/>
                <w:sz w:val="24"/>
              </w:rPr>
              <w:t>焊接烟尘和机加工粉尘均为无组织排放执行《大气污染物综合排放标准》（GB16297-1996）表2新污染物大气污染物综合排放标准限值。</w:t>
            </w:r>
          </w:p>
          <w:p w14:paraId="641F3357">
            <w:pPr>
              <w:ind w:firstLine="482" w:firstLineChars="200"/>
              <w:jc w:val="center"/>
              <w:rPr>
                <w:b/>
                <w:bCs/>
                <w:sz w:val="24"/>
              </w:rPr>
            </w:pPr>
            <w:r>
              <w:rPr>
                <w:rFonts w:hint="eastAsia"/>
                <w:b/>
                <w:bCs/>
                <w:sz w:val="24"/>
              </w:rPr>
              <w:t>表3-6    大气污染物排放标准</w:t>
            </w:r>
          </w:p>
          <w:tbl>
            <w:tblPr>
              <w:tblStyle w:val="37"/>
              <w:tblW w:w="8210"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39"/>
              <w:gridCol w:w="1112"/>
              <w:gridCol w:w="1063"/>
              <w:gridCol w:w="1225"/>
              <w:gridCol w:w="912"/>
              <w:gridCol w:w="3159"/>
            </w:tblGrid>
            <w:tr w14:paraId="17C0E43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39" w:type="dxa"/>
                  <w:vAlign w:val="center"/>
                </w:tcPr>
                <w:p w14:paraId="5BFF855E">
                  <w:pPr>
                    <w:jc w:val="center"/>
                    <w:rPr>
                      <w:szCs w:val="21"/>
                    </w:rPr>
                  </w:pPr>
                  <w:r>
                    <w:rPr>
                      <w:rFonts w:hint="eastAsia"/>
                      <w:szCs w:val="21"/>
                    </w:rPr>
                    <w:t>排放形式</w:t>
                  </w:r>
                </w:p>
              </w:tc>
              <w:tc>
                <w:tcPr>
                  <w:tcW w:w="1112" w:type="dxa"/>
                  <w:vAlign w:val="center"/>
                </w:tcPr>
                <w:p w14:paraId="0A8E491A">
                  <w:pPr>
                    <w:jc w:val="center"/>
                    <w:rPr>
                      <w:szCs w:val="21"/>
                    </w:rPr>
                  </w:pPr>
                  <w:r>
                    <w:rPr>
                      <w:rFonts w:hint="eastAsia"/>
                      <w:szCs w:val="21"/>
                    </w:rPr>
                    <w:t>生产工艺或设施</w:t>
                  </w:r>
                </w:p>
              </w:tc>
              <w:tc>
                <w:tcPr>
                  <w:tcW w:w="1063" w:type="dxa"/>
                  <w:vAlign w:val="center"/>
                </w:tcPr>
                <w:p w14:paraId="1E9CC89C">
                  <w:pPr>
                    <w:jc w:val="center"/>
                  </w:pPr>
                  <w:r>
                    <w:rPr>
                      <w:rFonts w:hint="eastAsia"/>
                      <w:szCs w:val="21"/>
                    </w:rPr>
                    <w:t>污染因子</w:t>
                  </w:r>
                </w:p>
              </w:tc>
              <w:tc>
                <w:tcPr>
                  <w:tcW w:w="1225" w:type="dxa"/>
                  <w:vAlign w:val="center"/>
                </w:tcPr>
                <w:p w14:paraId="791DA3AA">
                  <w:pPr>
                    <w:jc w:val="center"/>
                    <w:rPr>
                      <w:szCs w:val="21"/>
                    </w:rPr>
                  </w:pPr>
                  <w:r>
                    <w:rPr>
                      <w:rFonts w:hint="eastAsia"/>
                      <w:szCs w:val="21"/>
                    </w:rPr>
                    <w:t>排放限值（mg/m</w:t>
                  </w:r>
                  <w:r>
                    <w:rPr>
                      <w:rFonts w:hint="eastAsia"/>
                      <w:szCs w:val="21"/>
                      <w:vertAlign w:val="superscript"/>
                    </w:rPr>
                    <w:t>3</w:t>
                  </w:r>
                  <w:r>
                    <w:rPr>
                      <w:rFonts w:hint="eastAsia"/>
                      <w:szCs w:val="21"/>
                    </w:rPr>
                    <w:t>）</w:t>
                  </w:r>
                </w:p>
              </w:tc>
              <w:tc>
                <w:tcPr>
                  <w:tcW w:w="912" w:type="dxa"/>
                  <w:vAlign w:val="center"/>
                </w:tcPr>
                <w:p w14:paraId="066C1D8E">
                  <w:pPr>
                    <w:jc w:val="center"/>
                    <w:rPr>
                      <w:szCs w:val="21"/>
                    </w:rPr>
                  </w:pPr>
                  <w:r>
                    <w:rPr>
                      <w:rFonts w:hint="eastAsia"/>
                      <w:szCs w:val="21"/>
                    </w:rPr>
                    <w:t>污染物排放监控位置</w:t>
                  </w:r>
                </w:p>
              </w:tc>
              <w:tc>
                <w:tcPr>
                  <w:tcW w:w="3159" w:type="dxa"/>
                  <w:vAlign w:val="center"/>
                </w:tcPr>
                <w:p w14:paraId="16897DE9">
                  <w:pPr>
                    <w:jc w:val="center"/>
                    <w:rPr>
                      <w:szCs w:val="21"/>
                    </w:rPr>
                  </w:pPr>
                  <w:r>
                    <w:rPr>
                      <w:rFonts w:hint="eastAsia"/>
                      <w:szCs w:val="21"/>
                    </w:rPr>
                    <w:t>标准来源</w:t>
                  </w:r>
                </w:p>
              </w:tc>
            </w:tr>
            <w:tr w14:paraId="5128CE5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56" w:hRule="atLeast"/>
              </w:trPr>
              <w:tc>
                <w:tcPr>
                  <w:tcW w:w="739" w:type="dxa"/>
                  <w:vMerge w:val="restart"/>
                  <w:vAlign w:val="center"/>
                </w:tcPr>
                <w:p w14:paraId="78BF603A">
                  <w:pPr>
                    <w:jc w:val="center"/>
                    <w:rPr>
                      <w:szCs w:val="21"/>
                    </w:rPr>
                  </w:pPr>
                  <w:r>
                    <w:rPr>
                      <w:rFonts w:hint="eastAsia"/>
                      <w:szCs w:val="21"/>
                    </w:rPr>
                    <w:t>有组织</w:t>
                  </w:r>
                </w:p>
              </w:tc>
              <w:tc>
                <w:tcPr>
                  <w:tcW w:w="1112" w:type="dxa"/>
                  <w:vMerge w:val="restart"/>
                  <w:vAlign w:val="center"/>
                </w:tcPr>
                <w:p w14:paraId="65EED8A3">
                  <w:pPr>
                    <w:jc w:val="center"/>
                    <w:rPr>
                      <w:szCs w:val="21"/>
                    </w:rPr>
                  </w:pPr>
                  <w:r>
                    <w:rPr>
                      <w:rFonts w:hint="eastAsia"/>
                      <w:szCs w:val="21"/>
                    </w:rPr>
                    <w:t>天然气燃烧机废气</w:t>
                  </w:r>
                </w:p>
              </w:tc>
              <w:tc>
                <w:tcPr>
                  <w:tcW w:w="1063" w:type="dxa"/>
                  <w:tcBorders>
                    <w:top w:val="single" w:color="auto" w:sz="4" w:space="0"/>
                    <w:bottom w:val="single" w:color="auto" w:sz="4" w:space="0"/>
                  </w:tcBorders>
                  <w:vAlign w:val="center"/>
                </w:tcPr>
                <w:p w14:paraId="4D19CC7D">
                  <w:pPr>
                    <w:jc w:val="center"/>
                  </w:pPr>
                  <w:r>
                    <w:rPr>
                      <w:szCs w:val="21"/>
                    </w:rPr>
                    <w:t>SO</w:t>
                  </w:r>
                  <w:r>
                    <w:rPr>
                      <w:szCs w:val="21"/>
                      <w:vertAlign w:val="subscript"/>
                    </w:rPr>
                    <w:t>2</w:t>
                  </w:r>
                </w:p>
              </w:tc>
              <w:tc>
                <w:tcPr>
                  <w:tcW w:w="1225" w:type="dxa"/>
                  <w:tcBorders>
                    <w:top w:val="single" w:color="auto" w:sz="4" w:space="0"/>
                    <w:bottom w:val="single" w:color="auto" w:sz="4" w:space="0"/>
                  </w:tcBorders>
                  <w:vAlign w:val="center"/>
                </w:tcPr>
                <w:p w14:paraId="51BDA5A0">
                  <w:pPr>
                    <w:jc w:val="center"/>
                    <w:rPr>
                      <w:rFonts w:hint="default" w:eastAsia="宋体"/>
                      <w:szCs w:val="21"/>
                      <w:lang w:val="en-US" w:eastAsia="zh-CN"/>
                    </w:rPr>
                  </w:pPr>
                  <w:r>
                    <w:rPr>
                      <w:rFonts w:hint="eastAsia"/>
                      <w:szCs w:val="21"/>
                      <w:lang w:val="en-US" w:eastAsia="zh-CN"/>
                    </w:rPr>
                    <w:t>200</w:t>
                  </w:r>
                </w:p>
              </w:tc>
              <w:tc>
                <w:tcPr>
                  <w:tcW w:w="912" w:type="dxa"/>
                  <w:vMerge w:val="restart"/>
                  <w:vAlign w:val="center"/>
                </w:tcPr>
                <w:p w14:paraId="05480894">
                  <w:pPr>
                    <w:jc w:val="center"/>
                    <w:rPr>
                      <w:szCs w:val="21"/>
                    </w:rPr>
                  </w:pPr>
                  <w:r>
                    <w:rPr>
                      <w:rFonts w:hint="eastAsia"/>
                      <w:szCs w:val="21"/>
                    </w:rPr>
                    <w:t>排气筒</w:t>
                  </w:r>
                </w:p>
              </w:tc>
              <w:tc>
                <w:tcPr>
                  <w:tcW w:w="3159" w:type="dxa"/>
                  <w:vMerge w:val="restart"/>
                  <w:vAlign w:val="center"/>
                </w:tcPr>
                <w:p w14:paraId="2E1BC83D">
                  <w:pPr>
                    <w:jc w:val="center"/>
                    <w:rPr>
                      <w:szCs w:val="21"/>
                    </w:rPr>
                  </w:pPr>
                  <w:r>
                    <w:rPr>
                      <w:rFonts w:hint="default" w:ascii="Times New Roman" w:hAnsi="Times New Roman" w:eastAsia="宋体" w:cs="Times New Roman"/>
                      <w:szCs w:val="21"/>
                      <w:u w:val="none"/>
                    </w:rPr>
                    <w:t>《湖南省工业炉窑大气污染综合治理实施方案</w:t>
                  </w:r>
                  <w:r>
                    <w:rPr>
                      <w:rFonts w:hint="eastAsia" w:ascii="Times New Roman" w:hAnsi="Times New Roman" w:eastAsia="宋体" w:cs="Times New Roman"/>
                      <w:szCs w:val="21"/>
                      <w:u w:val="none"/>
                      <w:lang w:eastAsia="zh-CN"/>
                    </w:rPr>
                    <w:t>》（</w:t>
                  </w:r>
                  <w:r>
                    <w:rPr>
                      <w:rFonts w:hint="eastAsia" w:ascii="Times New Roman" w:hAnsi="Times New Roman" w:eastAsia="宋体" w:cs="Times New Roman"/>
                      <w:szCs w:val="21"/>
                      <w:u w:val="none"/>
                      <w:lang w:val="en-US" w:eastAsia="zh-CN"/>
                    </w:rPr>
                    <w:t>DB43/3082-2024</w:t>
                  </w:r>
                  <w:r>
                    <w:rPr>
                      <w:rFonts w:hint="eastAsia" w:ascii="Times New Roman" w:hAnsi="Times New Roman" w:eastAsia="宋体" w:cs="Times New Roman"/>
                      <w:szCs w:val="21"/>
                      <w:u w:val="none"/>
                      <w:lang w:eastAsia="zh-CN"/>
                    </w:rPr>
                    <w:t>）</w:t>
                  </w:r>
                  <w:r>
                    <w:rPr>
                      <w:rFonts w:hint="default" w:ascii="Times New Roman" w:hAnsi="Times New Roman" w:eastAsia="宋体" w:cs="Times New Roman"/>
                      <w:szCs w:val="21"/>
                      <w:u w:val="none"/>
                      <w:lang w:val="en-US" w:eastAsia="zh-CN"/>
                    </w:rPr>
                    <w:t>中附件1</w:t>
                  </w:r>
                  <w:r>
                    <w:rPr>
                      <w:rFonts w:hint="default" w:ascii="Times New Roman" w:hAnsi="Times New Roman" w:eastAsia="宋体" w:cs="Times New Roman"/>
                      <w:szCs w:val="21"/>
                      <w:u w:val="none"/>
                    </w:rPr>
                    <w:t>工业炉窑大气污染物排放</w:t>
                  </w:r>
                  <w:r>
                    <w:rPr>
                      <w:rFonts w:hint="default" w:ascii="Times New Roman" w:hAnsi="Times New Roman" w:eastAsia="宋体" w:cs="Times New Roman"/>
                      <w:szCs w:val="21"/>
                      <w:u w:val="none"/>
                      <w:lang w:val="en-US" w:eastAsia="zh-CN"/>
                    </w:rPr>
                    <w:t>浓度</w:t>
                  </w:r>
                  <w:r>
                    <w:rPr>
                      <w:rFonts w:hint="default" w:ascii="Times New Roman" w:hAnsi="Times New Roman" w:eastAsia="宋体" w:cs="Times New Roman"/>
                      <w:szCs w:val="21"/>
                      <w:u w:val="none"/>
                    </w:rPr>
                    <w:t>限值</w:t>
                  </w:r>
                </w:p>
              </w:tc>
            </w:tr>
            <w:tr w14:paraId="6161039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739" w:type="dxa"/>
                  <w:vMerge w:val="continue"/>
                  <w:vAlign w:val="center"/>
                </w:tcPr>
                <w:p w14:paraId="01C597A8">
                  <w:pPr>
                    <w:jc w:val="center"/>
                    <w:rPr>
                      <w:szCs w:val="21"/>
                    </w:rPr>
                  </w:pPr>
                </w:p>
              </w:tc>
              <w:tc>
                <w:tcPr>
                  <w:tcW w:w="1112" w:type="dxa"/>
                  <w:vMerge w:val="continue"/>
                  <w:vAlign w:val="center"/>
                </w:tcPr>
                <w:p w14:paraId="45476EAF">
                  <w:pPr>
                    <w:jc w:val="center"/>
                    <w:rPr>
                      <w:szCs w:val="21"/>
                    </w:rPr>
                  </w:pPr>
                </w:p>
              </w:tc>
              <w:tc>
                <w:tcPr>
                  <w:tcW w:w="1063" w:type="dxa"/>
                  <w:tcBorders>
                    <w:top w:val="single" w:color="auto" w:sz="4" w:space="0"/>
                  </w:tcBorders>
                  <w:vAlign w:val="center"/>
                </w:tcPr>
                <w:p w14:paraId="15092BB0">
                  <w:pPr>
                    <w:jc w:val="center"/>
                  </w:pPr>
                  <w:r>
                    <w:rPr>
                      <w:szCs w:val="21"/>
                    </w:rPr>
                    <w:t>NOx</w:t>
                  </w:r>
                </w:p>
              </w:tc>
              <w:tc>
                <w:tcPr>
                  <w:tcW w:w="1225" w:type="dxa"/>
                  <w:tcBorders>
                    <w:top w:val="single" w:color="auto" w:sz="4" w:space="0"/>
                  </w:tcBorders>
                  <w:vAlign w:val="center"/>
                </w:tcPr>
                <w:p w14:paraId="51034CF0">
                  <w:pPr>
                    <w:jc w:val="center"/>
                    <w:rPr>
                      <w:rFonts w:hint="default" w:eastAsia="宋体"/>
                      <w:szCs w:val="21"/>
                      <w:lang w:val="en-US" w:eastAsia="zh-CN"/>
                    </w:rPr>
                  </w:pPr>
                  <w:r>
                    <w:rPr>
                      <w:rFonts w:hint="eastAsia"/>
                      <w:szCs w:val="21"/>
                      <w:lang w:val="en-US" w:eastAsia="zh-CN"/>
                    </w:rPr>
                    <w:t>300</w:t>
                  </w:r>
                </w:p>
              </w:tc>
              <w:tc>
                <w:tcPr>
                  <w:tcW w:w="912" w:type="dxa"/>
                  <w:vMerge w:val="continue"/>
                  <w:vAlign w:val="center"/>
                </w:tcPr>
                <w:p w14:paraId="4E476995">
                  <w:pPr>
                    <w:jc w:val="center"/>
                    <w:rPr>
                      <w:szCs w:val="21"/>
                    </w:rPr>
                  </w:pPr>
                </w:p>
              </w:tc>
              <w:tc>
                <w:tcPr>
                  <w:tcW w:w="3159" w:type="dxa"/>
                  <w:vMerge w:val="continue"/>
                  <w:vAlign w:val="center"/>
                </w:tcPr>
                <w:p w14:paraId="4D652953">
                  <w:pPr>
                    <w:jc w:val="center"/>
                    <w:rPr>
                      <w:szCs w:val="21"/>
                    </w:rPr>
                  </w:pPr>
                </w:p>
              </w:tc>
            </w:tr>
            <w:tr w14:paraId="40AE68A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44" w:hRule="atLeast"/>
              </w:trPr>
              <w:tc>
                <w:tcPr>
                  <w:tcW w:w="739" w:type="dxa"/>
                  <w:vMerge w:val="continue"/>
                  <w:vAlign w:val="center"/>
                </w:tcPr>
                <w:p w14:paraId="17677ACC">
                  <w:pPr>
                    <w:jc w:val="center"/>
                    <w:rPr>
                      <w:szCs w:val="21"/>
                    </w:rPr>
                  </w:pPr>
                </w:p>
              </w:tc>
              <w:tc>
                <w:tcPr>
                  <w:tcW w:w="1112" w:type="dxa"/>
                  <w:vMerge w:val="restart"/>
                  <w:vAlign w:val="center"/>
                </w:tcPr>
                <w:p w14:paraId="6D7B8A25">
                  <w:pPr>
                    <w:jc w:val="center"/>
                    <w:rPr>
                      <w:szCs w:val="21"/>
                    </w:rPr>
                  </w:pPr>
                  <w:r>
                    <w:rPr>
                      <w:rFonts w:hint="eastAsia"/>
                      <w:szCs w:val="21"/>
                    </w:rPr>
                    <w:t>注塑</w:t>
                  </w:r>
                </w:p>
              </w:tc>
              <w:tc>
                <w:tcPr>
                  <w:tcW w:w="1063" w:type="dxa"/>
                  <w:tcBorders>
                    <w:bottom w:val="single" w:color="auto" w:sz="4" w:space="0"/>
                  </w:tcBorders>
                  <w:vAlign w:val="center"/>
                </w:tcPr>
                <w:p w14:paraId="0540530F">
                  <w:pPr>
                    <w:jc w:val="center"/>
                    <w:rPr>
                      <w:u w:val="none"/>
                    </w:rPr>
                  </w:pPr>
                  <w:r>
                    <w:rPr>
                      <w:rFonts w:hint="eastAsia"/>
                      <w:spacing w:val="5"/>
                      <w:szCs w:val="21"/>
                      <w:u w:val="none"/>
                    </w:rPr>
                    <w:t>非甲烷总烃</w:t>
                  </w:r>
                </w:p>
              </w:tc>
              <w:tc>
                <w:tcPr>
                  <w:tcW w:w="1225" w:type="dxa"/>
                  <w:tcBorders>
                    <w:bottom w:val="single" w:color="auto" w:sz="4" w:space="0"/>
                  </w:tcBorders>
                  <w:vAlign w:val="center"/>
                </w:tcPr>
                <w:p w14:paraId="17604ACF">
                  <w:pPr>
                    <w:jc w:val="center"/>
                    <w:rPr>
                      <w:szCs w:val="21"/>
                      <w:u w:val="none"/>
                    </w:rPr>
                  </w:pPr>
                  <w:r>
                    <w:rPr>
                      <w:rFonts w:hint="eastAsia"/>
                      <w:szCs w:val="21"/>
                      <w:u w:val="none"/>
                    </w:rPr>
                    <w:t>100</w:t>
                  </w:r>
                </w:p>
              </w:tc>
              <w:tc>
                <w:tcPr>
                  <w:tcW w:w="912" w:type="dxa"/>
                  <w:vAlign w:val="center"/>
                </w:tcPr>
                <w:p w14:paraId="66664122">
                  <w:pPr>
                    <w:jc w:val="center"/>
                    <w:rPr>
                      <w:szCs w:val="21"/>
                      <w:u w:val="none"/>
                    </w:rPr>
                  </w:pPr>
                  <w:r>
                    <w:rPr>
                      <w:rFonts w:hint="eastAsia"/>
                      <w:szCs w:val="21"/>
                      <w:u w:val="none"/>
                    </w:rPr>
                    <w:t>排气筒</w:t>
                  </w:r>
                </w:p>
              </w:tc>
              <w:tc>
                <w:tcPr>
                  <w:tcW w:w="3159" w:type="dxa"/>
                  <w:vAlign w:val="center"/>
                </w:tcPr>
                <w:p w14:paraId="3087A7A9">
                  <w:pPr>
                    <w:jc w:val="center"/>
                    <w:rPr>
                      <w:szCs w:val="21"/>
                      <w:u w:val="none"/>
                    </w:rPr>
                  </w:pPr>
                  <w:r>
                    <w:rPr>
                      <w:rFonts w:hint="eastAsia"/>
                      <w:szCs w:val="21"/>
                      <w:u w:val="none"/>
                    </w:rPr>
                    <w:t>《合成树脂工业污染物排放标准》（GB31572-2015）表4大气污染物排放限值</w:t>
                  </w:r>
                </w:p>
              </w:tc>
            </w:tr>
            <w:tr w14:paraId="41382BD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6" w:hRule="atLeast"/>
              </w:trPr>
              <w:tc>
                <w:tcPr>
                  <w:tcW w:w="739" w:type="dxa"/>
                  <w:vMerge w:val="continue"/>
                  <w:vAlign w:val="center"/>
                </w:tcPr>
                <w:p w14:paraId="6FB6734A">
                  <w:pPr>
                    <w:jc w:val="center"/>
                    <w:rPr>
                      <w:szCs w:val="21"/>
                    </w:rPr>
                  </w:pPr>
                </w:p>
              </w:tc>
              <w:tc>
                <w:tcPr>
                  <w:tcW w:w="1112" w:type="dxa"/>
                  <w:vMerge w:val="continue"/>
                  <w:vAlign w:val="center"/>
                </w:tcPr>
                <w:p w14:paraId="056F81EE">
                  <w:pPr>
                    <w:jc w:val="center"/>
                    <w:rPr>
                      <w:rFonts w:hint="eastAsia"/>
                      <w:szCs w:val="21"/>
                    </w:rPr>
                  </w:pPr>
                </w:p>
              </w:tc>
              <w:tc>
                <w:tcPr>
                  <w:tcW w:w="1063" w:type="dxa"/>
                  <w:tcBorders>
                    <w:bottom w:val="single" w:color="auto" w:sz="4" w:space="0"/>
                  </w:tcBorders>
                  <w:vAlign w:val="center"/>
                </w:tcPr>
                <w:p w14:paraId="7D00CBF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spacing w:val="5"/>
                      <w:szCs w:val="21"/>
                      <w:u w:val="none"/>
                    </w:rPr>
                  </w:pPr>
                  <w:r>
                    <w:rPr>
                      <w:rFonts w:hint="eastAsia"/>
                      <w:sz w:val="21"/>
                      <w:szCs w:val="21"/>
                      <w:u w:val="none"/>
                    </w:rPr>
                    <w:t>臭气浓度</w:t>
                  </w:r>
                </w:p>
              </w:tc>
              <w:tc>
                <w:tcPr>
                  <w:tcW w:w="1225" w:type="dxa"/>
                  <w:tcBorders>
                    <w:bottom w:val="single" w:color="auto" w:sz="4" w:space="0"/>
                  </w:tcBorders>
                  <w:vAlign w:val="center"/>
                </w:tcPr>
                <w:p w14:paraId="47229B7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szCs w:val="21"/>
                      <w:u w:val="none"/>
                    </w:rPr>
                  </w:pPr>
                  <w:r>
                    <w:rPr>
                      <w:rFonts w:hint="eastAsia"/>
                      <w:sz w:val="21"/>
                      <w:szCs w:val="21"/>
                      <w:u w:val="none"/>
                    </w:rPr>
                    <w:t>2000（无量纲）</w:t>
                  </w:r>
                </w:p>
              </w:tc>
              <w:tc>
                <w:tcPr>
                  <w:tcW w:w="912" w:type="dxa"/>
                  <w:vAlign w:val="center"/>
                </w:tcPr>
                <w:p w14:paraId="45EFF2D9">
                  <w:pPr>
                    <w:jc w:val="center"/>
                    <w:rPr>
                      <w:rFonts w:hint="eastAsia"/>
                      <w:szCs w:val="21"/>
                      <w:u w:val="none"/>
                    </w:rPr>
                  </w:pPr>
                  <w:r>
                    <w:rPr>
                      <w:rFonts w:hint="eastAsia"/>
                      <w:szCs w:val="21"/>
                      <w:u w:val="none"/>
                      <w:lang w:val="en-US" w:eastAsia="zh-CN"/>
                    </w:rPr>
                    <w:t>排气筒</w:t>
                  </w:r>
                </w:p>
              </w:tc>
              <w:tc>
                <w:tcPr>
                  <w:tcW w:w="3159" w:type="dxa"/>
                  <w:vAlign w:val="center"/>
                </w:tcPr>
                <w:p w14:paraId="531C1B88">
                  <w:pPr>
                    <w:jc w:val="center"/>
                    <w:rPr>
                      <w:rFonts w:hint="eastAsia"/>
                      <w:szCs w:val="21"/>
                      <w:u w:val="none"/>
                    </w:rPr>
                  </w:pPr>
                  <w:r>
                    <w:rPr>
                      <w:rFonts w:hint="eastAsia"/>
                      <w:sz w:val="21"/>
                      <w:szCs w:val="21"/>
                      <w:u w:val="none"/>
                    </w:rPr>
                    <w:t>《恶臭污染物排放标准》（GB14554-93）表2</w:t>
                  </w:r>
                  <w:r>
                    <w:rPr>
                      <w:rFonts w:hint="eastAsia"/>
                      <w:sz w:val="21"/>
                      <w:szCs w:val="21"/>
                      <w:u w:val="none"/>
                      <w:lang w:val="en-US" w:eastAsia="zh-CN"/>
                    </w:rPr>
                    <w:t>排放限值</w:t>
                  </w:r>
                </w:p>
              </w:tc>
            </w:tr>
            <w:tr w14:paraId="67CE08F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739" w:type="dxa"/>
                  <w:vMerge w:val="continue"/>
                  <w:tcBorders>
                    <w:bottom w:val="single" w:color="auto" w:sz="4" w:space="0"/>
                  </w:tcBorders>
                  <w:vAlign w:val="center"/>
                </w:tcPr>
                <w:p w14:paraId="0409E015">
                  <w:pPr>
                    <w:jc w:val="center"/>
                    <w:rPr>
                      <w:szCs w:val="21"/>
                    </w:rPr>
                  </w:pPr>
                </w:p>
              </w:tc>
              <w:tc>
                <w:tcPr>
                  <w:tcW w:w="1112" w:type="dxa"/>
                  <w:tcBorders>
                    <w:bottom w:val="single" w:color="auto" w:sz="4" w:space="0"/>
                  </w:tcBorders>
                  <w:vAlign w:val="center"/>
                </w:tcPr>
                <w:p w14:paraId="1E35945E">
                  <w:pPr>
                    <w:jc w:val="center"/>
                    <w:rPr>
                      <w:szCs w:val="21"/>
                    </w:rPr>
                  </w:pPr>
                  <w:r>
                    <w:rPr>
                      <w:rFonts w:hint="eastAsia"/>
                      <w:szCs w:val="21"/>
                    </w:rPr>
                    <w:t>喷塑</w:t>
                  </w:r>
                </w:p>
              </w:tc>
              <w:tc>
                <w:tcPr>
                  <w:tcW w:w="1063" w:type="dxa"/>
                  <w:tcBorders>
                    <w:top w:val="single" w:color="auto" w:sz="4" w:space="0"/>
                    <w:bottom w:val="single" w:color="auto" w:sz="4" w:space="0"/>
                  </w:tcBorders>
                  <w:vAlign w:val="center"/>
                </w:tcPr>
                <w:p w14:paraId="76CA88AB">
                  <w:pPr>
                    <w:jc w:val="center"/>
                  </w:pPr>
                  <w:r>
                    <w:rPr>
                      <w:rFonts w:hint="eastAsia"/>
                      <w:spacing w:val="5"/>
                      <w:szCs w:val="21"/>
                    </w:rPr>
                    <w:t>颗粒物</w:t>
                  </w:r>
                </w:p>
              </w:tc>
              <w:tc>
                <w:tcPr>
                  <w:tcW w:w="1225" w:type="dxa"/>
                  <w:tcBorders>
                    <w:top w:val="single" w:color="auto" w:sz="4" w:space="0"/>
                    <w:bottom w:val="single" w:color="auto" w:sz="4" w:space="0"/>
                  </w:tcBorders>
                  <w:vAlign w:val="center"/>
                </w:tcPr>
                <w:p w14:paraId="6EFC1533">
                  <w:pPr>
                    <w:jc w:val="center"/>
                    <w:rPr>
                      <w:szCs w:val="21"/>
                    </w:rPr>
                  </w:pPr>
                  <w:r>
                    <w:rPr>
                      <w:rFonts w:hint="eastAsia"/>
                      <w:szCs w:val="21"/>
                    </w:rPr>
                    <w:t>30</w:t>
                  </w:r>
                </w:p>
              </w:tc>
              <w:tc>
                <w:tcPr>
                  <w:tcW w:w="912" w:type="dxa"/>
                  <w:tcBorders>
                    <w:bottom w:val="single" w:color="auto" w:sz="4" w:space="0"/>
                  </w:tcBorders>
                  <w:vAlign w:val="center"/>
                </w:tcPr>
                <w:p w14:paraId="2A80F3AB">
                  <w:pPr>
                    <w:jc w:val="center"/>
                    <w:rPr>
                      <w:szCs w:val="21"/>
                    </w:rPr>
                  </w:pPr>
                  <w:r>
                    <w:rPr>
                      <w:rFonts w:hint="eastAsia"/>
                      <w:szCs w:val="21"/>
                    </w:rPr>
                    <w:t>排气筒</w:t>
                  </w:r>
                </w:p>
              </w:tc>
              <w:tc>
                <w:tcPr>
                  <w:tcW w:w="3159" w:type="dxa"/>
                  <w:tcBorders>
                    <w:bottom w:val="single" w:color="auto" w:sz="4" w:space="0"/>
                  </w:tcBorders>
                  <w:vAlign w:val="center"/>
                </w:tcPr>
                <w:p w14:paraId="2BD23CBB">
                  <w:pPr>
                    <w:jc w:val="center"/>
                    <w:rPr>
                      <w:szCs w:val="21"/>
                    </w:rPr>
                  </w:pPr>
                  <w:r>
                    <w:rPr>
                      <w:rFonts w:hint="eastAsia"/>
                      <w:szCs w:val="21"/>
                    </w:rPr>
                    <w:t>《合成树脂工业污染物排放标准》（GB31572-2015）表4大气污染物排放限值</w:t>
                  </w:r>
                </w:p>
              </w:tc>
            </w:tr>
            <w:tr w14:paraId="0BC14F4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3" w:hRule="atLeast"/>
              </w:trPr>
              <w:tc>
                <w:tcPr>
                  <w:tcW w:w="739" w:type="dxa"/>
                  <w:vMerge w:val="restart"/>
                  <w:vAlign w:val="center"/>
                </w:tcPr>
                <w:p w14:paraId="555B6931">
                  <w:pPr>
                    <w:jc w:val="center"/>
                    <w:rPr>
                      <w:szCs w:val="21"/>
                    </w:rPr>
                  </w:pPr>
                  <w:r>
                    <w:rPr>
                      <w:rFonts w:hint="eastAsia"/>
                      <w:szCs w:val="21"/>
                    </w:rPr>
                    <w:t>无组织</w:t>
                  </w:r>
                </w:p>
              </w:tc>
              <w:tc>
                <w:tcPr>
                  <w:tcW w:w="1112" w:type="dxa"/>
                  <w:vMerge w:val="restart"/>
                  <w:vAlign w:val="center"/>
                </w:tcPr>
                <w:p w14:paraId="6858F2D4">
                  <w:pPr>
                    <w:jc w:val="center"/>
                    <w:rPr>
                      <w:szCs w:val="21"/>
                    </w:rPr>
                  </w:pPr>
                  <w:r>
                    <w:rPr>
                      <w:rFonts w:hint="eastAsia"/>
                      <w:szCs w:val="21"/>
                    </w:rPr>
                    <w:t>注塑</w:t>
                  </w:r>
                </w:p>
              </w:tc>
              <w:tc>
                <w:tcPr>
                  <w:tcW w:w="1063" w:type="dxa"/>
                  <w:vAlign w:val="center"/>
                </w:tcPr>
                <w:p w14:paraId="2BE4A2D0">
                  <w:pPr>
                    <w:jc w:val="center"/>
                  </w:pPr>
                  <w:r>
                    <w:rPr>
                      <w:rFonts w:hint="eastAsia"/>
                      <w:spacing w:val="5"/>
                      <w:szCs w:val="21"/>
                    </w:rPr>
                    <w:t>非甲烷总烃</w:t>
                  </w:r>
                </w:p>
              </w:tc>
              <w:tc>
                <w:tcPr>
                  <w:tcW w:w="1225" w:type="dxa"/>
                  <w:vAlign w:val="center"/>
                </w:tcPr>
                <w:p w14:paraId="1267E0D0">
                  <w:pPr>
                    <w:jc w:val="center"/>
                    <w:rPr>
                      <w:szCs w:val="21"/>
                    </w:rPr>
                  </w:pPr>
                  <w:r>
                    <w:rPr>
                      <w:rFonts w:hint="eastAsia"/>
                      <w:szCs w:val="21"/>
                    </w:rPr>
                    <w:t>4.0</w:t>
                  </w:r>
                </w:p>
              </w:tc>
              <w:tc>
                <w:tcPr>
                  <w:tcW w:w="912" w:type="dxa"/>
                  <w:vAlign w:val="center"/>
                </w:tcPr>
                <w:p w14:paraId="158F0E8B">
                  <w:pPr>
                    <w:jc w:val="center"/>
                    <w:rPr>
                      <w:szCs w:val="21"/>
                    </w:rPr>
                  </w:pPr>
                  <w:r>
                    <w:rPr>
                      <w:rFonts w:hint="eastAsia"/>
                      <w:szCs w:val="21"/>
                    </w:rPr>
                    <w:t>厂界</w:t>
                  </w:r>
                </w:p>
              </w:tc>
              <w:tc>
                <w:tcPr>
                  <w:tcW w:w="3159" w:type="dxa"/>
                  <w:vAlign w:val="center"/>
                </w:tcPr>
                <w:p w14:paraId="6532D740">
                  <w:pPr>
                    <w:jc w:val="center"/>
                    <w:rPr>
                      <w:szCs w:val="21"/>
                    </w:rPr>
                  </w:pPr>
                  <w:r>
                    <w:rPr>
                      <w:rFonts w:hint="eastAsia"/>
                      <w:szCs w:val="21"/>
                    </w:rPr>
                    <w:t>《合成树脂工业污染物排放标准》（GB31572-2015）表9企业边界污染物浓度限值。</w:t>
                  </w:r>
                </w:p>
              </w:tc>
            </w:tr>
            <w:tr w14:paraId="29ED28A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21" w:hRule="atLeast"/>
              </w:trPr>
              <w:tc>
                <w:tcPr>
                  <w:tcW w:w="739" w:type="dxa"/>
                  <w:vMerge w:val="continue"/>
                  <w:vAlign w:val="center"/>
                </w:tcPr>
                <w:p w14:paraId="2596380A">
                  <w:pPr>
                    <w:jc w:val="center"/>
                    <w:rPr>
                      <w:rFonts w:hint="eastAsia"/>
                      <w:szCs w:val="21"/>
                    </w:rPr>
                  </w:pPr>
                </w:p>
              </w:tc>
              <w:tc>
                <w:tcPr>
                  <w:tcW w:w="1112" w:type="dxa"/>
                  <w:vMerge w:val="continue"/>
                  <w:vAlign w:val="center"/>
                </w:tcPr>
                <w:p w14:paraId="00225A2C">
                  <w:pPr>
                    <w:jc w:val="center"/>
                    <w:rPr>
                      <w:rFonts w:hint="eastAsia"/>
                      <w:szCs w:val="21"/>
                    </w:rPr>
                  </w:pPr>
                </w:p>
              </w:tc>
              <w:tc>
                <w:tcPr>
                  <w:tcW w:w="1063" w:type="dxa"/>
                  <w:vAlign w:val="center"/>
                </w:tcPr>
                <w:p w14:paraId="58AC30B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spacing w:val="5"/>
                      <w:szCs w:val="21"/>
                    </w:rPr>
                  </w:pPr>
                  <w:r>
                    <w:rPr>
                      <w:rFonts w:hint="eastAsia"/>
                      <w:sz w:val="21"/>
                      <w:szCs w:val="21"/>
                      <w:u w:val="none"/>
                    </w:rPr>
                    <w:t>臭气浓度</w:t>
                  </w:r>
                </w:p>
              </w:tc>
              <w:tc>
                <w:tcPr>
                  <w:tcW w:w="1225" w:type="dxa"/>
                  <w:vAlign w:val="center"/>
                </w:tcPr>
                <w:p w14:paraId="7FBD847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szCs w:val="21"/>
                    </w:rPr>
                  </w:pPr>
                  <w:r>
                    <w:rPr>
                      <w:rFonts w:hint="eastAsia"/>
                      <w:sz w:val="21"/>
                      <w:szCs w:val="21"/>
                      <w:u w:val="none"/>
                    </w:rPr>
                    <w:t>20（无量纲）</w:t>
                  </w:r>
                </w:p>
              </w:tc>
              <w:tc>
                <w:tcPr>
                  <w:tcW w:w="912" w:type="dxa"/>
                  <w:vAlign w:val="center"/>
                </w:tcPr>
                <w:p w14:paraId="2CECEE0B">
                  <w:pPr>
                    <w:jc w:val="center"/>
                    <w:rPr>
                      <w:rFonts w:hint="default" w:eastAsia="宋体"/>
                      <w:szCs w:val="21"/>
                      <w:lang w:val="en-US" w:eastAsia="zh-CN"/>
                    </w:rPr>
                  </w:pPr>
                  <w:r>
                    <w:rPr>
                      <w:rFonts w:hint="eastAsia"/>
                      <w:szCs w:val="21"/>
                      <w:lang w:val="en-US" w:eastAsia="zh-CN"/>
                    </w:rPr>
                    <w:t>厂界</w:t>
                  </w:r>
                </w:p>
              </w:tc>
              <w:tc>
                <w:tcPr>
                  <w:tcW w:w="3159" w:type="dxa"/>
                  <w:vAlign w:val="center"/>
                </w:tcPr>
                <w:p w14:paraId="0DC58944">
                  <w:pPr>
                    <w:jc w:val="center"/>
                    <w:rPr>
                      <w:rFonts w:hint="eastAsia"/>
                      <w:szCs w:val="21"/>
                    </w:rPr>
                  </w:pPr>
                  <w:r>
                    <w:rPr>
                      <w:rFonts w:hint="eastAsia"/>
                      <w:sz w:val="21"/>
                      <w:szCs w:val="21"/>
                      <w:u w:val="none"/>
                    </w:rPr>
                    <w:t>《恶臭污染物排放标准》（GB14554-93）表</w:t>
                  </w:r>
                  <w:r>
                    <w:rPr>
                      <w:rFonts w:hint="eastAsia"/>
                      <w:sz w:val="21"/>
                      <w:szCs w:val="21"/>
                      <w:u w:val="none"/>
                      <w:lang w:val="en-US" w:eastAsia="zh-CN"/>
                    </w:rPr>
                    <w:t>1</w:t>
                  </w:r>
                  <w:r>
                    <w:rPr>
                      <w:rFonts w:hint="eastAsia" w:cs="Times New Roman"/>
                      <w:color w:val="auto"/>
                      <w:lang w:eastAsia="zh-CN"/>
                    </w:rPr>
                    <w:t>新建二级恶臭污染物厂界标准值</w:t>
                  </w:r>
                </w:p>
              </w:tc>
            </w:tr>
            <w:tr w14:paraId="3F60906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4" w:hRule="atLeast"/>
              </w:trPr>
              <w:tc>
                <w:tcPr>
                  <w:tcW w:w="739" w:type="dxa"/>
                  <w:vMerge w:val="continue"/>
                  <w:vAlign w:val="center"/>
                </w:tcPr>
                <w:p w14:paraId="34FB0F6E">
                  <w:pPr>
                    <w:jc w:val="center"/>
                    <w:rPr>
                      <w:szCs w:val="21"/>
                    </w:rPr>
                  </w:pPr>
                </w:p>
              </w:tc>
              <w:tc>
                <w:tcPr>
                  <w:tcW w:w="1112" w:type="dxa"/>
                  <w:vAlign w:val="center"/>
                </w:tcPr>
                <w:p w14:paraId="5E7A40B4">
                  <w:pPr>
                    <w:jc w:val="center"/>
                    <w:rPr>
                      <w:szCs w:val="21"/>
                    </w:rPr>
                  </w:pPr>
                  <w:r>
                    <w:rPr>
                      <w:rFonts w:hint="eastAsia"/>
                      <w:szCs w:val="21"/>
                    </w:rPr>
                    <w:t>喷塑</w:t>
                  </w:r>
                </w:p>
              </w:tc>
              <w:tc>
                <w:tcPr>
                  <w:tcW w:w="1063" w:type="dxa"/>
                  <w:vAlign w:val="center"/>
                </w:tcPr>
                <w:p w14:paraId="2D328E8B">
                  <w:pPr>
                    <w:jc w:val="center"/>
                  </w:pPr>
                  <w:r>
                    <w:rPr>
                      <w:rFonts w:hint="eastAsia"/>
                      <w:spacing w:val="5"/>
                      <w:szCs w:val="21"/>
                    </w:rPr>
                    <w:t>颗粒物</w:t>
                  </w:r>
                </w:p>
              </w:tc>
              <w:tc>
                <w:tcPr>
                  <w:tcW w:w="1225" w:type="dxa"/>
                  <w:vAlign w:val="center"/>
                </w:tcPr>
                <w:p w14:paraId="23E2B4D8">
                  <w:pPr>
                    <w:jc w:val="center"/>
                    <w:rPr>
                      <w:szCs w:val="21"/>
                    </w:rPr>
                  </w:pPr>
                  <w:r>
                    <w:rPr>
                      <w:rFonts w:hint="eastAsia"/>
                      <w:szCs w:val="21"/>
                    </w:rPr>
                    <w:t>1.0</w:t>
                  </w:r>
                </w:p>
              </w:tc>
              <w:tc>
                <w:tcPr>
                  <w:tcW w:w="912" w:type="dxa"/>
                  <w:vAlign w:val="center"/>
                </w:tcPr>
                <w:p w14:paraId="5BABD991">
                  <w:pPr>
                    <w:jc w:val="center"/>
                    <w:rPr>
                      <w:szCs w:val="21"/>
                    </w:rPr>
                  </w:pPr>
                  <w:r>
                    <w:rPr>
                      <w:rFonts w:hint="eastAsia"/>
                      <w:szCs w:val="21"/>
                    </w:rPr>
                    <w:t>厂界</w:t>
                  </w:r>
                </w:p>
              </w:tc>
              <w:tc>
                <w:tcPr>
                  <w:tcW w:w="3159" w:type="dxa"/>
                  <w:vAlign w:val="center"/>
                </w:tcPr>
                <w:p w14:paraId="5952797C">
                  <w:pPr>
                    <w:jc w:val="center"/>
                    <w:rPr>
                      <w:szCs w:val="21"/>
                    </w:rPr>
                  </w:pPr>
                  <w:r>
                    <w:rPr>
                      <w:rFonts w:hint="eastAsia"/>
                      <w:szCs w:val="21"/>
                    </w:rPr>
                    <w:t>《合成树脂工业污染物排放标准》（GB31572-2015）表9企业边界污染物浓度限值。</w:t>
                  </w:r>
                </w:p>
              </w:tc>
            </w:tr>
            <w:tr w14:paraId="1AA415C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57" w:hRule="atLeast"/>
              </w:trPr>
              <w:tc>
                <w:tcPr>
                  <w:tcW w:w="739" w:type="dxa"/>
                  <w:vMerge w:val="continue"/>
                  <w:vAlign w:val="center"/>
                </w:tcPr>
                <w:p w14:paraId="647B6FDC">
                  <w:pPr>
                    <w:jc w:val="center"/>
                    <w:rPr>
                      <w:szCs w:val="21"/>
                    </w:rPr>
                  </w:pPr>
                </w:p>
              </w:tc>
              <w:tc>
                <w:tcPr>
                  <w:tcW w:w="1112" w:type="dxa"/>
                  <w:vAlign w:val="center"/>
                </w:tcPr>
                <w:p w14:paraId="664B17DB">
                  <w:pPr>
                    <w:jc w:val="center"/>
                    <w:rPr>
                      <w:szCs w:val="21"/>
                    </w:rPr>
                  </w:pPr>
                  <w:r>
                    <w:rPr>
                      <w:rFonts w:hint="eastAsia"/>
                      <w:szCs w:val="21"/>
                    </w:rPr>
                    <w:t>焊接</w:t>
                  </w:r>
                </w:p>
              </w:tc>
              <w:tc>
                <w:tcPr>
                  <w:tcW w:w="1063" w:type="dxa"/>
                  <w:vAlign w:val="center"/>
                </w:tcPr>
                <w:p w14:paraId="4640E9D9">
                  <w:pPr>
                    <w:jc w:val="center"/>
                  </w:pPr>
                  <w:r>
                    <w:rPr>
                      <w:rFonts w:hint="eastAsia"/>
                      <w:spacing w:val="5"/>
                      <w:szCs w:val="21"/>
                    </w:rPr>
                    <w:t>烟尘</w:t>
                  </w:r>
                </w:p>
              </w:tc>
              <w:tc>
                <w:tcPr>
                  <w:tcW w:w="1225" w:type="dxa"/>
                  <w:vAlign w:val="center"/>
                </w:tcPr>
                <w:p w14:paraId="01041630">
                  <w:pPr>
                    <w:jc w:val="center"/>
                    <w:rPr>
                      <w:szCs w:val="21"/>
                    </w:rPr>
                  </w:pPr>
                  <w:r>
                    <w:rPr>
                      <w:rFonts w:hint="eastAsia"/>
                      <w:szCs w:val="21"/>
                    </w:rPr>
                    <w:t>1.0</w:t>
                  </w:r>
                </w:p>
              </w:tc>
              <w:tc>
                <w:tcPr>
                  <w:tcW w:w="912" w:type="dxa"/>
                  <w:vAlign w:val="center"/>
                </w:tcPr>
                <w:p w14:paraId="7FDE4A9B">
                  <w:pPr>
                    <w:jc w:val="center"/>
                    <w:rPr>
                      <w:szCs w:val="21"/>
                    </w:rPr>
                  </w:pPr>
                  <w:r>
                    <w:rPr>
                      <w:rFonts w:hint="eastAsia"/>
                      <w:szCs w:val="21"/>
                    </w:rPr>
                    <w:t>厂界</w:t>
                  </w:r>
                </w:p>
              </w:tc>
              <w:tc>
                <w:tcPr>
                  <w:tcW w:w="3159" w:type="dxa"/>
                  <w:vAlign w:val="center"/>
                </w:tcPr>
                <w:p w14:paraId="758FCD7D">
                  <w:pPr>
                    <w:jc w:val="center"/>
                    <w:rPr>
                      <w:szCs w:val="21"/>
                    </w:rPr>
                  </w:pPr>
                  <w:r>
                    <w:rPr>
                      <w:rFonts w:hint="eastAsia"/>
                      <w:szCs w:val="21"/>
                    </w:rPr>
                    <w:t>《大气污染物综合排放标准》（GB16297-1996）表2新污染物大气污染物综合排放标准限值</w:t>
                  </w:r>
                </w:p>
              </w:tc>
            </w:tr>
            <w:tr w14:paraId="7F3B0E6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739" w:type="dxa"/>
                  <w:vMerge w:val="continue"/>
                  <w:vAlign w:val="center"/>
                </w:tcPr>
                <w:p w14:paraId="56DB49DD">
                  <w:pPr>
                    <w:jc w:val="center"/>
                    <w:rPr>
                      <w:szCs w:val="21"/>
                    </w:rPr>
                  </w:pPr>
                </w:p>
              </w:tc>
              <w:tc>
                <w:tcPr>
                  <w:tcW w:w="1112" w:type="dxa"/>
                  <w:vAlign w:val="center"/>
                </w:tcPr>
                <w:p w14:paraId="10AFCA22">
                  <w:pPr>
                    <w:jc w:val="center"/>
                    <w:rPr>
                      <w:szCs w:val="21"/>
                    </w:rPr>
                  </w:pPr>
                  <w:r>
                    <w:rPr>
                      <w:rFonts w:hint="eastAsia"/>
                      <w:szCs w:val="21"/>
                    </w:rPr>
                    <w:t>机加工</w:t>
                  </w:r>
                </w:p>
              </w:tc>
              <w:tc>
                <w:tcPr>
                  <w:tcW w:w="1063" w:type="dxa"/>
                  <w:vAlign w:val="center"/>
                </w:tcPr>
                <w:p w14:paraId="5204953C">
                  <w:pPr>
                    <w:jc w:val="center"/>
                  </w:pPr>
                  <w:r>
                    <w:rPr>
                      <w:rFonts w:hint="eastAsia"/>
                      <w:spacing w:val="5"/>
                      <w:szCs w:val="21"/>
                    </w:rPr>
                    <w:t>颗粒物</w:t>
                  </w:r>
                </w:p>
              </w:tc>
              <w:tc>
                <w:tcPr>
                  <w:tcW w:w="1225" w:type="dxa"/>
                  <w:vAlign w:val="center"/>
                </w:tcPr>
                <w:p w14:paraId="388A640F">
                  <w:pPr>
                    <w:jc w:val="center"/>
                    <w:rPr>
                      <w:szCs w:val="21"/>
                    </w:rPr>
                  </w:pPr>
                  <w:r>
                    <w:rPr>
                      <w:rFonts w:hint="eastAsia"/>
                      <w:szCs w:val="21"/>
                    </w:rPr>
                    <w:t>1.0</w:t>
                  </w:r>
                </w:p>
              </w:tc>
              <w:tc>
                <w:tcPr>
                  <w:tcW w:w="912" w:type="dxa"/>
                  <w:vAlign w:val="center"/>
                </w:tcPr>
                <w:p w14:paraId="5065CA8A">
                  <w:pPr>
                    <w:jc w:val="center"/>
                    <w:rPr>
                      <w:szCs w:val="21"/>
                    </w:rPr>
                  </w:pPr>
                  <w:r>
                    <w:rPr>
                      <w:rFonts w:hint="eastAsia"/>
                      <w:szCs w:val="21"/>
                    </w:rPr>
                    <w:t>厂界</w:t>
                  </w:r>
                </w:p>
              </w:tc>
              <w:tc>
                <w:tcPr>
                  <w:tcW w:w="3159" w:type="dxa"/>
                  <w:vAlign w:val="center"/>
                </w:tcPr>
                <w:p w14:paraId="5B74A999">
                  <w:pPr>
                    <w:jc w:val="center"/>
                    <w:rPr>
                      <w:szCs w:val="21"/>
                    </w:rPr>
                  </w:pPr>
                  <w:r>
                    <w:rPr>
                      <w:rFonts w:hint="eastAsia"/>
                      <w:szCs w:val="21"/>
                    </w:rPr>
                    <w:t>《大气污染物综合排放标准》（GB16297-1996）表2新污染物大气污染物综合排放标准限值</w:t>
                  </w:r>
                </w:p>
              </w:tc>
            </w:tr>
          </w:tbl>
          <w:p w14:paraId="59F19B96">
            <w:pPr>
              <w:adjustRightInd w:val="0"/>
              <w:snapToGrid w:val="0"/>
              <w:spacing w:line="360" w:lineRule="auto"/>
              <w:ind w:firstLine="420" w:firstLineChars="200"/>
              <w:rPr>
                <w:szCs w:val="21"/>
              </w:rPr>
            </w:pPr>
            <w:r>
              <w:rPr>
                <w:rFonts w:hint="eastAsia"/>
                <w:szCs w:val="21"/>
              </w:rPr>
              <w:t>备注：企业仅1栋厂房，厂界非甲烷总烃排放执行《合成树脂工业污染物排放标准》（GB31572-2015）标准，不再执行《挥发性有机物无组织排放控制标准》（GB37822-2019）。</w:t>
            </w:r>
          </w:p>
          <w:p w14:paraId="3895751B">
            <w:pPr>
              <w:adjustRightInd w:val="0"/>
              <w:snapToGrid w:val="0"/>
              <w:spacing w:line="360" w:lineRule="auto"/>
              <w:ind w:firstLine="241" w:firstLineChars="100"/>
              <w:rPr>
                <w:b/>
                <w:bCs/>
                <w:sz w:val="24"/>
              </w:rPr>
            </w:pPr>
            <w:r>
              <w:rPr>
                <w:rFonts w:hint="eastAsia"/>
                <w:b/>
                <w:bCs/>
                <w:sz w:val="24"/>
              </w:rPr>
              <w:t>（2）废水</w:t>
            </w:r>
          </w:p>
          <w:p w14:paraId="71BD6B6F">
            <w:pPr>
              <w:adjustRightInd w:val="0"/>
              <w:snapToGrid w:val="0"/>
              <w:spacing w:line="360" w:lineRule="auto"/>
              <w:ind w:firstLine="480" w:firstLineChars="200"/>
              <w:rPr>
                <w:b/>
                <w:bCs/>
                <w:sz w:val="24"/>
              </w:rPr>
            </w:pPr>
            <w:r>
              <w:rPr>
                <w:sz w:val="24"/>
              </w:rPr>
              <w:t>本项目</w:t>
            </w:r>
            <w:r>
              <w:rPr>
                <w:rFonts w:hint="eastAsia"/>
                <w:sz w:val="24"/>
              </w:rPr>
              <w:t>无生产废水排放</w:t>
            </w:r>
            <w:r>
              <w:rPr>
                <w:sz w:val="24"/>
              </w:rPr>
              <w:t>；生活污水</w:t>
            </w:r>
            <w:r>
              <w:rPr>
                <w:rFonts w:hint="eastAsia"/>
                <w:sz w:val="24"/>
              </w:rPr>
              <w:t>依托衡钢原有的化粪池处理后</w:t>
            </w:r>
            <w:r>
              <w:rPr>
                <w:sz w:val="24"/>
              </w:rPr>
              <w:t>经</w:t>
            </w:r>
            <w:r>
              <w:rPr>
                <w:rFonts w:hint="eastAsia"/>
                <w:sz w:val="24"/>
              </w:rPr>
              <w:t>厂区污水管网排入衡钢西区污水处理厂处理达到</w:t>
            </w:r>
            <w:r>
              <w:rPr>
                <w:sz w:val="24"/>
              </w:rPr>
              <w:t>《污水综合排放标准》（GB8978-1996）表4 中三级标准</w:t>
            </w:r>
            <w:r>
              <w:rPr>
                <w:rFonts w:hint="eastAsia"/>
                <w:sz w:val="24"/>
              </w:rPr>
              <w:t>后</w:t>
            </w:r>
            <w:r>
              <w:rPr>
                <w:rFonts w:hint="eastAsia"/>
                <w:sz w:val="24"/>
                <w:lang w:eastAsia="zh-CN"/>
              </w:rPr>
              <w:t>排入幸福河</w:t>
            </w:r>
            <w:r>
              <w:rPr>
                <w:rFonts w:hint="eastAsia"/>
                <w:sz w:val="24"/>
              </w:rPr>
              <w:t>，然后进入铜桥港污水处理厂进一步处理，</w:t>
            </w:r>
            <w:r>
              <w:rPr>
                <w:sz w:val="24"/>
              </w:rPr>
              <w:t>处理</w:t>
            </w:r>
            <w:r>
              <w:rPr>
                <w:rFonts w:hint="eastAsia"/>
                <w:sz w:val="24"/>
              </w:rPr>
              <w:t>后排入湘江。排放标准见表3-9。</w:t>
            </w:r>
          </w:p>
          <w:p w14:paraId="1DE94C53">
            <w:pPr>
              <w:adjustRightInd w:val="0"/>
              <w:snapToGrid w:val="0"/>
              <w:ind w:firstLine="482" w:firstLineChars="200"/>
              <w:jc w:val="center"/>
              <w:rPr>
                <w:b/>
                <w:bCs/>
                <w:sz w:val="24"/>
              </w:rPr>
            </w:pPr>
            <w:r>
              <w:rPr>
                <w:rFonts w:hint="eastAsia"/>
                <w:b/>
                <w:bCs/>
                <w:sz w:val="24"/>
              </w:rPr>
              <w:t>表3-7     污水综合排放标准限值   单位mg/L  pH无量纲</w:t>
            </w:r>
          </w:p>
          <w:tbl>
            <w:tblPr>
              <w:tblStyle w:val="37"/>
              <w:tblW w:w="8210"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420"/>
              <w:gridCol w:w="916"/>
              <w:gridCol w:w="1171"/>
              <w:gridCol w:w="1175"/>
              <w:gridCol w:w="1175"/>
              <w:gridCol w:w="1176"/>
              <w:gridCol w:w="1177"/>
            </w:tblGrid>
            <w:tr w14:paraId="0BD3B7E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420" w:type="dxa"/>
                  <w:vAlign w:val="center"/>
                </w:tcPr>
                <w:p w14:paraId="1CA00CBD">
                  <w:pPr>
                    <w:adjustRightInd w:val="0"/>
                    <w:snapToGrid w:val="0"/>
                    <w:jc w:val="center"/>
                    <w:rPr>
                      <w:szCs w:val="21"/>
                    </w:rPr>
                  </w:pPr>
                  <w:r>
                    <w:rPr>
                      <w:rFonts w:hint="eastAsia"/>
                      <w:szCs w:val="21"/>
                    </w:rPr>
                    <w:t>污染物</w:t>
                  </w:r>
                </w:p>
              </w:tc>
              <w:tc>
                <w:tcPr>
                  <w:tcW w:w="916" w:type="dxa"/>
                  <w:vAlign w:val="center"/>
                </w:tcPr>
                <w:p w14:paraId="4E64CCBB">
                  <w:pPr>
                    <w:adjustRightInd w:val="0"/>
                    <w:snapToGrid w:val="0"/>
                    <w:jc w:val="center"/>
                  </w:pPr>
                  <w:r>
                    <w:rPr>
                      <w:rFonts w:hint="eastAsia"/>
                      <w:szCs w:val="21"/>
                    </w:rPr>
                    <w:t>pH</w:t>
                  </w:r>
                </w:p>
              </w:tc>
              <w:tc>
                <w:tcPr>
                  <w:tcW w:w="1171" w:type="dxa"/>
                  <w:vAlign w:val="center"/>
                </w:tcPr>
                <w:p w14:paraId="305C2C20">
                  <w:pPr>
                    <w:adjustRightInd w:val="0"/>
                    <w:snapToGrid w:val="0"/>
                    <w:jc w:val="center"/>
                  </w:pPr>
                  <w:r>
                    <w:rPr>
                      <w:rFonts w:hint="eastAsia"/>
                      <w:szCs w:val="21"/>
                    </w:rPr>
                    <w:t>NH</w:t>
                  </w:r>
                  <w:r>
                    <w:rPr>
                      <w:rFonts w:hint="eastAsia"/>
                      <w:szCs w:val="21"/>
                      <w:vertAlign w:val="subscript"/>
                    </w:rPr>
                    <w:t>3</w:t>
                  </w:r>
                  <w:r>
                    <w:rPr>
                      <w:rFonts w:hint="eastAsia"/>
                      <w:szCs w:val="21"/>
                    </w:rPr>
                    <w:t>-N</w:t>
                  </w:r>
                </w:p>
              </w:tc>
              <w:tc>
                <w:tcPr>
                  <w:tcW w:w="1175" w:type="dxa"/>
                  <w:vAlign w:val="center"/>
                </w:tcPr>
                <w:p w14:paraId="1175F91D">
                  <w:pPr>
                    <w:adjustRightInd w:val="0"/>
                    <w:snapToGrid w:val="0"/>
                    <w:jc w:val="center"/>
                  </w:pPr>
                  <w:r>
                    <w:rPr>
                      <w:rFonts w:hint="eastAsia"/>
                      <w:szCs w:val="21"/>
                    </w:rPr>
                    <w:t>BOD</w:t>
                  </w:r>
                  <w:r>
                    <w:rPr>
                      <w:rFonts w:hint="eastAsia"/>
                      <w:szCs w:val="21"/>
                      <w:vertAlign w:val="subscript"/>
                    </w:rPr>
                    <w:t>5</w:t>
                  </w:r>
                </w:p>
              </w:tc>
              <w:tc>
                <w:tcPr>
                  <w:tcW w:w="1175" w:type="dxa"/>
                  <w:vAlign w:val="center"/>
                </w:tcPr>
                <w:p w14:paraId="14555FC2">
                  <w:pPr>
                    <w:adjustRightInd w:val="0"/>
                    <w:snapToGrid w:val="0"/>
                    <w:jc w:val="center"/>
                  </w:pPr>
                  <w:r>
                    <w:rPr>
                      <w:rFonts w:hint="eastAsia"/>
                      <w:szCs w:val="21"/>
                    </w:rPr>
                    <w:t>COD</w:t>
                  </w:r>
                </w:p>
              </w:tc>
              <w:tc>
                <w:tcPr>
                  <w:tcW w:w="1176" w:type="dxa"/>
                  <w:vAlign w:val="center"/>
                </w:tcPr>
                <w:p w14:paraId="2D2DF2C7">
                  <w:pPr>
                    <w:adjustRightInd w:val="0"/>
                    <w:snapToGrid w:val="0"/>
                    <w:jc w:val="center"/>
                  </w:pPr>
                  <w:r>
                    <w:rPr>
                      <w:rFonts w:hint="eastAsia"/>
                      <w:szCs w:val="21"/>
                    </w:rPr>
                    <w:t>SS</w:t>
                  </w:r>
                </w:p>
              </w:tc>
              <w:tc>
                <w:tcPr>
                  <w:tcW w:w="1177" w:type="dxa"/>
                  <w:vAlign w:val="center"/>
                </w:tcPr>
                <w:p w14:paraId="12F45F05">
                  <w:pPr>
                    <w:adjustRightInd w:val="0"/>
                    <w:snapToGrid w:val="0"/>
                    <w:jc w:val="center"/>
                    <w:rPr>
                      <w:szCs w:val="21"/>
                    </w:rPr>
                  </w:pPr>
                  <w:r>
                    <w:rPr>
                      <w:rFonts w:hint="eastAsia"/>
                      <w:szCs w:val="21"/>
                    </w:rPr>
                    <w:t>动植物油</w:t>
                  </w:r>
                </w:p>
              </w:tc>
            </w:tr>
            <w:tr w14:paraId="0CA21BA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420" w:type="dxa"/>
                  <w:vAlign w:val="center"/>
                </w:tcPr>
                <w:p w14:paraId="50DCE750">
                  <w:pPr>
                    <w:adjustRightInd w:val="0"/>
                    <w:snapToGrid w:val="0"/>
                    <w:jc w:val="center"/>
                    <w:rPr>
                      <w:szCs w:val="21"/>
                    </w:rPr>
                  </w:pPr>
                  <w:r>
                    <w:rPr>
                      <w:szCs w:val="21"/>
                    </w:rPr>
                    <w:t>排放限值</w:t>
                  </w:r>
                </w:p>
              </w:tc>
              <w:tc>
                <w:tcPr>
                  <w:tcW w:w="916" w:type="dxa"/>
                  <w:vAlign w:val="center"/>
                </w:tcPr>
                <w:p w14:paraId="0D2C221B">
                  <w:pPr>
                    <w:adjustRightInd w:val="0"/>
                    <w:snapToGrid w:val="0"/>
                    <w:jc w:val="center"/>
                    <w:rPr>
                      <w:szCs w:val="21"/>
                    </w:rPr>
                  </w:pPr>
                  <w:r>
                    <w:rPr>
                      <w:szCs w:val="21"/>
                    </w:rPr>
                    <w:t>6-9</w:t>
                  </w:r>
                </w:p>
              </w:tc>
              <w:tc>
                <w:tcPr>
                  <w:tcW w:w="1171" w:type="dxa"/>
                  <w:vAlign w:val="center"/>
                </w:tcPr>
                <w:p w14:paraId="52BBAD72">
                  <w:pPr>
                    <w:adjustRightInd w:val="0"/>
                    <w:snapToGrid w:val="0"/>
                    <w:jc w:val="center"/>
                    <w:rPr>
                      <w:szCs w:val="21"/>
                    </w:rPr>
                  </w:pPr>
                  <w:r>
                    <w:rPr>
                      <w:szCs w:val="21"/>
                    </w:rPr>
                    <w:t>/</w:t>
                  </w:r>
                </w:p>
              </w:tc>
              <w:tc>
                <w:tcPr>
                  <w:tcW w:w="1175" w:type="dxa"/>
                  <w:vAlign w:val="center"/>
                </w:tcPr>
                <w:p w14:paraId="5FD47A6B">
                  <w:pPr>
                    <w:adjustRightInd w:val="0"/>
                    <w:snapToGrid w:val="0"/>
                    <w:jc w:val="center"/>
                    <w:rPr>
                      <w:szCs w:val="21"/>
                    </w:rPr>
                  </w:pPr>
                  <w:r>
                    <w:rPr>
                      <w:szCs w:val="21"/>
                    </w:rPr>
                    <w:t>≤300</w:t>
                  </w:r>
                </w:p>
              </w:tc>
              <w:tc>
                <w:tcPr>
                  <w:tcW w:w="1175" w:type="dxa"/>
                  <w:vAlign w:val="center"/>
                </w:tcPr>
                <w:p w14:paraId="428A8081">
                  <w:pPr>
                    <w:adjustRightInd w:val="0"/>
                    <w:snapToGrid w:val="0"/>
                    <w:jc w:val="center"/>
                    <w:rPr>
                      <w:szCs w:val="21"/>
                    </w:rPr>
                  </w:pPr>
                  <w:r>
                    <w:rPr>
                      <w:szCs w:val="21"/>
                    </w:rPr>
                    <w:t>≤500</w:t>
                  </w:r>
                </w:p>
              </w:tc>
              <w:tc>
                <w:tcPr>
                  <w:tcW w:w="1176" w:type="dxa"/>
                  <w:vAlign w:val="center"/>
                </w:tcPr>
                <w:p w14:paraId="40133765">
                  <w:pPr>
                    <w:adjustRightInd w:val="0"/>
                    <w:snapToGrid w:val="0"/>
                    <w:jc w:val="center"/>
                    <w:rPr>
                      <w:szCs w:val="21"/>
                    </w:rPr>
                  </w:pPr>
                  <w:r>
                    <w:rPr>
                      <w:szCs w:val="21"/>
                    </w:rPr>
                    <w:t>≤400</w:t>
                  </w:r>
                </w:p>
              </w:tc>
              <w:tc>
                <w:tcPr>
                  <w:tcW w:w="1177" w:type="dxa"/>
                  <w:vAlign w:val="center"/>
                </w:tcPr>
                <w:p w14:paraId="41C51403">
                  <w:pPr>
                    <w:adjustRightInd w:val="0"/>
                    <w:snapToGrid w:val="0"/>
                    <w:jc w:val="center"/>
                    <w:rPr>
                      <w:szCs w:val="21"/>
                    </w:rPr>
                  </w:pPr>
                  <w:r>
                    <w:rPr>
                      <w:szCs w:val="21"/>
                    </w:rPr>
                    <w:t>≤100</w:t>
                  </w:r>
                </w:p>
              </w:tc>
            </w:tr>
          </w:tbl>
          <w:p w14:paraId="098660CD">
            <w:pPr>
              <w:pStyle w:val="168"/>
              <w:tabs>
                <w:tab w:val="left" w:pos="1186"/>
              </w:tabs>
              <w:ind w:firstLine="482"/>
              <w:rPr>
                <w:rFonts w:ascii="Times New Roman" w:hAnsi="Times New Roman" w:cs="Times New Roman"/>
                <w:b/>
                <w:bCs/>
                <w:szCs w:val="24"/>
              </w:rPr>
            </w:pPr>
            <w:r>
              <w:rPr>
                <w:rFonts w:hint="eastAsia" w:ascii="Times New Roman" w:cs="Times New Roman"/>
                <w:b/>
                <w:bCs/>
                <w:szCs w:val="24"/>
              </w:rPr>
              <w:t>（</w:t>
            </w:r>
            <w:r>
              <w:rPr>
                <w:rFonts w:ascii="Times New Roman" w:hAnsi="Times New Roman" w:cs="Times New Roman"/>
                <w:b/>
                <w:bCs/>
                <w:szCs w:val="24"/>
              </w:rPr>
              <w:t>3</w:t>
            </w:r>
            <w:r>
              <w:rPr>
                <w:rFonts w:hint="eastAsia" w:ascii="Times New Roman" w:cs="Times New Roman"/>
                <w:b/>
                <w:bCs/>
                <w:szCs w:val="24"/>
              </w:rPr>
              <w:t>）噪声</w:t>
            </w:r>
          </w:p>
          <w:p w14:paraId="6F035217">
            <w:pPr>
              <w:pStyle w:val="158"/>
              <w:spacing w:beforeLines="0" w:line="360" w:lineRule="auto"/>
              <w:ind w:firstLine="480" w:firstLineChars="200"/>
              <w:jc w:val="left"/>
              <w:rPr>
                <w:b w:val="0"/>
                <w:bCs w:val="0"/>
                <w:sz w:val="24"/>
                <w:szCs w:val="24"/>
              </w:rPr>
            </w:pPr>
            <w:r>
              <w:rPr>
                <w:rFonts w:hint="eastAsia"/>
                <w:b w:val="0"/>
                <w:bCs w:val="0"/>
                <w:sz w:val="24"/>
                <w:szCs w:val="24"/>
              </w:rPr>
              <w:t>厂界四周噪声执行《工业企业厂界环境噪声排放标准》（</w:t>
            </w:r>
            <w:r>
              <w:rPr>
                <w:b w:val="0"/>
                <w:bCs w:val="0"/>
                <w:sz w:val="24"/>
                <w:szCs w:val="24"/>
              </w:rPr>
              <w:t>GB12348-2008</w:t>
            </w:r>
            <w:r>
              <w:rPr>
                <w:rFonts w:hint="eastAsia"/>
                <w:b w:val="0"/>
                <w:bCs w:val="0"/>
                <w:sz w:val="24"/>
                <w:szCs w:val="24"/>
              </w:rPr>
              <w:t>）中3类标准，（昼间65d</w:t>
            </w:r>
            <w:r>
              <w:rPr>
                <w:b w:val="0"/>
                <w:bCs w:val="0"/>
                <w:sz w:val="24"/>
                <w:szCs w:val="24"/>
              </w:rPr>
              <w:t>B</w:t>
            </w:r>
            <w:r>
              <w:rPr>
                <w:rFonts w:hint="eastAsia"/>
                <w:b w:val="0"/>
                <w:bCs w:val="0"/>
                <w:sz w:val="24"/>
                <w:szCs w:val="24"/>
              </w:rPr>
              <w:t>（A）、夜间55d</w:t>
            </w:r>
            <w:r>
              <w:rPr>
                <w:b w:val="0"/>
                <w:bCs w:val="0"/>
                <w:sz w:val="24"/>
                <w:szCs w:val="24"/>
              </w:rPr>
              <w:t>B</w:t>
            </w:r>
            <w:r>
              <w:rPr>
                <w:rFonts w:hint="eastAsia"/>
                <w:b w:val="0"/>
                <w:bCs w:val="0"/>
                <w:sz w:val="24"/>
                <w:szCs w:val="24"/>
              </w:rPr>
              <w:t>（A））。</w:t>
            </w:r>
          </w:p>
          <w:p w14:paraId="66D53EF8">
            <w:pPr>
              <w:pStyle w:val="158"/>
              <w:spacing w:beforeLines="0"/>
            </w:pPr>
            <w:r>
              <w:rPr>
                <w:sz w:val="24"/>
                <w:szCs w:val="24"/>
              </w:rPr>
              <w:t>表3-</w:t>
            </w:r>
            <w:r>
              <w:rPr>
                <w:rFonts w:hint="eastAsia"/>
                <w:sz w:val="24"/>
                <w:szCs w:val="24"/>
              </w:rPr>
              <w:t xml:space="preserve">8      </w:t>
            </w:r>
            <w:r>
              <w:rPr>
                <w:sz w:val="24"/>
                <w:szCs w:val="24"/>
              </w:rPr>
              <w:t>噪声排放标准</w:t>
            </w:r>
          </w:p>
          <w:tbl>
            <w:tblPr>
              <w:tblStyle w:val="36"/>
              <w:tblW w:w="8207"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141"/>
              <w:gridCol w:w="1054"/>
              <w:gridCol w:w="6012"/>
            </w:tblGrid>
            <w:tr w14:paraId="0978160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48" w:hRule="atLeast"/>
              </w:trPr>
              <w:tc>
                <w:tcPr>
                  <w:tcW w:w="2195" w:type="dxa"/>
                  <w:gridSpan w:val="2"/>
                  <w:vAlign w:val="center"/>
                </w:tcPr>
                <w:p w14:paraId="51FDE27F">
                  <w:pPr>
                    <w:jc w:val="center"/>
                    <w:rPr>
                      <w:b/>
                      <w:bCs/>
                      <w:szCs w:val="21"/>
                    </w:rPr>
                  </w:pPr>
                  <w:r>
                    <w:rPr>
                      <w:b/>
                      <w:bCs/>
                      <w:szCs w:val="21"/>
                    </w:rPr>
                    <w:t>标准值(dB(A)</w:t>
                  </w:r>
                </w:p>
              </w:tc>
              <w:tc>
                <w:tcPr>
                  <w:tcW w:w="6012" w:type="dxa"/>
                  <w:vMerge w:val="restart"/>
                  <w:vAlign w:val="center"/>
                </w:tcPr>
                <w:p w14:paraId="41D2A5AC">
                  <w:pPr>
                    <w:jc w:val="center"/>
                    <w:rPr>
                      <w:b/>
                      <w:bCs/>
                      <w:szCs w:val="21"/>
                    </w:rPr>
                  </w:pPr>
                  <w:r>
                    <w:rPr>
                      <w:b/>
                      <w:bCs/>
                      <w:szCs w:val="21"/>
                    </w:rPr>
                    <w:t>执行标准</w:t>
                  </w:r>
                </w:p>
              </w:tc>
            </w:tr>
            <w:tr w14:paraId="7D5491B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45" w:hRule="atLeast"/>
              </w:trPr>
              <w:tc>
                <w:tcPr>
                  <w:tcW w:w="1141" w:type="dxa"/>
                  <w:vAlign w:val="center"/>
                </w:tcPr>
                <w:p w14:paraId="4A46DD89">
                  <w:pPr>
                    <w:jc w:val="center"/>
                    <w:rPr>
                      <w:b/>
                      <w:bCs/>
                      <w:szCs w:val="21"/>
                    </w:rPr>
                  </w:pPr>
                  <w:r>
                    <w:rPr>
                      <w:b/>
                      <w:bCs/>
                      <w:szCs w:val="21"/>
                    </w:rPr>
                    <w:t>昼间</w:t>
                  </w:r>
                </w:p>
              </w:tc>
              <w:tc>
                <w:tcPr>
                  <w:tcW w:w="1054" w:type="dxa"/>
                  <w:vAlign w:val="center"/>
                </w:tcPr>
                <w:p w14:paraId="1FA69F15">
                  <w:pPr>
                    <w:jc w:val="center"/>
                    <w:rPr>
                      <w:b/>
                      <w:bCs/>
                      <w:szCs w:val="21"/>
                    </w:rPr>
                  </w:pPr>
                  <w:r>
                    <w:rPr>
                      <w:rFonts w:hint="eastAsia"/>
                      <w:b/>
                      <w:bCs/>
                      <w:szCs w:val="21"/>
                    </w:rPr>
                    <w:t>夜间</w:t>
                  </w:r>
                </w:p>
              </w:tc>
              <w:tc>
                <w:tcPr>
                  <w:tcW w:w="6012" w:type="dxa"/>
                  <w:vMerge w:val="continue"/>
                  <w:vAlign w:val="center"/>
                </w:tcPr>
                <w:p w14:paraId="4E8A90E1">
                  <w:pPr>
                    <w:jc w:val="center"/>
                    <w:rPr>
                      <w:szCs w:val="21"/>
                    </w:rPr>
                  </w:pPr>
                </w:p>
              </w:tc>
            </w:tr>
            <w:tr w14:paraId="530F3A5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141" w:type="dxa"/>
                  <w:vAlign w:val="center"/>
                </w:tcPr>
                <w:p w14:paraId="7787FEFB">
                  <w:pPr>
                    <w:jc w:val="center"/>
                    <w:rPr>
                      <w:szCs w:val="21"/>
                    </w:rPr>
                  </w:pPr>
                  <w:r>
                    <w:rPr>
                      <w:rFonts w:hint="eastAsia"/>
                      <w:szCs w:val="21"/>
                    </w:rPr>
                    <w:t>65</w:t>
                  </w:r>
                </w:p>
              </w:tc>
              <w:tc>
                <w:tcPr>
                  <w:tcW w:w="1054" w:type="dxa"/>
                  <w:vAlign w:val="center"/>
                </w:tcPr>
                <w:p w14:paraId="08663609">
                  <w:pPr>
                    <w:jc w:val="center"/>
                    <w:rPr>
                      <w:szCs w:val="21"/>
                    </w:rPr>
                  </w:pPr>
                  <w:r>
                    <w:rPr>
                      <w:rFonts w:hint="eastAsia"/>
                      <w:szCs w:val="21"/>
                    </w:rPr>
                    <w:t>55</w:t>
                  </w:r>
                </w:p>
              </w:tc>
              <w:tc>
                <w:tcPr>
                  <w:tcW w:w="6012" w:type="dxa"/>
                  <w:vAlign w:val="center"/>
                </w:tcPr>
                <w:p w14:paraId="6F10161A">
                  <w:pPr>
                    <w:jc w:val="center"/>
                    <w:rPr>
                      <w:spacing w:val="-3"/>
                    </w:rPr>
                  </w:pPr>
                  <w:r>
                    <w:rPr>
                      <w:spacing w:val="-3"/>
                    </w:rPr>
                    <w:t>《工业企业厂界环境噪声排放标准》(GB12348-2008)</w:t>
                  </w:r>
                  <w:r>
                    <w:rPr>
                      <w:bCs/>
                      <w:szCs w:val="21"/>
                    </w:rPr>
                    <w:t>中</w:t>
                  </w:r>
                  <w:r>
                    <w:rPr>
                      <w:rFonts w:hint="eastAsia"/>
                      <w:bCs/>
                      <w:szCs w:val="21"/>
                    </w:rPr>
                    <w:t>3类标准</w:t>
                  </w:r>
                </w:p>
              </w:tc>
            </w:tr>
          </w:tbl>
          <w:p w14:paraId="180BB8A5">
            <w:pPr>
              <w:pStyle w:val="168"/>
              <w:tabs>
                <w:tab w:val="left" w:pos="1075"/>
              </w:tabs>
              <w:ind w:firstLine="482"/>
              <w:rPr>
                <w:rFonts w:ascii="Times New Roman" w:hAnsi="Times New Roman" w:cs="Times New Roman"/>
                <w:szCs w:val="24"/>
              </w:rPr>
            </w:pPr>
            <w:r>
              <w:rPr>
                <w:rFonts w:hint="eastAsia" w:ascii="Times New Roman" w:cs="Times New Roman"/>
                <w:b/>
                <w:bCs/>
                <w:szCs w:val="24"/>
              </w:rPr>
              <w:t>（</w:t>
            </w:r>
            <w:r>
              <w:rPr>
                <w:rFonts w:ascii="Times New Roman" w:hAnsi="Times New Roman" w:cs="Times New Roman"/>
                <w:b/>
                <w:bCs/>
                <w:szCs w:val="24"/>
              </w:rPr>
              <w:t>4</w:t>
            </w:r>
            <w:r>
              <w:rPr>
                <w:rFonts w:hint="eastAsia" w:ascii="Times New Roman" w:cs="Times New Roman"/>
                <w:b/>
                <w:bCs/>
                <w:szCs w:val="24"/>
              </w:rPr>
              <w:t>）固体废物</w:t>
            </w:r>
          </w:p>
          <w:p w14:paraId="1735E041">
            <w:pPr>
              <w:pStyle w:val="2"/>
              <w:ind w:firstLine="480"/>
            </w:pPr>
            <w:r>
              <w:rPr>
                <w:rFonts w:hint="eastAsia" w:ascii="Times New Roman"/>
              </w:rPr>
              <w:t>一般工业固体废物执行《一般工业固体废物贮存和填埋污染控制标准》（GB 18599-2020）中相关标准；</w:t>
            </w:r>
            <w:r>
              <w:rPr>
                <w:rFonts w:ascii="Times New Roman"/>
              </w:rPr>
              <w:t>危险废物执行《危险废物贮存污染控制标准》(GB18597-2023)</w:t>
            </w:r>
            <w:r>
              <w:rPr>
                <w:rFonts w:hint="eastAsia" w:ascii="Times New Roman"/>
              </w:rPr>
              <w:t>。</w:t>
            </w:r>
          </w:p>
        </w:tc>
      </w:tr>
      <w:tr w14:paraId="02DD26C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605" w:type="dxa"/>
            <w:vAlign w:val="center"/>
          </w:tcPr>
          <w:p w14:paraId="7151A491">
            <w:pPr>
              <w:adjustRightInd w:val="0"/>
              <w:snapToGrid w:val="0"/>
              <w:jc w:val="center"/>
              <w:rPr>
                <w:rFonts w:ascii="宋体" w:hAnsi="宋体" w:cs="宋体"/>
                <w:kern w:val="0"/>
                <w:sz w:val="24"/>
              </w:rPr>
            </w:pPr>
            <w:r>
              <w:rPr>
                <w:rFonts w:hint="eastAsia" w:ascii="宋体" w:hAnsi="宋体" w:cs="宋体"/>
                <w:kern w:val="0"/>
                <w:sz w:val="24"/>
              </w:rPr>
              <w:t>总量</w:t>
            </w:r>
          </w:p>
          <w:p w14:paraId="416B982C">
            <w:pPr>
              <w:adjustRightInd w:val="0"/>
              <w:snapToGrid w:val="0"/>
              <w:jc w:val="center"/>
              <w:rPr>
                <w:rFonts w:ascii="宋体" w:hAnsi="宋体" w:cs="宋体"/>
                <w:kern w:val="0"/>
                <w:sz w:val="24"/>
              </w:rPr>
            </w:pPr>
            <w:r>
              <w:rPr>
                <w:rFonts w:hint="eastAsia" w:ascii="宋体" w:hAnsi="宋体" w:cs="宋体"/>
                <w:kern w:val="0"/>
                <w:sz w:val="24"/>
              </w:rPr>
              <w:t>控制</w:t>
            </w:r>
          </w:p>
          <w:p w14:paraId="56E39924">
            <w:pPr>
              <w:adjustRightInd w:val="0"/>
              <w:snapToGrid w:val="0"/>
              <w:jc w:val="center"/>
              <w:rPr>
                <w:rFonts w:ascii="宋体" w:hAnsi="宋体" w:cs="宋体"/>
                <w:kern w:val="0"/>
                <w:sz w:val="24"/>
              </w:rPr>
            </w:pPr>
            <w:r>
              <w:rPr>
                <w:rFonts w:hint="eastAsia" w:ascii="宋体" w:hAnsi="宋体" w:cs="宋体"/>
                <w:kern w:val="0"/>
                <w:sz w:val="24"/>
              </w:rPr>
              <w:t>指标</w:t>
            </w:r>
          </w:p>
        </w:tc>
        <w:tc>
          <w:tcPr>
            <w:tcW w:w="8456" w:type="dxa"/>
            <w:vAlign w:val="center"/>
          </w:tcPr>
          <w:p w14:paraId="47DBE3EF">
            <w:pPr>
              <w:pStyle w:val="168"/>
              <w:tabs>
                <w:tab w:val="left" w:pos="1315"/>
              </w:tabs>
              <w:ind w:firstLine="480"/>
              <w:rPr>
                <w:rFonts w:ascii="Times New Roman" w:hAnsi="Times New Roman" w:cs="Times New Roman"/>
                <w:szCs w:val="24"/>
              </w:rPr>
            </w:pPr>
            <w:r>
              <w:rPr>
                <w:rFonts w:ascii="Times New Roman" w:hAnsi="Times New Roman" w:cs="Times New Roman"/>
                <w:szCs w:val="24"/>
              </w:rPr>
              <w:t>按国家对污染物排放总量控制指标的要求，在核算污染物排放量的基础上提出工程污染物总量控制建议指标，是建设项目环境影响评价的任务之一，污染物总量控制建议指标应包括国家规定的指标和项目的特征污染物。</w:t>
            </w:r>
          </w:p>
          <w:p w14:paraId="09C61D7B">
            <w:pPr>
              <w:pStyle w:val="168"/>
              <w:numPr>
                <w:ilvl w:val="0"/>
                <w:numId w:val="6"/>
              </w:numPr>
              <w:tabs>
                <w:tab w:val="left" w:pos="1315"/>
              </w:tabs>
              <w:ind w:firstLine="482"/>
              <w:rPr>
                <w:rFonts w:ascii="Times New Roman" w:hAnsi="Times New Roman" w:cs="Times New Roman"/>
                <w:b/>
                <w:bCs/>
                <w:szCs w:val="24"/>
              </w:rPr>
            </w:pPr>
            <w:r>
              <w:rPr>
                <w:rFonts w:ascii="Times New Roman" w:hAnsi="Times New Roman" w:cs="Times New Roman"/>
                <w:b/>
                <w:bCs/>
                <w:szCs w:val="24"/>
              </w:rPr>
              <w:t>水污染物控制指标</w:t>
            </w:r>
            <w:r>
              <w:rPr>
                <w:rFonts w:hint="eastAsia" w:ascii="Times New Roman" w:hAnsi="Times New Roman" w:cs="Times New Roman"/>
                <w:b/>
                <w:bCs/>
                <w:szCs w:val="24"/>
              </w:rPr>
              <w:t>：</w:t>
            </w:r>
          </w:p>
          <w:p w14:paraId="25A7DFA1">
            <w:pPr>
              <w:pStyle w:val="168"/>
              <w:tabs>
                <w:tab w:val="left" w:pos="1315"/>
              </w:tabs>
              <w:ind w:firstLine="480"/>
              <w:rPr>
                <w:rFonts w:ascii="Times New Roman" w:hAnsi="Times New Roman" w:cs="Times New Roman"/>
                <w:szCs w:val="24"/>
                <w:lang w:val="en-US"/>
              </w:rPr>
            </w:pPr>
            <w:r>
              <w:rPr>
                <w:rFonts w:ascii="Times New Roman" w:hAnsi="Times New Roman" w:cs="Times New Roman"/>
                <w:szCs w:val="24"/>
              </w:rPr>
              <w:t>本项目</w:t>
            </w:r>
            <w:r>
              <w:rPr>
                <w:rFonts w:hint="eastAsia" w:ascii="Times New Roman" w:hAnsi="Times New Roman" w:cs="Times New Roman"/>
                <w:szCs w:val="24"/>
                <w:lang w:val="en-US"/>
              </w:rPr>
              <w:t>无生产废水排放</w:t>
            </w:r>
            <w:r>
              <w:rPr>
                <w:rFonts w:ascii="Times New Roman" w:hAnsi="Times New Roman" w:cs="Times New Roman"/>
                <w:szCs w:val="24"/>
              </w:rPr>
              <w:t>；生活污水</w:t>
            </w:r>
            <w:r>
              <w:rPr>
                <w:rFonts w:hint="eastAsia" w:ascii="Times New Roman" w:hAnsi="Times New Roman" w:cs="Times New Roman"/>
                <w:szCs w:val="24"/>
                <w:lang w:val="en-US"/>
              </w:rPr>
              <w:t>依托衡钢原有的化粪池处理后</w:t>
            </w:r>
            <w:r>
              <w:rPr>
                <w:rFonts w:ascii="Times New Roman" w:hAnsi="Times New Roman" w:cs="Times New Roman"/>
                <w:szCs w:val="24"/>
              </w:rPr>
              <w:t>经</w:t>
            </w:r>
            <w:r>
              <w:rPr>
                <w:rFonts w:hint="eastAsia" w:ascii="Times New Roman" w:hAnsi="Times New Roman" w:cs="Times New Roman"/>
                <w:szCs w:val="24"/>
                <w:lang w:val="en-US"/>
              </w:rPr>
              <w:t>厂区污水管网排入衡钢西区污水处理厂处理达到</w:t>
            </w:r>
            <w:r>
              <w:rPr>
                <w:rFonts w:ascii="Times New Roman" w:hAnsi="Times New Roman" w:cs="Times New Roman"/>
                <w:szCs w:val="24"/>
              </w:rPr>
              <w:t>《污水综合排放标准》（GB8978-1996）表4 中三级标准</w:t>
            </w:r>
            <w:r>
              <w:rPr>
                <w:rFonts w:hint="eastAsia" w:ascii="Times New Roman" w:hAnsi="Times New Roman" w:cs="Times New Roman"/>
                <w:szCs w:val="24"/>
                <w:lang w:val="en-US" w:eastAsia="zh-CN"/>
              </w:rPr>
              <w:t>，排入幸福河</w:t>
            </w:r>
            <w:r>
              <w:rPr>
                <w:rFonts w:hint="eastAsia" w:ascii="Times New Roman" w:hAnsi="Times New Roman" w:cs="Times New Roman"/>
                <w:szCs w:val="24"/>
                <w:lang w:val="en-US"/>
              </w:rPr>
              <w:t>，然后进入铜桥港污水处理厂进一步处理，</w:t>
            </w:r>
            <w:r>
              <w:rPr>
                <w:rFonts w:ascii="Times New Roman" w:hAnsi="Times New Roman" w:cs="Times New Roman"/>
                <w:szCs w:val="24"/>
              </w:rPr>
              <w:t>处理</w:t>
            </w:r>
            <w:r>
              <w:rPr>
                <w:rFonts w:hint="eastAsia" w:ascii="Times New Roman" w:hAnsi="Times New Roman" w:cs="Times New Roman"/>
                <w:szCs w:val="24"/>
                <w:lang w:val="en-US"/>
              </w:rPr>
              <w:t>后排入湘江。本项目产生的废水主要为生活污水，年产生生活污水量为324m</w:t>
            </w:r>
            <w:r>
              <w:rPr>
                <w:rFonts w:hint="eastAsia" w:ascii="Times New Roman" w:hAnsi="Times New Roman" w:cs="Times New Roman"/>
                <w:szCs w:val="24"/>
                <w:vertAlign w:val="superscript"/>
                <w:lang w:val="en-US"/>
              </w:rPr>
              <w:t>3</w:t>
            </w:r>
            <w:r>
              <w:rPr>
                <w:rFonts w:hint="eastAsia" w:ascii="Times New Roman" w:hAnsi="Times New Roman" w:cs="Times New Roman"/>
                <w:szCs w:val="24"/>
                <w:lang w:val="en-US"/>
              </w:rPr>
              <w:t>/a，CODcr：0.0162t/a，氨氮：0.00162t/a。水污染物总量控制指标从铜桥港污水处理厂调配，因此，本项目无需设污水总量控制指标。</w:t>
            </w:r>
          </w:p>
          <w:p w14:paraId="5B55ED8B">
            <w:pPr>
              <w:pStyle w:val="168"/>
              <w:tabs>
                <w:tab w:val="left" w:pos="1315"/>
              </w:tabs>
              <w:ind w:firstLine="482"/>
              <w:rPr>
                <w:rFonts w:ascii="Times New Roman" w:hAnsi="Times New Roman" w:cs="Times New Roman"/>
                <w:b/>
                <w:bCs/>
                <w:szCs w:val="24"/>
              </w:rPr>
            </w:pPr>
            <w:r>
              <w:rPr>
                <w:rFonts w:hint="eastAsia" w:ascii="Times New Roman" w:hAnsi="Times New Roman" w:cs="Times New Roman"/>
                <w:b/>
                <w:bCs/>
                <w:szCs w:val="24"/>
              </w:rPr>
              <w:t>（</w:t>
            </w:r>
            <w:r>
              <w:rPr>
                <w:rFonts w:hint="eastAsia" w:ascii="Times New Roman" w:hAnsi="Times New Roman" w:cs="Times New Roman"/>
                <w:b/>
                <w:bCs/>
                <w:szCs w:val="24"/>
                <w:lang w:val="en-US"/>
              </w:rPr>
              <w:t>2</w:t>
            </w:r>
            <w:r>
              <w:rPr>
                <w:rFonts w:hint="eastAsia" w:ascii="Times New Roman" w:hAnsi="Times New Roman" w:cs="Times New Roman"/>
                <w:b/>
                <w:bCs/>
                <w:szCs w:val="24"/>
              </w:rPr>
              <w:t>）</w:t>
            </w:r>
            <w:r>
              <w:rPr>
                <w:rFonts w:ascii="Times New Roman" w:hAnsi="Times New Roman" w:cs="Times New Roman"/>
                <w:b/>
                <w:bCs/>
                <w:szCs w:val="24"/>
              </w:rPr>
              <w:t>大气总量控制指标</w:t>
            </w:r>
            <w:r>
              <w:rPr>
                <w:rFonts w:hint="eastAsia" w:ascii="Times New Roman" w:hAnsi="Times New Roman" w:cs="Times New Roman"/>
                <w:b/>
                <w:bCs/>
                <w:szCs w:val="24"/>
              </w:rPr>
              <w:t>：</w:t>
            </w:r>
          </w:p>
          <w:p w14:paraId="73A871DF">
            <w:pPr>
              <w:pStyle w:val="2"/>
              <w:spacing w:line="360" w:lineRule="auto"/>
              <w:ind w:firstLine="468"/>
              <w:rPr>
                <w:rFonts w:ascii="Times New Roman"/>
              </w:rPr>
            </w:pPr>
            <w:r>
              <w:rPr>
                <w:rFonts w:hint="eastAsia" w:ascii="Times New Roman"/>
                <w:spacing w:val="-3"/>
              </w:rPr>
              <w:t>本项目运营过程中产生的注塑和喷塑粉尘，颗粒物：0.</w:t>
            </w:r>
            <w:r>
              <w:rPr>
                <w:rFonts w:hint="eastAsia" w:ascii="Times New Roman"/>
                <w:spacing w:val="-3"/>
                <w:lang w:val="en-US" w:eastAsia="zh-CN"/>
              </w:rPr>
              <w:t>212</w:t>
            </w:r>
            <w:r>
              <w:rPr>
                <w:rFonts w:hint="eastAsia" w:ascii="Times New Roman"/>
                <w:spacing w:val="-3"/>
              </w:rPr>
              <w:t>t/a；非甲烷总烃：1.</w:t>
            </w:r>
            <w:r>
              <w:rPr>
                <w:rFonts w:hint="eastAsia" w:ascii="Times New Roman"/>
                <w:spacing w:val="-3"/>
                <w:lang w:val="en-US" w:eastAsia="zh-CN"/>
              </w:rPr>
              <w:t>686</w:t>
            </w:r>
            <w:r>
              <w:rPr>
                <w:rFonts w:hint="eastAsia" w:ascii="Times New Roman"/>
                <w:spacing w:val="-3"/>
              </w:rPr>
              <w:t>t</w:t>
            </w:r>
            <w:r>
              <w:rPr>
                <w:rFonts w:ascii="Times New Roman"/>
                <w:spacing w:val="-3"/>
              </w:rPr>
              <w:t>/a</w:t>
            </w:r>
            <w:r>
              <w:rPr>
                <w:rFonts w:hint="eastAsia" w:ascii="Times New Roman"/>
                <w:spacing w:val="-3"/>
              </w:rPr>
              <w:t>；SO</w:t>
            </w:r>
            <w:r>
              <w:rPr>
                <w:rFonts w:hint="eastAsia" w:ascii="Times New Roman"/>
                <w:spacing w:val="-3"/>
                <w:vertAlign w:val="subscript"/>
              </w:rPr>
              <w:t>2</w:t>
            </w:r>
            <w:r>
              <w:rPr>
                <w:rFonts w:hint="eastAsia" w:ascii="Times New Roman"/>
                <w:spacing w:val="-3"/>
              </w:rPr>
              <w:t>：0.0001</w:t>
            </w:r>
            <w:r>
              <w:rPr>
                <w:rFonts w:hint="eastAsia" w:ascii="Times New Roman"/>
                <w:spacing w:val="-3"/>
                <w:lang w:val="en-US" w:eastAsia="zh-CN"/>
              </w:rPr>
              <w:t>6</w:t>
            </w:r>
            <w:r>
              <w:rPr>
                <w:rFonts w:hint="eastAsia" w:ascii="Times New Roman"/>
                <w:spacing w:val="-3"/>
              </w:rPr>
              <w:t>t/a、NOx：0.0</w:t>
            </w:r>
            <w:r>
              <w:rPr>
                <w:rFonts w:hint="eastAsia" w:ascii="Times New Roman"/>
                <w:spacing w:val="-3"/>
                <w:lang w:val="en-US" w:eastAsia="zh-CN"/>
              </w:rPr>
              <w:t>65</w:t>
            </w:r>
            <w:r>
              <w:rPr>
                <w:rFonts w:hint="eastAsia" w:ascii="Times New Roman"/>
                <w:spacing w:val="-3"/>
              </w:rPr>
              <w:t>t/a；项目申请大气污染物总量控制指标为：非甲烷总烃：1.</w:t>
            </w:r>
            <w:r>
              <w:rPr>
                <w:rFonts w:hint="eastAsia" w:ascii="Times New Roman"/>
                <w:spacing w:val="-3"/>
                <w:lang w:val="en-US" w:eastAsia="zh-CN"/>
              </w:rPr>
              <w:t>686</w:t>
            </w:r>
            <w:r>
              <w:rPr>
                <w:rFonts w:hint="eastAsia" w:ascii="Times New Roman"/>
                <w:spacing w:val="-3"/>
              </w:rPr>
              <w:t>t</w:t>
            </w:r>
            <w:r>
              <w:rPr>
                <w:rFonts w:ascii="Times New Roman"/>
                <w:spacing w:val="-3"/>
              </w:rPr>
              <w:t>/a</w:t>
            </w:r>
            <w:r>
              <w:rPr>
                <w:rFonts w:hint="eastAsia" w:ascii="Times New Roman"/>
                <w:spacing w:val="-3"/>
              </w:rPr>
              <w:t>，SO</w:t>
            </w:r>
            <w:r>
              <w:rPr>
                <w:rFonts w:hint="eastAsia" w:ascii="Times New Roman"/>
                <w:spacing w:val="-3"/>
                <w:vertAlign w:val="subscript"/>
              </w:rPr>
              <w:t>2</w:t>
            </w:r>
            <w:r>
              <w:rPr>
                <w:rFonts w:hint="eastAsia" w:ascii="Times New Roman"/>
                <w:spacing w:val="-3"/>
              </w:rPr>
              <w:t>：0.0001</w:t>
            </w:r>
            <w:r>
              <w:rPr>
                <w:rFonts w:hint="eastAsia" w:ascii="Times New Roman"/>
                <w:spacing w:val="-3"/>
                <w:lang w:val="en-US" w:eastAsia="zh-CN"/>
              </w:rPr>
              <w:t>6</w:t>
            </w:r>
            <w:r>
              <w:rPr>
                <w:rFonts w:hint="eastAsia" w:ascii="Times New Roman"/>
                <w:spacing w:val="-3"/>
              </w:rPr>
              <w:t>t/a，NOx：0.0</w:t>
            </w:r>
            <w:r>
              <w:rPr>
                <w:rFonts w:hint="eastAsia" w:ascii="Times New Roman"/>
                <w:spacing w:val="-3"/>
                <w:lang w:val="en-US" w:eastAsia="zh-CN"/>
              </w:rPr>
              <w:t>65</w:t>
            </w:r>
            <w:r>
              <w:rPr>
                <w:rFonts w:hint="eastAsia" w:ascii="Times New Roman"/>
                <w:spacing w:val="-3"/>
              </w:rPr>
              <w:t>t/a。</w:t>
            </w:r>
          </w:p>
        </w:tc>
      </w:tr>
    </w:tbl>
    <w:p w14:paraId="1FDB3BAB">
      <w:pPr>
        <w:pStyle w:val="32"/>
        <w:spacing w:before="0" w:beforeAutospacing="0" w:after="0" w:afterAutospacing="0"/>
        <w:outlineLvl w:val="0"/>
        <w:rPr>
          <w:rFonts w:ascii="黑体" w:hAnsi="黑体" w:eastAsia="黑体"/>
          <w:snapToGrid w:val="0"/>
          <w:sz w:val="30"/>
          <w:szCs w:val="30"/>
        </w:rPr>
        <w:sectPr>
          <w:pgSz w:w="11907" w:h="16840"/>
          <w:pgMar w:top="1701" w:right="1531" w:bottom="2127" w:left="1531" w:header="851" w:footer="1417" w:gutter="0"/>
          <w:cols w:space="720" w:num="1"/>
          <w:docGrid w:linePitch="312" w:charSpace="0"/>
        </w:sectPr>
      </w:pPr>
      <w:bookmarkStart w:id="10" w:name="_Toc20501"/>
    </w:p>
    <w:p w14:paraId="6183243E">
      <w:pPr>
        <w:pStyle w:val="32"/>
        <w:spacing w:before="0" w:beforeAutospacing="0" w:after="0" w:afterAutospacing="0"/>
        <w:outlineLvl w:val="0"/>
        <w:rPr>
          <w:rFonts w:ascii="黑体" w:hAnsi="黑体" w:eastAsia="黑体"/>
          <w:snapToGrid w:val="0"/>
          <w:sz w:val="30"/>
          <w:szCs w:val="30"/>
        </w:rPr>
      </w:pPr>
      <w:r>
        <w:rPr>
          <w:rFonts w:hint="eastAsia" w:ascii="黑体" w:hAnsi="黑体" w:eastAsia="黑体"/>
          <w:snapToGrid w:val="0"/>
          <w:sz w:val="30"/>
          <w:szCs w:val="30"/>
        </w:rPr>
        <w:t>四、主要环境影响和保护措施</w:t>
      </w:r>
      <w:bookmarkEnd w:id="10"/>
    </w:p>
    <w:tbl>
      <w:tblPr>
        <w:tblStyle w:val="36"/>
        <w:tblW w:w="8981"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58"/>
        <w:gridCol w:w="8523"/>
      </w:tblGrid>
      <w:tr w14:paraId="788AFD4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85" w:hRule="atLeast"/>
          <w:jc w:val="center"/>
        </w:trPr>
        <w:tc>
          <w:tcPr>
            <w:tcW w:w="458" w:type="dxa"/>
            <w:tcMar>
              <w:left w:w="28" w:type="dxa"/>
              <w:right w:w="28" w:type="dxa"/>
            </w:tcMar>
            <w:vAlign w:val="center"/>
          </w:tcPr>
          <w:p w14:paraId="5E655999">
            <w:pPr>
              <w:pStyle w:val="32"/>
              <w:adjustRightInd w:val="0"/>
              <w:snapToGrid w:val="0"/>
              <w:spacing w:before="0" w:beforeAutospacing="0" w:after="0" w:afterAutospacing="0"/>
              <w:jc w:val="center"/>
              <w:rPr>
                <w:rFonts w:cs="宋体"/>
                <w:bCs/>
                <w:kern w:val="2"/>
                <w:szCs w:val="24"/>
              </w:rPr>
            </w:pPr>
            <w:r>
              <w:rPr>
                <w:rFonts w:hint="eastAsia" w:cs="宋体"/>
                <w:kern w:val="2"/>
                <w:szCs w:val="24"/>
              </w:rPr>
              <w:t>施工期</w:t>
            </w:r>
          </w:p>
        </w:tc>
        <w:tc>
          <w:tcPr>
            <w:tcW w:w="8523" w:type="dxa"/>
            <w:tcBorders>
              <w:bottom w:val="single" w:color="auto" w:sz="12" w:space="0"/>
            </w:tcBorders>
            <w:vAlign w:val="center"/>
          </w:tcPr>
          <w:p w14:paraId="38F2C297">
            <w:pPr>
              <w:adjustRightInd w:val="0"/>
              <w:spacing w:line="360" w:lineRule="auto"/>
              <w:ind w:firstLine="480" w:firstLineChars="200"/>
              <w:rPr>
                <w:rFonts w:hint="default" w:ascii="宋体" w:hAnsi="宋体" w:eastAsia="宋体" w:cs="宋体"/>
                <w:bCs/>
                <w:spacing w:val="-10"/>
                <w:sz w:val="24"/>
                <w:lang w:val="en-US" w:eastAsia="zh-CN"/>
              </w:rPr>
            </w:pPr>
            <w:r>
              <w:rPr>
                <w:rFonts w:hint="eastAsia"/>
                <w:sz w:val="24"/>
                <w:lang w:val="en-US" w:eastAsia="zh-CN"/>
              </w:rPr>
              <w:t>本项目在</w:t>
            </w:r>
            <w:r>
              <w:rPr>
                <w:sz w:val="24"/>
              </w:rPr>
              <w:t>已建成的</w:t>
            </w:r>
            <w:r>
              <w:rPr>
                <w:rFonts w:hint="eastAsia"/>
                <w:sz w:val="24"/>
              </w:rPr>
              <w:t>标准</w:t>
            </w:r>
            <w:r>
              <w:rPr>
                <w:sz w:val="24"/>
              </w:rPr>
              <w:t>厂房</w:t>
            </w:r>
            <w:r>
              <w:rPr>
                <w:rFonts w:hint="eastAsia"/>
                <w:sz w:val="24"/>
                <w:lang w:val="en-US" w:eastAsia="zh-CN"/>
              </w:rPr>
              <w:t>进行生产，施工期</w:t>
            </w:r>
            <w:r>
              <w:rPr>
                <w:sz w:val="24"/>
              </w:rPr>
              <w:t>主要为</w:t>
            </w:r>
            <w:r>
              <w:rPr>
                <w:rFonts w:hint="eastAsia"/>
                <w:sz w:val="24"/>
                <w:lang w:val="en-US" w:eastAsia="zh-CN"/>
              </w:rPr>
              <w:t>部分</w:t>
            </w:r>
            <w:r>
              <w:rPr>
                <w:sz w:val="24"/>
              </w:rPr>
              <w:t>设备</w:t>
            </w:r>
            <w:r>
              <w:rPr>
                <w:rFonts w:hint="eastAsia"/>
                <w:sz w:val="24"/>
                <w:lang w:val="en-US" w:eastAsia="zh-CN"/>
              </w:rPr>
              <w:t>拆除</w:t>
            </w:r>
            <w:r>
              <w:rPr>
                <w:sz w:val="24"/>
              </w:rPr>
              <w:t>，随之产生的影响为设备</w:t>
            </w:r>
            <w:r>
              <w:rPr>
                <w:rFonts w:hint="eastAsia"/>
                <w:sz w:val="24"/>
                <w:lang w:val="en-US" w:eastAsia="zh-CN"/>
              </w:rPr>
              <w:t>拆除</w:t>
            </w:r>
            <w:r>
              <w:rPr>
                <w:sz w:val="24"/>
              </w:rPr>
              <w:t>过程产生的噪声影响</w:t>
            </w:r>
            <w:r>
              <w:rPr>
                <w:rFonts w:hint="eastAsia"/>
                <w:sz w:val="24"/>
                <w:lang w:eastAsia="zh-CN"/>
              </w:rPr>
              <w:t>，</w:t>
            </w:r>
            <w:r>
              <w:rPr>
                <w:rFonts w:hint="eastAsia"/>
                <w:sz w:val="24"/>
                <w:lang w:val="en-US" w:eastAsia="zh-CN"/>
              </w:rPr>
              <w:t>该噪声对周边环境产生的影响较小</w:t>
            </w:r>
            <w:r>
              <w:rPr>
                <w:sz w:val="24"/>
              </w:rPr>
              <w:t>。</w:t>
            </w:r>
            <w:r>
              <w:rPr>
                <w:rFonts w:hint="eastAsia"/>
                <w:sz w:val="24"/>
                <w:lang w:val="en-US" w:eastAsia="zh-CN"/>
              </w:rPr>
              <w:t>因此，本环评不再对施工期的影响进行评价。</w:t>
            </w:r>
          </w:p>
        </w:tc>
      </w:tr>
      <w:tr w14:paraId="47881EA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61" w:hRule="atLeast"/>
          <w:jc w:val="center"/>
        </w:trPr>
        <w:tc>
          <w:tcPr>
            <w:tcW w:w="458" w:type="dxa"/>
            <w:tcBorders>
              <w:right w:val="single" w:color="auto" w:sz="12" w:space="0"/>
            </w:tcBorders>
            <w:tcMar>
              <w:left w:w="28" w:type="dxa"/>
              <w:right w:w="28" w:type="dxa"/>
            </w:tcMar>
            <w:vAlign w:val="center"/>
          </w:tcPr>
          <w:p w14:paraId="416B847C">
            <w:pPr>
              <w:pStyle w:val="32"/>
              <w:adjustRightInd w:val="0"/>
              <w:snapToGrid w:val="0"/>
              <w:spacing w:before="0" w:beforeAutospacing="0" w:after="0" w:afterAutospacing="0"/>
              <w:jc w:val="center"/>
              <w:rPr>
                <w:rFonts w:cs="宋体"/>
                <w:kern w:val="2"/>
                <w:szCs w:val="24"/>
              </w:rPr>
            </w:pPr>
            <w:r>
              <w:rPr>
                <w:rFonts w:hint="eastAsia" w:cs="宋体"/>
                <w:kern w:val="2"/>
                <w:szCs w:val="24"/>
              </w:rPr>
              <w:t>营运期</w:t>
            </w:r>
          </w:p>
        </w:tc>
        <w:tc>
          <w:tcPr>
            <w:tcW w:w="8523" w:type="dxa"/>
            <w:tcBorders>
              <w:top w:val="single" w:color="auto" w:sz="12" w:space="0"/>
              <w:left w:val="single" w:color="auto" w:sz="12" w:space="0"/>
            </w:tcBorders>
            <w:vAlign w:val="center"/>
          </w:tcPr>
          <w:p w14:paraId="06F5CC71">
            <w:pPr>
              <w:spacing w:line="360" w:lineRule="auto"/>
              <w:ind w:firstLine="482" w:firstLineChars="200"/>
              <w:rPr>
                <w:b/>
                <w:bCs/>
                <w:sz w:val="24"/>
              </w:rPr>
            </w:pPr>
            <w:r>
              <w:rPr>
                <w:rFonts w:hint="eastAsia"/>
                <w:b/>
                <w:bCs/>
                <w:sz w:val="24"/>
              </w:rPr>
              <w:t>4.1、废气</w:t>
            </w:r>
          </w:p>
          <w:p w14:paraId="73523EA9">
            <w:pPr>
              <w:spacing w:line="360" w:lineRule="auto"/>
              <w:ind w:firstLine="482" w:firstLineChars="200"/>
              <w:rPr>
                <w:b/>
                <w:bCs/>
                <w:sz w:val="24"/>
              </w:rPr>
            </w:pPr>
            <w:r>
              <w:rPr>
                <w:rFonts w:hint="eastAsia"/>
                <w:b/>
                <w:bCs/>
                <w:sz w:val="24"/>
              </w:rPr>
              <w:t>4.1.1废气有组织源强核算</w:t>
            </w:r>
          </w:p>
          <w:p w14:paraId="4689C408">
            <w:pPr>
              <w:numPr>
                <w:ilvl w:val="0"/>
                <w:numId w:val="7"/>
              </w:numPr>
              <w:spacing w:line="360" w:lineRule="auto"/>
              <w:ind w:firstLine="442" w:firstLineChars="200"/>
              <w:rPr>
                <w:b/>
                <w:spacing w:val="-10"/>
                <w:sz w:val="24"/>
              </w:rPr>
            </w:pPr>
            <w:r>
              <w:rPr>
                <w:rFonts w:hint="eastAsia"/>
                <w:b/>
                <w:spacing w:val="-10"/>
                <w:sz w:val="24"/>
              </w:rPr>
              <w:t>机加工粉尘（下料、压焊疤、卷边、车螺纹）</w:t>
            </w:r>
          </w:p>
          <w:p w14:paraId="491216E2">
            <w:pPr>
              <w:pStyle w:val="2"/>
              <w:spacing w:line="360" w:lineRule="auto"/>
              <w:ind w:firstLine="480"/>
              <w:rPr>
                <w:b/>
                <w:color w:val="auto"/>
                <w:spacing w:val="-10"/>
              </w:rPr>
            </w:pPr>
            <w:r>
              <w:rPr>
                <w:rFonts w:hint="eastAsia"/>
              </w:rPr>
              <w:t>机加工粉尘主要产生于下料、压焊疤、卷边、车螺纹等工序，</w:t>
            </w:r>
            <w:r>
              <w:rPr>
                <w:rFonts w:ascii="Times New Roman"/>
                <w:color w:val="auto"/>
              </w:rPr>
              <w:t>参照生态环境部关于发布《排放源统计调查产排污核算方法和系数手册》的公告(公告2021年第24号)中</w:t>
            </w:r>
            <w:r>
              <w:rPr>
                <w:rFonts w:hint="eastAsia" w:ascii="Times New Roman"/>
                <w:color w:val="auto"/>
                <w:lang w:eastAsia="zh-CN"/>
              </w:rPr>
              <w:t>“</w:t>
            </w:r>
            <w:r>
              <w:rPr>
                <w:rFonts w:ascii="Times New Roman"/>
                <w:color w:val="auto"/>
              </w:rPr>
              <w:t>33金属制品业行业系数手册</w:t>
            </w:r>
            <w:r>
              <w:rPr>
                <w:rFonts w:hint="eastAsia" w:ascii="Times New Roman"/>
                <w:color w:val="auto"/>
                <w:lang w:eastAsia="zh-CN"/>
              </w:rPr>
              <w:t>”</w:t>
            </w:r>
            <w:r>
              <w:rPr>
                <w:rFonts w:ascii="Times New Roman"/>
                <w:color w:val="auto"/>
              </w:rPr>
              <w:t>中</w:t>
            </w:r>
            <w:r>
              <w:rPr>
                <w:rFonts w:hint="eastAsia" w:ascii="Times New Roman"/>
                <w:color w:val="auto"/>
                <w:lang w:eastAsia="zh-CN"/>
              </w:rPr>
              <w:t>“</w:t>
            </w:r>
            <w:r>
              <w:rPr>
                <w:rFonts w:ascii="Times New Roman"/>
                <w:color w:val="auto"/>
              </w:rPr>
              <w:t>04</w:t>
            </w:r>
            <w:r>
              <w:rPr>
                <w:rFonts w:hint="eastAsia" w:ascii="Times New Roman"/>
                <w:color w:val="auto"/>
              </w:rPr>
              <w:t>下料切割</w:t>
            </w:r>
            <w:r>
              <w:rPr>
                <w:rFonts w:ascii="Times New Roman"/>
                <w:color w:val="auto"/>
              </w:rPr>
              <w:t>核算环节</w:t>
            </w:r>
            <w:r>
              <w:rPr>
                <w:rFonts w:hint="eastAsia" w:ascii="Times New Roman"/>
                <w:color w:val="auto"/>
                <w:lang w:eastAsia="zh-CN"/>
              </w:rPr>
              <w:t>”</w:t>
            </w:r>
            <w:r>
              <w:rPr>
                <w:rFonts w:ascii="Times New Roman"/>
                <w:color w:val="auto"/>
              </w:rPr>
              <w:t>的产污系数进行核算，产污系数为1.10千克/（吨-原料），项目需切割下料原料约为</w:t>
            </w:r>
            <w:r>
              <w:rPr>
                <w:rFonts w:hint="eastAsia" w:ascii="Times New Roman"/>
                <w:color w:val="auto"/>
                <w:lang w:val="en-US" w:eastAsia="zh-CN"/>
              </w:rPr>
              <w:t>960</w:t>
            </w:r>
            <w:r>
              <w:rPr>
                <w:rFonts w:ascii="Times New Roman"/>
                <w:color w:val="auto"/>
              </w:rPr>
              <w:t>t/a，</w:t>
            </w:r>
            <w:r>
              <w:rPr>
                <w:rFonts w:hint="eastAsia" w:ascii="Times New Roman"/>
                <w:color w:val="auto"/>
                <w:lang w:val="en-US" w:eastAsia="zh-CN"/>
              </w:rPr>
              <w:t>则</w:t>
            </w:r>
            <w:r>
              <w:rPr>
                <w:rFonts w:ascii="Times New Roman"/>
                <w:color w:val="auto"/>
              </w:rPr>
              <w:t>颗粒物的产生量为</w:t>
            </w:r>
            <w:r>
              <w:rPr>
                <w:rFonts w:hint="eastAsia" w:ascii="Times New Roman"/>
                <w:color w:val="auto"/>
                <w:lang w:val="en-US" w:eastAsia="zh-CN"/>
              </w:rPr>
              <w:t>1.056</w:t>
            </w:r>
            <w:r>
              <w:rPr>
                <w:rFonts w:ascii="Times New Roman"/>
                <w:color w:val="auto"/>
              </w:rPr>
              <w:t>t/a</w:t>
            </w:r>
            <w:r>
              <w:rPr>
                <w:rFonts w:hint="eastAsia" w:ascii="Times New Roman"/>
                <w:color w:val="auto"/>
              </w:rPr>
              <w:t>。由于金属颗粒物质量较重，颗粒物散落范围很小，飘逸至车间外环境的金属颗粒物极少，按85%沉降在车间内计算，则机加工粉尘无组织排放量为</w:t>
            </w:r>
            <w:r>
              <w:rPr>
                <w:rFonts w:hint="eastAsia" w:ascii="Times New Roman"/>
                <w:color w:val="auto"/>
                <w:lang w:val="en-US" w:eastAsia="zh-CN"/>
              </w:rPr>
              <w:t>0.158</w:t>
            </w:r>
            <w:r>
              <w:rPr>
                <w:rFonts w:hint="eastAsia" w:ascii="Times New Roman"/>
                <w:color w:val="auto"/>
              </w:rPr>
              <w:t>t/a，排放速率为0.0</w:t>
            </w:r>
            <w:r>
              <w:rPr>
                <w:rFonts w:hint="eastAsia" w:ascii="Times New Roman"/>
                <w:color w:val="auto"/>
                <w:lang w:val="en-US" w:eastAsia="zh-CN"/>
              </w:rPr>
              <w:t>66</w:t>
            </w:r>
            <w:r>
              <w:rPr>
                <w:rFonts w:hint="eastAsia" w:ascii="Times New Roman"/>
                <w:color w:val="auto"/>
              </w:rPr>
              <w:t>kg/h，通过加强车间</w:t>
            </w:r>
            <w:r>
              <w:rPr>
                <w:rFonts w:hint="eastAsia"/>
              </w:rPr>
              <w:t>通风</w:t>
            </w:r>
            <w:r>
              <w:rPr>
                <w:rFonts w:hint="eastAsia" w:ascii="Times New Roman"/>
                <w:color w:val="auto"/>
              </w:rPr>
              <w:t>，机加工粉尘在车间无组织排放。</w:t>
            </w:r>
          </w:p>
          <w:p w14:paraId="272428C1">
            <w:pPr>
              <w:numPr>
                <w:ilvl w:val="0"/>
                <w:numId w:val="7"/>
              </w:numPr>
              <w:spacing w:line="360" w:lineRule="auto"/>
              <w:ind w:firstLine="442" w:firstLineChars="200"/>
              <w:rPr>
                <w:b/>
                <w:spacing w:val="-10"/>
                <w:sz w:val="24"/>
              </w:rPr>
            </w:pPr>
            <w:r>
              <w:rPr>
                <w:rFonts w:hint="eastAsia"/>
                <w:b/>
                <w:spacing w:val="-10"/>
                <w:sz w:val="24"/>
              </w:rPr>
              <w:t>焊接烟尘</w:t>
            </w:r>
          </w:p>
          <w:p w14:paraId="24D14102">
            <w:pPr>
              <w:spacing w:line="360" w:lineRule="auto"/>
              <w:ind w:firstLine="480" w:firstLineChars="200"/>
              <w:rPr>
                <w:bCs/>
                <w:sz w:val="24"/>
              </w:rPr>
            </w:pPr>
            <w:r>
              <w:rPr>
                <w:rFonts w:hint="eastAsia"/>
                <w:bCs/>
                <w:sz w:val="24"/>
              </w:rPr>
              <w:t>本项目采用气体保护焊进行部件焊接，焊接过程会产生少量焊接烟尘</w:t>
            </w:r>
            <w:r>
              <w:rPr>
                <w:bCs/>
                <w:sz w:val="24"/>
              </w:rPr>
              <w:t>，据查阅《排放源统计调查产排污核算方法和系数手册</w:t>
            </w:r>
            <w:r>
              <w:rPr>
                <w:rFonts w:hint="eastAsia"/>
                <w:bCs/>
                <w:sz w:val="24"/>
              </w:rPr>
              <w:t>（</w:t>
            </w:r>
            <w:r>
              <w:rPr>
                <w:bCs/>
                <w:sz w:val="24"/>
              </w:rPr>
              <w:t>公告2021年第24号</w:t>
            </w:r>
            <w:r>
              <w:rPr>
                <w:rFonts w:hint="eastAsia"/>
                <w:bCs/>
                <w:sz w:val="24"/>
              </w:rPr>
              <w:t>）</w:t>
            </w:r>
            <w:r>
              <w:rPr>
                <w:bCs/>
                <w:sz w:val="24"/>
              </w:rPr>
              <w:t xml:space="preserve">》中 </w:t>
            </w:r>
            <w:r>
              <w:rPr>
                <w:rFonts w:hint="eastAsia"/>
                <w:bCs/>
                <w:sz w:val="24"/>
                <w:lang w:eastAsia="zh-CN"/>
              </w:rPr>
              <w:t>“</w:t>
            </w:r>
            <w:r>
              <w:rPr>
                <w:bCs/>
                <w:sz w:val="24"/>
              </w:rPr>
              <w:t>33</w:t>
            </w:r>
            <w:r>
              <w:rPr>
                <w:rFonts w:hint="eastAsia"/>
                <w:bCs/>
                <w:sz w:val="24"/>
                <w:lang w:val="en-US" w:eastAsia="zh-CN"/>
              </w:rPr>
              <w:t xml:space="preserve"> </w:t>
            </w:r>
            <w:r>
              <w:rPr>
                <w:bCs/>
                <w:sz w:val="24"/>
              </w:rPr>
              <w:t>金属制品业-0</w:t>
            </w:r>
            <w:r>
              <w:rPr>
                <w:rFonts w:hint="eastAsia"/>
                <w:bCs/>
                <w:sz w:val="24"/>
              </w:rPr>
              <w:t>9焊接</w:t>
            </w:r>
            <w:r>
              <w:rPr>
                <w:rFonts w:hint="eastAsia"/>
                <w:bCs/>
                <w:sz w:val="24"/>
                <w:lang w:eastAsia="zh-CN"/>
              </w:rPr>
              <w:t>”</w:t>
            </w:r>
            <w:r>
              <w:rPr>
                <w:bCs/>
                <w:sz w:val="24"/>
              </w:rPr>
              <w:t>可知，</w:t>
            </w:r>
            <w:r>
              <w:rPr>
                <w:rFonts w:hint="eastAsia"/>
                <w:bCs/>
                <w:sz w:val="24"/>
              </w:rPr>
              <w:t>焊接</w:t>
            </w:r>
            <w:r>
              <w:rPr>
                <w:bCs/>
                <w:sz w:val="24"/>
              </w:rPr>
              <w:t>产生的颗粒物为</w:t>
            </w:r>
            <w:r>
              <w:rPr>
                <w:rFonts w:hint="eastAsia"/>
                <w:bCs/>
                <w:sz w:val="24"/>
              </w:rPr>
              <w:t>9.19</w:t>
            </w:r>
            <w:r>
              <w:rPr>
                <w:bCs/>
                <w:sz w:val="24"/>
              </w:rPr>
              <w:t>kg/t·原料</w:t>
            </w:r>
            <w:r>
              <w:rPr>
                <w:rFonts w:hint="eastAsia"/>
                <w:bCs/>
                <w:sz w:val="24"/>
              </w:rPr>
              <w:t>（实芯焊丝）</w:t>
            </w:r>
            <w:r>
              <w:rPr>
                <w:bCs/>
                <w:sz w:val="24"/>
              </w:rPr>
              <w:t>，本项目</w:t>
            </w:r>
            <w:r>
              <w:rPr>
                <w:rFonts w:hint="eastAsia"/>
                <w:bCs/>
                <w:sz w:val="24"/>
              </w:rPr>
              <w:t>焊丝使用量约</w:t>
            </w:r>
            <w:r>
              <w:rPr>
                <w:rFonts w:hint="eastAsia"/>
                <w:bCs/>
                <w:sz w:val="24"/>
                <w:lang w:val="en-US" w:eastAsia="zh-CN"/>
              </w:rPr>
              <w:t>3.84</w:t>
            </w:r>
            <w:r>
              <w:rPr>
                <w:rFonts w:hint="eastAsia"/>
                <w:bCs/>
                <w:sz w:val="24"/>
              </w:rPr>
              <w:t>t/a，则焊接烟尘产生量为0.0</w:t>
            </w:r>
            <w:r>
              <w:rPr>
                <w:rFonts w:hint="eastAsia"/>
                <w:bCs/>
                <w:sz w:val="24"/>
                <w:lang w:val="en-US" w:eastAsia="zh-CN"/>
              </w:rPr>
              <w:t>35</w:t>
            </w:r>
            <w:r>
              <w:rPr>
                <w:rFonts w:hint="eastAsia"/>
                <w:bCs/>
                <w:sz w:val="24"/>
              </w:rPr>
              <w:t>t/a</w:t>
            </w:r>
          </w:p>
          <w:p w14:paraId="09284517">
            <w:pPr>
              <w:widowControl/>
              <w:shd w:val="clear" w:color="auto" w:fill="FFFFFF"/>
              <w:spacing w:line="360" w:lineRule="auto"/>
              <w:ind w:firstLine="600" w:firstLineChars="250"/>
              <w:rPr>
                <w:sz w:val="24"/>
              </w:rPr>
            </w:pPr>
            <w:r>
              <w:rPr>
                <w:rFonts w:hint="eastAsia" w:hAnsi="宋体"/>
                <w:sz w:val="24"/>
              </w:rPr>
              <w:t>建设单位将</w:t>
            </w:r>
            <w:r>
              <w:rPr>
                <w:rFonts w:hint="eastAsia"/>
                <w:sz w:val="24"/>
              </w:rPr>
              <w:t>焊接</w:t>
            </w:r>
            <w:r>
              <w:rPr>
                <w:rFonts w:hint="eastAsia" w:hAnsi="宋体"/>
                <w:sz w:val="24"/>
              </w:rPr>
              <w:t>产尘点均设置移动式焊接烟尘净化器，对产生的</w:t>
            </w:r>
            <w:r>
              <w:rPr>
                <w:rFonts w:hint="eastAsia"/>
                <w:sz w:val="24"/>
              </w:rPr>
              <w:t>焊接</w:t>
            </w:r>
            <w:r>
              <w:rPr>
                <w:rFonts w:hint="eastAsia" w:hAnsi="宋体"/>
                <w:sz w:val="24"/>
              </w:rPr>
              <w:t>烟尘进行收集处理。根据《排放源统计调查产排污核算方法和系数手册（公告</w:t>
            </w:r>
            <w:r>
              <w:rPr>
                <w:rFonts w:hAnsi="宋体"/>
                <w:sz w:val="24"/>
              </w:rPr>
              <w:t>2021年第24号）》的“</w:t>
            </w:r>
            <w:r>
              <w:rPr>
                <w:rFonts w:hint="eastAsia" w:hAnsi="宋体"/>
                <w:sz w:val="24"/>
              </w:rPr>
              <w:t xml:space="preserve"> 33 金属制品业</w:t>
            </w:r>
            <w:r>
              <w:rPr>
                <w:rFonts w:hAnsi="宋体"/>
                <w:sz w:val="24"/>
              </w:rPr>
              <w:t>”中列出颗粒物末端治理技术</w:t>
            </w:r>
            <w:r>
              <w:rPr>
                <w:rFonts w:hint="eastAsia" w:hAnsi="宋体"/>
                <w:sz w:val="24"/>
              </w:rPr>
              <w:t>移动式烟尘净化器</w:t>
            </w:r>
            <w:r>
              <w:rPr>
                <w:rFonts w:hAnsi="宋体"/>
                <w:sz w:val="24"/>
              </w:rPr>
              <w:t>的平均去除效率为</w:t>
            </w:r>
            <w:r>
              <w:rPr>
                <w:rFonts w:hint="eastAsia" w:hAnsi="宋体"/>
                <w:sz w:val="24"/>
              </w:rPr>
              <w:t>95</w:t>
            </w:r>
            <w:r>
              <w:rPr>
                <w:rFonts w:hAnsi="宋体"/>
                <w:sz w:val="24"/>
              </w:rPr>
              <w:t>%</w:t>
            </w:r>
            <w:r>
              <w:rPr>
                <w:rFonts w:hint="eastAsia" w:hAnsi="宋体"/>
                <w:sz w:val="24"/>
              </w:rPr>
              <w:t>，</w:t>
            </w:r>
            <w:r>
              <w:rPr>
                <w:rFonts w:hint="eastAsia"/>
                <w:sz w:val="24"/>
              </w:rPr>
              <w:t>保守考虑处理效率约为90%，年焊接时间按1200h计算，则颗粒物无组织排放量为0.00</w:t>
            </w:r>
            <w:r>
              <w:rPr>
                <w:rFonts w:hint="eastAsia"/>
                <w:sz w:val="24"/>
                <w:lang w:val="en-US" w:eastAsia="zh-CN"/>
              </w:rPr>
              <w:t>35</w:t>
            </w:r>
            <w:r>
              <w:rPr>
                <w:rFonts w:hint="eastAsia"/>
                <w:sz w:val="24"/>
              </w:rPr>
              <w:t>t/a，排放速率为0.00</w:t>
            </w:r>
            <w:r>
              <w:rPr>
                <w:rFonts w:hint="eastAsia"/>
                <w:sz w:val="24"/>
                <w:lang w:val="en-US" w:eastAsia="zh-CN"/>
              </w:rPr>
              <w:t>29</w:t>
            </w:r>
            <w:r>
              <w:rPr>
                <w:rFonts w:hint="eastAsia"/>
                <w:sz w:val="24"/>
              </w:rPr>
              <w:t>kg/h，焊接烟尘经处理后车间内无组织扩散。</w:t>
            </w:r>
          </w:p>
          <w:p w14:paraId="6D6FDF2C">
            <w:pPr>
              <w:spacing w:line="360" w:lineRule="auto"/>
              <w:ind w:firstLine="442" w:firstLineChars="200"/>
              <w:rPr>
                <w:b/>
                <w:spacing w:val="-10"/>
                <w:sz w:val="24"/>
              </w:rPr>
            </w:pPr>
            <w:r>
              <w:rPr>
                <w:rFonts w:hint="eastAsia"/>
                <w:b/>
                <w:spacing w:val="-10"/>
                <w:sz w:val="24"/>
              </w:rPr>
              <w:t>（3）喷塑粉尘</w:t>
            </w:r>
          </w:p>
          <w:p w14:paraId="683EFC96">
            <w:pPr>
              <w:snapToGrid w:val="0"/>
              <w:spacing w:line="360" w:lineRule="auto"/>
              <w:ind w:firstLine="480" w:firstLineChars="200"/>
            </w:pPr>
            <w:r>
              <w:rPr>
                <w:rFonts w:hint="eastAsia"/>
                <w:sz w:val="24"/>
              </w:rPr>
              <w:t>本项目采用静电粉末喷塑工艺，喷涂粉末的主要成分为聚酯树脂。静电喷涂是将粉末在封闭的喷塑室内进行，喷塑工序中产生的废气主要是静电喷塑粉尘，</w:t>
            </w:r>
            <w:r>
              <w:rPr>
                <w:sz w:val="24"/>
              </w:rPr>
              <w:t>参照《排放源统计调查产排污核算方法和系数手册》的公告(公告2021年第24号)中“33</w:t>
            </w:r>
            <w:r>
              <w:rPr>
                <w:rFonts w:hint="eastAsia"/>
                <w:sz w:val="24"/>
                <w:lang w:val="en-US" w:eastAsia="zh-CN"/>
              </w:rPr>
              <w:t xml:space="preserve"> </w:t>
            </w:r>
            <w:r>
              <w:rPr>
                <w:sz w:val="24"/>
              </w:rPr>
              <w:t>金属制品业行业系数手册”中“</w:t>
            </w:r>
            <w:r>
              <w:rPr>
                <w:rFonts w:hint="eastAsia"/>
                <w:sz w:val="24"/>
              </w:rPr>
              <w:t>14涂装</w:t>
            </w:r>
            <w:r>
              <w:rPr>
                <w:sz w:val="24"/>
              </w:rPr>
              <w:t>核算环节”的产污系数进行核算，产污系数为</w:t>
            </w:r>
            <w:r>
              <w:rPr>
                <w:rFonts w:hint="eastAsia"/>
                <w:sz w:val="24"/>
              </w:rPr>
              <w:t>300</w:t>
            </w:r>
            <w:r>
              <w:rPr>
                <w:sz w:val="24"/>
              </w:rPr>
              <w:t>千克/（吨-原料）</w:t>
            </w:r>
            <w:r>
              <w:rPr>
                <w:rFonts w:hint="eastAsia"/>
                <w:sz w:val="24"/>
              </w:rPr>
              <w:t>，企业年使用热固性粉末</w:t>
            </w:r>
            <w:r>
              <w:rPr>
                <w:rFonts w:hint="eastAsia"/>
                <w:sz w:val="24"/>
                <w:lang w:val="en-US" w:eastAsia="zh-CN"/>
              </w:rPr>
              <w:t>8</w:t>
            </w:r>
            <w:r>
              <w:rPr>
                <w:rFonts w:hint="eastAsia"/>
                <w:sz w:val="24"/>
              </w:rPr>
              <w:t>t，则喷塑粉尘产生量为</w:t>
            </w:r>
            <w:r>
              <w:rPr>
                <w:rFonts w:hint="eastAsia"/>
                <w:sz w:val="24"/>
                <w:lang w:val="en-US" w:eastAsia="zh-CN"/>
              </w:rPr>
              <w:t>2.4</w:t>
            </w:r>
            <w:r>
              <w:rPr>
                <w:rFonts w:hint="eastAsia"/>
                <w:sz w:val="24"/>
              </w:rPr>
              <w:t>t/a。喷塑生产线在单独的喷塑房内，粉尘采用封闭空间+旋风除尘+滤芯除尘器，收集效率按</w:t>
            </w:r>
            <w:r>
              <w:rPr>
                <w:rFonts w:hint="eastAsia"/>
                <w:sz w:val="24"/>
                <w:lang w:val="en-US" w:eastAsia="zh-CN"/>
              </w:rPr>
              <w:t>98</w:t>
            </w:r>
            <w:r>
              <w:rPr>
                <w:rFonts w:hint="eastAsia"/>
                <w:sz w:val="24"/>
              </w:rPr>
              <w:t>%计，去除效率</w:t>
            </w:r>
            <w:r>
              <w:rPr>
                <w:rFonts w:hint="eastAsia"/>
                <w:sz w:val="24"/>
                <w:lang w:val="en-US" w:eastAsia="zh-CN"/>
              </w:rPr>
              <w:t>按99.9</w:t>
            </w:r>
            <w:r>
              <w:rPr>
                <w:rFonts w:hint="eastAsia"/>
                <w:sz w:val="24"/>
              </w:rPr>
              <w:t>%</w:t>
            </w:r>
            <w:r>
              <w:rPr>
                <w:rFonts w:hint="eastAsia"/>
                <w:sz w:val="24"/>
                <w:lang w:val="en-US" w:eastAsia="zh-CN"/>
              </w:rPr>
              <w:t>计</w:t>
            </w:r>
            <w:r>
              <w:rPr>
                <w:rFonts w:hint="eastAsia"/>
                <w:sz w:val="24"/>
              </w:rPr>
              <w:t>，处理后的粉尘经集气罩+两级活性炭吸附装置+15m排气筒排放。风机风量为5000m</w:t>
            </w:r>
            <w:r>
              <w:rPr>
                <w:rFonts w:hint="eastAsia"/>
                <w:sz w:val="24"/>
                <w:vertAlign w:val="superscript"/>
              </w:rPr>
              <w:t>3</w:t>
            </w:r>
            <w:r>
              <w:rPr>
                <w:rFonts w:hint="eastAsia"/>
                <w:sz w:val="24"/>
              </w:rPr>
              <w:t>/h，有组织废气排放量为</w:t>
            </w:r>
            <w:r>
              <w:rPr>
                <w:rFonts w:hint="eastAsia"/>
                <w:sz w:val="24"/>
                <w:lang w:val="en-US" w:eastAsia="zh-CN"/>
              </w:rPr>
              <w:t>0.002</w:t>
            </w:r>
            <w:r>
              <w:rPr>
                <w:rFonts w:hint="eastAsia"/>
                <w:sz w:val="24"/>
              </w:rPr>
              <w:t>t/a，排放速率为0.0</w:t>
            </w:r>
            <w:r>
              <w:rPr>
                <w:rFonts w:hint="eastAsia"/>
                <w:sz w:val="24"/>
                <w:lang w:val="en-US" w:eastAsia="zh-CN"/>
              </w:rPr>
              <w:t>008</w:t>
            </w:r>
            <w:r>
              <w:rPr>
                <w:rFonts w:hint="eastAsia"/>
                <w:sz w:val="24"/>
              </w:rPr>
              <w:t>kg/h，排放速率为</w:t>
            </w:r>
            <w:r>
              <w:rPr>
                <w:rFonts w:hint="eastAsia"/>
                <w:sz w:val="24"/>
                <w:lang w:val="en-US" w:eastAsia="zh-CN"/>
              </w:rPr>
              <w:t>0.167</w:t>
            </w:r>
            <w:r>
              <w:rPr>
                <w:rFonts w:hint="eastAsia"/>
                <w:sz w:val="24"/>
              </w:rPr>
              <w:t>mg/m</w:t>
            </w:r>
            <w:r>
              <w:rPr>
                <w:rFonts w:hint="eastAsia"/>
                <w:sz w:val="24"/>
                <w:vertAlign w:val="superscript"/>
              </w:rPr>
              <w:t>3</w:t>
            </w:r>
            <w:r>
              <w:rPr>
                <w:rFonts w:hint="eastAsia"/>
                <w:sz w:val="24"/>
              </w:rPr>
              <w:t>，未经收集的粉尘车间内无组织排放，喷塑粉尘无组织排放量为0.0</w:t>
            </w:r>
            <w:r>
              <w:rPr>
                <w:rFonts w:hint="eastAsia"/>
                <w:sz w:val="24"/>
                <w:lang w:val="en-US" w:eastAsia="zh-CN"/>
              </w:rPr>
              <w:t>48</w:t>
            </w:r>
            <w:r>
              <w:rPr>
                <w:rFonts w:hint="eastAsia"/>
                <w:sz w:val="24"/>
              </w:rPr>
              <w:t>t/a，排放速率为0.0</w:t>
            </w:r>
            <w:r>
              <w:rPr>
                <w:rFonts w:hint="eastAsia"/>
                <w:sz w:val="24"/>
                <w:lang w:val="en-US" w:eastAsia="zh-CN"/>
              </w:rPr>
              <w:t>2</w:t>
            </w:r>
            <w:r>
              <w:rPr>
                <w:rFonts w:hint="eastAsia"/>
                <w:sz w:val="24"/>
              </w:rPr>
              <w:t>kg/h。</w:t>
            </w:r>
          </w:p>
          <w:p w14:paraId="6245FD89">
            <w:pPr>
              <w:spacing w:line="360" w:lineRule="auto"/>
              <w:ind w:firstLine="442" w:firstLineChars="200"/>
              <w:rPr>
                <w:b/>
                <w:spacing w:val="-10"/>
                <w:sz w:val="24"/>
              </w:rPr>
            </w:pPr>
            <w:r>
              <w:rPr>
                <w:rFonts w:hint="eastAsia"/>
                <w:b/>
                <w:spacing w:val="-10"/>
                <w:sz w:val="24"/>
              </w:rPr>
              <w:t>（4）注塑废气</w:t>
            </w:r>
          </w:p>
          <w:p w14:paraId="0A506C9F">
            <w:pPr>
              <w:pStyle w:val="115"/>
              <w:ind w:firstLine="480"/>
              <w:jc w:val="left"/>
              <w:rPr>
                <w:rFonts w:hint="eastAsia" w:eastAsia="宋体"/>
                <w:lang w:val="en-US" w:eastAsia="zh-CN"/>
              </w:rPr>
            </w:pPr>
            <w:r>
              <w:rPr>
                <w:rFonts w:hint="eastAsia"/>
              </w:rPr>
              <w:t>①</w:t>
            </w:r>
            <w:r>
              <w:rPr>
                <w:rFonts w:hint="eastAsia"/>
                <w:lang w:val="en-US" w:eastAsia="zh-CN"/>
              </w:rPr>
              <w:t>有机废气</w:t>
            </w:r>
          </w:p>
          <w:p w14:paraId="1E18EB31">
            <w:pPr>
              <w:pStyle w:val="115"/>
              <w:ind w:firstLine="480"/>
              <w:jc w:val="left"/>
            </w:pPr>
            <w:r>
              <w:rPr>
                <w:rFonts w:hint="eastAsia"/>
              </w:rPr>
              <w:t>本项目注塑过程中会产生一定量的有机废气，</w:t>
            </w:r>
            <w:r>
              <w:t>根据《排放源统计调查产排污核算方法和系数手册》（公告2021年第24号）2929塑料零件及其他塑料制品制造行业产物系数可知，注塑工艺生产塑料零件挥发性有机物产污系数为2.7kg/t-原料，</w:t>
            </w:r>
            <w:r>
              <w:rPr>
                <w:rFonts w:hint="eastAsia"/>
              </w:rPr>
              <w:t>本项目年使用聚乙烯颗粒</w:t>
            </w:r>
            <w:r>
              <w:rPr>
                <w:rFonts w:hint="eastAsia"/>
                <w:lang w:val="en-US" w:eastAsia="zh-CN"/>
              </w:rPr>
              <w:t>960</w:t>
            </w:r>
            <w:r>
              <w:rPr>
                <w:rFonts w:hint="eastAsia"/>
              </w:rPr>
              <w:t>t/a，</w:t>
            </w:r>
            <w:r>
              <w:t>则</w:t>
            </w:r>
            <w:r>
              <w:rPr>
                <w:rFonts w:hint="eastAsia"/>
              </w:rPr>
              <w:t>非甲烷总烃</w:t>
            </w:r>
            <w:r>
              <w:t>产生量为</w:t>
            </w:r>
            <w:r>
              <w:rPr>
                <w:rFonts w:hint="eastAsia"/>
                <w:lang w:val="en-US" w:eastAsia="zh-CN"/>
              </w:rPr>
              <w:t>2.592</w:t>
            </w:r>
            <w:r>
              <w:rPr>
                <w:rFonts w:hint="eastAsia"/>
              </w:rPr>
              <w:t>t</w:t>
            </w:r>
            <w:r>
              <w:t>/a，</w:t>
            </w:r>
            <w:r>
              <w:rPr>
                <w:rFonts w:hint="eastAsia"/>
              </w:rPr>
              <w:t>产生速率</w:t>
            </w:r>
            <w:r>
              <w:rPr>
                <w:rFonts w:hint="eastAsia"/>
                <w:lang w:val="en-US" w:eastAsia="zh-CN"/>
              </w:rPr>
              <w:t>1.08</w:t>
            </w:r>
            <w:r>
              <w:rPr>
                <w:rFonts w:hint="eastAsia"/>
              </w:rPr>
              <w:t>kg/h。</w:t>
            </w:r>
          </w:p>
          <w:p w14:paraId="66BCE2E5">
            <w:pPr>
              <w:spacing w:line="360" w:lineRule="auto"/>
              <w:ind w:firstLine="480" w:firstLineChars="200"/>
              <w:rPr>
                <w:sz w:val="24"/>
              </w:rPr>
            </w:pPr>
            <w:r>
              <w:rPr>
                <w:rFonts w:hint="eastAsia"/>
                <w:sz w:val="24"/>
              </w:rPr>
              <w:t>为有效捕集废气，应根据废气源周围空气运动的速度、废气的有害程度，使集气罩在该处造成一个吸收速度（称为控制风速）。要在废气源点造成一定的控制风速，必须有相应的罩口风速（罩口面风速）。对一定形式的集气罩，风量愈大，罩口风速愈大，控制风速也愈大，废气就容易被捕集。</w:t>
            </w:r>
          </w:p>
          <w:p w14:paraId="16F78CE3">
            <w:pPr>
              <w:spacing w:line="360" w:lineRule="auto"/>
              <w:ind w:firstLine="480" w:firstLineChars="200"/>
              <w:rPr>
                <w:sz w:val="24"/>
              </w:rPr>
            </w:pPr>
            <w:r>
              <w:rPr>
                <w:rFonts w:hint="eastAsia"/>
                <w:sz w:val="24"/>
              </w:rPr>
              <w:t>根据生态环境部《2020年挥发性有机物治理攻坚方案》（环大气〔2020〕33号）：“对于采用局部集气罩的，应根据废气排放特点合理选择收集点位，距集气罩开口面最远处的VOCs无组织排放位置，控制风速不低于0.3米/秒。”</w:t>
            </w:r>
          </w:p>
          <w:p w14:paraId="4C17EF49">
            <w:pPr>
              <w:spacing w:line="360" w:lineRule="auto"/>
              <w:ind w:firstLine="480" w:firstLineChars="200"/>
              <w:rPr>
                <w:sz w:val="24"/>
              </w:rPr>
            </w:pPr>
            <w:r>
              <w:rPr>
                <w:rFonts w:hint="eastAsia"/>
                <w:sz w:val="24"/>
              </w:rPr>
              <w:t>集气罩风量按如下公式（参照《环境工程设计手册》）进行计算：</w:t>
            </w:r>
          </w:p>
          <w:p w14:paraId="225B60A4">
            <w:pPr>
              <w:spacing w:line="360" w:lineRule="auto"/>
              <w:ind w:firstLine="1440" w:firstLineChars="600"/>
              <w:rPr>
                <w:sz w:val="24"/>
              </w:rPr>
            </w:pPr>
            <w:r>
              <w:rPr>
                <w:sz w:val="24"/>
              </w:rPr>
              <w:t>Q=kPHVx</w:t>
            </w:r>
          </w:p>
          <w:p w14:paraId="6C6EFB53">
            <w:pPr>
              <w:spacing w:line="360" w:lineRule="auto"/>
              <w:ind w:firstLine="1440" w:firstLineChars="600"/>
              <w:rPr>
                <w:sz w:val="24"/>
              </w:rPr>
            </w:pPr>
            <w:r>
              <w:rPr>
                <w:sz w:val="24"/>
              </w:rPr>
              <w:t>式中：Q——风量m</w:t>
            </w:r>
            <w:r>
              <w:rPr>
                <w:rFonts w:hint="eastAsia"/>
                <w:sz w:val="24"/>
                <w:vertAlign w:val="superscript"/>
              </w:rPr>
              <w:t>3</w:t>
            </w:r>
            <w:r>
              <w:rPr>
                <w:sz w:val="24"/>
              </w:rPr>
              <w:t>/s</w:t>
            </w:r>
            <w:r>
              <w:rPr>
                <w:rFonts w:hint="eastAsia"/>
                <w:sz w:val="24"/>
              </w:rPr>
              <w:t>；</w:t>
            </w:r>
          </w:p>
          <w:p w14:paraId="62CD35C0">
            <w:pPr>
              <w:spacing w:line="360" w:lineRule="auto"/>
              <w:ind w:firstLine="1440" w:firstLineChars="600"/>
              <w:rPr>
                <w:sz w:val="24"/>
              </w:rPr>
            </w:pPr>
            <w:r>
              <w:rPr>
                <w:sz w:val="24"/>
              </w:rPr>
              <w:t>k——考虑沿高度速度分布不均的安全系数，通常取k=1.4</w:t>
            </w:r>
            <w:r>
              <w:rPr>
                <w:rFonts w:hint="eastAsia"/>
                <w:sz w:val="24"/>
              </w:rPr>
              <w:t>；</w:t>
            </w:r>
          </w:p>
          <w:p w14:paraId="3D3B547C">
            <w:pPr>
              <w:spacing w:line="360" w:lineRule="auto"/>
              <w:ind w:firstLine="1440" w:firstLineChars="600"/>
              <w:rPr>
                <w:sz w:val="24"/>
              </w:rPr>
            </w:pPr>
            <w:r>
              <w:rPr>
                <w:sz w:val="24"/>
              </w:rPr>
              <w:t>P——罩口敞开周长m</w:t>
            </w:r>
            <w:r>
              <w:rPr>
                <w:rFonts w:hint="eastAsia"/>
                <w:sz w:val="24"/>
              </w:rPr>
              <w:t>；（本项目集气罩规格设置为300mm×300mm，周长为1.2m）</w:t>
            </w:r>
          </w:p>
          <w:p w14:paraId="00E3AF28">
            <w:pPr>
              <w:spacing w:line="360" w:lineRule="auto"/>
              <w:ind w:firstLine="1440" w:firstLineChars="600"/>
              <w:rPr>
                <w:sz w:val="24"/>
              </w:rPr>
            </w:pPr>
            <w:r>
              <w:rPr>
                <w:sz w:val="24"/>
              </w:rPr>
              <w:t>H——罩口距污染源的距离（本项目取0.</w:t>
            </w:r>
            <w:r>
              <w:rPr>
                <w:rFonts w:hint="eastAsia"/>
                <w:sz w:val="24"/>
              </w:rPr>
              <w:t>2</w:t>
            </w:r>
            <w:r>
              <w:rPr>
                <w:sz w:val="24"/>
              </w:rPr>
              <w:t>m）</w:t>
            </w:r>
            <w:r>
              <w:rPr>
                <w:rFonts w:hint="eastAsia"/>
                <w:sz w:val="24"/>
              </w:rPr>
              <w:t>；</w:t>
            </w:r>
          </w:p>
          <w:p w14:paraId="366801D1">
            <w:pPr>
              <w:spacing w:line="360" w:lineRule="auto"/>
              <w:ind w:firstLine="1440" w:firstLineChars="600"/>
              <w:rPr>
                <w:sz w:val="24"/>
              </w:rPr>
            </w:pPr>
            <w:r>
              <w:rPr>
                <w:sz w:val="24"/>
              </w:rPr>
              <w:t>Vx——控制速度m/s（本项目取0.</w:t>
            </w:r>
            <w:r>
              <w:rPr>
                <w:rFonts w:hint="eastAsia"/>
                <w:sz w:val="24"/>
              </w:rPr>
              <w:t>5</w:t>
            </w:r>
            <w:r>
              <w:rPr>
                <w:sz w:val="24"/>
              </w:rPr>
              <w:t>m/s）</w:t>
            </w:r>
            <w:r>
              <w:rPr>
                <w:rFonts w:hint="eastAsia"/>
                <w:sz w:val="24"/>
              </w:rPr>
              <w:t>。</w:t>
            </w:r>
          </w:p>
          <w:p w14:paraId="3D64E671">
            <w:pPr>
              <w:spacing w:line="360" w:lineRule="auto"/>
              <w:ind w:firstLine="480" w:firstLineChars="200"/>
              <w:rPr>
                <w:sz w:val="24"/>
              </w:rPr>
            </w:pPr>
            <w:r>
              <w:rPr>
                <w:sz w:val="24"/>
              </w:rPr>
              <w:t>由此</w:t>
            </w:r>
            <w:r>
              <w:rPr>
                <w:rFonts w:hint="eastAsia"/>
                <w:sz w:val="24"/>
              </w:rPr>
              <w:t>，每注塑机安装的集气罩风量计算值Q=1.4×1.2×0.2×0.5×3600=604.8m</w:t>
            </w:r>
            <w:r>
              <w:rPr>
                <w:rFonts w:hint="eastAsia"/>
                <w:sz w:val="24"/>
                <w:vertAlign w:val="superscript"/>
              </w:rPr>
              <w:t>3</w:t>
            </w:r>
            <w:r>
              <w:rPr>
                <w:rFonts w:hint="eastAsia"/>
                <w:sz w:val="24"/>
              </w:rPr>
              <w:t>/h。本项目共有</w:t>
            </w:r>
            <w:r>
              <w:rPr>
                <w:rFonts w:hint="eastAsia"/>
                <w:sz w:val="24"/>
                <w:lang w:val="en-US" w:eastAsia="zh-CN"/>
              </w:rPr>
              <w:t>7</w:t>
            </w:r>
            <w:r>
              <w:rPr>
                <w:rFonts w:hint="eastAsia"/>
                <w:sz w:val="24"/>
              </w:rPr>
              <w:t>台注塑机，共</w:t>
            </w:r>
            <w:r>
              <w:rPr>
                <w:rFonts w:hint="eastAsia"/>
                <w:sz w:val="24"/>
                <w:lang w:val="en-US" w:eastAsia="zh-CN"/>
              </w:rPr>
              <w:t>7</w:t>
            </w:r>
            <w:r>
              <w:rPr>
                <w:rFonts w:hint="eastAsia"/>
                <w:sz w:val="24"/>
              </w:rPr>
              <w:t>个集气罩，则注塑废气收集系统所需计算风量=604.8×</w:t>
            </w:r>
            <w:r>
              <w:rPr>
                <w:rFonts w:hint="eastAsia"/>
                <w:sz w:val="24"/>
                <w:lang w:val="en-US" w:eastAsia="zh-CN"/>
              </w:rPr>
              <w:t>7</w:t>
            </w:r>
            <w:r>
              <w:rPr>
                <w:rFonts w:hint="eastAsia"/>
                <w:sz w:val="24"/>
              </w:rPr>
              <w:t>=</w:t>
            </w:r>
            <w:r>
              <w:rPr>
                <w:rFonts w:hint="eastAsia"/>
                <w:sz w:val="24"/>
                <w:lang w:val="en-US" w:eastAsia="zh-CN"/>
              </w:rPr>
              <w:t>4233.6</w:t>
            </w:r>
            <w:r>
              <w:rPr>
                <w:rFonts w:hint="eastAsia"/>
                <w:sz w:val="24"/>
              </w:rPr>
              <w:t>m</w:t>
            </w:r>
            <w:r>
              <w:rPr>
                <w:rFonts w:hint="eastAsia"/>
                <w:sz w:val="24"/>
                <w:vertAlign w:val="superscript"/>
              </w:rPr>
              <w:t>3</w:t>
            </w:r>
            <w:r>
              <w:rPr>
                <w:rFonts w:hint="eastAsia"/>
                <w:sz w:val="24"/>
              </w:rPr>
              <w:t>/h，考虑到系统损耗，设计总排风量</w:t>
            </w:r>
            <w:r>
              <w:rPr>
                <w:rFonts w:hint="eastAsia"/>
                <w:sz w:val="24"/>
                <w:lang w:val="en-US" w:eastAsia="zh-CN"/>
              </w:rPr>
              <w:t>7000</w:t>
            </w:r>
            <w:r>
              <w:rPr>
                <w:rFonts w:hint="eastAsia"/>
                <w:sz w:val="24"/>
              </w:rPr>
              <w:t>m</w:t>
            </w:r>
            <w:r>
              <w:rPr>
                <w:rFonts w:hint="eastAsia"/>
                <w:sz w:val="24"/>
                <w:vertAlign w:val="superscript"/>
              </w:rPr>
              <w:t>3</w:t>
            </w:r>
            <w:r>
              <w:rPr>
                <w:rFonts w:hint="eastAsia"/>
                <w:sz w:val="24"/>
              </w:rPr>
              <w:t>/h。</w:t>
            </w:r>
          </w:p>
          <w:p w14:paraId="3042D69A">
            <w:pPr>
              <w:spacing w:line="360" w:lineRule="auto"/>
              <w:ind w:firstLine="480" w:firstLineChars="200"/>
              <w:rPr>
                <w:sz w:val="24"/>
              </w:rPr>
            </w:pPr>
            <w:r>
              <w:rPr>
                <w:rFonts w:hint="eastAsia"/>
                <w:sz w:val="24"/>
              </w:rPr>
              <w:t>在注塑机设备上方设置集气罩，由一根主风管收集，参照广东省生态环境厅印发的《广东省工业源挥发性有机物减排量核算方法（试行）》、《浙江省重点行业 VOCs 污染排放源排放量计算方法（1.0 版）》废气收集集气效率参考值，企业在注塑机出料口上方设半包围集气罩，收集效率取50%。参照《排放源统计调查产排污核算方法和系数手册》（公告 2021 年第 24 号）中各行业给出的活性炭净化效率系数表，同时类比同类型项目活性炭的吸附效率，活性炭吸附效率在60%-80%之间，本项目两级活性炭处理效率按70%考虑；收集后的废气经两级活性炭吸附装置处理，再通过15m高排气筒排放。</w:t>
            </w:r>
          </w:p>
          <w:p w14:paraId="7587B510">
            <w:pPr>
              <w:spacing w:line="360" w:lineRule="auto"/>
              <w:ind w:firstLine="480" w:firstLineChars="200"/>
              <w:rPr>
                <w:sz w:val="24"/>
              </w:rPr>
            </w:pPr>
            <w:r>
              <w:rPr>
                <w:rFonts w:hint="eastAsia" w:ascii="Times New Roman" w:hAnsi="Times New Roman" w:cs="Times New Roman"/>
                <w:sz w:val="24"/>
              </w:rPr>
              <w:t>综上，挥发性有机污染物（以非甲烷总烃计）产生量为</w:t>
            </w:r>
            <w:r>
              <w:rPr>
                <w:rFonts w:hint="eastAsia" w:ascii="Times New Roman" w:hAnsi="Times New Roman" w:cs="Times New Roman"/>
                <w:sz w:val="24"/>
                <w:lang w:val="en-US" w:eastAsia="zh-CN"/>
              </w:rPr>
              <w:t>2.592</w:t>
            </w:r>
            <w:r>
              <w:rPr>
                <w:rFonts w:hint="eastAsia" w:ascii="Times New Roman" w:hAnsi="Times New Roman" w:cs="Times New Roman"/>
                <w:sz w:val="24"/>
              </w:rPr>
              <w:t>t/a，</w:t>
            </w:r>
            <w:r>
              <w:rPr>
                <w:rFonts w:hint="eastAsia"/>
                <w:sz w:val="24"/>
              </w:rPr>
              <w:t>有机废气经集气罩+两级活性炭装置（DA001）处理后通过15m排气筒排放，未收集部分加强车间通风排放，风机的风量设计为</w:t>
            </w:r>
            <w:r>
              <w:rPr>
                <w:rFonts w:hint="eastAsia"/>
                <w:sz w:val="24"/>
                <w:lang w:val="en-US" w:eastAsia="zh-CN"/>
              </w:rPr>
              <w:t>7</w:t>
            </w:r>
            <w:r>
              <w:rPr>
                <w:rFonts w:hint="eastAsia"/>
                <w:sz w:val="24"/>
              </w:rPr>
              <w:t>000m</w:t>
            </w:r>
            <w:r>
              <w:rPr>
                <w:rFonts w:hint="eastAsia"/>
                <w:sz w:val="24"/>
                <w:vertAlign w:val="superscript"/>
              </w:rPr>
              <w:t>3</w:t>
            </w:r>
            <w:r>
              <w:rPr>
                <w:rFonts w:hint="eastAsia"/>
                <w:sz w:val="24"/>
              </w:rPr>
              <w:t xml:space="preserve">/h，收集效率为50%，《排放源统计调查产排污核算方法和系数手册》（公告2021年第24号）中各行业给出的活性炭净化效率系数，两级活性炭处理效率按70%，年工作时间为2400h。  </w:t>
            </w:r>
          </w:p>
          <w:p w14:paraId="27414C71">
            <w:pPr>
              <w:spacing w:line="360" w:lineRule="auto"/>
              <w:ind w:firstLine="480" w:firstLineChars="200"/>
              <w:rPr>
                <w:sz w:val="24"/>
              </w:rPr>
            </w:pPr>
            <w:r>
              <w:rPr>
                <w:rFonts w:hint="eastAsia"/>
                <w:sz w:val="24"/>
              </w:rPr>
              <w:t>挥发性有机污染物（以非甲烷总烃计）有组织排放量为</w:t>
            </w:r>
            <w:r>
              <w:rPr>
                <w:rFonts w:hint="eastAsia"/>
                <w:sz w:val="24"/>
                <w:lang w:val="en-US" w:eastAsia="zh-CN"/>
              </w:rPr>
              <w:t>0.39</w:t>
            </w:r>
            <w:r>
              <w:rPr>
                <w:rFonts w:hint="eastAsia"/>
                <w:sz w:val="24"/>
              </w:rPr>
              <w:t>t/a，排放速率为0.1</w:t>
            </w:r>
            <w:r>
              <w:rPr>
                <w:rFonts w:hint="eastAsia"/>
                <w:sz w:val="24"/>
                <w:lang w:val="en-US" w:eastAsia="zh-CN"/>
              </w:rPr>
              <w:t>63</w:t>
            </w:r>
            <w:r>
              <w:rPr>
                <w:rFonts w:hint="eastAsia"/>
                <w:sz w:val="24"/>
              </w:rPr>
              <w:t>kg/h，排放浓度为</w:t>
            </w:r>
            <w:r>
              <w:rPr>
                <w:rFonts w:hint="eastAsia"/>
                <w:sz w:val="24"/>
                <w:lang w:val="en-US" w:eastAsia="zh-CN"/>
              </w:rPr>
              <w:t>23.21</w:t>
            </w:r>
            <w:r>
              <w:rPr>
                <w:rFonts w:hint="eastAsia"/>
                <w:sz w:val="24"/>
              </w:rPr>
              <w:t>mg/m</w:t>
            </w:r>
            <w:r>
              <w:rPr>
                <w:rFonts w:hint="eastAsia"/>
                <w:sz w:val="24"/>
                <w:vertAlign w:val="superscript"/>
              </w:rPr>
              <w:t>3</w:t>
            </w:r>
            <w:r>
              <w:rPr>
                <w:rFonts w:hint="eastAsia"/>
                <w:sz w:val="24"/>
              </w:rPr>
              <w:t>；无组织排放量为</w:t>
            </w:r>
            <w:r>
              <w:rPr>
                <w:rFonts w:hint="eastAsia"/>
                <w:sz w:val="24"/>
                <w:lang w:val="en-US" w:eastAsia="zh-CN"/>
              </w:rPr>
              <w:t>1.296</w:t>
            </w:r>
            <w:r>
              <w:rPr>
                <w:rFonts w:hint="eastAsia"/>
                <w:sz w:val="24"/>
              </w:rPr>
              <w:t>t/a，排放速率为0.</w:t>
            </w:r>
            <w:r>
              <w:rPr>
                <w:rFonts w:hint="eastAsia"/>
                <w:sz w:val="24"/>
                <w:lang w:val="en-US" w:eastAsia="zh-CN"/>
              </w:rPr>
              <w:t>54</w:t>
            </w:r>
            <w:r>
              <w:rPr>
                <w:rFonts w:hint="eastAsia"/>
                <w:sz w:val="24"/>
              </w:rPr>
              <w:t>kg/h。未收集处理的挥发性有机污染物车间内无组织排放。</w:t>
            </w:r>
          </w:p>
          <w:p w14:paraId="5C8554DF">
            <w:pPr>
              <w:pStyle w:val="11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2"/>
              <w:textAlignment w:val="auto"/>
              <w:rPr>
                <w:rFonts w:hint="default" w:ascii="Times New Roman" w:hAnsi="Times New Roman" w:eastAsia="宋体" w:cs="Times New Roman"/>
                <w:color w:val="auto"/>
                <w:lang w:val="en-US" w:eastAsia="zh-CN"/>
              </w:rPr>
            </w:pPr>
            <w:r>
              <w:rPr>
                <w:rFonts w:hint="eastAsia" w:ascii="Times New Roman" w:hAnsi="Times New Roman" w:eastAsia="宋体" w:cs="Times New Roman"/>
                <w:sz w:val="24"/>
              </w:rPr>
              <w:t>②</w:t>
            </w:r>
            <w:r>
              <w:rPr>
                <w:rFonts w:hint="eastAsia" w:ascii="Times New Roman" w:hAnsi="Times New Roman" w:eastAsia="宋体" w:cs="Times New Roman"/>
                <w:color w:val="auto"/>
                <w:lang w:val="en-US" w:eastAsia="zh-CN"/>
              </w:rPr>
              <w:t>臭气浓度</w:t>
            </w:r>
          </w:p>
          <w:p w14:paraId="275FE2EC">
            <w:pPr>
              <w:pStyle w:val="11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ascii="Times New Roman" w:hAnsi="Times New Roman" w:eastAsia="宋体" w:cs="Times New Roman"/>
                <w:sz w:val="24"/>
              </w:rPr>
            </w:pPr>
            <w:r>
              <w:rPr>
                <w:rFonts w:hint="default" w:ascii="Times New Roman" w:hAnsi="Times New Roman" w:eastAsia="宋体" w:cs="Times New Roman"/>
              </w:rPr>
              <w:t>《排污许可证申请与核发技术规范 橡胶和塑料制品工业》（HJ 1122-2020）将臭气浓度纳入塑料零件生产单位排放的污染物进行考核，本项目使用的</w:t>
            </w:r>
            <w:r>
              <w:rPr>
                <w:rFonts w:hint="eastAsia" w:ascii="Times New Roman" w:hAnsi="Times New Roman" w:eastAsia="宋体" w:cs="Times New Roman"/>
                <w:lang w:val="en-US" w:eastAsia="zh-CN"/>
              </w:rPr>
              <w:t>聚乙烯颗粒物注塑过程中</w:t>
            </w:r>
            <w:r>
              <w:rPr>
                <w:rFonts w:hint="default" w:ascii="Times New Roman" w:hAnsi="Times New Roman" w:eastAsia="宋体" w:cs="Times New Roman"/>
              </w:rPr>
              <w:t>具有刺激性气味，在《恶臭污染物排放标准》（GB14554-93）中被列为恶臭特征污染物。臭气浓度核算参照《芜湖市中美电器有限公司剃须刀外壳生产项目环境影响报告表》，</w:t>
            </w:r>
            <w:r>
              <w:rPr>
                <w:rFonts w:hint="eastAsia" w:ascii="Times New Roman" w:hAnsi="Times New Roman" w:eastAsia="宋体" w:cs="Times New Roman"/>
                <w:lang w:val="en-US" w:eastAsia="zh-CN"/>
              </w:rPr>
              <w:t>本</w:t>
            </w:r>
            <w:r>
              <w:rPr>
                <w:rFonts w:hint="default" w:ascii="Times New Roman" w:hAnsi="Times New Roman" w:eastAsia="宋体" w:cs="Times New Roman"/>
              </w:rPr>
              <w:t>项目使用</w:t>
            </w:r>
            <w:r>
              <w:rPr>
                <w:rFonts w:hint="eastAsia" w:ascii="Times New Roman" w:hAnsi="Times New Roman" w:eastAsia="宋体" w:cs="Times New Roman"/>
                <w:lang w:val="en-US" w:eastAsia="zh-CN"/>
              </w:rPr>
              <w:t>聚乙烯颗粒物1056</w:t>
            </w:r>
            <w:r>
              <w:rPr>
                <w:rFonts w:hint="default" w:ascii="Times New Roman" w:hAnsi="Times New Roman" w:eastAsia="宋体" w:cs="Times New Roman"/>
              </w:rPr>
              <w:t>t/a进行</w:t>
            </w:r>
            <w:r>
              <w:rPr>
                <w:rFonts w:hint="default" w:ascii="Times New Roman" w:hAnsi="Times New Roman" w:eastAsia="宋体" w:cs="Times New Roman"/>
                <w:lang w:val="en-US" w:eastAsia="zh-CN"/>
              </w:rPr>
              <w:t>生产</w:t>
            </w:r>
            <w:r>
              <w:rPr>
                <w:rFonts w:hint="default" w:ascii="Times New Roman" w:hAnsi="Times New Roman" w:eastAsia="宋体" w:cs="Times New Roman"/>
              </w:rPr>
              <w:t>，</w:t>
            </w:r>
            <w:r>
              <w:rPr>
                <w:rFonts w:hint="default" w:ascii="Times New Roman" w:hAnsi="Times New Roman" w:eastAsia="宋体" w:cs="Times New Roman"/>
                <w:lang w:val="en-US" w:eastAsia="zh-CN"/>
              </w:rPr>
              <w:t>注塑</w:t>
            </w:r>
            <w:r>
              <w:rPr>
                <w:rFonts w:hint="default" w:ascii="Times New Roman" w:hAnsi="Times New Roman" w:eastAsia="宋体" w:cs="Times New Roman"/>
              </w:rPr>
              <w:t>废气中有组织臭气浓度产生量≤2000（无量纲）。因此，本项目注塑工艺废气中臭气浓度按≤2000（无量纲）进行计量</w:t>
            </w:r>
            <w:r>
              <w:rPr>
                <w:rFonts w:hint="eastAsia" w:ascii="Times New Roman" w:hAnsi="Times New Roman" w:cs="Times New Roman"/>
                <w:lang w:eastAsia="zh-CN"/>
              </w:rPr>
              <w:t>可行</w:t>
            </w:r>
            <w:r>
              <w:rPr>
                <w:rFonts w:hint="default" w:ascii="Times New Roman" w:hAnsi="Times New Roman" w:eastAsia="宋体" w:cs="Times New Roman"/>
              </w:rPr>
              <w:t>。</w:t>
            </w:r>
          </w:p>
          <w:p w14:paraId="69F914CF">
            <w:pPr>
              <w:snapToGrid w:val="0"/>
              <w:spacing w:line="360" w:lineRule="auto"/>
              <w:ind w:firstLine="482" w:firstLineChars="200"/>
              <w:rPr>
                <w:b/>
                <w:bCs/>
                <w:sz w:val="24"/>
              </w:rPr>
            </w:pPr>
            <w:r>
              <w:rPr>
                <w:rFonts w:hint="eastAsia"/>
                <w:b/>
                <w:bCs/>
                <w:sz w:val="24"/>
              </w:rPr>
              <w:t>（5）天然气燃烧机废气</w:t>
            </w:r>
          </w:p>
          <w:p w14:paraId="3B1D22B3">
            <w:pPr>
              <w:pStyle w:val="2"/>
              <w:snapToGrid w:val="0"/>
              <w:spacing w:line="360" w:lineRule="auto"/>
              <w:ind w:firstLine="480"/>
              <w:rPr>
                <w:rFonts w:ascii="Times New Roman"/>
                <w:b/>
                <w:bCs/>
                <w:color w:val="auto"/>
                <w:sz w:val="21"/>
                <w:szCs w:val="21"/>
              </w:rPr>
            </w:pPr>
            <w:r>
              <w:rPr>
                <w:rFonts w:hint="eastAsia" w:ascii="Times New Roman"/>
                <w:color w:val="auto"/>
              </w:rPr>
              <w:t>烘干</w:t>
            </w:r>
            <w:r>
              <w:rPr>
                <w:rFonts w:ascii="Times New Roman"/>
                <w:color w:val="auto"/>
              </w:rPr>
              <w:t>工艺热源由</w:t>
            </w:r>
            <w:r>
              <w:rPr>
                <w:rFonts w:hint="eastAsia" w:ascii="Times New Roman"/>
                <w:color w:val="auto"/>
              </w:rPr>
              <w:t>天然气燃烧机</w:t>
            </w:r>
            <w:r>
              <w:rPr>
                <w:rFonts w:ascii="Times New Roman"/>
                <w:color w:val="auto"/>
              </w:rPr>
              <w:t>提供，本项目</w:t>
            </w:r>
            <w:r>
              <w:rPr>
                <w:rFonts w:hint="eastAsia" w:ascii="Times New Roman"/>
                <w:color w:val="auto"/>
              </w:rPr>
              <w:t>购买1台燃烧机</w:t>
            </w:r>
            <w:r>
              <w:rPr>
                <w:rFonts w:ascii="Times New Roman"/>
                <w:color w:val="auto"/>
              </w:rPr>
              <w:t>，</w:t>
            </w:r>
            <w:r>
              <w:rPr>
                <w:rFonts w:hint="eastAsia" w:ascii="Times New Roman"/>
                <w:color w:val="auto"/>
              </w:rPr>
              <w:t>燃烧机使用天然气作为燃料，</w:t>
            </w:r>
            <w:r>
              <w:rPr>
                <w:rFonts w:ascii="Times New Roman"/>
                <w:color w:val="auto"/>
              </w:rPr>
              <w:t>参照《工业源产排污系数手册》分析：每燃烧1万m</w:t>
            </w:r>
            <w:r>
              <w:rPr>
                <w:rFonts w:ascii="Times New Roman"/>
                <w:color w:val="auto"/>
                <w:vertAlign w:val="superscript"/>
              </w:rPr>
              <w:t>3</w:t>
            </w:r>
            <w:r>
              <w:rPr>
                <w:rFonts w:ascii="Times New Roman"/>
                <w:color w:val="auto"/>
              </w:rPr>
              <w:t>天然气产生的污染物，产生的废气量</w:t>
            </w:r>
            <w:r>
              <w:rPr>
                <w:rFonts w:hint="eastAsia" w:ascii="Times New Roman"/>
                <w:color w:val="auto"/>
              </w:rPr>
              <w:t>107753</w:t>
            </w:r>
            <w:r>
              <w:rPr>
                <w:rFonts w:ascii="Times New Roman"/>
                <w:color w:val="auto"/>
              </w:rPr>
              <w:t>m</w:t>
            </w:r>
            <w:r>
              <w:rPr>
                <w:rFonts w:ascii="Times New Roman"/>
                <w:color w:val="auto"/>
                <w:vertAlign w:val="superscript"/>
              </w:rPr>
              <w:t>3</w:t>
            </w:r>
            <w:r>
              <w:rPr>
                <w:rFonts w:ascii="Times New Roman"/>
                <w:color w:val="auto"/>
              </w:rPr>
              <w:t>。根据工艺设计，天然气年耗量为</w:t>
            </w:r>
            <w:r>
              <w:rPr>
                <w:rFonts w:hint="eastAsia" w:ascii="Times New Roman"/>
                <w:color w:val="auto"/>
                <w:lang w:val="en-US" w:eastAsia="zh-CN"/>
              </w:rPr>
              <w:t>4.08</w:t>
            </w:r>
            <w:r>
              <w:rPr>
                <w:rFonts w:ascii="Times New Roman"/>
                <w:color w:val="auto"/>
              </w:rPr>
              <w:t>万m</w:t>
            </w:r>
            <w:r>
              <w:rPr>
                <w:rFonts w:ascii="Times New Roman"/>
                <w:color w:val="auto"/>
                <w:vertAlign w:val="superscript"/>
              </w:rPr>
              <w:t>3</w:t>
            </w:r>
            <w:r>
              <w:rPr>
                <w:rFonts w:ascii="Times New Roman"/>
                <w:color w:val="auto"/>
              </w:rPr>
              <w:t>/a，年工作时间</w:t>
            </w:r>
            <w:r>
              <w:rPr>
                <w:rFonts w:hint="eastAsia" w:ascii="Times New Roman"/>
                <w:color w:val="auto"/>
              </w:rPr>
              <w:t>300天，每天工作8小时（2400</w:t>
            </w:r>
            <w:r>
              <w:rPr>
                <w:rFonts w:ascii="Times New Roman"/>
                <w:color w:val="auto"/>
              </w:rPr>
              <w:t>h</w:t>
            </w:r>
            <w:r>
              <w:rPr>
                <w:rFonts w:hint="eastAsia" w:ascii="Times New Roman"/>
                <w:color w:val="auto"/>
              </w:rPr>
              <w:t>）。烘干天然气燃烧机废气</w:t>
            </w:r>
            <w:r>
              <w:rPr>
                <w:rFonts w:hint="eastAsia" w:ascii="Times New Roman"/>
                <w:color w:val="auto"/>
                <w:lang w:val="en-US" w:eastAsia="zh-CN"/>
              </w:rPr>
              <w:t>经排气管+8m排气筒排放</w:t>
            </w:r>
            <w:r>
              <w:rPr>
                <w:rFonts w:hint="eastAsia" w:ascii="Times New Roman"/>
                <w:color w:val="auto"/>
              </w:rPr>
              <w:t>，排气筒编号（DA001）。天然气燃烧机废气</w:t>
            </w:r>
            <w:r>
              <w:rPr>
                <w:rFonts w:ascii="Times New Roman"/>
                <w:color w:val="auto"/>
              </w:rPr>
              <w:t>产排污情况见表</w:t>
            </w:r>
            <w:r>
              <w:rPr>
                <w:rFonts w:hint="eastAsia" w:ascii="Times New Roman"/>
                <w:color w:val="auto"/>
              </w:rPr>
              <w:t>4-1</w:t>
            </w:r>
          </w:p>
          <w:p w14:paraId="3DAB29B3">
            <w:pPr>
              <w:pStyle w:val="75"/>
              <w:adjustRightInd w:val="0"/>
              <w:snapToGrid w:val="0"/>
              <w:ind w:firstLine="482" w:firstLineChars="200"/>
              <w:jc w:val="center"/>
              <w:rPr>
                <w:b/>
                <w:bCs/>
                <w:sz w:val="24"/>
              </w:rPr>
            </w:pPr>
            <w:r>
              <w:rPr>
                <w:b/>
                <w:bCs/>
                <w:sz w:val="24"/>
              </w:rPr>
              <w:t>表</w:t>
            </w:r>
            <w:r>
              <w:rPr>
                <w:rFonts w:hint="eastAsia"/>
                <w:b/>
                <w:bCs/>
                <w:sz w:val="24"/>
              </w:rPr>
              <w:t>4</w:t>
            </w:r>
            <w:r>
              <w:rPr>
                <w:b/>
                <w:bCs/>
                <w:sz w:val="24"/>
              </w:rPr>
              <w:t>-</w:t>
            </w:r>
            <w:r>
              <w:rPr>
                <w:rFonts w:hint="eastAsia"/>
                <w:b/>
                <w:bCs/>
                <w:sz w:val="24"/>
              </w:rPr>
              <w:t>1   天然气燃烧机废气</w:t>
            </w:r>
            <w:r>
              <w:rPr>
                <w:b/>
                <w:bCs/>
                <w:sz w:val="24"/>
              </w:rPr>
              <w:t>产生</w:t>
            </w:r>
            <w:r>
              <w:rPr>
                <w:rFonts w:hint="eastAsia"/>
                <w:b/>
                <w:bCs/>
                <w:sz w:val="24"/>
              </w:rPr>
              <w:t>及排放</w:t>
            </w:r>
            <w:r>
              <w:rPr>
                <w:b/>
                <w:bCs/>
                <w:sz w:val="24"/>
              </w:rPr>
              <w:t>情况</w:t>
            </w:r>
          </w:p>
          <w:tbl>
            <w:tblPr>
              <w:tblStyle w:val="36"/>
              <w:tblW w:w="8269"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18"/>
              <w:gridCol w:w="847"/>
              <w:gridCol w:w="856"/>
              <w:gridCol w:w="1379"/>
              <w:gridCol w:w="1498"/>
              <w:gridCol w:w="1490"/>
              <w:gridCol w:w="1481"/>
            </w:tblGrid>
            <w:tr w14:paraId="7DDCC91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54" w:hRule="atLeast"/>
                <w:jc w:val="center"/>
              </w:trPr>
              <w:tc>
                <w:tcPr>
                  <w:tcW w:w="718" w:type="dxa"/>
                  <w:tcBorders>
                    <w:tl2br w:val="nil"/>
                    <w:tr2bl w:val="nil"/>
                  </w:tcBorders>
                  <w:vAlign w:val="center"/>
                </w:tcPr>
                <w:p w14:paraId="1318C18F">
                  <w:pPr>
                    <w:pStyle w:val="198"/>
                    <w:tabs>
                      <w:tab w:val="left" w:pos="1021"/>
                    </w:tabs>
                  </w:pPr>
                  <w:r>
                    <w:rPr>
                      <w:rFonts w:hint="eastAsia"/>
                    </w:rPr>
                    <w:t>名称</w:t>
                  </w:r>
                </w:p>
              </w:tc>
              <w:tc>
                <w:tcPr>
                  <w:tcW w:w="847" w:type="dxa"/>
                  <w:tcBorders>
                    <w:tl2br w:val="nil"/>
                    <w:tr2bl w:val="nil"/>
                  </w:tcBorders>
                  <w:vAlign w:val="center"/>
                </w:tcPr>
                <w:p w14:paraId="0B9E6887">
                  <w:pPr>
                    <w:pStyle w:val="198"/>
                    <w:tabs>
                      <w:tab w:val="left" w:pos="1021"/>
                    </w:tabs>
                  </w:pPr>
                  <w:r>
                    <w:t>污染物</w:t>
                  </w:r>
                </w:p>
              </w:tc>
              <w:tc>
                <w:tcPr>
                  <w:tcW w:w="856" w:type="dxa"/>
                  <w:tcBorders>
                    <w:tl2br w:val="nil"/>
                    <w:tr2bl w:val="nil"/>
                  </w:tcBorders>
                  <w:tcMar>
                    <w:left w:w="0" w:type="dxa"/>
                    <w:right w:w="0" w:type="dxa"/>
                  </w:tcMar>
                  <w:vAlign w:val="center"/>
                </w:tcPr>
                <w:p w14:paraId="22D5CD7C">
                  <w:pPr>
                    <w:pStyle w:val="198"/>
                    <w:tabs>
                      <w:tab w:val="left" w:pos="1021"/>
                    </w:tabs>
                  </w:pPr>
                  <w:r>
                    <w:t>废气</w:t>
                  </w:r>
                </w:p>
                <w:p w14:paraId="172531A4">
                  <w:pPr>
                    <w:pStyle w:val="198"/>
                    <w:tabs>
                      <w:tab w:val="left" w:pos="1021"/>
                    </w:tabs>
                  </w:pPr>
                  <w:r>
                    <w:t>产生量</w:t>
                  </w:r>
                </w:p>
              </w:tc>
              <w:tc>
                <w:tcPr>
                  <w:tcW w:w="1379" w:type="dxa"/>
                  <w:tcBorders>
                    <w:tl2br w:val="nil"/>
                    <w:tr2bl w:val="nil"/>
                  </w:tcBorders>
                  <w:vAlign w:val="center"/>
                </w:tcPr>
                <w:p w14:paraId="66BE7778">
                  <w:pPr>
                    <w:pStyle w:val="198"/>
                    <w:tabs>
                      <w:tab w:val="left" w:pos="1021"/>
                    </w:tabs>
                  </w:pPr>
                  <w:r>
                    <w:t>污染物</w:t>
                  </w:r>
                </w:p>
                <w:p w14:paraId="2CFD61EF">
                  <w:pPr>
                    <w:pStyle w:val="198"/>
                    <w:tabs>
                      <w:tab w:val="left" w:pos="1021"/>
                    </w:tabs>
                  </w:pPr>
                  <w:r>
                    <w:t>产生量</w:t>
                  </w:r>
                </w:p>
              </w:tc>
              <w:tc>
                <w:tcPr>
                  <w:tcW w:w="1498" w:type="dxa"/>
                  <w:tcBorders>
                    <w:tl2br w:val="nil"/>
                    <w:tr2bl w:val="nil"/>
                  </w:tcBorders>
                  <w:vAlign w:val="center"/>
                </w:tcPr>
                <w:p w14:paraId="61CE1FE5">
                  <w:pPr>
                    <w:pStyle w:val="198"/>
                    <w:tabs>
                      <w:tab w:val="left" w:pos="1021"/>
                    </w:tabs>
                  </w:pPr>
                  <w:r>
                    <w:t>污染物</w:t>
                  </w:r>
                </w:p>
                <w:p w14:paraId="6C5B3271">
                  <w:pPr>
                    <w:pStyle w:val="198"/>
                    <w:tabs>
                      <w:tab w:val="left" w:pos="1021"/>
                    </w:tabs>
                  </w:pPr>
                  <w:r>
                    <w:t>产生浓度</w:t>
                  </w:r>
                </w:p>
              </w:tc>
              <w:tc>
                <w:tcPr>
                  <w:tcW w:w="1490" w:type="dxa"/>
                  <w:tcBorders>
                    <w:tl2br w:val="nil"/>
                    <w:tr2bl w:val="nil"/>
                  </w:tcBorders>
                  <w:vAlign w:val="center"/>
                </w:tcPr>
                <w:p w14:paraId="6EA2B6A7">
                  <w:pPr>
                    <w:pStyle w:val="198"/>
                    <w:tabs>
                      <w:tab w:val="left" w:pos="1021"/>
                    </w:tabs>
                  </w:pPr>
                  <w:r>
                    <w:t>污染物</w:t>
                  </w:r>
                </w:p>
                <w:p w14:paraId="4B46651E">
                  <w:pPr>
                    <w:pStyle w:val="198"/>
                    <w:tabs>
                      <w:tab w:val="left" w:pos="1021"/>
                    </w:tabs>
                  </w:pPr>
                  <w:r>
                    <w:rPr>
                      <w:rFonts w:hint="eastAsia"/>
                    </w:rPr>
                    <w:t>排放</w:t>
                  </w:r>
                  <w:r>
                    <w:t>量</w:t>
                  </w:r>
                </w:p>
              </w:tc>
              <w:tc>
                <w:tcPr>
                  <w:tcW w:w="1481" w:type="dxa"/>
                  <w:tcBorders>
                    <w:tl2br w:val="nil"/>
                    <w:tr2bl w:val="nil"/>
                  </w:tcBorders>
                  <w:vAlign w:val="center"/>
                </w:tcPr>
                <w:p w14:paraId="605307BA">
                  <w:pPr>
                    <w:pStyle w:val="198"/>
                    <w:tabs>
                      <w:tab w:val="left" w:pos="1021"/>
                    </w:tabs>
                  </w:pPr>
                  <w:r>
                    <w:t>污染物</w:t>
                  </w:r>
                </w:p>
                <w:p w14:paraId="3B1397B5">
                  <w:pPr>
                    <w:pStyle w:val="198"/>
                    <w:tabs>
                      <w:tab w:val="left" w:pos="1021"/>
                    </w:tabs>
                  </w:pPr>
                  <w:r>
                    <w:rPr>
                      <w:rFonts w:hint="eastAsia"/>
                    </w:rPr>
                    <w:t>排放</w:t>
                  </w:r>
                  <w:r>
                    <w:t>浓度</w:t>
                  </w:r>
                </w:p>
              </w:tc>
            </w:tr>
            <w:tr w14:paraId="65FA76E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718" w:type="dxa"/>
                  <w:vMerge w:val="restart"/>
                  <w:tcBorders>
                    <w:tl2br w:val="nil"/>
                    <w:tr2bl w:val="nil"/>
                  </w:tcBorders>
                  <w:vAlign w:val="center"/>
                </w:tcPr>
                <w:p w14:paraId="294BACC4">
                  <w:pPr>
                    <w:pStyle w:val="198"/>
                    <w:tabs>
                      <w:tab w:val="left" w:pos="1021"/>
                    </w:tabs>
                  </w:pPr>
                  <w:r>
                    <w:rPr>
                      <w:rFonts w:hint="eastAsia"/>
                    </w:rPr>
                    <w:t>燃烧机</w:t>
                  </w:r>
                </w:p>
              </w:tc>
              <w:tc>
                <w:tcPr>
                  <w:tcW w:w="847" w:type="dxa"/>
                  <w:tcBorders>
                    <w:tl2br w:val="nil"/>
                    <w:tr2bl w:val="nil"/>
                  </w:tcBorders>
                  <w:vAlign w:val="center"/>
                </w:tcPr>
                <w:p w14:paraId="4EF97FE2">
                  <w:pPr>
                    <w:pStyle w:val="198"/>
                    <w:tabs>
                      <w:tab w:val="left" w:pos="1021"/>
                    </w:tabs>
                  </w:pPr>
                  <w:r>
                    <w:t>SO</w:t>
                  </w:r>
                  <w:r>
                    <w:rPr>
                      <w:vertAlign w:val="subscript"/>
                    </w:rPr>
                    <w:t>2</w:t>
                  </w:r>
                </w:p>
              </w:tc>
              <w:tc>
                <w:tcPr>
                  <w:tcW w:w="856" w:type="dxa"/>
                  <w:vMerge w:val="restart"/>
                  <w:tcBorders>
                    <w:tl2br w:val="nil"/>
                    <w:tr2bl w:val="nil"/>
                  </w:tcBorders>
                  <w:tcMar>
                    <w:left w:w="0" w:type="dxa"/>
                    <w:right w:w="0" w:type="dxa"/>
                  </w:tcMar>
                  <w:vAlign w:val="center"/>
                </w:tcPr>
                <w:p w14:paraId="166D12EC">
                  <w:pPr>
                    <w:pStyle w:val="198"/>
                    <w:tabs>
                      <w:tab w:val="left" w:pos="1021"/>
                    </w:tabs>
                  </w:pPr>
                  <w:r>
                    <w:rPr>
                      <w:rFonts w:hint="eastAsia"/>
                      <w:lang w:val="en-US" w:eastAsia="zh-CN"/>
                    </w:rPr>
                    <w:t>43.9632</w:t>
                  </w:r>
                  <w:r>
                    <w:rPr>
                      <w:rFonts w:hint="eastAsia"/>
                    </w:rPr>
                    <w:t>万m</w:t>
                  </w:r>
                  <w:r>
                    <w:rPr>
                      <w:rFonts w:hint="eastAsia"/>
                      <w:vertAlign w:val="superscript"/>
                    </w:rPr>
                    <w:t>3</w:t>
                  </w:r>
                  <w:r>
                    <w:t>/年</w:t>
                  </w:r>
                </w:p>
              </w:tc>
              <w:tc>
                <w:tcPr>
                  <w:tcW w:w="1379" w:type="dxa"/>
                  <w:tcBorders>
                    <w:tl2br w:val="nil"/>
                    <w:tr2bl w:val="nil"/>
                  </w:tcBorders>
                  <w:vAlign w:val="center"/>
                </w:tcPr>
                <w:p w14:paraId="71EE922B">
                  <w:pPr>
                    <w:pStyle w:val="198"/>
                    <w:tabs>
                      <w:tab w:val="left" w:pos="1021"/>
                    </w:tabs>
                  </w:pPr>
                  <w:r>
                    <w:rPr>
                      <w:rFonts w:hint="eastAsia"/>
                    </w:rPr>
                    <w:t>0.0001</w:t>
                  </w:r>
                  <w:r>
                    <w:rPr>
                      <w:rFonts w:hint="eastAsia"/>
                      <w:lang w:val="en-US" w:eastAsia="zh-CN"/>
                    </w:rPr>
                    <w:t>6</w:t>
                  </w:r>
                  <w:r>
                    <w:rPr>
                      <w:rFonts w:hint="eastAsia"/>
                    </w:rPr>
                    <w:t>t/a</w:t>
                  </w:r>
                </w:p>
              </w:tc>
              <w:tc>
                <w:tcPr>
                  <w:tcW w:w="1498" w:type="dxa"/>
                  <w:tcBorders>
                    <w:tl2br w:val="nil"/>
                    <w:tr2bl w:val="nil"/>
                  </w:tcBorders>
                  <w:vAlign w:val="center"/>
                </w:tcPr>
                <w:p w14:paraId="72EE5ED3">
                  <w:pPr>
                    <w:pStyle w:val="198"/>
                    <w:tabs>
                      <w:tab w:val="left" w:pos="1021"/>
                    </w:tabs>
                  </w:pPr>
                  <w:r>
                    <w:rPr>
                      <w:rFonts w:hint="eastAsia"/>
                    </w:rPr>
                    <w:t>3.64</w:t>
                  </w:r>
                  <w:r>
                    <w:t>mg/m</w:t>
                  </w:r>
                  <w:r>
                    <w:rPr>
                      <w:vertAlign w:val="superscript"/>
                    </w:rPr>
                    <w:t>3</w:t>
                  </w:r>
                </w:p>
              </w:tc>
              <w:tc>
                <w:tcPr>
                  <w:tcW w:w="1490" w:type="dxa"/>
                  <w:tcBorders>
                    <w:tl2br w:val="nil"/>
                    <w:tr2bl w:val="nil"/>
                  </w:tcBorders>
                  <w:vAlign w:val="center"/>
                </w:tcPr>
                <w:p w14:paraId="3F975558">
                  <w:pPr>
                    <w:pStyle w:val="198"/>
                    <w:tabs>
                      <w:tab w:val="left" w:pos="1021"/>
                    </w:tabs>
                  </w:pPr>
                  <w:r>
                    <w:rPr>
                      <w:rFonts w:hint="eastAsia"/>
                    </w:rPr>
                    <w:t>0.0001</w:t>
                  </w:r>
                  <w:r>
                    <w:rPr>
                      <w:rFonts w:hint="eastAsia"/>
                      <w:lang w:val="en-US" w:eastAsia="zh-CN"/>
                    </w:rPr>
                    <w:t>6</w:t>
                  </w:r>
                  <w:r>
                    <w:rPr>
                      <w:rFonts w:hint="eastAsia"/>
                    </w:rPr>
                    <w:t>t/a</w:t>
                  </w:r>
                </w:p>
              </w:tc>
              <w:tc>
                <w:tcPr>
                  <w:tcW w:w="1481" w:type="dxa"/>
                  <w:tcBorders>
                    <w:tl2br w:val="nil"/>
                    <w:tr2bl w:val="nil"/>
                  </w:tcBorders>
                  <w:vAlign w:val="center"/>
                </w:tcPr>
                <w:p w14:paraId="1CC67B46">
                  <w:pPr>
                    <w:pStyle w:val="198"/>
                    <w:tabs>
                      <w:tab w:val="left" w:pos="1021"/>
                    </w:tabs>
                  </w:pPr>
                  <w:r>
                    <w:rPr>
                      <w:rFonts w:hint="eastAsia"/>
                    </w:rPr>
                    <w:t>3.64</w:t>
                  </w:r>
                  <w:r>
                    <w:t>mg/m</w:t>
                  </w:r>
                  <w:r>
                    <w:rPr>
                      <w:vertAlign w:val="superscript"/>
                    </w:rPr>
                    <w:t>3</w:t>
                  </w:r>
                </w:p>
              </w:tc>
            </w:tr>
            <w:tr w14:paraId="1C57FBF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78" w:hRule="atLeast"/>
                <w:jc w:val="center"/>
              </w:trPr>
              <w:tc>
                <w:tcPr>
                  <w:tcW w:w="718" w:type="dxa"/>
                  <w:vMerge w:val="continue"/>
                  <w:tcBorders>
                    <w:tl2br w:val="nil"/>
                    <w:tr2bl w:val="nil"/>
                  </w:tcBorders>
                  <w:vAlign w:val="center"/>
                </w:tcPr>
                <w:p w14:paraId="5AED3267">
                  <w:pPr>
                    <w:pStyle w:val="198"/>
                    <w:tabs>
                      <w:tab w:val="left" w:pos="1021"/>
                    </w:tabs>
                  </w:pPr>
                </w:p>
              </w:tc>
              <w:tc>
                <w:tcPr>
                  <w:tcW w:w="847" w:type="dxa"/>
                  <w:tcBorders>
                    <w:tl2br w:val="nil"/>
                    <w:tr2bl w:val="nil"/>
                  </w:tcBorders>
                  <w:vAlign w:val="center"/>
                </w:tcPr>
                <w:p w14:paraId="317A244E">
                  <w:pPr>
                    <w:pStyle w:val="198"/>
                    <w:tabs>
                      <w:tab w:val="left" w:pos="1021"/>
                    </w:tabs>
                  </w:pPr>
                  <w:r>
                    <w:t>NO</w:t>
                  </w:r>
                  <w:r>
                    <w:rPr>
                      <w:vertAlign w:val="subscript"/>
                    </w:rPr>
                    <w:t>X</w:t>
                  </w:r>
                </w:p>
              </w:tc>
              <w:tc>
                <w:tcPr>
                  <w:tcW w:w="856" w:type="dxa"/>
                  <w:vMerge w:val="continue"/>
                  <w:tcBorders>
                    <w:tl2br w:val="nil"/>
                    <w:tr2bl w:val="nil"/>
                  </w:tcBorders>
                  <w:tcMar>
                    <w:left w:w="0" w:type="dxa"/>
                    <w:right w:w="0" w:type="dxa"/>
                  </w:tcMar>
                  <w:vAlign w:val="center"/>
                </w:tcPr>
                <w:p w14:paraId="46865927">
                  <w:pPr>
                    <w:pStyle w:val="198"/>
                    <w:tabs>
                      <w:tab w:val="left" w:pos="1021"/>
                    </w:tabs>
                  </w:pPr>
                </w:p>
              </w:tc>
              <w:tc>
                <w:tcPr>
                  <w:tcW w:w="1379" w:type="dxa"/>
                  <w:tcBorders>
                    <w:tl2br w:val="nil"/>
                    <w:tr2bl w:val="nil"/>
                  </w:tcBorders>
                  <w:vAlign w:val="center"/>
                </w:tcPr>
                <w:p w14:paraId="074831A4">
                  <w:pPr>
                    <w:pStyle w:val="198"/>
                    <w:tabs>
                      <w:tab w:val="left" w:pos="1021"/>
                    </w:tabs>
                  </w:pPr>
                  <w:r>
                    <w:rPr>
                      <w:rFonts w:hint="eastAsia"/>
                    </w:rPr>
                    <w:t>0.0</w:t>
                  </w:r>
                  <w:r>
                    <w:rPr>
                      <w:rFonts w:hint="eastAsia"/>
                      <w:lang w:val="en-US" w:eastAsia="zh-CN"/>
                    </w:rPr>
                    <w:t>65</w:t>
                  </w:r>
                  <w:r>
                    <w:rPr>
                      <w:rFonts w:hint="eastAsia"/>
                    </w:rPr>
                    <w:t>t/a</w:t>
                  </w:r>
                </w:p>
              </w:tc>
              <w:tc>
                <w:tcPr>
                  <w:tcW w:w="1498" w:type="dxa"/>
                  <w:tcBorders>
                    <w:tl2br w:val="nil"/>
                    <w:tr2bl w:val="nil"/>
                  </w:tcBorders>
                  <w:vAlign w:val="center"/>
                </w:tcPr>
                <w:p w14:paraId="28F343F9">
                  <w:pPr>
                    <w:pStyle w:val="198"/>
                    <w:tabs>
                      <w:tab w:val="left" w:pos="1021"/>
                    </w:tabs>
                  </w:pPr>
                  <w:r>
                    <w:rPr>
                      <w:rFonts w:hint="eastAsia"/>
                      <w:lang w:val="en-US" w:eastAsia="zh-CN"/>
                    </w:rPr>
                    <w:t>147.85</w:t>
                  </w:r>
                  <w:r>
                    <w:t>mg/m</w:t>
                  </w:r>
                  <w:r>
                    <w:rPr>
                      <w:vertAlign w:val="superscript"/>
                    </w:rPr>
                    <w:t>3</w:t>
                  </w:r>
                </w:p>
              </w:tc>
              <w:tc>
                <w:tcPr>
                  <w:tcW w:w="1490" w:type="dxa"/>
                  <w:tcBorders>
                    <w:tl2br w:val="nil"/>
                    <w:tr2bl w:val="nil"/>
                  </w:tcBorders>
                  <w:vAlign w:val="center"/>
                </w:tcPr>
                <w:p w14:paraId="240C0CA2">
                  <w:pPr>
                    <w:pStyle w:val="198"/>
                    <w:tabs>
                      <w:tab w:val="left" w:pos="1021"/>
                    </w:tabs>
                  </w:pPr>
                  <w:r>
                    <w:rPr>
                      <w:rFonts w:hint="eastAsia"/>
                    </w:rPr>
                    <w:t>0.0</w:t>
                  </w:r>
                  <w:r>
                    <w:rPr>
                      <w:rFonts w:hint="eastAsia"/>
                      <w:lang w:val="en-US" w:eastAsia="zh-CN"/>
                    </w:rPr>
                    <w:t>65</w:t>
                  </w:r>
                  <w:r>
                    <w:rPr>
                      <w:rFonts w:hint="eastAsia"/>
                    </w:rPr>
                    <w:t>t/a</w:t>
                  </w:r>
                </w:p>
              </w:tc>
              <w:tc>
                <w:tcPr>
                  <w:tcW w:w="1481" w:type="dxa"/>
                  <w:tcBorders>
                    <w:tl2br w:val="nil"/>
                    <w:tr2bl w:val="nil"/>
                  </w:tcBorders>
                  <w:vAlign w:val="center"/>
                </w:tcPr>
                <w:p w14:paraId="2AE70602">
                  <w:pPr>
                    <w:pStyle w:val="198"/>
                    <w:tabs>
                      <w:tab w:val="left" w:pos="1021"/>
                    </w:tabs>
                  </w:pPr>
                  <w:r>
                    <w:rPr>
                      <w:rFonts w:hint="eastAsia"/>
                      <w:lang w:val="en-US" w:eastAsia="zh-CN"/>
                    </w:rPr>
                    <w:t>147.85</w:t>
                  </w:r>
                  <w:r>
                    <w:t>mg/m</w:t>
                  </w:r>
                  <w:r>
                    <w:rPr>
                      <w:vertAlign w:val="superscript"/>
                    </w:rPr>
                    <w:t>3</w:t>
                  </w:r>
                </w:p>
              </w:tc>
            </w:tr>
          </w:tbl>
          <w:p w14:paraId="01A0037D">
            <w:pPr>
              <w:pStyle w:val="20"/>
              <w:numPr>
                <w:ilvl w:val="0"/>
                <w:numId w:val="0"/>
              </w:numPr>
              <w:spacing w:line="360" w:lineRule="auto"/>
              <w:rPr>
                <w:b/>
                <w:bCs/>
                <w:sz w:val="24"/>
              </w:rPr>
            </w:pPr>
            <w:r>
              <w:rPr>
                <w:rFonts w:hint="eastAsia"/>
                <w:b/>
                <w:bCs/>
                <w:sz w:val="24"/>
              </w:rPr>
              <w:object>
                <v:shape id="_x0000_i1030" o:spt="75" type="#_x0000_t75" style="height:338.25pt;width:414.75pt;" o:ole="t" filled="f" o:preferrelative="t" stroked="f" coordsize="21600,21600">
                  <v:path/>
                  <v:fill on="f" focussize="0,0"/>
                  <v:stroke on="f"/>
                  <v:imagedata r:id="rId27" o:title=""/>
                  <o:lock v:ext="edit" aspectratio="f"/>
                  <w10:wrap type="none"/>
                  <w10:anchorlock/>
                </v:shape>
                <o:OLEObject Type="Embed" ProgID="Visio.Drawing.11" ShapeID="_x0000_i1030" DrawAspect="Content" ObjectID="_1468075730" r:id="rId26">
                  <o:LockedField>false</o:LockedField>
                </o:OLEObject>
              </w:object>
            </w:r>
          </w:p>
          <w:p w14:paraId="7E821685">
            <w:pPr>
              <w:pStyle w:val="20"/>
              <w:numPr>
                <w:ilvl w:val="0"/>
                <w:numId w:val="0"/>
              </w:numPr>
              <w:spacing w:line="360" w:lineRule="auto"/>
              <w:rPr>
                <w:b/>
                <w:bCs/>
                <w:sz w:val="24"/>
              </w:rPr>
            </w:pPr>
            <w:r>
              <w:rPr>
                <w:rFonts w:hint="eastAsia"/>
                <w:b/>
                <w:bCs/>
                <w:sz w:val="24"/>
              </w:rPr>
              <w:t>4.1.2</w:t>
            </w:r>
            <w:r>
              <w:rPr>
                <w:b/>
                <w:bCs/>
                <w:sz w:val="24"/>
              </w:rPr>
              <w:t>大气污染物排放达标分析</w:t>
            </w:r>
          </w:p>
          <w:p w14:paraId="2F85D2BA">
            <w:pPr>
              <w:spacing w:line="360" w:lineRule="auto"/>
              <w:ind w:firstLine="480" w:firstLineChars="200"/>
              <w:rPr>
                <w:sz w:val="24"/>
              </w:rPr>
            </w:pPr>
            <w:r>
              <w:rPr>
                <w:sz w:val="24"/>
              </w:rPr>
              <w:t>①有组织废气</w:t>
            </w:r>
          </w:p>
          <w:p w14:paraId="4B37FF2B">
            <w:pPr>
              <w:spacing w:line="360" w:lineRule="auto"/>
              <w:ind w:firstLine="480" w:firstLineChars="200"/>
              <w:rPr>
                <w:b/>
                <w:bCs/>
                <w:sz w:val="24"/>
              </w:rPr>
            </w:pPr>
            <w:r>
              <w:rPr>
                <w:rFonts w:hint="eastAsia"/>
                <w:sz w:val="24"/>
              </w:rPr>
              <w:t>本项目</w:t>
            </w:r>
            <w:r>
              <w:rPr>
                <w:sz w:val="24"/>
              </w:rPr>
              <w:t>有组织排放的废气</w:t>
            </w:r>
            <w:r>
              <w:rPr>
                <w:rFonts w:hint="eastAsia"/>
                <w:sz w:val="24"/>
              </w:rPr>
              <w:t>为喷塑粉尘、天然气燃烧机废气和注塑废气</w:t>
            </w:r>
            <w:r>
              <w:rPr>
                <w:sz w:val="24"/>
              </w:rPr>
              <w:t>，</w:t>
            </w:r>
            <w:r>
              <w:rPr>
                <w:rFonts w:hint="eastAsia"/>
                <w:sz w:val="24"/>
              </w:rPr>
              <w:t>注塑废气</w:t>
            </w:r>
            <w:r>
              <w:rPr>
                <w:sz w:val="24"/>
              </w:rPr>
              <w:t>其达标分析</w:t>
            </w:r>
            <w:r>
              <w:rPr>
                <w:rFonts w:hint="eastAsia"/>
                <w:sz w:val="24"/>
              </w:rPr>
              <w:t>见表</w:t>
            </w:r>
            <w:r>
              <w:rPr>
                <w:sz w:val="24"/>
              </w:rPr>
              <w:t>4-</w:t>
            </w:r>
            <w:r>
              <w:rPr>
                <w:rFonts w:hint="eastAsia"/>
                <w:sz w:val="24"/>
              </w:rPr>
              <w:t>2</w:t>
            </w:r>
            <w:r>
              <w:rPr>
                <w:sz w:val="24"/>
              </w:rPr>
              <w:t>。</w:t>
            </w:r>
          </w:p>
          <w:p w14:paraId="5D18DCCA">
            <w:pPr>
              <w:jc w:val="center"/>
              <w:rPr>
                <w:b/>
                <w:bCs/>
                <w:sz w:val="24"/>
              </w:rPr>
            </w:pPr>
            <w:r>
              <w:rPr>
                <w:b/>
                <w:bCs/>
                <w:sz w:val="24"/>
              </w:rPr>
              <w:t>表4-</w:t>
            </w:r>
            <w:r>
              <w:rPr>
                <w:rFonts w:hint="eastAsia"/>
                <w:b/>
                <w:bCs/>
                <w:sz w:val="24"/>
              </w:rPr>
              <w:t>2</w:t>
            </w:r>
            <w:r>
              <w:rPr>
                <w:b/>
                <w:bCs/>
                <w:sz w:val="24"/>
              </w:rPr>
              <w:t xml:space="preserve"> </w:t>
            </w:r>
            <w:r>
              <w:rPr>
                <w:rFonts w:hint="eastAsia"/>
                <w:b/>
                <w:bCs/>
                <w:sz w:val="24"/>
              </w:rPr>
              <w:t xml:space="preserve">   </w:t>
            </w:r>
            <w:r>
              <w:rPr>
                <w:b/>
                <w:bCs/>
                <w:sz w:val="24"/>
              </w:rPr>
              <w:t>建设项目废气有组织排放达标分析</w:t>
            </w:r>
          </w:p>
          <w:tbl>
            <w:tblPr>
              <w:tblStyle w:val="37"/>
              <w:tblW w:w="8255"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69"/>
              <w:gridCol w:w="1109"/>
              <w:gridCol w:w="1162"/>
              <w:gridCol w:w="1263"/>
              <w:gridCol w:w="1465"/>
              <w:gridCol w:w="826"/>
              <w:gridCol w:w="796"/>
              <w:gridCol w:w="765"/>
            </w:tblGrid>
            <w:tr w14:paraId="3833C4E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89" w:hRule="atLeast"/>
              </w:trPr>
              <w:tc>
                <w:tcPr>
                  <w:tcW w:w="869" w:type="dxa"/>
                  <w:tcBorders>
                    <w:tl2br w:val="nil"/>
                    <w:tr2bl w:val="nil"/>
                  </w:tcBorders>
                  <w:vAlign w:val="center"/>
                </w:tcPr>
                <w:p w14:paraId="136EE792">
                  <w:pPr>
                    <w:jc w:val="center"/>
                  </w:pPr>
                  <w:r>
                    <w:t>污染源</w:t>
                  </w:r>
                </w:p>
              </w:tc>
              <w:tc>
                <w:tcPr>
                  <w:tcW w:w="1109" w:type="dxa"/>
                  <w:tcBorders>
                    <w:tl2br w:val="nil"/>
                    <w:tr2bl w:val="nil"/>
                  </w:tcBorders>
                  <w:vAlign w:val="center"/>
                </w:tcPr>
                <w:p w14:paraId="41CD4DD4">
                  <w:pPr>
                    <w:jc w:val="center"/>
                  </w:pPr>
                  <w:r>
                    <w:t>污染物</w:t>
                  </w:r>
                </w:p>
              </w:tc>
              <w:tc>
                <w:tcPr>
                  <w:tcW w:w="1162" w:type="dxa"/>
                  <w:tcBorders>
                    <w:tl2br w:val="nil"/>
                    <w:tr2bl w:val="nil"/>
                  </w:tcBorders>
                  <w:vAlign w:val="center"/>
                </w:tcPr>
                <w:p w14:paraId="53B078B0">
                  <w:pPr>
                    <w:jc w:val="center"/>
                  </w:pPr>
                  <w:r>
                    <w:t>排放浓度</w:t>
                  </w:r>
                </w:p>
                <w:p w14:paraId="0BAB8572">
                  <w:pPr>
                    <w:jc w:val="center"/>
                  </w:pPr>
                  <w:r>
                    <w:t>(mg/m</w:t>
                  </w:r>
                  <w:r>
                    <w:rPr>
                      <w:vertAlign w:val="superscript"/>
                    </w:rPr>
                    <w:t>3</w:t>
                  </w:r>
                  <w:r>
                    <w:t>)</w:t>
                  </w:r>
                </w:p>
              </w:tc>
              <w:tc>
                <w:tcPr>
                  <w:tcW w:w="1263" w:type="dxa"/>
                  <w:tcBorders>
                    <w:tl2br w:val="nil"/>
                    <w:tr2bl w:val="nil"/>
                  </w:tcBorders>
                  <w:vAlign w:val="center"/>
                </w:tcPr>
                <w:p w14:paraId="102BA9EE">
                  <w:pPr>
                    <w:jc w:val="center"/>
                  </w:pPr>
                  <w:r>
                    <w:t>排放速率</w:t>
                  </w:r>
                </w:p>
                <w:p w14:paraId="63DA52D0">
                  <w:pPr>
                    <w:jc w:val="center"/>
                  </w:pPr>
                  <w:r>
                    <w:t>(kg/h)</w:t>
                  </w:r>
                </w:p>
              </w:tc>
              <w:tc>
                <w:tcPr>
                  <w:tcW w:w="1465" w:type="dxa"/>
                  <w:tcBorders>
                    <w:tl2br w:val="nil"/>
                    <w:tr2bl w:val="nil"/>
                  </w:tcBorders>
                  <w:vAlign w:val="center"/>
                </w:tcPr>
                <w:p w14:paraId="0CD5F12D">
                  <w:pPr>
                    <w:jc w:val="center"/>
                  </w:pPr>
                  <w:r>
                    <w:t>执行标准</w:t>
                  </w:r>
                </w:p>
              </w:tc>
              <w:tc>
                <w:tcPr>
                  <w:tcW w:w="826" w:type="dxa"/>
                  <w:tcBorders>
                    <w:tl2br w:val="nil"/>
                    <w:tr2bl w:val="nil"/>
                  </w:tcBorders>
                  <w:vAlign w:val="center"/>
                </w:tcPr>
                <w:p w14:paraId="69FD3569">
                  <w:pPr>
                    <w:jc w:val="center"/>
                  </w:pPr>
                  <w:r>
                    <w:t>浓度限值(mg/m</w:t>
                  </w:r>
                  <w:r>
                    <w:rPr>
                      <w:vertAlign w:val="superscript"/>
                    </w:rPr>
                    <w:t>3</w:t>
                  </w:r>
                  <w:r>
                    <w:t>)</w:t>
                  </w:r>
                </w:p>
              </w:tc>
              <w:tc>
                <w:tcPr>
                  <w:tcW w:w="796" w:type="dxa"/>
                  <w:tcBorders>
                    <w:tl2br w:val="nil"/>
                    <w:tr2bl w:val="nil"/>
                  </w:tcBorders>
                  <w:vAlign w:val="center"/>
                </w:tcPr>
                <w:p w14:paraId="7B9624BB">
                  <w:pPr>
                    <w:jc w:val="center"/>
                  </w:pPr>
                  <w:r>
                    <w:t>速率限值(kg/h)</w:t>
                  </w:r>
                </w:p>
              </w:tc>
              <w:tc>
                <w:tcPr>
                  <w:tcW w:w="765" w:type="dxa"/>
                  <w:tcBorders>
                    <w:tl2br w:val="nil"/>
                    <w:tr2bl w:val="nil"/>
                  </w:tcBorders>
                  <w:vAlign w:val="center"/>
                </w:tcPr>
                <w:p w14:paraId="421ACD83">
                  <w:pPr>
                    <w:jc w:val="center"/>
                  </w:pPr>
                  <w:r>
                    <w:t>达标情况</w:t>
                  </w:r>
                </w:p>
              </w:tc>
            </w:tr>
            <w:tr w14:paraId="4A8DCF7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18" w:hRule="atLeast"/>
              </w:trPr>
              <w:tc>
                <w:tcPr>
                  <w:tcW w:w="869" w:type="dxa"/>
                  <w:vMerge w:val="restart"/>
                  <w:tcBorders>
                    <w:tl2br w:val="nil"/>
                    <w:tr2bl w:val="nil"/>
                  </w:tcBorders>
                  <w:vAlign w:val="center"/>
                </w:tcPr>
                <w:p w14:paraId="5CDD9442">
                  <w:pPr>
                    <w:jc w:val="center"/>
                  </w:pPr>
                  <w:r>
                    <w:rPr>
                      <w:rFonts w:hint="eastAsia"/>
                    </w:rPr>
                    <w:t>DA001排气筒</w:t>
                  </w:r>
                </w:p>
              </w:tc>
              <w:tc>
                <w:tcPr>
                  <w:tcW w:w="1109" w:type="dxa"/>
                  <w:tcBorders>
                    <w:tl2br w:val="nil"/>
                    <w:tr2bl w:val="nil"/>
                  </w:tcBorders>
                  <w:vAlign w:val="center"/>
                </w:tcPr>
                <w:p w14:paraId="12B397E7">
                  <w:pPr>
                    <w:pStyle w:val="198"/>
                    <w:tabs>
                      <w:tab w:val="left" w:pos="1021"/>
                    </w:tabs>
                  </w:pPr>
                  <w:r>
                    <w:rPr>
                      <w:rFonts w:hint="eastAsia"/>
                    </w:rPr>
                    <w:t>非甲烷总烃</w:t>
                  </w:r>
                </w:p>
              </w:tc>
              <w:tc>
                <w:tcPr>
                  <w:tcW w:w="1162" w:type="dxa"/>
                  <w:tcBorders>
                    <w:tl2br w:val="nil"/>
                    <w:tr2bl w:val="nil"/>
                  </w:tcBorders>
                  <w:vAlign w:val="center"/>
                </w:tcPr>
                <w:p w14:paraId="44C0DFE8">
                  <w:pPr>
                    <w:pStyle w:val="198"/>
                    <w:tabs>
                      <w:tab w:val="left" w:pos="1021"/>
                    </w:tabs>
                  </w:pPr>
                  <w:r>
                    <w:rPr>
                      <w:rFonts w:hint="eastAsia"/>
                    </w:rPr>
                    <w:t>14.053</w:t>
                  </w:r>
                </w:p>
              </w:tc>
              <w:tc>
                <w:tcPr>
                  <w:tcW w:w="1263" w:type="dxa"/>
                  <w:tcBorders>
                    <w:tl2br w:val="nil"/>
                    <w:tr2bl w:val="nil"/>
                  </w:tcBorders>
                  <w:vAlign w:val="center"/>
                </w:tcPr>
                <w:p w14:paraId="50BA7C86">
                  <w:pPr>
                    <w:jc w:val="center"/>
                  </w:pPr>
                  <w:r>
                    <w:rPr>
                      <w:rFonts w:hint="eastAsia"/>
                    </w:rPr>
                    <w:t>0.113</w:t>
                  </w:r>
                </w:p>
              </w:tc>
              <w:tc>
                <w:tcPr>
                  <w:tcW w:w="1465" w:type="dxa"/>
                  <w:tcBorders>
                    <w:tl2br w:val="nil"/>
                    <w:tr2bl w:val="nil"/>
                  </w:tcBorders>
                  <w:vAlign w:val="center"/>
                </w:tcPr>
                <w:p w14:paraId="126161C3">
                  <w:pPr>
                    <w:jc w:val="center"/>
                  </w:pPr>
                  <w:r>
                    <w:rPr>
                      <w:rFonts w:hint="eastAsia"/>
                      <w:bCs/>
                      <w:szCs w:val="21"/>
                    </w:rPr>
                    <w:t>《合成树脂工业污染物排放标准》（GB31572-2015）表4大气污染物排放限值</w:t>
                  </w:r>
                </w:p>
              </w:tc>
              <w:tc>
                <w:tcPr>
                  <w:tcW w:w="826" w:type="dxa"/>
                  <w:tcBorders>
                    <w:tl2br w:val="nil"/>
                    <w:tr2bl w:val="nil"/>
                  </w:tcBorders>
                  <w:vAlign w:val="center"/>
                </w:tcPr>
                <w:p w14:paraId="78A20ACE">
                  <w:pPr>
                    <w:jc w:val="center"/>
                  </w:pPr>
                  <w:r>
                    <w:rPr>
                      <w:rFonts w:hint="eastAsia"/>
                    </w:rPr>
                    <w:t>100</w:t>
                  </w:r>
                </w:p>
              </w:tc>
              <w:tc>
                <w:tcPr>
                  <w:tcW w:w="796" w:type="dxa"/>
                  <w:tcBorders>
                    <w:tl2br w:val="nil"/>
                    <w:tr2bl w:val="nil"/>
                  </w:tcBorders>
                  <w:vAlign w:val="center"/>
                </w:tcPr>
                <w:p w14:paraId="661B325C">
                  <w:pPr>
                    <w:jc w:val="center"/>
                  </w:pPr>
                  <w:r>
                    <w:rPr>
                      <w:rFonts w:hint="eastAsia"/>
                    </w:rPr>
                    <w:t>/</w:t>
                  </w:r>
                </w:p>
              </w:tc>
              <w:tc>
                <w:tcPr>
                  <w:tcW w:w="765" w:type="dxa"/>
                  <w:tcBorders>
                    <w:tl2br w:val="nil"/>
                    <w:tr2bl w:val="nil"/>
                  </w:tcBorders>
                  <w:vAlign w:val="center"/>
                </w:tcPr>
                <w:p w14:paraId="2E71686A">
                  <w:pPr>
                    <w:jc w:val="center"/>
                  </w:pPr>
                  <w:r>
                    <w:rPr>
                      <w:rFonts w:hint="eastAsia"/>
                    </w:rPr>
                    <w:t>达标</w:t>
                  </w:r>
                </w:p>
              </w:tc>
            </w:tr>
            <w:tr w14:paraId="087C285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3" w:hRule="atLeast"/>
              </w:trPr>
              <w:tc>
                <w:tcPr>
                  <w:tcW w:w="869" w:type="dxa"/>
                  <w:vMerge w:val="continue"/>
                  <w:tcBorders>
                    <w:tl2br w:val="nil"/>
                    <w:tr2bl w:val="nil"/>
                  </w:tcBorders>
                  <w:vAlign w:val="center"/>
                </w:tcPr>
                <w:p w14:paraId="68EDD400">
                  <w:pPr>
                    <w:jc w:val="center"/>
                    <w:rPr>
                      <w:rFonts w:hint="eastAsia"/>
                    </w:rPr>
                  </w:pPr>
                </w:p>
              </w:tc>
              <w:tc>
                <w:tcPr>
                  <w:tcW w:w="1109" w:type="dxa"/>
                  <w:tcBorders>
                    <w:tl2br w:val="nil"/>
                    <w:tr2bl w:val="nil"/>
                  </w:tcBorders>
                  <w:vAlign w:val="center"/>
                </w:tcPr>
                <w:p w14:paraId="391B856E">
                  <w:pPr>
                    <w:pStyle w:val="198"/>
                    <w:tabs>
                      <w:tab w:val="left" w:pos="1021"/>
                    </w:tabs>
                    <w:rPr>
                      <w:rFonts w:hint="default" w:eastAsia="宋体"/>
                      <w:lang w:val="en-US" w:eastAsia="zh-CN"/>
                    </w:rPr>
                  </w:pPr>
                  <w:r>
                    <w:rPr>
                      <w:rFonts w:hint="eastAsia" w:ascii="Times New Roman" w:hAnsi="Times New Roman" w:eastAsia="宋体" w:cs="Times New Roman"/>
                      <w:color w:val="auto"/>
                      <w:lang w:val="en-US" w:eastAsia="zh-CN"/>
                    </w:rPr>
                    <w:t>臭气浓度</w:t>
                  </w:r>
                </w:p>
              </w:tc>
              <w:tc>
                <w:tcPr>
                  <w:tcW w:w="1162" w:type="dxa"/>
                  <w:tcBorders>
                    <w:tl2br w:val="nil"/>
                    <w:tr2bl w:val="nil"/>
                  </w:tcBorders>
                  <w:vAlign w:val="center"/>
                </w:tcPr>
                <w:p w14:paraId="23FF4411">
                  <w:pPr>
                    <w:pStyle w:val="198"/>
                    <w:tabs>
                      <w:tab w:val="left" w:pos="1021"/>
                    </w:tabs>
                    <w:rPr>
                      <w:rFonts w:hint="eastAsia" w:eastAsia="宋体"/>
                      <w:lang w:val="en-US" w:eastAsia="zh-CN"/>
                    </w:rPr>
                  </w:pPr>
                  <w:r>
                    <w:rPr>
                      <w:rFonts w:hint="eastAsia"/>
                      <w:lang w:val="en-US" w:eastAsia="zh-CN"/>
                    </w:rPr>
                    <w:t>/</w:t>
                  </w:r>
                </w:p>
              </w:tc>
              <w:tc>
                <w:tcPr>
                  <w:tcW w:w="1263" w:type="dxa"/>
                  <w:tcBorders>
                    <w:tl2br w:val="nil"/>
                    <w:tr2bl w:val="nil"/>
                  </w:tcBorders>
                  <w:vAlign w:val="center"/>
                </w:tcPr>
                <w:p w14:paraId="54F16A5C">
                  <w:pPr>
                    <w:jc w:val="center"/>
                    <w:rPr>
                      <w:rFonts w:hint="eastAsia" w:eastAsia="宋体"/>
                      <w:lang w:val="en-US" w:eastAsia="zh-CN"/>
                    </w:rPr>
                  </w:pPr>
                  <w:r>
                    <w:rPr>
                      <w:rFonts w:hint="eastAsia"/>
                      <w:lang w:val="en-US" w:eastAsia="zh-CN"/>
                    </w:rPr>
                    <w:t>/</w:t>
                  </w:r>
                </w:p>
              </w:tc>
              <w:tc>
                <w:tcPr>
                  <w:tcW w:w="1465" w:type="dxa"/>
                  <w:tcBorders>
                    <w:tl2br w:val="nil"/>
                    <w:tr2bl w:val="nil"/>
                  </w:tcBorders>
                  <w:vAlign w:val="center"/>
                </w:tcPr>
                <w:p w14:paraId="668A7EF2">
                  <w:pPr>
                    <w:jc w:val="center"/>
                    <w:rPr>
                      <w:rFonts w:hint="eastAsia"/>
                      <w:bCs/>
                      <w:szCs w:val="21"/>
                    </w:rPr>
                  </w:pPr>
                  <w:r>
                    <w:rPr>
                      <w:rFonts w:hint="eastAsia"/>
                      <w:sz w:val="21"/>
                      <w:szCs w:val="21"/>
                      <w:u w:val="none"/>
                    </w:rPr>
                    <w:t>《恶臭污染物排放标准》（GB14554-93）表2</w:t>
                  </w:r>
                  <w:r>
                    <w:rPr>
                      <w:rFonts w:hint="eastAsia"/>
                      <w:sz w:val="21"/>
                      <w:szCs w:val="21"/>
                      <w:u w:val="none"/>
                      <w:lang w:val="en-US" w:eastAsia="zh-CN"/>
                    </w:rPr>
                    <w:t>排放限值</w:t>
                  </w:r>
                </w:p>
              </w:tc>
              <w:tc>
                <w:tcPr>
                  <w:tcW w:w="826" w:type="dxa"/>
                  <w:tcBorders>
                    <w:tl2br w:val="nil"/>
                    <w:tr2bl w:val="nil"/>
                  </w:tcBorders>
                  <w:vAlign w:val="center"/>
                </w:tcPr>
                <w:p w14:paraId="5F304601">
                  <w:pPr>
                    <w:jc w:val="center"/>
                    <w:rPr>
                      <w:rFonts w:hint="default" w:eastAsia="宋体"/>
                      <w:lang w:val="en-US" w:eastAsia="zh-CN"/>
                    </w:rPr>
                  </w:pPr>
                  <w:r>
                    <w:rPr>
                      <w:rFonts w:hint="eastAsia"/>
                      <w:lang w:val="en-US" w:eastAsia="zh-CN"/>
                    </w:rPr>
                    <w:t>2000（无量纲）</w:t>
                  </w:r>
                </w:p>
              </w:tc>
              <w:tc>
                <w:tcPr>
                  <w:tcW w:w="796" w:type="dxa"/>
                  <w:tcBorders>
                    <w:tl2br w:val="nil"/>
                    <w:tr2bl w:val="nil"/>
                  </w:tcBorders>
                  <w:vAlign w:val="center"/>
                </w:tcPr>
                <w:p w14:paraId="0F0F5821">
                  <w:pPr>
                    <w:jc w:val="center"/>
                    <w:rPr>
                      <w:rFonts w:hint="eastAsia" w:eastAsia="宋体"/>
                      <w:lang w:val="en-US" w:eastAsia="zh-CN"/>
                    </w:rPr>
                  </w:pPr>
                  <w:r>
                    <w:rPr>
                      <w:rFonts w:hint="eastAsia"/>
                      <w:lang w:val="en-US" w:eastAsia="zh-CN"/>
                    </w:rPr>
                    <w:t>/</w:t>
                  </w:r>
                </w:p>
              </w:tc>
              <w:tc>
                <w:tcPr>
                  <w:tcW w:w="765" w:type="dxa"/>
                  <w:tcBorders>
                    <w:tl2br w:val="nil"/>
                    <w:tr2bl w:val="nil"/>
                  </w:tcBorders>
                  <w:vAlign w:val="center"/>
                </w:tcPr>
                <w:p w14:paraId="2C8C3F45">
                  <w:pPr>
                    <w:jc w:val="center"/>
                    <w:rPr>
                      <w:rFonts w:hint="eastAsia" w:eastAsia="宋体"/>
                      <w:lang w:val="en-US" w:eastAsia="zh-CN"/>
                    </w:rPr>
                  </w:pPr>
                  <w:r>
                    <w:rPr>
                      <w:rFonts w:hint="eastAsia"/>
                      <w:lang w:val="en-US" w:eastAsia="zh-CN"/>
                    </w:rPr>
                    <w:t>/</w:t>
                  </w:r>
                </w:p>
              </w:tc>
            </w:tr>
            <w:tr w14:paraId="2D69140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869" w:type="dxa"/>
                  <w:tcBorders>
                    <w:tl2br w:val="nil"/>
                    <w:tr2bl w:val="nil"/>
                  </w:tcBorders>
                  <w:vAlign w:val="center"/>
                </w:tcPr>
                <w:p w14:paraId="38E0B225">
                  <w:pPr>
                    <w:jc w:val="center"/>
                  </w:pPr>
                  <w:r>
                    <w:rPr>
                      <w:rFonts w:hint="eastAsia"/>
                    </w:rPr>
                    <w:t>DA002排气筒</w:t>
                  </w:r>
                </w:p>
              </w:tc>
              <w:tc>
                <w:tcPr>
                  <w:tcW w:w="1109" w:type="dxa"/>
                  <w:tcBorders>
                    <w:tl2br w:val="nil"/>
                    <w:tr2bl w:val="nil"/>
                  </w:tcBorders>
                  <w:vAlign w:val="center"/>
                </w:tcPr>
                <w:p w14:paraId="18A3A7BD">
                  <w:pPr>
                    <w:pStyle w:val="198"/>
                    <w:tabs>
                      <w:tab w:val="left" w:pos="1021"/>
                    </w:tabs>
                  </w:pPr>
                  <w:r>
                    <w:rPr>
                      <w:rFonts w:hint="eastAsia"/>
                    </w:rPr>
                    <w:t>颗粒物</w:t>
                  </w:r>
                </w:p>
              </w:tc>
              <w:tc>
                <w:tcPr>
                  <w:tcW w:w="1162" w:type="dxa"/>
                  <w:tcBorders>
                    <w:tl2br w:val="nil"/>
                    <w:tr2bl w:val="nil"/>
                  </w:tcBorders>
                  <w:vAlign w:val="center"/>
                </w:tcPr>
                <w:p w14:paraId="67F01048">
                  <w:pPr>
                    <w:pStyle w:val="198"/>
                    <w:tabs>
                      <w:tab w:val="left" w:pos="1021"/>
                    </w:tabs>
                  </w:pPr>
                  <w:r>
                    <w:rPr>
                      <w:rFonts w:hint="eastAsia"/>
                    </w:rPr>
                    <w:t>5.91</w:t>
                  </w:r>
                </w:p>
              </w:tc>
              <w:tc>
                <w:tcPr>
                  <w:tcW w:w="1263" w:type="dxa"/>
                  <w:tcBorders>
                    <w:tl2br w:val="nil"/>
                    <w:tr2bl w:val="nil"/>
                  </w:tcBorders>
                  <w:vAlign w:val="center"/>
                </w:tcPr>
                <w:p w14:paraId="4B3FE1BB">
                  <w:pPr>
                    <w:jc w:val="center"/>
                  </w:pPr>
                  <w:r>
                    <w:rPr>
                      <w:rFonts w:hint="eastAsia"/>
                    </w:rPr>
                    <w:t>0.029</w:t>
                  </w:r>
                </w:p>
              </w:tc>
              <w:tc>
                <w:tcPr>
                  <w:tcW w:w="1465" w:type="dxa"/>
                  <w:tcBorders>
                    <w:tl2br w:val="nil"/>
                    <w:tr2bl w:val="nil"/>
                  </w:tcBorders>
                  <w:vAlign w:val="center"/>
                </w:tcPr>
                <w:p w14:paraId="30F80899">
                  <w:pPr>
                    <w:jc w:val="center"/>
                  </w:pPr>
                  <w:r>
                    <w:rPr>
                      <w:rFonts w:hint="eastAsia"/>
                      <w:bCs/>
                      <w:szCs w:val="21"/>
                    </w:rPr>
                    <w:t>《合成树脂工业污染物排放标准》（GB31572-2015）表4大气污染物排放限值</w:t>
                  </w:r>
                </w:p>
              </w:tc>
              <w:tc>
                <w:tcPr>
                  <w:tcW w:w="826" w:type="dxa"/>
                  <w:tcBorders>
                    <w:tl2br w:val="nil"/>
                    <w:tr2bl w:val="nil"/>
                  </w:tcBorders>
                  <w:vAlign w:val="center"/>
                </w:tcPr>
                <w:p w14:paraId="5D08CCAB">
                  <w:pPr>
                    <w:jc w:val="center"/>
                  </w:pPr>
                  <w:r>
                    <w:rPr>
                      <w:rFonts w:hint="eastAsia"/>
                    </w:rPr>
                    <w:t>30</w:t>
                  </w:r>
                </w:p>
              </w:tc>
              <w:tc>
                <w:tcPr>
                  <w:tcW w:w="796" w:type="dxa"/>
                  <w:tcBorders>
                    <w:tl2br w:val="nil"/>
                    <w:tr2bl w:val="nil"/>
                  </w:tcBorders>
                  <w:vAlign w:val="center"/>
                </w:tcPr>
                <w:p w14:paraId="2D97CD75">
                  <w:pPr>
                    <w:jc w:val="center"/>
                  </w:pPr>
                  <w:r>
                    <w:rPr>
                      <w:rFonts w:hint="eastAsia"/>
                    </w:rPr>
                    <w:t>/</w:t>
                  </w:r>
                </w:p>
              </w:tc>
              <w:tc>
                <w:tcPr>
                  <w:tcW w:w="765" w:type="dxa"/>
                  <w:tcBorders>
                    <w:tl2br w:val="nil"/>
                    <w:tr2bl w:val="nil"/>
                  </w:tcBorders>
                  <w:vAlign w:val="center"/>
                </w:tcPr>
                <w:p w14:paraId="0FD0FBEA">
                  <w:pPr>
                    <w:jc w:val="center"/>
                  </w:pPr>
                  <w:r>
                    <w:rPr>
                      <w:rFonts w:hint="eastAsia"/>
                    </w:rPr>
                    <w:t>达标</w:t>
                  </w:r>
                </w:p>
              </w:tc>
            </w:tr>
            <w:tr w14:paraId="6ECD8B7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22" w:hRule="atLeast"/>
              </w:trPr>
              <w:tc>
                <w:tcPr>
                  <w:tcW w:w="869" w:type="dxa"/>
                  <w:vMerge w:val="restart"/>
                  <w:tcBorders>
                    <w:tl2br w:val="nil"/>
                    <w:tr2bl w:val="nil"/>
                  </w:tcBorders>
                  <w:vAlign w:val="center"/>
                </w:tcPr>
                <w:p w14:paraId="329E66D5">
                  <w:pPr>
                    <w:jc w:val="center"/>
                  </w:pPr>
                  <w:r>
                    <w:rPr>
                      <w:rFonts w:hint="eastAsia"/>
                    </w:rPr>
                    <w:t>DA003</w:t>
                  </w:r>
                  <w:r>
                    <w:t>排气筒</w:t>
                  </w:r>
                </w:p>
              </w:tc>
              <w:tc>
                <w:tcPr>
                  <w:tcW w:w="1109" w:type="dxa"/>
                  <w:tcBorders>
                    <w:tl2br w:val="nil"/>
                    <w:tr2bl w:val="nil"/>
                  </w:tcBorders>
                  <w:vAlign w:val="center"/>
                </w:tcPr>
                <w:p w14:paraId="635F563B">
                  <w:pPr>
                    <w:pStyle w:val="198"/>
                    <w:tabs>
                      <w:tab w:val="left" w:pos="1021"/>
                    </w:tabs>
                  </w:pPr>
                  <w:r>
                    <w:t>SO</w:t>
                  </w:r>
                  <w:r>
                    <w:rPr>
                      <w:vertAlign w:val="subscript"/>
                    </w:rPr>
                    <w:t>2</w:t>
                  </w:r>
                </w:p>
              </w:tc>
              <w:tc>
                <w:tcPr>
                  <w:tcW w:w="1162" w:type="dxa"/>
                  <w:tcBorders>
                    <w:tl2br w:val="nil"/>
                    <w:tr2bl w:val="nil"/>
                  </w:tcBorders>
                  <w:vAlign w:val="center"/>
                </w:tcPr>
                <w:p w14:paraId="530BB3EA">
                  <w:pPr>
                    <w:pStyle w:val="198"/>
                    <w:tabs>
                      <w:tab w:val="left" w:pos="1021"/>
                    </w:tabs>
                  </w:pPr>
                  <w:r>
                    <w:rPr>
                      <w:rFonts w:hint="eastAsia"/>
                    </w:rPr>
                    <w:t>3.64</w:t>
                  </w:r>
                </w:p>
              </w:tc>
              <w:tc>
                <w:tcPr>
                  <w:tcW w:w="1263" w:type="dxa"/>
                  <w:tcBorders>
                    <w:tl2br w:val="nil"/>
                    <w:tr2bl w:val="nil"/>
                  </w:tcBorders>
                  <w:vAlign w:val="center"/>
                </w:tcPr>
                <w:p w14:paraId="329B7E6E">
                  <w:pPr>
                    <w:jc w:val="center"/>
                  </w:pPr>
                  <w:r>
                    <w:rPr>
                      <w:rFonts w:hint="eastAsia"/>
                    </w:rPr>
                    <w:t>0.00004</w:t>
                  </w:r>
                </w:p>
              </w:tc>
              <w:tc>
                <w:tcPr>
                  <w:tcW w:w="1465" w:type="dxa"/>
                  <w:vMerge w:val="restart"/>
                  <w:tcBorders>
                    <w:tl2br w:val="nil"/>
                    <w:tr2bl w:val="nil"/>
                  </w:tcBorders>
                  <w:vAlign w:val="center"/>
                </w:tcPr>
                <w:p w14:paraId="6921311A">
                  <w:pPr>
                    <w:jc w:val="center"/>
                    <w:rPr>
                      <w:bCs/>
                      <w:szCs w:val="21"/>
                    </w:rPr>
                  </w:pPr>
                  <w:r>
                    <w:rPr>
                      <w:rFonts w:hint="default" w:ascii="Times New Roman" w:hAnsi="Times New Roman" w:eastAsia="宋体" w:cs="Times New Roman"/>
                      <w:szCs w:val="21"/>
                      <w:u w:val="none"/>
                    </w:rPr>
                    <w:t>《湖南省工业炉窑大气污染综合治理实施方案</w:t>
                  </w:r>
                  <w:r>
                    <w:rPr>
                      <w:rFonts w:hint="eastAsia" w:ascii="Times New Roman" w:hAnsi="Times New Roman" w:eastAsia="宋体" w:cs="Times New Roman"/>
                      <w:szCs w:val="21"/>
                      <w:u w:val="none"/>
                      <w:lang w:eastAsia="zh-CN"/>
                    </w:rPr>
                    <w:t>》（</w:t>
                  </w:r>
                  <w:r>
                    <w:rPr>
                      <w:rFonts w:hint="eastAsia" w:ascii="Times New Roman" w:hAnsi="Times New Roman" w:eastAsia="宋体" w:cs="Times New Roman"/>
                      <w:szCs w:val="21"/>
                      <w:u w:val="none"/>
                      <w:lang w:val="en-US" w:eastAsia="zh-CN"/>
                    </w:rPr>
                    <w:t>DB43/3082-2024</w:t>
                  </w:r>
                  <w:r>
                    <w:rPr>
                      <w:rFonts w:hint="eastAsia" w:ascii="Times New Roman" w:hAnsi="Times New Roman" w:eastAsia="宋体" w:cs="Times New Roman"/>
                      <w:szCs w:val="21"/>
                      <w:u w:val="none"/>
                      <w:lang w:eastAsia="zh-CN"/>
                    </w:rPr>
                    <w:t>）</w:t>
                  </w:r>
                  <w:r>
                    <w:rPr>
                      <w:rFonts w:hint="default" w:ascii="Times New Roman" w:hAnsi="Times New Roman" w:eastAsia="宋体" w:cs="Times New Roman"/>
                      <w:szCs w:val="21"/>
                      <w:u w:val="none"/>
                      <w:lang w:val="en-US" w:eastAsia="zh-CN"/>
                    </w:rPr>
                    <w:t>中附件1</w:t>
                  </w:r>
                  <w:r>
                    <w:rPr>
                      <w:rFonts w:hint="default" w:ascii="Times New Roman" w:hAnsi="Times New Roman" w:eastAsia="宋体" w:cs="Times New Roman"/>
                      <w:szCs w:val="21"/>
                      <w:u w:val="none"/>
                    </w:rPr>
                    <w:t>工业炉窑大气污染物排放</w:t>
                  </w:r>
                  <w:r>
                    <w:rPr>
                      <w:rFonts w:hint="default" w:ascii="Times New Roman" w:hAnsi="Times New Roman" w:eastAsia="宋体" w:cs="Times New Roman"/>
                      <w:szCs w:val="21"/>
                      <w:u w:val="none"/>
                      <w:lang w:val="en-US" w:eastAsia="zh-CN"/>
                    </w:rPr>
                    <w:t>浓度</w:t>
                  </w:r>
                  <w:r>
                    <w:rPr>
                      <w:rFonts w:hint="default" w:ascii="Times New Roman" w:hAnsi="Times New Roman" w:eastAsia="宋体" w:cs="Times New Roman"/>
                      <w:szCs w:val="21"/>
                      <w:u w:val="none"/>
                    </w:rPr>
                    <w:t>限值</w:t>
                  </w:r>
                </w:p>
              </w:tc>
              <w:tc>
                <w:tcPr>
                  <w:tcW w:w="826" w:type="dxa"/>
                  <w:tcBorders>
                    <w:tl2br w:val="nil"/>
                    <w:tr2bl w:val="nil"/>
                  </w:tcBorders>
                  <w:vAlign w:val="center"/>
                </w:tcPr>
                <w:p w14:paraId="42CD3E8B">
                  <w:pPr>
                    <w:jc w:val="center"/>
                    <w:rPr>
                      <w:rFonts w:hint="default" w:eastAsia="宋体"/>
                      <w:lang w:val="en-US" w:eastAsia="zh-CN"/>
                    </w:rPr>
                  </w:pPr>
                  <w:r>
                    <w:rPr>
                      <w:rFonts w:hint="eastAsia"/>
                      <w:lang w:val="en-US" w:eastAsia="zh-CN"/>
                    </w:rPr>
                    <w:t>200</w:t>
                  </w:r>
                </w:p>
              </w:tc>
              <w:tc>
                <w:tcPr>
                  <w:tcW w:w="796" w:type="dxa"/>
                  <w:tcBorders>
                    <w:tl2br w:val="nil"/>
                    <w:tr2bl w:val="nil"/>
                  </w:tcBorders>
                  <w:vAlign w:val="center"/>
                </w:tcPr>
                <w:p w14:paraId="7903961A">
                  <w:pPr>
                    <w:jc w:val="center"/>
                  </w:pPr>
                  <w:r>
                    <w:rPr>
                      <w:rFonts w:hint="eastAsia"/>
                    </w:rPr>
                    <w:t>/</w:t>
                  </w:r>
                </w:p>
              </w:tc>
              <w:tc>
                <w:tcPr>
                  <w:tcW w:w="765" w:type="dxa"/>
                  <w:tcBorders>
                    <w:tl2br w:val="nil"/>
                    <w:tr2bl w:val="nil"/>
                  </w:tcBorders>
                  <w:vAlign w:val="center"/>
                </w:tcPr>
                <w:p w14:paraId="5BADC1B8">
                  <w:pPr>
                    <w:jc w:val="center"/>
                  </w:pPr>
                  <w:r>
                    <w:rPr>
                      <w:rFonts w:hint="eastAsia"/>
                    </w:rPr>
                    <w:t>达标</w:t>
                  </w:r>
                </w:p>
              </w:tc>
            </w:tr>
            <w:tr w14:paraId="7A3D262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22" w:hRule="atLeast"/>
              </w:trPr>
              <w:tc>
                <w:tcPr>
                  <w:tcW w:w="869" w:type="dxa"/>
                  <w:vMerge w:val="continue"/>
                  <w:tcBorders>
                    <w:tl2br w:val="nil"/>
                    <w:tr2bl w:val="nil"/>
                  </w:tcBorders>
                  <w:vAlign w:val="center"/>
                </w:tcPr>
                <w:p w14:paraId="35DA0A87">
                  <w:pPr>
                    <w:jc w:val="center"/>
                  </w:pPr>
                </w:p>
              </w:tc>
              <w:tc>
                <w:tcPr>
                  <w:tcW w:w="1109" w:type="dxa"/>
                  <w:tcBorders>
                    <w:tl2br w:val="nil"/>
                    <w:tr2bl w:val="nil"/>
                  </w:tcBorders>
                  <w:vAlign w:val="center"/>
                </w:tcPr>
                <w:p w14:paraId="053E36D8">
                  <w:pPr>
                    <w:pStyle w:val="198"/>
                    <w:tabs>
                      <w:tab w:val="left" w:pos="1021"/>
                    </w:tabs>
                  </w:pPr>
                  <w:r>
                    <w:t>NO</w:t>
                  </w:r>
                  <w:r>
                    <w:rPr>
                      <w:vertAlign w:val="subscript"/>
                    </w:rPr>
                    <w:t>X</w:t>
                  </w:r>
                </w:p>
              </w:tc>
              <w:tc>
                <w:tcPr>
                  <w:tcW w:w="1162" w:type="dxa"/>
                  <w:tcBorders>
                    <w:tl2br w:val="nil"/>
                    <w:tr2bl w:val="nil"/>
                  </w:tcBorders>
                  <w:vAlign w:val="center"/>
                </w:tcPr>
                <w:p w14:paraId="55181C9B">
                  <w:pPr>
                    <w:pStyle w:val="198"/>
                    <w:tabs>
                      <w:tab w:val="left" w:pos="1021"/>
                    </w:tabs>
                  </w:pPr>
                  <w:r>
                    <w:rPr>
                      <w:rFonts w:hint="eastAsia"/>
                    </w:rPr>
                    <w:t>145.9</w:t>
                  </w:r>
                </w:p>
              </w:tc>
              <w:tc>
                <w:tcPr>
                  <w:tcW w:w="1263" w:type="dxa"/>
                  <w:tcBorders>
                    <w:tl2br w:val="nil"/>
                    <w:tr2bl w:val="nil"/>
                  </w:tcBorders>
                  <w:vAlign w:val="center"/>
                </w:tcPr>
                <w:p w14:paraId="3EA78471">
                  <w:pPr>
                    <w:jc w:val="center"/>
                  </w:pPr>
                  <w:r>
                    <w:rPr>
                      <w:rFonts w:hint="eastAsia"/>
                    </w:rPr>
                    <w:t>0.017</w:t>
                  </w:r>
                </w:p>
              </w:tc>
              <w:tc>
                <w:tcPr>
                  <w:tcW w:w="1465" w:type="dxa"/>
                  <w:vMerge w:val="continue"/>
                  <w:tcBorders>
                    <w:tl2br w:val="nil"/>
                    <w:tr2bl w:val="nil"/>
                  </w:tcBorders>
                  <w:vAlign w:val="center"/>
                </w:tcPr>
                <w:p w14:paraId="7AF9D4BD">
                  <w:pPr>
                    <w:jc w:val="center"/>
                    <w:rPr>
                      <w:spacing w:val="1"/>
                      <w:szCs w:val="21"/>
                    </w:rPr>
                  </w:pPr>
                </w:p>
              </w:tc>
              <w:tc>
                <w:tcPr>
                  <w:tcW w:w="826" w:type="dxa"/>
                  <w:tcBorders>
                    <w:tl2br w:val="nil"/>
                    <w:tr2bl w:val="nil"/>
                  </w:tcBorders>
                  <w:vAlign w:val="center"/>
                </w:tcPr>
                <w:p w14:paraId="3DBEA667">
                  <w:pPr>
                    <w:jc w:val="center"/>
                    <w:rPr>
                      <w:rFonts w:hint="default" w:eastAsia="宋体"/>
                      <w:lang w:val="en-US" w:eastAsia="zh-CN"/>
                    </w:rPr>
                  </w:pPr>
                  <w:r>
                    <w:rPr>
                      <w:rFonts w:hint="eastAsia"/>
                      <w:lang w:val="en-US" w:eastAsia="zh-CN"/>
                    </w:rPr>
                    <w:t>300</w:t>
                  </w:r>
                </w:p>
              </w:tc>
              <w:tc>
                <w:tcPr>
                  <w:tcW w:w="796" w:type="dxa"/>
                  <w:tcBorders>
                    <w:tl2br w:val="nil"/>
                    <w:tr2bl w:val="nil"/>
                  </w:tcBorders>
                  <w:vAlign w:val="center"/>
                </w:tcPr>
                <w:p w14:paraId="4D853985">
                  <w:pPr>
                    <w:jc w:val="center"/>
                  </w:pPr>
                  <w:r>
                    <w:rPr>
                      <w:rFonts w:hint="eastAsia"/>
                    </w:rPr>
                    <w:t>/</w:t>
                  </w:r>
                </w:p>
              </w:tc>
              <w:tc>
                <w:tcPr>
                  <w:tcW w:w="765" w:type="dxa"/>
                  <w:tcBorders>
                    <w:tl2br w:val="nil"/>
                    <w:tr2bl w:val="nil"/>
                  </w:tcBorders>
                  <w:vAlign w:val="center"/>
                </w:tcPr>
                <w:p w14:paraId="3807B145">
                  <w:pPr>
                    <w:jc w:val="center"/>
                  </w:pPr>
                  <w:r>
                    <w:rPr>
                      <w:rFonts w:hint="eastAsia"/>
                    </w:rPr>
                    <w:t>达标</w:t>
                  </w:r>
                </w:p>
              </w:tc>
            </w:tr>
          </w:tbl>
          <w:p w14:paraId="3FB54247">
            <w:pPr>
              <w:pStyle w:val="20"/>
              <w:numPr>
                <w:ilvl w:val="0"/>
                <w:numId w:val="0"/>
              </w:numPr>
              <w:spacing w:line="360" w:lineRule="auto"/>
              <w:ind w:firstLine="480" w:firstLineChars="200"/>
              <w:rPr>
                <w:rFonts w:hint="eastAsia" w:ascii="Times New Roman" w:hAnsi="Times New Roman" w:eastAsia="宋体" w:cs="Times New Roman"/>
                <w:sz w:val="24"/>
                <w:lang w:val="en-US" w:eastAsia="zh-CN"/>
              </w:rPr>
            </w:pPr>
            <w:r>
              <w:rPr>
                <w:rFonts w:hint="eastAsia"/>
                <w:sz w:val="24"/>
              </w:rPr>
              <w:t>根据</w:t>
            </w:r>
            <w:r>
              <w:rPr>
                <w:sz w:val="24"/>
              </w:rPr>
              <w:t>表4-</w:t>
            </w:r>
            <w:r>
              <w:rPr>
                <w:rFonts w:hint="eastAsia"/>
                <w:sz w:val="24"/>
              </w:rPr>
              <w:t>2可知</w:t>
            </w:r>
            <w:r>
              <w:rPr>
                <w:sz w:val="24"/>
              </w:rPr>
              <w:t>，</w:t>
            </w:r>
            <w:r>
              <w:rPr>
                <w:rFonts w:hint="eastAsia"/>
                <w:sz w:val="24"/>
              </w:rPr>
              <w:t>本项目注塑废气和喷塑粉尘均满足《合成树脂工业污染物排放标准》（GB31572-2015）表4大气污染物排放限值；天</w:t>
            </w:r>
            <w:r>
              <w:rPr>
                <w:rFonts w:hint="eastAsia" w:ascii="Times New Roman" w:hAnsi="Times New Roman" w:eastAsia="宋体" w:cs="Times New Roman"/>
                <w:sz w:val="24"/>
              </w:rPr>
              <w:t>然气燃烧机废气满足</w:t>
            </w:r>
            <w:r>
              <w:rPr>
                <w:rFonts w:hint="default" w:ascii="Times New Roman" w:hAnsi="Times New Roman" w:eastAsia="宋体" w:cs="Times New Roman"/>
                <w:sz w:val="24"/>
              </w:rPr>
              <w:t>《湖南省工业炉窑大气污染综合治理实施方案</w:t>
            </w:r>
            <w:r>
              <w:rPr>
                <w:rFonts w:hint="eastAsia" w:ascii="Times New Roman" w:hAnsi="Times New Roman" w:eastAsia="宋体" w:cs="Times New Roman"/>
                <w:sz w:val="24"/>
                <w:lang w:eastAsia="zh-CN"/>
              </w:rPr>
              <w:t>》（</w:t>
            </w:r>
            <w:r>
              <w:rPr>
                <w:rFonts w:hint="eastAsia" w:ascii="Times New Roman" w:hAnsi="Times New Roman" w:eastAsia="宋体" w:cs="Times New Roman"/>
                <w:sz w:val="24"/>
                <w:lang w:val="en-US" w:eastAsia="zh-CN"/>
              </w:rPr>
              <w:t>DB43/3082-2024</w:t>
            </w:r>
            <w:r>
              <w:rPr>
                <w:rFonts w:hint="eastAsia" w:ascii="Times New Roman" w:hAnsi="Times New Roman" w:eastAsia="宋体" w:cs="Times New Roman"/>
                <w:sz w:val="24"/>
                <w:lang w:eastAsia="zh-CN"/>
              </w:rPr>
              <w:t>）</w:t>
            </w:r>
            <w:r>
              <w:rPr>
                <w:rFonts w:hint="default" w:ascii="Times New Roman" w:hAnsi="Times New Roman" w:eastAsia="宋体" w:cs="Times New Roman"/>
                <w:sz w:val="24"/>
                <w:lang w:val="en-US" w:eastAsia="zh-CN"/>
              </w:rPr>
              <w:t>中附件1</w:t>
            </w:r>
            <w:r>
              <w:rPr>
                <w:rFonts w:hint="default" w:ascii="Times New Roman" w:hAnsi="Times New Roman" w:eastAsia="宋体" w:cs="Times New Roman"/>
                <w:sz w:val="24"/>
              </w:rPr>
              <w:t>工业炉窑大气污染物排放</w:t>
            </w:r>
            <w:r>
              <w:rPr>
                <w:rFonts w:hint="default" w:ascii="Times New Roman" w:hAnsi="Times New Roman" w:eastAsia="宋体" w:cs="Times New Roman"/>
                <w:sz w:val="24"/>
                <w:lang w:val="en-US" w:eastAsia="zh-CN"/>
              </w:rPr>
              <w:t>浓度</w:t>
            </w:r>
            <w:r>
              <w:rPr>
                <w:rFonts w:hint="default" w:ascii="Times New Roman" w:hAnsi="Times New Roman" w:eastAsia="宋体" w:cs="Times New Roman"/>
                <w:sz w:val="24"/>
              </w:rPr>
              <w:t>限值</w:t>
            </w:r>
            <w:r>
              <w:rPr>
                <w:rFonts w:hint="eastAsia" w:ascii="Times New Roman" w:hAnsi="Times New Roman" w:eastAsia="宋体" w:cs="Times New Roman"/>
                <w:sz w:val="24"/>
              </w:rPr>
              <w:t>要求</w:t>
            </w:r>
            <w:r>
              <w:rPr>
                <w:rFonts w:hint="eastAsia" w:ascii="Times New Roman" w:hAnsi="Times New Roman" w:eastAsia="宋体" w:cs="Times New Roman"/>
                <w:sz w:val="24"/>
                <w:lang w:eastAsia="zh-CN"/>
              </w:rPr>
              <w:t>。</w:t>
            </w:r>
          </w:p>
          <w:p w14:paraId="7A1FD7C6">
            <w:pPr>
              <w:pStyle w:val="20"/>
              <w:numPr>
                <w:ilvl w:val="0"/>
                <w:numId w:val="0"/>
              </w:numPr>
              <w:spacing w:line="360" w:lineRule="auto"/>
              <w:ind w:firstLine="480" w:firstLineChars="200"/>
              <w:rPr>
                <w:sz w:val="24"/>
              </w:rPr>
            </w:pPr>
            <w:r>
              <w:rPr>
                <w:sz w:val="24"/>
              </w:rPr>
              <w:t>②无组织废气</w:t>
            </w:r>
          </w:p>
          <w:p w14:paraId="3BC9B71D">
            <w:pPr>
              <w:pStyle w:val="20"/>
              <w:numPr>
                <w:ilvl w:val="0"/>
                <w:numId w:val="0"/>
              </w:numPr>
              <w:spacing w:line="360" w:lineRule="auto"/>
              <w:ind w:firstLine="480" w:firstLineChars="200"/>
              <w:rPr>
                <w:sz w:val="24"/>
              </w:rPr>
            </w:pPr>
            <w:r>
              <w:rPr>
                <w:rFonts w:hint="eastAsia"/>
                <w:sz w:val="24"/>
              </w:rPr>
              <w:t>本项目</w:t>
            </w:r>
            <w:r>
              <w:rPr>
                <w:sz w:val="24"/>
              </w:rPr>
              <w:t>无组织排放的废气主要为</w:t>
            </w:r>
            <w:r>
              <w:rPr>
                <w:rFonts w:hint="eastAsia"/>
                <w:sz w:val="24"/>
              </w:rPr>
              <w:t>机加工粉尘、焊接烟尘</w:t>
            </w:r>
            <w:r>
              <w:rPr>
                <w:sz w:val="24"/>
              </w:rPr>
              <w:t>和</w:t>
            </w:r>
            <w:r>
              <w:rPr>
                <w:rFonts w:hint="eastAsia"/>
                <w:sz w:val="24"/>
              </w:rPr>
              <w:t>喷塑粉尘</w:t>
            </w:r>
            <w:r>
              <w:rPr>
                <w:sz w:val="24"/>
              </w:rPr>
              <w:t>，产生量较小，</w:t>
            </w:r>
            <w:r>
              <w:rPr>
                <w:rFonts w:hint="eastAsia"/>
                <w:sz w:val="24"/>
              </w:rPr>
              <w:t>经车间内无组织排放，</w:t>
            </w:r>
            <w:r>
              <w:rPr>
                <w:sz w:val="24"/>
              </w:rPr>
              <w:t>对</w:t>
            </w:r>
            <w:r>
              <w:rPr>
                <w:rFonts w:hint="eastAsia"/>
                <w:sz w:val="24"/>
              </w:rPr>
              <w:t>周边环境影响较小</w:t>
            </w:r>
            <w:r>
              <w:rPr>
                <w:sz w:val="24"/>
              </w:rPr>
              <w:t>。</w:t>
            </w:r>
          </w:p>
          <w:p w14:paraId="075D55BD">
            <w:pPr>
              <w:adjustRightInd w:val="0"/>
              <w:snapToGrid w:val="0"/>
              <w:spacing w:line="360" w:lineRule="auto"/>
              <w:ind w:firstLine="482" w:firstLineChars="200"/>
              <w:rPr>
                <w:b/>
                <w:bCs/>
                <w:sz w:val="24"/>
              </w:rPr>
            </w:pPr>
            <w:r>
              <w:rPr>
                <w:rFonts w:hint="eastAsia"/>
                <w:b/>
                <w:bCs/>
                <w:sz w:val="24"/>
              </w:rPr>
              <w:t>4.1.3排污口设置情况</w:t>
            </w:r>
          </w:p>
          <w:p w14:paraId="73AF5FC3">
            <w:pPr>
              <w:adjustRightInd w:val="0"/>
              <w:snapToGrid w:val="0"/>
              <w:spacing w:line="360" w:lineRule="auto"/>
              <w:ind w:firstLine="480" w:firstLineChars="200"/>
              <w:rPr>
                <w:sz w:val="24"/>
              </w:rPr>
            </w:pPr>
            <w:r>
              <w:rPr>
                <w:rFonts w:hint="eastAsia"/>
                <w:sz w:val="24"/>
              </w:rPr>
              <w:t>本项目废气有组织排放自行监测计划参照执行《排污单位自行监测技术指南 总则》（HJ 819-2017），具体见表4-3</w:t>
            </w:r>
          </w:p>
          <w:p w14:paraId="10C734BE">
            <w:pPr>
              <w:pStyle w:val="158"/>
              <w:spacing w:before="48"/>
              <w:rPr>
                <w:sz w:val="24"/>
                <w:szCs w:val="24"/>
              </w:rPr>
            </w:pPr>
            <w:r>
              <w:rPr>
                <w:rFonts w:hint="eastAsia"/>
                <w:sz w:val="24"/>
                <w:szCs w:val="24"/>
              </w:rPr>
              <w:t>表4-3    大气排污口设置情况</w:t>
            </w:r>
          </w:p>
          <w:tbl>
            <w:tblPr>
              <w:tblStyle w:val="37"/>
              <w:tblW w:w="8274"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50"/>
              <w:gridCol w:w="1035"/>
              <w:gridCol w:w="839"/>
              <w:gridCol w:w="854"/>
              <w:gridCol w:w="782"/>
              <w:gridCol w:w="2513"/>
              <w:gridCol w:w="1401"/>
            </w:tblGrid>
            <w:tr w14:paraId="572E346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6" w:hRule="atLeast"/>
              </w:trPr>
              <w:tc>
                <w:tcPr>
                  <w:tcW w:w="850" w:type="dxa"/>
                  <w:vMerge w:val="restart"/>
                  <w:tcBorders>
                    <w:tl2br w:val="nil"/>
                    <w:tr2bl w:val="nil"/>
                  </w:tcBorders>
                  <w:vAlign w:val="center"/>
                </w:tcPr>
                <w:p w14:paraId="790D6048">
                  <w:pPr>
                    <w:adjustRightInd w:val="0"/>
                    <w:snapToGrid w:val="0"/>
                    <w:jc w:val="center"/>
                    <w:rPr>
                      <w:bCs/>
                      <w:spacing w:val="-10"/>
                      <w:szCs w:val="21"/>
                    </w:rPr>
                  </w:pPr>
                  <w:r>
                    <w:rPr>
                      <w:rFonts w:hint="eastAsia"/>
                      <w:bCs/>
                      <w:spacing w:val="-10"/>
                      <w:szCs w:val="21"/>
                    </w:rPr>
                    <w:t>污染源</w:t>
                  </w:r>
                </w:p>
                <w:p w14:paraId="2C61312C">
                  <w:pPr>
                    <w:adjustRightInd w:val="0"/>
                    <w:snapToGrid w:val="0"/>
                    <w:jc w:val="center"/>
                    <w:rPr>
                      <w:bCs/>
                      <w:spacing w:val="-10"/>
                      <w:szCs w:val="21"/>
                    </w:rPr>
                  </w:pPr>
                  <w:r>
                    <w:rPr>
                      <w:rFonts w:hint="eastAsia"/>
                      <w:bCs/>
                      <w:spacing w:val="-10"/>
                      <w:szCs w:val="21"/>
                    </w:rPr>
                    <w:t>类别</w:t>
                  </w:r>
                </w:p>
              </w:tc>
              <w:tc>
                <w:tcPr>
                  <w:tcW w:w="1035" w:type="dxa"/>
                  <w:vMerge w:val="restart"/>
                  <w:tcBorders>
                    <w:tl2br w:val="nil"/>
                    <w:tr2bl w:val="nil"/>
                  </w:tcBorders>
                  <w:vAlign w:val="center"/>
                </w:tcPr>
                <w:p w14:paraId="67B51AA7">
                  <w:pPr>
                    <w:adjustRightInd w:val="0"/>
                    <w:snapToGrid w:val="0"/>
                    <w:jc w:val="center"/>
                    <w:rPr>
                      <w:bCs/>
                      <w:spacing w:val="-10"/>
                      <w:szCs w:val="21"/>
                    </w:rPr>
                  </w:pPr>
                  <w:r>
                    <w:rPr>
                      <w:rFonts w:hint="eastAsia"/>
                      <w:bCs/>
                      <w:spacing w:val="-10"/>
                      <w:szCs w:val="21"/>
                    </w:rPr>
                    <w:t>排污口编号及名称</w:t>
                  </w:r>
                </w:p>
              </w:tc>
              <w:tc>
                <w:tcPr>
                  <w:tcW w:w="6389" w:type="dxa"/>
                  <w:gridSpan w:val="5"/>
                  <w:tcBorders>
                    <w:tl2br w:val="nil"/>
                    <w:tr2bl w:val="nil"/>
                  </w:tcBorders>
                  <w:vAlign w:val="center"/>
                </w:tcPr>
                <w:p w14:paraId="5503DB59">
                  <w:pPr>
                    <w:adjustRightInd w:val="0"/>
                    <w:snapToGrid w:val="0"/>
                    <w:jc w:val="center"/>
                    <w:rPr>
                      <w:bCs/>
                      <w:spacing w:val="-10"/>
                      <w:szCs w:val="21"/>
                    </w:rPr>
                  </w:pPr>
                  <w:r>
                    <w:rPr>
                      <w:rFonts w:hint="eastAsia"/>
                      <w:bCs/>
                      <w:spacing w:val="-10"/>
                      <w:szCs w:val="21"/>
                    </w:rPr>
                    <w:t>排放口基本情况</w:t>
                  </w:r>
                </w:p>
              </w:tc>
            </w:tr>
            <w:tr w14:paraId="6BFBB3E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50" w:type="dxa"/>
                  <w:vMerge w:val="continue"/>
                  <w:tcBorders>
                    <w:tl2br w:val="nil"/>
                    <w:tr2bl w:val="nil"/>
                  </w:tcBorders>
                  <w:vAlign w:val="center"/>
                </w:tcPr>
                <w:p w14:paraId="3B073475">
                  <w:pPr>
                    <w:adjustRightInd w:val="0"/>
                    <w:snapToGrid w:val="0"/>
                    <w:jc w:val="center"/>
                    <w:rPr>
                      <w:bCs/>
                      <w:spacing w:val="-10"/>
                      <w:szCs w:val="21"/>
                    </w:rPr>
                  </w:pPr>
                </w:p>
              </w:tc>
              <w:tc>
                <w:tcPr>
                  <w:tcW w:w="1035" w:type="dxa"/>
                  <w:vMerge w:val="continue"/>
                  <w:tcBorders>
                    <w:tl2br w:val="nil"/>
                    <w:tr2bl w:val="nil"/>
                  </w:tcBorders>
                  <w:vAlign w:val="center"/>
                </w:tcPr>
                <w:p w14:paraId="2B5B250E">
                  <w:pPr>
                    <w:adjustRightInd w:val="0"/>
                    <w:snapToGrid w:val="0"/>
                    <w:jc w:val="center"/>
                    <w:rPr>
                      <w:bCs/>
                      <w:spacing w:val="-10"/>
                      <w:szCs w:val="21"/>
                    </w:rPr>
                  </w:pPr>
                </w:p>
              </w:tc>
              <w:tc>
                <w:tcPr>
                  <w:tcW w:w="839" w:type="dxa"/>
                  <w:tcBorders>
                    <w:tl2br w:val="nil"/>
                    <w:tr2bl w:val="nil"/>
                  </w:tcBorders>
                  <w:vAlign w:val="center"/>
                </w:tcPr>
                <w:p w14:paraId="46A2A53A">
                  <w:pPr>
                    <w:adjustRightInd w:val="0"/>
                    <w:snapToGrid w:val="0"/>
                    <w:jc w:val="center"/>
                    <w:rPr>
                      <w:bCs/>
                      <w:spacing w:val="-10"/>
                      <w:szCs w:val="21"/>
                    </w:rPr>
                  </w:pPr>
                  <w:r>
                    <w:rPr>
                      <w:rFonts w:hint="eastAsia"/>
                      <w:bCs/>
                      <w:spacing w:val="-10"/>
                      <w:szCs w:val="21"/>
                    </w:rPr>
                    <w:t>高度(m)</w:t>
                  </w:r>
                </w:p>
              </w:tc>
              <w:tc>
                <w:tcPr>
                  <w:tcW w:w="854" w:type="dxa"/>
                  <w:tcBorders>
                    <w:tl2br w:val="nil"/>
                    <w:tr2bl w:val="nil"/>
                  </w:tcBorders>
                  <w:vAlign w:val="center"/>
                </w:tcPr>
                <w:p w14:paraId="09F12E41">
                  <w:pPr>
                    <w:adjustRightInd w:val="0"/>
                    <w:snapToGrid w:val="0"/>
                    <w:jc w:val="center"/>
                    <w:rPr>
                      <w:bCs/>
                      <w:spacing w:val="-10"/>
                      <w:szCs w:val="21"/>
                    </w:rPr>
                  </w:pPr>
                  <w:r>
                    <w:rPr>
                      <w:rFonts w:hint="eastAsia"/>
                      <w:bCs/>
                      <w:spacing w:val="-10"/>
                      <w:szCs w:val="21"/>
                    </w:rPr>
                    <w:t>内径(m)</w:t>
                  </w:r>
                </w:p>
              </w:tc>
              <w:tc>
                <w:tcPr>
                  <w:tcW w:w="782" w:type="dxa"/>
                  <w:tcBorders>
                    <w:tl2br w:val="nil"/>
                    <w:tr2bl w:val="nil"/>
                  </w:tcBorders>
                  <w:vAlign w:val="center"/>
                </w:tcPr>
                <w:p w14:paraId="457A5E35">
                  <w:pPr>
                    <w:adjustRightInd w:val="0"/>
                    <w:snapToGrid w:val="0"/>
                    <w:jc w:val="center"/>
                    <w:rPr>
                      <w:bCs/>
                      <w:spacing w:val="-10"/>
                      <w:szCs w:val="21"/>
                    </w:rPr>
                  </w:pPr>
                  <w:r>
                    <w:rPr>
                      <w:rFonts w:hint="eastAsia"/>
                      <w:bCs/>
                      <w:spacing w:val="-10"/>
                      <w:szCs w:val="21"/>
                    </w:rPr>
                    <w:t>温度(</w:t>
                  </w:r>
                  <w:r>
                    <w:rPr>
                      <w:bCs/>
                      <w:spacing w:val="-10"/>
                      <w:szCs w:val="21"/>
                    </w:rPr>
                    <w:t>℃</w:t>
                  </w:r>
                  <w:r>
                    <w:rPr>
                      <w:rFonts w:hint="eastAsia"/>
                      <w:bCs/>
                      <w:spacing w:val="-10"/>
                      <w:szCs w:val="21"/>
                    </w:rPr>
                    <w:t>)</w:t>
                  </w:r>
                </w:p>
              </w:tc>
              <w:tc>
                <w:tcPr>
                  <w:tcW w:w="2513" w:type="dxa"/>
                  <w:tcBorders>
                    <w:tl2br w:val="nil"/>
                    <w:tr2bl w:val="nil"/>
                  </w:tcBorders>
                  <w:vAlign w:val="center"/>
                </w:tcPr>
                <w:p w14:paraId="36861950">
                  <w:pPr>
                    <w:adjustRightInd w:val="0"/>
                    <w:snapToGrid w:val="0"/>
                    <w:jc w:val="center"/>
                    <w:rPr>
                      <w:bCs/>
                      <w:spacing w:val="-10"/>
                      <w:szCs w:val="21"/>
                    </w:rPr>
                  </w:pPr>
                  <w:r>
                    <w:rPr>
                      <w:rFonts w:hint="eastAsia"/>
                      <w:bCs/>
                      <w:spacing w:val="-10"/>
                      <w:szCs w:val="21"/>
                    </w:rPr>
                    <w:t>坐标</w:t>
                  </w:r>
                </w:p>
              </w:tc>
              <w:tc>
                <w:tcPr>
                  <w:tcW w:w="1401" w:type="dxa"/>
                  <w:tcBorders>
                    <w:tl2br w:val="nil"/>
                    <w:tr2bl w:val="nil"/>
                  </w:tcBorders>
                  <w:vAlign w:val="center"/>
                </w:tcPr>
                <w:p w14:paraId="461A2698">
                  <w:pPr>
                    <w:adjustRightInd w:val="0"/>
                    <w:snapToGrid w:val="0"/>
                    <w:jc w:val="center"/>
                    <w:rPr>
                      <w:bCs/>
                      <w:spacing w:val="-10"/>
                      <w:szCs w:val="21"/>
                    </w:rPr>
                  </w:pPr>
                  <w:r>
                    <w:rPr>
                      <w:rFonts w:hint="eastAsia"/>
                      <w:bCs/>
                      <w:spacing w:val="-10"/>
                      <w:szCs w:val="21"/>
                    </w:rPr>
                    <w:t>类型</w:t>
                  </w:r>
                </w:p>
              </w:tc>
            </w:tr>
            <w:tr w14:paraId="67D338B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8" w:hRule="atLeast"/>
              </w:trPr>
              <w:tc>
                <w:tcPr>
                  <w:tcW w:w="850" w:type="dxa"/>
                  <w:tcBorders>
                    <w:tl2br w:val="nil"/>
                    <w:tr2bl w:val="nil"/>
                  </w:tcBorders>
                  <w:vAlign w:val="center"/>
                </w:tcPr>
                <w:p w14:paraId="5F2EF646">
                  <w:pPr>
                    <w:adjustRightInd w:val="0"/>
                    <w:snapToGrid w:val="0"/>
                    <w:jc w:val="center"/>
                    <w:rPr>
                      <w:bCs/>
                      <w:spacing w:val="-10"/>
                      <w:szCs w:val="21"/>
                    </w:rPr>
                  </w:pPr>
                  <w:r>
                    <w:rPr>
                      <w:rFonts w:hint="eastAsia"/>
                      <w:bCs/>
                      <w:spacing w:val="-10"/>
                      <w:szCs w:val="21"/>
                    </w:rPr>
                    <w:t>有组织</w:t>
                  </w:r>
                </w:p>
              </w:tc>
              <w:tc>
                <w:tcPr>
                  <w:tcW w:w="1035" w:type="dxa"/>
                  <w:tcBorders>
                    <w:tl2br w:val="nil"/>
                    <w:tr2bl w:val="nil"/>
                  </w:tcBorders>
                  <w:vAlign w:val="center"/>
                </w:tcPr>
                <w:p w14:paraId="4E6ABADA">
                  <w:pPr>
                    <w:adjustRightInd w:val="0"/>
                    <w:snapToGrid w:val="0"/>
                    <w:jc w:val="center"/>
                    <w:rPr>
                      <w:bCs/>
                      <w:spacing w:val="-10"/>
                      <w:szCs w:val="21"/>
                    </w:rPr>
                  </w:pPr>
                  <w:r>
                    <w:rPr>
                      <w:rFonts w:hint="eastAsia"/>
                      <w:bCs/>
                      <w:spacing w:val="-10"/>
                      <w:szCs w:val="21"/>
                    </w:rPr>
                    <w:t>DA001</w:t>
                  </w:r>
                </w:p>
              </w:tc>
              <w:tc>
                <w:tcPr>
                  <w:tcW w:w="839" w:type="dxa"/>
                  <w:tcBorders>
                    <w:tl2br w:val="nil"/>
                    <w:tr2bl w:val="nil"/>
                  </w:tcBorders>
                  <w:vAlign w:val="center"/>
                </w:tcPr>
                <w:p w14:paraId="071B4FCE">
                  <w:pPr>
                    <w:adjustRightInd w:val="0"/>
                    <w:snapToGrid w:val="0"/>
                    <w:jc w:val="center"/>
                    <w:rPr>
                      <w:bCs/>
                      <w:spacing w:val="-10"/>
                      <w:szCs w:val="21"/>
                    </w:rPr>
                  </w:pPr>
                  <w:r>
                    <w:rPr>
                      <w:rFonts w:hint="eastAsia"/>
                      <w:bCs/>
                      <w:spacing w:val="-10"/>
                      <w:szCs w:val="21"/>
                    </w:rPr>
                    <w:t>15</w:t>
                  </w:r>
                </w:p>
              </w:tc>
              <w:tc>
                <w:tcPr>
                  <w:tcW w:w="854" w:type="dxa"/>
                  <w:tcBorders>
                    <w:tl2br w:val="nil"/>
                    <w:tr2bl w:val="nil"/>
                  </w:tcBorders>
                  <w:vAlign w:val="center"/>
                </w:tcPr>
                <w:p w14:paraId="4A2CB44E">
                  <w:pPr>
                    <w:adjustRightInd w:val="0"/>
                    <w:snapToGrid w:val="0"/>
                    <w:jc w:val="center"/>
                    <w:rPr>
                      <w:bCs/>
                      <w:spacing w:val="-10"/>
                      <w:szCs w:val="21"/>
                    </w:rPr>
                  </w:pPr>
                  <w:r>
                    <w:rPr>
                      <w:rFonts w:hint="eastAsia"/>
                      <w:bCs/>
                      <w:spacing w:val="-10"/>
                      <w:szCs w:val="21"/>
                    </w:rPr>
                    <w:t>0.5</w:t>
                  </w:r>
                </w:p>
              </w:tc>
              <w:tc>
                <w:tcPr>
                  <w:tcW w:w="782" w:type="dxa"/>
                  <w:tcBorders>
                    <w:tl2br w:val="nil"/>
                    <w:tr2bl w:val="nil"/>
                  </w:tcBorders>
                  <w:vAlign w:val="center"/>
                </w:tcPr>
                <w:p w14:paraId="3D1C9079">
                  <w:pPr>
                    <w:adjustRightInd w:val="0"/>
                    <w:snapToGrid w:val="0"/>
                    <w:jc w:val="center"/>
                    <w:rPr>
                      <w:bCs/>
                      <w:spacing w:val="-10"/>
                      <w:szCs w:val="21"/>
                    </w:rPr>
                  </w:pPr>
                  <w:r>
                    <w:rPr>
                      <w:rFonts w:hint="eastAsia"/>
                      <w:bCs/>
                      <w:spacing w:val="-10"/>
                      <w:szCs w:val="21"/>
                    </w:rPr>
                    <w:t>25</w:t>
                  </w:r>
                </w:p>
              </w:tc>
              <w:tc>
                <w:tcPr>
                  <w:tcW w:w="2513" w:type="dxa"/>
                  <w:tcBorders>
                    <w:tl2br w:val="nil"/>
                    <w:tr2bl w:val="nil"/>
                  </w:tcBorders>
                  <w:vAlign w:val="center"/>
                </w:tcPr>
                <w:p w14:paraId="58321EB4">
                  <w:pPr>
                    <w:adjustRightInd w:val="0"/>
                    <w:snapToGrid w:val="0"/>
                    <w:rPr>
                      <w:bCs/>
                      <w:spacing w:val="-10"/>
                      <w:szCs w:val="21"/>
                    </w:rPr>
                  </w:pPr>
                  <w:r>
                    <w:rPr>
                      <w:bCs/>
                      <w:spacing w:val="-10"/>
                      <w:szCs w:val="21"/>
                    </w:rPr>
                    <w:t>112.572142</w:t>
                  </w:r>
                  <w:r>
                    <w:rPr>
                      <w:rFonts w:hint="eastAsia"/>
                      <w:bCs/>
                      <w:spacing w:val="-10"/>
                      <w:szCs w:val="21"/>
                    </w:rPr>
                    <w:t>°、</w:t>
                  </w:r>
                  <w:r>
                    <w:rPr>
                      <w:bCs/>
                      <w:spacing w:val="-10"/>
                      <w:szCs w:val="21"/>
                    </w:rPr>
                    <w:t>26.855609</w:t>
                  </w:r>
                  <w:r>
                    <w:rPr>
                      <w:rFonts w:hint="eastAsia"/>
                      <w:bCs/>
                      <w:spacing w:val="-10"/>
                      <w:szCs w:val="21"/>
                    </w:rPr>
                    <w:t>°</w:t>
                  </w:r>
                </w:p>
              </w:tc>
              <w:tc>
                <w:tcPr>
                  <w:tcW w:w="1401" w:type="dxa"/>
                  <w:tcBorders>
                    <w:tl2br w:val="nil"/>
                    <w:tr2bl w:val="nil"/>
                  </w:tcBorders>
                  <w:vAlign w:val="center"/>
                </w:tcPr>
                <w:p w14:paraId="169C681B">
                  <w:pPr>
                    <w:adjustRightInd w:val="0"/>
                    <w:snapToGrid w:val="0"/>
                    <w:jc w:val="center"/>
                    <w:rPr>
                      <w:bCs/>
                      <w:spacing w:val="-10"/>
                      <w:szCs w:val="21"/>
                    </w:rPr>
                  </w:pPr>
                  <w:r>
                    <w:rPr>
                      <w:rFonts w:hint="eastAsia"/>
                      <w:bCs/>
                      <w:spacing w:val="-10"/>
                      <w:szCs w:val="21"/>
                    </w:rPr>
                    <w:t>一般排放口</w:t>
                  </w:r>
                </w:p>
              </w:tc>
            </w:tr>
            <w:tr w14:paraId="346E5FD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850" w:type="dxa"/>
                  <w:tcBorders>
                    <w:tl2br w:val="nil"/>
                    <w:tr2bl w:val="nil"/>
                  </w:tcBorders>
                  <w:vAlign w:val="center"/>
                </w:tcPr>
                <w:p w14:paraId="3DDC1106">
                  <w:pPr>
                    <w:adjustRightInd w:val="0"/>
                    <w:snapToGrid w:val="0"/>
                    <w:jc w:val="center"/>
                    <w:rPr>
                      <w:bCs/>
                      <w:spacing w:val="-10"/>
                      <w:szCs w:val="21"/>
                    </w:rPr>
                  </w:pPr>
                  <w:r>
                    <w:rPr>
                      <w:rFonts w:hint="eastAsia"/>
                      <w:bCs/>
                      <w:spacing w:val="-10"/>
                      <w:szCs w:val="21"/>
                    </w:rPr>
                    <w:t>有组织</w:t>
                  </w:r>
                </w:p>
              </w:tc>
              <w:tc>
                <w:tcPr>
                  <w:tcW w:w="1035" w:type="dxa"/>
                  <w:tcBorders>
                    <w:tl2br w:val="nil"/>
                    <w:tr2bl w:val="nil"/>
                  </w:tcBorders>
                  <w:vAlign w:val="center"/>
                </w:tcPr>
                <w:p w14:paraId="7251CA6B">
                  <w:pPr>
                    <w:adjustRightInd w:val="0"/>
                    <w:snapToGrid w:val="0"/>
                    <w:jc w:val="center"/>
                    <w:rPr>
                      <w:bCs/>
                      <w:spacing w:val="-10"/>
                      <w:szCs w:val="21"/>
                    </w:rPr>
                  </w:pPr>
                  <w:r>
                    <w:rPr>
                      <w:rFonts w:hint="eastAsia"/>
                      <w:bCs/>
                      <w:spacing w:val="-10"/>
                      <w:szCs w:val="21"/>
                    </w:rPr>
                    <w:t>DA002</w:t>
                  </w:r>
                </w:p>
              </w:tc>
              <w:tc>
                <w:tcPr>
                  <w:tcW w:w="839" w:type="dxa"/>
                  <w:tcBorders>
                    <w:tl2br w:val="nil"/>
                    <w:tr2bl w:val="nil"/>
                  </w:tcBorders>
                  <w:vAlign w:val="center"/>
                </w:tcPr>
                <w:p w14:paraId="63AA996A">
                  <w:pPr>
                    <w:adjustRightInd w:val="0"/>
                    <w:snapToGrid w:val="0"/>
                    <w:jc w:val="center"/>
                    <w:rPr>
                      <w:bCs/>
                      <w:spacing w:val="-10"/>
                      <w:szCs w:val="21"/>
                    </w:rPr>
                  </w:pPr>
                  <w:r>
                    <w:rPr>
                      <w:rFonts w:hint="eastAsia"/>
                      <w:bCs/>
                      <w:spacing w:val="-10"/>
                      <w:szCs w:val="21"/>
                    </w:rPr>
                    <w:t>15</w:t>
                  </w:r>
                </w:p>
              </w:tc>
              <w:tc>
                <w:tcPr>
                  <w:tcW w:w="854" w:type="dxa"/>
                  <w:tcBorders>
                    <w:tl2br w:val="nil"/>
                    <w:tr2bl w:val="nil"/>
                  </w:tcBorders>
                  <w:vAlign w:val="center"/>
                </w:tcPr>
                <w:p w14:paraId="649120CB">
                  <w:pPr>
                    <w:adjustRightInd w:val="0"/>
                    <w:snapToGrid w:val="0"/>
                    <w:jc w:val="center"/>
                    <w:rPr>
                      <w:bCs/>
                      <w:spacing w:val="-10"/>
                      <w:szCs w:val="21"/>
                    </w:rPr>
                  </w:pPr>
                  <w:r>
                    <w:rPr>
                      <w:rFonts w:hint="eastAsia"/>
                      <w:bCs/>
                      <w:spacing w:val="-10"/>
                      <w:szCs w:val="21"/>
                    </w:rPr>
                    <w:t>0.5</w:t>
                  </w:r>
                </w:p>
              </w:tc>
              <w:tc>
                <w:tcPr>
                  <w:tcW w:w="782" w:type="dxa"/>
                  <w:tcBorders>
                    <w:tl2br w:val="nil"/>
                    <w:tr2bl w:val="nil"/>
                  </w:tcBorders>
                  <w:vAlign w:val="center"/>
                </w:tcPr>
                <w:p w14:paraId="25E994F3">
                  <w:pPr>
                    <w:adjustRightInd w:val="0"/>
                    <w:snapToGrid w:val="0"/>
                    <w:jc w:val="center"/>
                    <w:rPr>
                      <w:bCs/>
                      <w:spacing w:val="-10"/>
                      <w:szCs w:val="21"/>
                    </w:rPr>
                  </w:pPr>
                  <w:r>
                    <w:rPr>
                      <w:rFonts w:hint="eastAsia"/>
                      <w:bCs/>
                      <w:spacing w:val="-10"/>
                      <w:szCs w:val="21"/>
                    </w:rPr>
                    <w:t>25</w:t>
                  </w:r>
                </w:p>
              </w:tc>
              <w:tc>
                <w:tcPr>
                  <w:tcW w:w="2513" w:type="dxa"/>
                  <w:tcBorders>
                    <w:tl2br w:val="nil"/>
                    <w:tr2bl w:val="nil"/>
                  </w:tcBorders>
                  <w:vAlign w:val="center"/>
                </w:tcPr>
                <w:p w14:paraId="01AD4412">
                  <w:pPr>
                    <w:adjustRightInd w:val="0"/>
                    <w:snapToGrid w:val="0"/>
                    <w:rPr>
                      <w:bCs/>
                      <w:spacing w:val="-10"/>
                      <w:szCs w:val="21"/>
                    </w:rPr>
                  </w:pPr>
                  <w:r>
                    <w:rPr>
                      <w:bCs/>
                      <w:spacing w:val="-10"/>
                      <w:szCs w:val="21"/>
                    </w:rPr>
                    <w:t>112.571546</w:t>
                  </w:r>
                  <w:r>
                    <w:rPr>
                      <w:rFonts w:hint="eastAsia"/>
                      <w:bCs/>
                      <w:spacing w:val="-10"/>
                      <w:szCs w:val="21"/>
                    </w:rPr>
                    <w:t>°、</w:t>
                  </w:r>
                  <w:r>
                    <w:rPr>
                      <w:bCs/>
                      <w:spacing w:val="-10"/>
                      <w:szCs w:val="21"/>
                    </w:rPr>
                    <w:t>26.855512</w:t>
                  </w:r>
                  <w:r>
                    <w:rPr>
                      <w:rFonts w:hint="eastAsia"/>
                      <w:bCs/>
                      <w:spacing w:val="-10"/>
                      <w:szCs w:val="21"/>
                    </w:rPr>
                    <w:t>°</w:t>
                  </w:r>
                </w:p>
              </w:tc>
              <w:tc>
                <w:tcPr>
                  <w:tcW w:w="1401" w:type="dxa"/>
                  <w:tcBorders>
                    <w:tl2br w:val="nil"/>
                    <w:tr2bl w:val="nil"/>
                  </w:tcBorders>
                  <w:vAlign w:val="center"/>
                </w:tcPr>
                <w:p w14:paraId="39C25A4F">
                  <w:pPr>
                    <w:adjustRightInd w:val="0"/>
                    <w:snapToGrid w:val="0"/>
                    <w:jc w:val="center"/>
                    <w:rPr>
                      <w:bCs/>
                      <w:spacing w:val="-10"/>
                      <w:szCs w:val="21"/>
                    </w:rPr>
                  </w:pPr>
                  <w:r>
                    <w:rPr>
                      <w:rFonts w:hint="eastAsia"/>
                      <w:bCs/>
                      <w:spacing w:val="-10"/>
                      <w:szCs w:val="21"/>
                    </w:rPr>
                    <w:t>一般排放口</w:t>
                  </w:r>
                </w:p>
              </w:tc>
            </w:tr>
            <w:tr w14:paraId="00D83F9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850" w:type="dxa"/>
                  <w:tcBorders>
                    <w:tl2br w:val="nil"/>
                    <w:tr2bl w:val="nil"/>
                  </w:tcBorders>
                  <w:vAlign w:val="center"/>
                </w:tcPr>
                <w:p w14:paraId="513F4729">
                  <w:pPr>
                    <w:adjustRightInd w:val="0"/>
                    <w:snapToGrid w:val="0"/>
                    <w:jc w:val="center"/>
                    <w:rPr>
                      <w:bCs/>
                      <w:spacing w:val="-10"/>
                      <w:szCs w:val="21"/>
                    </w:rPr>
                  </w:pPr>
                  <w:r>
                    <w:rPr>
                      <w:rFonts w:hint="eastAsia"/>
                      <w:bCs/>
                      <w:spacing w:val="-10"/>
                      <w:szCs w:val="21"/>
                    </w:rPr>
                    <w:t>有组织</w:t>
                  </w:r>
                </w:p>
              </w:tc>
              <w:tc>
                <w:tcPr>
                  <w:tcW w:w="1035" w:type="dxa"/>
                  <w:tcBorders>
                    <w:tl2br w:val="nil"/>
                    <w:tr2bl w:val="nil"/>
                  </w:tcBorders>
                  <w:vAlign w:val="center"/>
                </w:tcPr>
                <w:p w14:paraId="35CA1CB5">
                  <w:pPr>
                    <w:adjustRightInd w:val="0"/>
                    <w:snapToGrid w:val="0"/>
                    <w:jc w:val="center"/>
                    <w:rPr>
                      <w:bCs/>
                      <w:spacing w:val="-10"/>
                      <w:szCs w:val="21"/>
                    </w:rPr>
                  </w:pPr>
                  <w:r>
                    <w:rPr>
                      <w:rFonts w:hint="eastAsia"/>
                      <w:bCs/>
                      <w:spacing w:val="-10"/>
                      <w:szCs w:val="21"/>
                    </w:rPr>
                    <w:t>DA003</w:t>
                  </w:r>
                </w:p>
              </w:tc>
              <w:tc>
                <w:tcPr>
                  <w:tcW w:w="839" w:type="dxa"/>
                  <w:tcBorders>
                    <w:tl2br w:val="nil"/>
                    <w:tr2bl w:val="nil"/>
                  </w:tcBorders>
                  <w:vAlign w:val="center"/>
                </w:tcPr>
                <w:p w14:paraId="5A65AD43">
                  <w:pPr>
                    <w:adjustRightInd w:val="0"/>
                    <w:snapToGrid w:val="0"/>
                    <w:jc w:val="center"/>
                    <w:rPr>
                      <w:bCs/>
                      <w:spacing w:val="-10"/>
                      <w:szCs w:val="21"/>
                    </w:rPr>
                  </w:pPr>
                  <w:r>
                    <w:rPr>
                      <w:rFonts w:hint="eastAsia"/>
                      <w:bCs/>
                      <w:spacing w:val="-10"/>
                      <w:szCs w:val="21"/>
                    </w:rPr>
                    <w:t>8</w:t>
                  </w:r>
                </w:p>
              </w:tc>
              <w:tc>
                <w:tcPr>
                  <w:tcW w:w="854" w:type="dxa"/>
                  <w:tcBorders>
                    <w:tl2br w:val="nil"/>
                    <w:tr2bl w:val="nil"/>
                  </w:tcBorders>
                  <w:vAlign w:val="center"/>
                </w:tcPr>
                <w:p w14:paraId="5E1D0FE1">
                  <w:pPr>
                    <w:adjustRightInd w:val="0"/>
                    <w:snapToGrid w:val="0"/>
                    <w:jc w:val="center"/>
                    <w:rPr>
                      <w:bCs/>
                      <w:spacing w:val="-10"/>
                      <w:szCs w:val="21"/>
                    </w:rPr>
                  </w:pPr>
                  <w:r>
                    <w:rPr>
                      <w:rFonts w:hint="eastAsia"/>
                      <w:bCs/>
                      <w:spacing w:val="-10"/>
                      <w:szCs w:val="21"/>
                    </w:rPr>
                    <w:t>0.2</w:t>
                  </w:r>
                </w:p>
              </w:tc>
              <w:tc>
                <w:tcPr>
                  <w:tcW w:w="782" w:type="dxa"/>
                  <w:tcBorders>
                    <w:tl2br w:val="nil"/>
                    <w:tr2bl w:val="nil"/>
                  </w:tcBorders>
                  <w:vAlign w:val="center"/>
                </w:tcPr>
                <w:p w14:paraId="16FCC0E7">
                  <w:pPr>
                    <w:adjustRightInd w:val="0"/>
                    <w:snapToGrid w:val="0"/>
                    <w:jc w:val="center"/>
                    <w:rPr>
                      <w:bCs/>
                      <w:spacing w:val="-10"/>
                      <w:szCs w:val="21"/>
                    </w:rPr>
                  </w:pPr>
                  <w:r>
                    <w:rPr>
                      <w:rFonts w:hint="eastAsia"/>
                      <w:bCs/>
                      <w:spacing w:val="-10"/>
                      <w:szCs w:val="21"/>
                    </w:rPr>
                    <w:t>25</w:t>
                  </w:r>
                </w:p>
              </w:tc>
              <w:tc>
                <w:tcPr>
                  <w:tcW w:w="2513" w:type="dxa"/>
                  <w:tcBorders>
                    <w:tl2br w:val="nil"/>
                    <w:tr2bl w:val="nil"/>
                  </w:tcBorders>
                  <w:vAlign w:val="center"/>
                </w:tcPr>
                <w:p w14:paraId="2E9A276A">
                  <w:pPr>
                    <w:adjustRightInd w:val="0"/>
                    <w:snapToGrid w:val="0"/>
                    <w:rPr>
                      <w:bCs/>
                      <w:spacing w:val="-10"/>
                      <w:szCs w:val="21"/>
                    </w:rPr>
                  </w:pPr>
                  <w:r>
                    <w:rPr>
                      <w:rFonts w:hint="eastAsia"/>
                      <w:bCs/>
                      <w:spacing w:val="-10"/>
                      <w:szCs w:val="21"/>
                    </w:rPr>
                    <w:t>112.571407°、26.855480°</w:t>
                  </w:r>
                </w:p>
              </w:tc>
              <w:tc>
                <w:tcPr>
                  <w:tcW w:w="1401" w:type="dxa"/>
                  <w:tcBorders>
                    <w:tl2br w:val="nil"/>
                    <w:tr2bl w:val="nil"/>
                  </w:tcBorders>
                  <w:vAlign w:val="center"/>
                </w:tcPr>
                <w:p w14:paraId="0A3FA967">
                  <w:pPr>
                    <w:adjustRightInd w:val="0"/>
                    <w:snapToGrid w:val="0"/>
                    <w:jc w:val="center"/>
                    <w:rPr>
                      <w:bCs/>
                      <w:spacing w:val="-10"/>
                      <w:szCs w:val="21"/>
                    </w:rPr>
                  </w:pPr>
                  <w:r>
                    <w:rPr>
                      <w:rFonts w:hint="eastAsia"/>
                      <w:bCs/>
                      <w:spacing w:val="-10"/>
                      <w:szCs w:val="21"/>
                    </w:rPr>
                    <w:t>一般排放口</w:t>
                  </w:r>
                </w:p>
              </w:tc>
            </w:tr>
          </w:tbl>
          <w:p w14:paraId="7098AB26">
            <w:pPr>
              <w:adjustRightInd w:val="0"/>
              <w:snapToGrid w:val="0"/>
              <w:ind w:firstLine="480" w:firstLineChars="200"/>
              <w:rPr>
                <w:sz w:val="24"/>
              </w:rPr>
            </w:pPr>
            <w:r>
              <w:rPr>
                <w:rFonts w:hint="eastAsia"/>
                <w:sz w:val="24"/>
              </w:rPr>
              <w:t>本项目大气污染物有组织排放量见表4-4</w:t>
            </w:r>
          </w:p>
          <w:p w14:paraId="63A49DC3">
            <w:pPr>
              <w:pStyle w:val="158"/>
              <w:spacing w:before="48"/>
              <w:rPr>
                <w:rFonts w:hint="eastAsia"/>
                <w:sz w:val="24"/>
                <w:szCs w:val="24"/>
              </w:rPr>
            </w:pPr>
          </w:p>
          <w:p w14:paraId="2B4E8DA2">
            <w:pPr>
              <w:pStyle w:val="158"/>
              <w:spacing w:before="48"/>
            </w:pPr>
            <w:r>
              <w:rPr>
                <w:rFonts w:hint="eastAsia"/>
                <w:sz w:val="24"/>
                <w:szCs w:val="24"/>
              </w:rPr>
              <w:t>表4-4    大气污染物有组织排放量</w:t>
            </w:r>
          </w:p>
          <w:tbl>
            <w:tblPr>
              <w:tblStyle w:val="37"/>
              <w:tblW w:w="8265"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68"/>
              <w:gridCol w:w="1371"/>
              <w:gridCol w:w="1291"/>
              <w:gridCol w:w="1574"/>
              <w:gridCol w:w="1519"/>
              <w:gridCol w:w="1642"/>
            </w:tblGrid>
            <w:tr w14:paraId="526377E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68" w:type="dxa"/>
                  <w:tcBorders>
                    <w:tl2br w:val="nil"/>
                    <w:tr2bl w:val="nil"/>
                  </w:tcBorders>
                  <w:vAlign w:val="center"/>
                </w:tcPr>
                <w:p w14:paraId="0B0654E8">
                  <w:pPr>
                    <w:adjustRightInd w:val="0"/>
                    <w:snapToGrid w:val="0"/>
                    <w:jc w:val="center"/>
                    <w:rPr>
                      <w:b/>
                      <w:bCs/>
                      <w:szCs w:val="21"/>
                    </w:rPr>
                  </w:pPr>
                  <w:r>
                    <w:rPr>
                      <w:rFonts w:hint="eastAsia"/>
                      <w:b/>
                      <w:bCs/>
                      <w:szCs w:val="21"/>
                    </w:rPr>
                    <w:t>序号</w:t>
                  </w:r>
                </w:p>
              </w:tc>
              <w:tc>
                <w:tcPr>
                  <w:tcW w:w="1371" w:type="dxa"/>
                  <w:tcBorders>
                    <w:tl2br w:val="nil"/>
                    <w:tr2bl w:val="nil"/>
                  </w:tcBorders>
                  <w:vAlign w:val="center"/>
                </w:tcPr>
                <w:p w14:paraId="5C1AEEDE">
                  <w:pPr>
                    <w:adjustRightInd w:val="0"/>
                    <w:snapToGrid w:val="0"/>
                    <w:jc w:val="center"/>
                    <w:rPr>
                      <w:b/>
                      <w:bCs/>
                      <w:szCs w:val="21"/>
                    </w:rPr>
                  </w:pPr>
                  <w:r>
                    <w:rPr>
                      <w:rFonts w:hint="eastAsia"/>
                      <w:b/>
                      <w:bCs/>
                      <w:szCs w:val="21"/>
                    </w:rPr>
                    <w:t>排放口编号</w:t>
                  </w:r>
                </w:p>
              </w:tc>
              <w:tc>
                <w:tcPr>
                  <w:tcW w:w="1291" w:type="dxa"/>
                  <w:tcBorders>
                    <w:tl2br w:val="nil"/>
                    <w:tr2bl w:val="nil"/>
                  </w:tcBorders>
                  <w:vAlign w:val="center"/>
                </w:tcPr>
                <w:p w14:paraId="797817B1">
                  <w:pPr>
                    <w:adjustRightInd w:val="0"/>
                    <w:snapToGrid w:val="0"/>
                    <w:jc w:val="center"/>
                    <w:rPr>
                      <w:b/>
                      <w:bCs/>
                      <w:szCs w:val="21"/>
                    </w:rPr>
                  </w:pPr>
                  <w:r>
                    <w:rPr>
                      <w:rFonts w:hint="eastAsia"/>
                      <w:b/>
                      <w:bCs/>
                      <w:szCs w:val="21"/>
                    </w:rPr>
                    <w:t>污染物</w:t>
                  </w:r>
                </w:p>
              </w:tc>
              <w:tc>
                <w:tcPr>
                  <w:tcW w:w="1574" w:type="dxa"/>
                  <w:tcBorders>
                    <w:tl2br w:val="nil"/>
                    <w:tr2bl w:val="nil"/>
                  </w:tcBorders>
                  <w:vAlign w:val="center"/>
                </w:tcPr>
                <w:p w14:paraId="372D716B">
                  <w:pPr>
                    <w:adjustRightInd w:val="0"/>
                    <w:snapToGrid w:val="0"/>
                    <w:jc w:val="center"/>
                    <w:rPr>
                      <w:b/>
                      <w:bCs/>
                      <w:szCs w:val="21"/>
                    </w:rPr>
                  </w:pPr>
                  <w:r>
                    <w:rPr>
                      <w:rFonts w:hint="eastAsia"/>
                      <w:b/>
                      <w:bCs/>
                      <w:szCs w:val="21"/>
                    </w:rPr>
                    <w:t>核算排放浓度(mg/m</w:t>
                  </w:r>
                  <w:r>
                    <w:rPr>
                      <w:rFonts w:hint="eastAsia"/>
                      <w:b/>
                      <w:bCs/>
                      <w:szCs w:val="21"/>
                      <w:vertAlign w:val="superscript"/>
                    </w:rPr>
                    <w:t>3</w:t>
                  </w:r>
                  <w:r>
                    <w:rPr>
                      <w:rFonts w:hint="eastAsia"/>
                      <w:b/>
                      <w:bCs/>
                      <w:szCs w:val="21"/>
                    </w:rPr>
                    <w:t>)</w:t>
                  </w:r>
                </w:p>
              </w:tc>
              <w:tc>
                <w:tcPr>
                  <w:tcW w:w="1519" w:type="dxa"/>
                  <w:tcBorders>
                    <w:tl2br w:val="nil"/>
                    <w:tr2bl w:val="nil"/>
                  </w:tcBorders>
                  <w:vAlign w:val="center"/>
                </w:tcPr>
                <w:p w14:paraId="5B4A0705">
                  <w:pPr>
                    <w:adjustRightInd w:val="0"/>
                    <w:snapToGrid w:val="0"/>
                    <w:jc w:val="center"/>
                    <w:rPr>
                      <w:b/>
                      <w:bCs/>
                      <w:szCs w:val="21"/>
                    </w:rPr>
                  </w:pPr>
                  <w:r>
                    <w:rPr>
                      <w:rFonts w:hint="eastAsia"/>
                      <w:b/>
                      <w:bCs/>
                      <w:szCs w:val="21"/>
                    </w:rPr>
                    <w:t>核算排放速率(kg/h)</w:t>
                  </w:r>
                </w:p>
              </w:tc>
              <w:tc>
                <w:tcPr>
                  <w:tcW w:w="1642" w:type="dxa"/>
                  <w:tcBorders>
                    <w:tl2br w:val="nil"/>
                    <w:tr2bl w:val="nil"/>
                  </w:tcBorders>
                  <w:vAlign w:val="center"/>
                </w:tcPr>
                <w:p w14:paraId="00328316">
                  <w:pPr>
                    <w:adjustRightInd w:val="0"/>
                    <w:snapToGrid w:val="0"/>
                    <w:jc w:val="center"/>
                    <w:rPr>
                      <w:b/>
                      <w:bCs/>
                      <w:szCs w:val="21"/>
                    </w:rPr>
                  </w:pPr>
                  <w:r>
                    <w:rPr>
                      <w:rFonts w:hint="eastAsia"/>
                      <w:b/>
                      <w:bCs/>
                      <w:szCs w:val="21"/>
                    </w:rPr>
                    <w:t>核算年排放量(t/a)</w:t>
                  </w:r>
                </w:p>
              </w:tc>
            </w:tr>
            <w:tr w14:paraId="7A6A117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96" w:hRule="atLeast"/>
              </w:trPr>
              <w:tc>
                <w:tcPr>
                  <w:tcW w:w="868" w:type="dxa"/>
                  <w:vMerge w:val="restart"/>
                  <w:tcBorders>
                    <w:tl2br w:val="nil"/>
                    <w:tr2bl w:val="nil"/>
                  </w:tcBorders>
                  <w:vAlign w:val="center"/>
                </w:tcPr>
                <w:p w14:paraId="4CA363A0">
                  <w:pPr>
                    <w:adjustRightInd w:val="0"/>
                    <w:snapToGrid w:val="0"/>
                    <w:jc w:val="center"/>
                    <w:rPr>
                      <w:szCs w:val="21"/>
                    </w:rPr>
                  </w:pPr>
                  <w:r>
                    <w:rPr>
                      <w:rFonts w:hint="eastAsia"/>
                      <w:szCs w:val="21"/>
                    </w:rPr>
                    <w:t>1</w:t>
                  </w:r>
                </w:p>
              </w:tc>
              <w:tc>
                <w:tcPr>
                  <w:tcW w:w="1371" w:type="dxa"/>
                  <w:vMerge w:val="restart"/>
                  <w:tcBorders>
                    <w:tl2br w:val="nil"/>
                    <w:tr2bl w:val="nil"/>
                  </w:tcBorders>
                  <w:vAlign w:val="center"/>
                </w:tcPr>
                <w:p w14:paraId="6AEC30FD">
                  <w:pPr>
                    <w:adjustRightInd w:val="0"/>
                    <w:snapToGrid w:val="0"/>
                    <w:jc w:val="center"/>
                    <w:rPr>
                      <w:rFonts w:hint="eastAsia" w:eastAsia="宋体"/>
                      <w:bCs/>
                      <w:spacing w:val="-10"/>
                      <w:szCs w:val="21"/>
                      <w:lang w:eastAsia="zh-CN"/>
                    </w:rPr>
                  </w:pPr>
                  <w:r>
                    <w:rPr>
                      <w:rFonts w:hint="eastAsia"/>
                      <w:bCs/>
                      <w:spacing w:val="-10"/>
                      <w:szCs w:val="21"/>
                    </w:rPr>
                    <w:t>DA00</w:t>
                  </w:r>
                  <w:r>
                    <w:rPr>
                      <w:rFonts w:hint="eastAsia"/>
                      <w:bCs/>
                      <w:spacing w:val="-10"/>
                      <w:szCs w:val="21"/>
                      <w:lang w:val="en-US" w:eastAsia="zh-CN"/>
                    </w:rPr>
                    <w:t>3</w:t>
                  </w:r>
                </w:p>
              </w:tc>
              <w:tc>
                <w:tcPr>
                  <w:tcW w:w="1291" w:type="dxa"/>
                  <w:tcBorders>
                    <w:tl2br w:val="nil"/>
                    <w:tr2bl w:val="nil"/>
                  </w:tcBorders>
                  <w:vAlign w:val="center"/>
                </w:tcPr>
                <w:p w14:paraId="053158AC">
                  <w:pPr>
                    <w:pStyle w:val="198"/>
                    <w:tabs>
                      <w:tab w:val="left" w:pos="1021"/>
                    </w:tabs>
                    <w:rPr>
                      <w:color w:val="auto"/>
                    </w:rPr>
                  </w:pPr>
                  <w:r>
                    <w:t>SO</w:t>
                  </w:r>
                  <w:r>
                    <w:rPr>
                      <w:vertAlign w:val="subscript"/>
                    </w:rPr>
                    <w:t>2</w:t>
                  </w:r>
                </w:p>
              </w:tc>
              <w:tc>
                <w:tcPr>
                  <w:tcW w:w="1574" w:type="dxa"/>
                  <w:tcBorders>
                    <w:tl2br w:val="nil"/>
                    <w:tr2bl w:val="nil"/>
                  </w:tcBorders>
                  <w:vAlign w:val="center"/>
                </w:tcPr>
                <w:p w14:paraId="2248F55A">
                  <w:pPr>
                    <w:pStyle w:val="198"/>
                    <w:tabs>
                      <w:tab w:val="left" w:pos="1021"/>
                    </w:tabs>
                    <w:rPr>
                      <w:rFonts w:hint="default" w:eastAsia="宋体"/>
                      <w:color w:val="auto"/>
                      <w:lang w:val="en-US" w:eastAsia="zh-CN"/>
                    </w:rPr>
                  </w:pPr>
                  <w:r>
                    <w:rPr>
                      <w:rFonts w:hint="eastAsia"/>
                    </w:rPr>
                    <w:t>3.64</w:t>
                  </w:r>
                </w:p>
              </w:tc>
              <w:tc>
                <w:tcPr>
                  <w:tcW w:w="1519" w:type="dxa"/>
                  <w:tcBorders>
                    <w:tl2br w:val="nil"/>
                    <w:tr2bl w:val="nil"/>
                  </w:tcBorders>
                  <w:vAlign w:val="center"/>
                </w:tcPr>
                <w:p w14:paraId="1B218A5F">
                  <w:pPr>
                    <w:jc w:val="center"/>
                    <w:rPr>
                      <w:color w:val="auto"/>
                    </w:rPr>
                  </w:pPr>
                  <w:r>
                    <w:rPr>
                      <w:rFonts w:hint="eastAsia"/>
                    </w:rPr>
                    <w:t>0.0000</w:t>
                  </w:r>
                  <w:r>
                    <w:rPr>
                      <w:rFonts w:hint="eastAsia"/>
                      <w:lang w:val="en-US" w:eastAsia="zh-CN"/>
                    </w:rPr>
                    <w:t>67</w:t>
                  </w:r>
                </w:p>
              </w:tc>
              <w:tc>
                <w:tcPr>
                  <w:tcW w:w="1642" w:type="dxa"/>
                  <w:tcBorders>
                    <w:tl2br w:val="nil"/>
                    <w:tr2bl w:val="nil"/>
                  </w:tcBorders>
                  <w:vAlign w:val="center"/>
                </w:tcPr>
                <w:p w14:paraId="5BF49723">
                  <w:pPr>
                    <w:pStyle w:val="198"/>
                    <w:tabs>
                      <w:tab w:val="left" w:pos="1021"/>
                    </w:tabs>
                    <w:rPr>
                      <w:rFonts w:hint="default" w:eastAsia="宋体"/>
                      <w:color w:val="auto"/>
                      <w:lang w:val="en-US" w:eastAsia="zh-CN"/>
                    </w:rPr>
                  </w:pPr>
                  <w:r>
                    <w:rPr>
                      <w:rFonts w:hint="eastAsia"/>
                    </w:rPr>
                    <w:t>0.0001</w:t>
                  </w:r>
                  <w:r>
                    <w:rPr>
                      <w:rFonts w:hint="eastAsia"/>
                      <w:lang w:val="en-US" w:eastAsia="zh-CN"/>
                    </w:rPr>
                    <w:t>6</w:t>
                  </w:r>
                </w:p>
              </w:tc>
            </w:tr>
            <w:tr w14:paraId="4B0052E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6" w:hRule="atLeast"/>
              </w:trPr>
              <w:tc>
                <w:tcPr>
                  <w:tcW w:w="868" w:type="dxa"/>
                  <w:vMerge w:val="continue"/>
                  <w:tcBorders>
                    <w:tl2br w:val="nil"/>
                    <w:tr2bl w:val="nil"/>
                  </w:tcBorders>
                  <w:vAlign w:val="center"/>
                </w:tcPr>
                <w:p w14:paraId="56303E24">
                  <w:pPr>
                    <w:adjustRightInd w:val="0"/>
                    <w:snapToGrid w:val="0"/>
                    <w:jc w:val="center"/>
                    <w:rPr>
                      <w:rFonts w:hint="eastAsia"/>
                      <w:szCs w:val="21"/>
                    </w:rPr>
                  </w:pPr>
                </w:p>
              </w:tc>
              <w:tc>
                <w:tcPr>
                  <w:tcW w:w="1371" w:type="dxa"/>
                  <w:vMerge w:val="continue"/>
                  <w:tcBorders>
                    <w:tl2br w:val="nil"/>
                    <w:tr2bl w:val="nil"/>
                  </w:tcBorders>
                  <w:vAlign w:val="center"/>
                </w:tcPr>
                <w:p w14:paraId="3267ACF9">
                  <w:pPr>
                    <w:adjustRightInd w:val="0"/>
                    <w:snapToGrid w:val="0"/>
                    <w:jc w:val="center"/>
                    <w:rPr>
                      <w:rFonts w:hint="eastAsia"/>
                      <w:bCs/>
                      <w:spacing w:val="-10"/>
                      <w:szCs w:val="21"/>
                    </w:rPr>
                  </w:pPr>
                </w:p>
              </w:tc>
              <w:tc>
                <w:tcPr>
                  <w:tcW w:w="1291" w:type="dxa"/>
                  <w:tcBorders>
                    <w:tl2br w:val="nil"/>
                    <w:tr2bl w:val="nil"/>
                  </w:tcBorders>
                  <w:vAlign w:val="center"/>
                </w:tcPr>
                <w:p w14:paraId="47C9F59D">
                  <w:pPr>
                    <w:pStyle w:val="198"/>
                    <w:tabs>
                      <w:tab w:val="left" w:pos="1021"/>
                    </w:tabs>
                    <w:rPr>
                      <w:rFonts w:hint="eastAsia"/>
                      <w:color w:val="auto"/>
                    </w:rPr>
                  </w:pPr>
                  <w:r>
                    <w:t>NO</w:t>
                  </w:r>
                  <w:r>
                    <w:rPr>
                      <w:vertAlign w:val="subscript"/>
                    </w:rPr>
                    <w:t>X</w:t>
                  </w:r>
                </w:p>
              </w:tc>
              <w:tc>
                <w:tcPr>
                  <w:tcW w:w="1574" w:type="dxa"/>
                  <w:tcBorders>
                    <w:tl2br w:val="nil"/>
                    <w:tr2bl w:val="nil"/>
                  </w:tcBorders>
                  <w:vAlign w:val="center"/>
                </w:tcPr>
                <w:p w14:paraId="2ACD2D4B">
                  <w:pPr>
                    <w:pStyle w:val="198"/>
                    <w:tabs>
                      <w:tab w:val="left" w:pos="1021"/>
                    </w:tabs>
                    <w:rPr>
                      <w:rFonts w:hint="eastAsia"/>
                      <w:color w:val="auto"/>
                      <w:lang w:val="en-US" w:eastAsia="zh-CN"/>
                    </w:rPr>
                  </w:pPr>
                  <w:r>
                    <w:rPr>
                      <w:rFonts w:hint="eastAsia"/>
                      <w:lang w:val="en-US" w:eastAsia="zh-CN"/>
                    </w:rPr>
                    <w:t>147.85</w:t>
                  </w:r>
                </w:p>
              </w:tc>
              <w:tc>
                <w:tcPr>
                  <w:tcW w:w="1519" w:type="dxa"/>
                  <w:tcBorders>
                    <w:tl2br w:val="nil"/>
                    <w:tr2bl w:val="nil"/>
                  </w:tcBorders>
                  <w:vAlign w:val="center"/>
                </w:tcPr>
                <w:p w14:paraId="256C8120">
                  <w:pPr>
                    <w:jc w:val="center"/>
                    <w:rPr>
                      <w:rFonts w:hint="eastAsia"/>
                      <w:color w:val="auto"/>
                    </w:rPr>
                  </w:pPr>
                  <w:r>
                    <w:rPr>
                      <w:rFonts w:hint="eastAsia"/>
                    </w:rPr>
                    <w:t>0.0</w:t>
                  </w:r>
                  <w:r>
                    <w:rPr>
                      <w:rFonts w:hint="eastAsia"/>
                      <w:lang w:val="en-US" w:eastAsia="zh-CN"/>
                    </w:rPr>
                    <w:t>27</w:t>
                  </w:r>
                </w:p>
              </w:tc>
              <w:tc>
                <w:tcPr>
                  <w:tcW w:w="1642" w:type="dxa"/>
                  <w:tcBorders>
                    <w:tl2br w:val="nil"/>
                    <w:tr2bl w:val="nil"/>
                  </w:tcBorders>
                  <w:vAlign w:val="center"/>
                </w:tcPr>
                <w:p w14:paraId="69E0591A">
                  <w:pPr>
                    <w:pStyle w:val="198"/>
                    <w:tabs>
                      <w:tab w:val="left" w:pos="1021"/>
                    </w:tabs>
                    <w:rPr>
                      <w:rFonts w:hint="eastAsia"/>
                      <w:color w:val="auto"/>
                    </w:rPr>
                  </w:pPr>
                  <w:r>
                    <w:rPr>
                      <w:rFonts w:hint="eastAsia"/>
                    </w:rPr>
                    <w:t>0.0</w:t>
                  </w:r>
                  <w:r>
                    <w:rPr>
                      <w:rFonts w:hint="eastAsia"/>
                      <w:lang w:val="en-US" w:eastAsia="zh-CN"/>
                    </w:rPr>
                    <w:t>65</w:t>
                  </w:r>
                </w:p>
              </w:tc>
            </w:tr>
            <w:tr w14:paraId="55A3434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68" w:type="dxa"/>
                  <w:tcBorders>
                    <w:tl2br w:val="nil"/>
                    <w:tr2bl w:val="nil"/>
                  </w:tcBorders>
                  <w:vAlign w:val="center"/>
                </w:tcPr>
                <w:p w14:paraId="5C0E1B3A">
                  <w:pPr>
                    <w:adjustRightInd w:val="0"/>
                    <w:snapToGrid w:val="0"/>
                    <w:jc w:val="center"/>
                    <w:rPr>
                      <w:szCs w:val="21"/>
                    </w:rPr>
                  </w:pPr>
                  <w:r>
                    <w:rPr>
                      <w:rFonts w:hint="eastAsia"/>
                      <w:szCs w:val="21"/>
                    </w:rPr>
                    <w:t>2</w:t>
                  </w:r>
                </w:p>
              </w:tc>
              <w:tc>
                <w:tcPr>
                  <w:tcW w:w="1371" w:type="dxa"/>
                  <w:tcBorders>
                    <w:tl2br w:val="nil"/>
                    <w:tr2bl w:val="nil"/>
                  </w:tcBorders>
                  <w:vAlign w:val="center"/>
                </w:tcPr>
                <w:p w14:paraId="6EC09CC0">
                  <w:pPr>
                    <w:adjustRightInd w:val="0"/>
                    <w:snapToGrid w:val="0"/>
                    <w:jc w:val="center"/>
                    <w:rPr>
                      <w:bCs/>
                      <w:spacing w:val="-10"/>
                      <w:szCs w:val="21"/>
                    </w:rPr>
                  </w:pPr>
                  <w:r>
                    <w:rPr>
                      <w:rFonts w:hint="eastAsia"/>
                      <w:bCs/>
                      <w:spacing w:val="-10"/>
                      <w:szCs w:val="21"/>
                    </w:rPr>
                    <w:t>DA002</w:t>
                  </w:r>
                </w:p>
              </w:tc>
              <w:tc>
                <w:tcPr>
                  <w:tcW w:w="1291" w:type="dxa"/>
                  <w:tcBorders>
                    <w:bottom w:val="single" w:color="auto" w:sz="4" w:space="0"/>
                    <w:tl2br w:val="nil"/>
                    <w:tr2bl w:val="nil"/>
                  </w:tcBorders>
                  <w:vAlign w:val="center"/>
                </w:tcPr>
                <w:p w14:paraId="4458BFE4">
                  <w:pPr>
                    <w:pStyle w:val="198"/>
                    <w:tabs>
                      <w:tab w:val="left" w:pos="1021"/>
                    </w:tabs>
                  </w:pPr>
                  <w:r>
                    <w:rPr>
                      <w:rFonts w:hint="eastAsia"/>
                    </w:rPr>
                    <w:t>颗粒物</w:t>
                  </w:r>
                </w:p>
              </w:tc>
              <w:tc>
                <w:tcPr>
                  <w:tcW w:w="1574" w:type="dxa"/>
                  <w:tcBorders>
                    <w:tl2br w:val="nil"/>
                    <w:tr2bl w:val="nil"/>
                  </w:tcBorders>
                  <w:vAlign w:val="center"/>
                </w:tcPr>
                <w:p w14:paraId="70FFF747">
                  <w:pPr>
                    <w:pStyle w:val="198"/>
                    <w:tabs>
                      <w:tab w:val="left" w:pos="1021"/>
                    </w:tabs>
                    <w:rPr>
                      <w:rFonts w:hint="default" w:eastAsia="宋体"/>
                      <w:lang w:val="en-US" w:eastAsia="zh-CN"/>
                    </w:rPr>
                  </w:pPr>
                  <w:r>
                    <w:rPr>
                      <w:rFonts w:hint="eastAsia"/>
                      <w:lang w:val="en-US" w:eastAsia="zh-CN"/>
                    </w:rPr>
                    <w:t>0.167</w:t>
                  </w:r>
                </w:p>
              </w:tc>
              <w:tc>
                <w:tcPr>
                  <w:tcW w:w="1519" w:type="dxa"/>
                  <w:tcBorders>
                    <w:tl2br w:val="nil"/>
                    <w:tr2bl w:val="nil"/>
                  </w:tcBorders>
                  <w:vAlign w:val="center"/>
                </w:tcPr>
                <w:p w14:paraId="61C8AA4C">
                  <w:pPr>
                    <w:pStyle w:val="198"/>
                    <w:tabs>
                      <w:tab w:val="left" w:pos="1021"/>
                    </w:tabs>
                    <w:rPr>
                      <w:rFonts w:hint="default" w:eastAsia="宋体"/>
                      <w:lang w:val="en-US" w:eastAsia="zh-CN"/>
                    </w:rPr>
                  </w:pPr>
                  <w:r>
                    <w:rPr>
                      <w:rFonts w:hint="eastAsia"/>
                    </w:rPr>
                    <w:t>0.0</w:t>
                  </w:r>
                  <w:r>
                    <w:rPr>
                      <w:rFonts w:hint="eastAsia"/>
                      <w:lang w:val="en-US" w:eastAsia="zh-CN"/>
                    </w:rPr>
                    <w:t>008</w:t>
                  </w:r>
                </w:p>
              </w:tc>
              <w:tc>
                <w:tcPr>
                  <w:tcW w:w="1642" w:type="dxa"/>
                  <w:tcBorders>
                    <w:tl2br w:val="nil"/>
                    <w:tr2bl w:val="nil"/>
                  </w:tcBorders>
                  <w:vAlign w:val="center"/>
                </w:tcPr>
                <w:p w14:paraId="4316F48B">
                  <w:pPr>
                    <w:pStyle w:val="198"/>
                    <w:tabs>
                      <w:tab w:val="left" w:pos="1021"/>
                    </w:tabs>
                    <w:rPr>
                      <w:rFonts w:hint="default" w:eastAsia="宋体"/>
                      <w:lang w:val="en-US" w:eastAsia="zh-CN"/>
                    </w:rPr>
                  </w:pPr>
                  <w:r>
                    <w:rPr>
                      <w:rFonts w:hint="eastAsia"/>
                    </w:rPr>
                    <w:t>0.0</w:t>
                  </w:r>
                  <w:r>
                    <w:rPr>
                      <w:rFonts w:hint="eastAsia"/>
                      <w:lang w:val="en-US" w:eastAsia="zh-CN"/>
                    </w:rPr>
                    <w:t>02</w:t>
                  </w:r>
                </w:p>
              </w:tc>
            </w:tr>
            <w:tr w14:paraId="6653D5D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64" w:hRule="atLeast"/>
              </w:trPr>
              <w:tc>
                <w:tcPr>
                  <w:tcW w:w="868" w:type="dxa"/>
                  <w:vMerge w:val="restart"/>
                  <w:tcBorders>
                    <w:tl2br w:val="nil"/>
                    <w:tr2bl w:val="nil"/>
                  </w:tcBorders>
                  <w:vAlign w:val="center"/>
                </w:tcPr>
                <w:p w14:paraId="35E02F92">
                  <w:pPr>
                    <w:adjustRightInd w:val="0"/>
                    <w:snapToGrid w:val="0"/>
                    <w:jc w:val="center"/>
                    <w:rPr>
                      <w:rFonts w:hint="eastAsia" w:eastAsia="宋体"/>
                      <w:szCs w:val="21"/>
                      <w:lang w:val="en-US" w:eastAsia="zh-CN"/>
                    </w:rPr>
                  </w:pPr>
                  <w:r>
                    <w:rPr>
                      <w:rFonts w:hint="eastAsia"/>
                      <w:szCs w:val="21"/>
                      <w:lang w:val="en-US" w:eastAsia="zh-CN"/>
                    </w:rPr>
                    <w:t>3</w:t>
                  </w:r>
                </w:p>
              </w:tc>
              <w:tc>
                <w:tcPr>
                  <w:tcW w:w="1371" w:type="dxa"/>
                  <w:vMerge w:val="restart"/>
                  <w:tcBorders>
                    <w:tl2br w:val="nil"/>
                    <w:tr2bl w:val="nil"/>
                  </w:tcBorders>
                  <w:vAlign w:val="center"/>
                </w:tcPr>
                <w:p w14:paraId="02534C60">
                  <w:pPr>
                    <w:adjustRightInd w:val="0"/>
                    <w:snapToGrid w:val="0"/>
                    <w:jc w:val="center"/>
                    <w:rPr>
                      <w:rFonts w:hint="eastAsia"/>
                      <w:bCs/>
                      <w:spacing w:val="-10"/>
                      <w:szCs w:val="21"/>
                    </w:rPr>
                  </w:pPr>
                  <w:r>
                    <w:rPr>
                      <w:rFonts w:hint="eastAsia"/>
                      <w:bCs/>
                      <w:spacing w:val="-10"/>
                      <w:szCs w:val="21"/>
                    </w:rPr>
                    <w:t>DA001</w:t>
                  </w:r>
                </w:p>
              </w:tc>
              <w:tc>
                <w:tcPr>
                  <w:tcW w:w="1291" w:type="dxa"/>
                  <w:tcBorders>
                    <w:bottom w:val="single" w:color="auto" w:sz="4" w:space="0"/>
                    <w:tl2br w:val="nil"/>
                    <w:tr2bl w:val="nil"/>
                  </w:tcBorders>
                  <w:vAlign w:val="center"/>
                </w:tcPr>
                <w:p w14:paraId="2986AF12">
                  <w:pPr>
                    <w:pStyle w:val="198"/>
                    <w:tabs>
                      <w:tab w:val="left" w:pos="1021"/>
                    </w:tabs>
                    <w:rPr>
                      <w:rFonts w:hint="eastAsia"/>
                    </w:rPr>
                  </w:pPr>
                  <w:r>
                    <w:rPr>
                      <w:rFonts w:hint="eastAsia"/>
                      <w:color w:val="auto"/>
                    </w:rPr>
                    <w:t>非甲烷总烃</w:t>
                  </w:r>
                </w:p>
              </w:tc>
              <w:tc>
                <w:tcPr>
                  <w:tcW w:w="1574" w:type="dxa"/>
                  <w:tcBorders>
                    <w:tl2br w:val="nil"/>
                    <w:tr2bl w:val="nil"/>
                  </w:tcBorders>
                  <w:vAlign w:val="center"/>
                </w:tcPr>
                <w:p w14:paraId="186CD735">
                  <w:pPr>
                    <w:pStyle w:val="198"/>
                    <w:tabs>
                      <w:tab w:val="left" w:pos="1021"/>
                    </w:tabs>
                    <w:rPr>
                      <w:rFonts w:hint="eastAsia"/>
                      <w:lang w:val="en-US" w:eastAsia="zh-CN"/>
                    </w:rPr>
                  </w:pPr>
                  <w:r>
                    <w:rPr>
                      <w:rFonts w:hint="eastAsia"/>
                      <w:color w:val="auto"/>
                      <w:lang w:val="en-US" w:eastAsia="zh-CN"/>
                    </w:rPr>
                    <w:t>23.21</w:t>
                  </w:r>
                </w:p>
              </w:tc>
              <w:tc>
                <w:tcPr>
                  <w:tcW w:w="1519" w:type="dxa"/>
                  <w:tcBorders>
                    <w:tl2br w:val="nil"/>
                    <w:tr2bl w:val="nil"/>
                  </w:tcBorders>
                  <w:vAlign w:val="center"/>
                </w:tcPr>
                <w:p w14:paraId="0183A2D1">
                  <w:pPr>
                    <w:jc w:val="center"/>
                    <w:rPr>
                      <w:rFonts w:hint="eastAsia"/>
                    </w:rPr>
                  </w:pPr>
                  <w:r>
                    <w:rPr>
                      <w:rFonts w:hint="eastAsia"/>
                      <w:color w:val="auto"/>
                    </w:rPr>
                    <w:t>0.1</w:t>
                  </w:r>
                  <w:r>
                    <w:rPr>
                      <w:rFonts w:hint="eastAsia"/>
                      <w:color w:val="auto"/>
                      <w:lang w:val="en-US" w:eastAsia="zh-CN"/>
                    </w:rPr>
                    <w:t>6</w:t>
                  </w:r>
                  <w:r>
                    <w:rPr>
                      <w:rFonts w:hint="eastAsia"/>
                      <w:color w:val="auto"/>
                    </w:rPr>
                    <w:t>3</w:t>
                  </w:r>
                </w:p>
              </w:tc>
              <w:tc>
                <w:tcPr>
                  <w:tcW w:w="1642" w:type="dxa"/>
                  <w:tcBorders>
                    <w:tl2br w:val="nil"/>
                    <w:tr2bl w:val="nil"/>
                  </w:tcBorders>
                  <w:vAlign w:val="center"/>
                </w:tcPr>
                <w:p w14:paraId="03C3FDAA">
                  <w:pPr>
                    <w:pStyle w:val="198"/>
                    <w:tabs>
                      <w:tab w:val="left" w:pos="1021"/>
                    </w:tabs>
                    <w:rPr>
                      <w:rFonts w:hint="eastAsia"/>
                    </w:rPr>
                  </w:pPr>
                  <w:r>
                    <w:rPr>
                      <w:rFonts w:hint="eastAsia"/>
                      <w:color w:val="auto"/>
                    </w:rPr>
                    <w:t>0.</w:t>
                  </w:r>
                  <w:r>
                    <w:rPr>
                      <w:rFonts w:hint="eastAsia"/>
                      <w:color w:val="auto"/>
                      <w:lang w:val="en-US" w:eastAsia="zh-CN"/>
                    </w:rPr>
                    <w:t>39</w:t>
                  </w:r>
                </w:p>
              </w:tc>
            </w:tr>
            <w:tr w14:paraId="26B80BA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8" w:hRule="atLeast"/>
              </w:trPr>
              <w:tc>
                <w:tcPr>
                  <w:tcW w:w="868" w:type="dxa"/>
                  <w:vMerge w:val="continue"/>
                  <w:tcBorders>
                    <w:tl2br w:val="nil"/>
                    <w:tr2bl w:val="nil"/>
                  </w:tcBorders>
                  <w:vAlign w:val="center"/>
                </w:tcPr>
                <w:p w14:paraId="684093EC">
                  <w:pPr>
                    <w:adjustRightInd w:val="0"/>
                    <w:snapToGrid w:val="0"/>
                    <w:jc w:val="center"/>
                    <w:rPr>
                      <w:rFonts w:hint="eastAsia"/>
                      <w:szCs w:val="21"/>
                      <w:lang w:val="en-US" w:eastAsia="zh-CN"/>
                    </w:rPr>
                  </w:pPr>
                </w:p>
              </w:tc>
              <w:tc>
                <w:tcPr>
                  <w:tcW w:w="1371" w:type="dxa"/>
                  <w:vMerge w:val="continue"/>
                  <w:tcBorders>
                    <w:tl2br w:val="nil"/>
                    <w:tr2bl w:val="nil"/>
                  </w:tcBorders>
                  <w:vAlign w:val="center"/>
                </w:tcPr>
                <w:p w14:paraId="783EA8A1">
                  <w:pPr>
                    <w:adjustRightInd w:val="0"/>
                    <w:snapToGrid w:val="0"/>
                    <w:jc w:val="center"/>
                    <w:rPr>
                      <w:rFonts w:hint="eastAsia"/>
                      <w:bCs/>
                      <w:spacing w:val="-10"/>
                      <w:szCs w:val="21"/>
                    </w:rPr>
                  </w:pPr>
                </w:p>
              </w:tc>
              <w:tc>
                <w:tcPr>
                  <w:tcW w:w="1291" w:type="dxa"/>
                  <w:tcBorders>
                    <w:bottom w:val="single" w:color="auto" w:sz="4" w:space="0"/>
                    <w:tl2br w:val="nil"/>
                    <w:tr2bl w:val="nil"/>
                  </w:tcBorders>
                  <w:vAlign w:val="center"/>
                </w:tcPr>
                <w:p w14:paraId="54C4E6DF">
                  <w:pPr>
                    <w:pStyle w:val="198"/>
                    <w:tabs>
                      <w:tab w:val="left" w:pos="1021"/>
                    </w:tabs>
                    <w:rPr>
                      <w:rFonts w:hint="eastAsia"/>
                      <w:color w:val="auto"/>
                    </w:rPr>
                  </w:pPr>
                  <w:r>
                    <w:rPr>
                      <w:rFonts w:hint="eastAsia"/>
                      <w:sz w:val="21"/>
                      <w:szCs w:val="21"/>
                      <w:u w:val="none"/>
                    </w:rPr>
                    <w:t>臭气浓度</w:t>
                  </w:r>
                </w:p>
              </w:tc>
              <w:tc>
                <w:tcPr>
                  <w:tcW w:w="1574" w:type="dxa"/>
                  <w:tcBorders>
                    <w:tl2br w:val="nil"/>
                    <w:tr2bl w:val="nil"/>
                  </w:tcBorders>
                  <w:vAlign w:val="center"/>
                </w:tcPr>
                <w:p w14:paraId="3CC33F56">
                  <w:pPr>
                    <w:pStyle w:val="198"/>
                    <w:tabs>
                      <w:tab w:val="left" w:pos="1021"/>
                    </w:tabs>
                    <w:rPr>
                      <w:rFonts w:hint="default"/>
                      <w:color w:val="auto"/>
                      <w:lang w:val="en-US" w:eastAsia="zh-CN"/>
                    </w:rPr>
                  </w:pPr>
                  <w:r>
                    <w:rPr>
                      <w:rFonts w:hint="eastAsia"/>
                      <w:color w:val="auto"/>
                      <w:lang w:val="en-US" w:eastAsia="zh-CN"/>
                    </w:rPr>
                    <w:t>/</w:t>
                  </w:r>
                </w:p>
              </w:tc>
              <w:tc>
                <w:tcPr>
                  <w:tcW w:w="1519" w:type="dxa"/>
                  <w:tcBorders>
                    <w:tl2br w:val="nil"/>
                    <w:tr2bl w:val="nil"/>
                  </w:tcBorders>
                  <w:vAlign w:val="center"/>
                </w:tcPr>
                <w:p w14:paraId="158A697B">
                  <w:pPr>
                    <w:jc w:val="center"/>
                    <w:rPr>
                      <w:rFonts w:hint="eastAsia" w:eastAsia="宋体"/>
                      <w:color w:val="auto"/>
                      <w:lang w:val="en-US" w:eastAsia="zh-CN"/>
                    </w:rPr>
                  </w:pPr>
                  <w:r>
                    <w:rPr>
                      <w:rFonts w:hint="eastAsia"/>
                      <w:color w:val="auto"/>
                      <w:lang w:val="en-US" w:eastAsia="zh-CN"/>
                    </w:rPr>
                    <w:t>/</w:t>
                  </w:r>
                </w:p>
              </w:tc>
              <w:tc>
                <w:tcPr>
                  <w:tcW w:w="1642" w:type="dxa"/>
                  <w:tcBorders>
                    <w:tl2br w:val="nil"/>
                    <w:tr2bl w:val="nil"/>
                  </w:tcBorders>
                  <w:vAlign w:val="center"/>
                </w:tcPr>
                <w:p w14:paraId="1B5FC405">
                  <w:pPr>
                    <w:pStyle w:val="198"/>
                    <w:tabs>
                      <w:tab w:val="left" w:pos="1021"/>
                    </w:tabs>
                    <w:rPr>
                      <w:rFonts w:hint="default" w:eastAsia="宋体"/>
                      <w:color w:val="auto"/>
                      <w:lang w:val="en-US" w:eastAsia="zh-CN"/>
                    </w:rPr>
                  </w:pPr>
                  <w:r>
                    <w:rPr>
                      <w:rFonts w:hint="eastAsia"/>
                      <w:color w:val="auto"/>
                      <w:lang w:val="en-US" w:eastAsia="zh-CN"/>
                    </w:rPr>
                    <w:t>少量</w:t>
                  </w:r>
                </w:p>
              </w:tc>
            </w:tr>
            <w:tr w14:paraId="7E97A34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61" w:hRule="atLeast"/>
              </w:trPr>
              <w:tc>
                <w:tcPr>
                  <w:tcW w:w="2239" w:type="dxa"/>
                  <w:gridSpan w:val="2"/>
                  <w:vMerge w:val="restart"/>
                  <w:tcBorders>
                    <w:tl2br w:val="nil"/>
                    <w:tr2bl w:val="nil"/>
                  </w:tcBorders>
                  <w:vAlign w:val="center"/>
                </w:tcPr>
                <w:p w14:paraId="38B8F46F">
                  <w:pPr>
                    <w:adjustRightInd w:val="0"/>
                    <w:snapToGrid w:val="0"/>
                    <w:jc w:val="center"/>
                    <w:rPr>
                      <w:szCs w:val="21"/>
                    </w:rPr>
                  </w:pPr>
                  <w:r>
                    <w:rPr>
                      <w:rFonts w:hint="eastAsia"/>
                      <w:szCs w:val="21"/>
                    </w:rPr>
                    <w:t>有组织排放合计</w:t>
                  </w:r>
                </w:p>
              </w:tc>
              <w:tc>
                <w:tcPr>
                  <w:tcW w:w="4384" w:type="dxa"/>
                  <w:gridSpan w:val="3"/>
                  <w:tcBorders>
                    <w:tl2br w:val="nil"/>
                    <w:tr2bl w:val="nil"/>
                  </w:tcBorders>
                  <w:vAlign w:val="center"/>
                </w:tcPr>
                <w:p w14:paraId="0DC9EDF0">
                  <w:pPr>
                    <w:pStyle w:val="198"/>
                    <w:tabs>
                      <w:tab w:val="left" w:pos="1021"/>
                    </w:tabs>
                  </w:pPr>
                  <w:r>
                    <w:t>SO</w:t>
                  </w:r>
                  <w:r>
                    <w:rPr>
                      <w:vertAlign w:val="subscript"/>
                    </w:rPr>
                    <w:t>2</w:t>
                  </w:r>
                </w:p>
              </w:tc>
              <w:tc>
                <w:tcPr>
                  <w:tcW w:w="1642" w:type="dxa"/>
                  <w:tcBorders>
                    <w:tl2br w:val="nil"/>
                    <w:tr2bl w:val="nil"/>
                  </w:tcBorders>
                  <w:vAlign w:val="center"/>
                </w:tcPr>
                <w:p w14:paraId="5C0ADF58">
                  <w:pPr>
                    <w:pStyle w:val="198"/>
                    <w:tabs>
                      <w:tab w:val="left" w:pos="1021"/>
                    </w:tabs>
                  </w:pPr>
                  <w:r>
                    <w:rPr>
                      <w:rFonts w:hint="eastAsia"/>
                    </w:rPr>
                    <w:t>0.0001</w:t>
                  </w:r>
                  <w:r>
                    <w:rPr>
                      <w:rFonts w:hint="eastAsia"/>
                      <w:lang w:val="en-US" w:eastAsia="zh-CN"/>
                    </w:rPr>
                    <w:t>6</w:t>
                  </w:r>
                </w:p>
              </w:tc>
            </w:tr>
            <w:tr w14:paraId="4EC1161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51" w:hRule="atLeast"/>
              </w:trPr>
              <w:tc>
                <w:tcPr>
                  <w:tcW w:w="2239" w:type="dxa"/>
                  <w:gridSpan w:val="2"/>
                  <w:vMerge w:val="continue"/>
                  <w:tcBorders>
                    <w:tl2br w:val="nil"/>
                    <w:tr2bl w:val="nil"/>
                  </w:tcBorders>
                  <w:vAlign w:val="center"/>
                </w:tcPr>
                <w:p w14:paraId="33ED4C0E">
                  <w:pPr>
                    <w:adjustRightInd w:val="0"/>
                    <w:snapToGrid w:val="0"/>
                    <w:jc w:val="center"/>
                    <w:rPr>
                      <w:szCs w:val="21"/>
                    </w:rPr>
                  </w:pPr>
                </w:p>
              </w:tc>
              <w:tc>
                <w:tcPr>
                  <w:tcW w:w="4384" w:type="dxa"/>
                  <w:gridSpan w:val="3"/>
                  <w:tcBorders>
                    <w:tl2br w:val="nil"/>
                    <w:tr2bl w:val="nil"/>
                  </w:tcBorders>
                  <w:vAlign w:val="center"/>
                </w:tcPr>
                <w:p w14:paraId="04E0F673">
                  <w:pPr>
                    <w:pStyle w:val="198"/>
                    <w:tabs>
                      <w:tab w:val="left" w:pos="1021"/>
                    </w:tabs>
                  </w:pPr>
                  <w:r>
                    <w:t>NO</w:t>
                  </w:r>
                  <w:r>
                    <w:rPr>
                      <w:vertAlign w:val="subscript"/>
                    </w:rPr>
                    <w:t>X</w:t>
                  </w:r>
                </w:p>
              </w:tc>
              <w:tc>
                <w:tcPr>
                  <w:tcW w:w="1642" w:type="dxa"/>
                  <w:tcBorders>
                    <w:tl2br w:val="nil"/>
                    <w:tr2bl w:val="nil"/>
                  </w:tcBorders>
                  <w:vAlign w:val="center"/>
                </w:tcPr>
                <w:p w14:paraId="57E764FF">
                  <w:pPr>
                    <w:pStyle w:val="198"/>
                    <w:tabs>
                      <w:tab w:val="left" w:pos="1021"/>
                    </w:tabs>
                  </w:pPr>
                  <w:r>
                    <w:rPr>
                      <w:rFonts w:hint="eastAsia"/>
                    </w:rPr>
                    <w:t>0.0</w:t>
                  </w:r>
                  <w:r>
                    <w:rPr>
                      <w:rFonts w:hint="eastAsia"/>
                      <w:lang w:val="en-US" w:eastAsia="zh-CN"/>
                    </w:rPr>
                    <w:t>65</w:t>
                  </w:r>
                </w:p>
              </w:tc>
            </w:tr>
            <w:tr w14:paraId="69DEC7A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51" w:hRule="atLeast"/>
              </w:trPr>
              <w:tc>
                <w:tcPr>
                  <w:tcW w:w="2239" w:type="dxa"/>
                  <w:gridSpan w:val="2"/>
                  <w:vMerge w:val="continue"/>
                  <w:tcBorders>
                    <w:tl2br w:val="nil"/>
                    <w:tr2bl w:val="nil"/>
                  </w:tcBorders>
                  <w:vAlign w:val="center"/>
                </w:tcPr>
                <w:p w14:paraId="40EE5A53">
                  <w:pPr>
                    <w:adjustRightInd w:val="0"/>
                    <w:snapToGrid w:val="0"/>
                    <w:jc w:val="center"/>
                    <w:rPr>
                      <w:szCs w:val="21"/>
                    </w:rPr>
                  </w:pPr>
                </w:p>
              </w:tc>
              <w:tc>
                <w:tcPr>
                  <w:tcW w:w="4384" w:type="dxa"/>
                  <w:gridSpan w:val="3"/>
                  <w:tcBorders>
                    <w:tl2br w:val="nil"/>
                    <w:tr2bl w:val="nil"/>
                  </w:tcBorders>
                  <w:vAlign w:val="center"/>
                </w:tcPr>
                <w:p w14:paraId="2CB6E19C">
                  <w:pPr>
                    <w:pStyle w:val="198"/>
                    <w:tabs>
                      <w:tab w:val="left" w:pos="1021"/>
                    </w:tabs>
                  </w:pPr>
                  <w:r>
                    <w:rPr>
                      <w:rFonts w:hint="eastAsia"/>
                    </w:rPr>
                    <w:t>颗粒物</w:t>
                  </w:r>
                </w:p>
              </w:tc>
              <w:tc>
                <w:tcPr>
                  <w:tcW w:w="1642" w:type="dxa"/>
                  <w:tcBorders>
                    <w:tl2br w:val="nil"/>
                    <w:tr2bl w:val="nil"/>
                  </w:tcBorders>
                  <w:vAlign w:val="center"/>
                </w:tcPr>
                <w:p w14:paraId="2F7CDE07">
                  <w:pPr>
                    <w:pStyle w:val="198"/>
                    <w:tabs>
                      <w:tab w:val="left" w:pos="1021"/>
                    </w:tabs>
                  </w:pPr>
                  <w:r>
                    <w:rPr>
                      <w:rFonts w:hint="eastAsia"/>
                    </w:rPr>
                    <w:t>0.0</w:t>
                  </w:r>
                  <w:r>
                    <w:rPr>
                      <w:rFonts w:hint="eastAsia"/>
                      <w:lang w:val="en-US" w:eastAsia="zh-CN"/>
                    </w:rPr>
                    <w:t>02</w:t>
                  </w:r>
                </w:p>
              </w:tc>
            </w:tr>
            <w:tr w14:paraId="5CD86E3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2" w:hRule="atLeast"/>
              </w:trPr>
              <w:tc>
                <w:tcPr>
                  <w:tcW w:w="2239" w:type="dxa"/>
                  <w:gridSpan w:val="2"/>
                  <w:vMerge w:val="continue"/>
                  <w:tcBorders>
                    <w:tl2br w:val="nil"/>
                    <w:tr2bl w:val="nil"/>
                  </w:tcBorders>
                  <w:vAlign w:val="center"/>
                </w:tcPr>
                <w:p w14:paraId="0C420D88">
                  <w:pPr>
                    <w:adjustRightInd w:val="0"/>
                    <w:snapToGrid w:val="0"/>
                    <w:jc w:val="center"/>
                    <w:rPr>
                      <w:szCs w:val="21"/>
                    </w:rPr>
                  </w:pPr>
                </w:p>
              </w:tc>
              <w:tc>
                <w:tcPr>
                  <w:tcW w:w="4384" w:type="dxa"/>
                  <w:gridSpan w:val="3"/>
                  <w:tcBorders>
                    <w:tl2br w:val="nil"/>
                    <w:tr2bl w:val="nil"/>
                  </w:tcBorders>
                  <w:vAlign w:val="center"/>
                </w:tcPr>
                <w:p w14:paraId="418F2CF4">
                  <w:pPr>
                    <w:pStyle w:val="198"/>
                    <w:tabs>
                      <w:tab w:val="left" w:pos="1021"/>
                    </w:tabs>
                  </w:pPr>
                  <w:r>
                    <w:rPr>
                      <w:rFonts w:hint="eastAsia"/>
                    </w:rPr>
                    <w:t>非甲烷总烃</w:t>
                  </w:r>
                </w:p>
              </w:tc>
              <w:tc>
                <w:tcPr>
                  <w:tcW w:w="1642" w:type="dxa"/>
                  <w:tcBorders>
                    <w:tl2br w:val="nil"/>
                    <w:tr2bl w:val="nil"/>
                  </w:tcBorders>
                  <w:vAlign w:val="center"/>
                </w:tcPr>
                <w:p w14:paraId="23361B23">
                  <w:pPr>
                    <w:pStyle w:val="198"/>
                    <w:tabs>
                      <w:tab w:val="left" w:pos="1021"/>
                    </w:tabs>
                  </w:pPr>
                  <w:r>
                    <w:rPr>
                      <w:rFonts w:hint="eastAsia"/>
                      <w:color w:val="auto"/>
                    </w:rPr>
                    <w:t>0.</w:t>
                  </w:r>
                  <w:r>
                    <w:rPr>
                      <w:rFonts w:hint="eastAsia"/>
                      <w:color w:val="auto"/>
                      <w:lang w:val="en-US" w:eastAsia="zh-CN"/>
                    </w:rPr>
                    <w:t>39</w:t>
                  </w:r>
                </w:p>
              </w:tc>
            </w:tr>
            <w:tr w14:paraId="7DBD782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10" w:hRule="atLeast"/>
              </w:trPr>
              <w:tc>
                <w:tcPr>
                  <w:tcW w:w="2239" w:type="dxa"/>
                  <w:gridSpan w:val="2"/>
                  <w:vMerge w:val="continue"/>
                  <w:tcBorders>
                    <w:tl2br w:val="nil"/>
                    <w:tr2bl w:val="nil"/>
                  </w:tcBorders>
                  <w:vAlign w:val="center"/>
                </w:tcPr>
                <w:p w14:paraId="32FD3572">
                  <w:pPr>
                    <w:adjustRightInd w:val="0"/>
                    <w:snapToGrid w:val="0"/>
                    <w:jc w:val="center"/>
                    <w:rPr>
                      <w:szCs w:val="21"/>
                    </w:rPr>
                  </w:pPr>
                </w:p>
              </w:tc>
              <w:tc>
                <w:tcPr>
                  <w:tcW w:w="4384" w:type="dxa"/>
                  <w:gridSpan w:val="3"/>
                  <w:tcBorders>
                    <w:tl2br w:val="nil"/>
                    <w:tr2bl w:val="nil"/>
                  </w:tcBorders>
                  <w:vAlign w:val="center"/>
                </w:tcPr>
                <w:p w14:paraId="127AADD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u w:val="none" w:color="auto"/>
                    </w:rPr>
                  </w:pPr>
                  <w:r>
                    <w:rPr>
                      <w:rFonts w:hint="eastAsia" w:ascii="Times New Roman" w:hAnsi="Times New Roman" w:eastAsia="宋体" w:cs="Times New Roman"/>
                      <w:color w:val="auto"/>
                      <w:sz w:val="21"/>
                      <w:szCs w:val="21"/>
                      <w:highlight w:val="none"/>
                      <w:u w:val="none" w:color="auto"/>
                      <w:vertAlign w:val="baseline"/>
                      <w:lang w:val="en-US" w:eastAsia="zh-CN"/>
                    </w:rPr>
                    <w:t>臭气浓度</w:t>
                  </w:r>
                </w:p>
              </w:tc>
              <w:tc>
                <w:tcPr>
                  <w:tcW w:w="1642" w:type="dxa"/>
                  <w:tcBorders>
                    <w:tl2br w:val="nil"/>
                    <w:tr2bl w:val="nil"/>
                  </w:tcBorders>
                  <w:vAlign w:val="center"/>
                </w:tcPr>
                <w:p w14:paraId="2ECE7B55">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color w:val="auto"/>
                      <w:u w:val="none" w:color="auto"/>
                    </w:rPr>
                  </w:pPr>
                  <w:r>
                    <w:rPr>
                      <w:rFonts w:hint="eastAsia" w:cs="Times New Roman"/>
                      <w:bCs/>
                      <w:kern w:val="0"/>
                      <w:sz w:val="21"/>
                      <w:szCs w:val="21"/>
                      <w:u w:val="none" w:color="auto"/>
                      <w:lang w:val="en-US" w:eastAsia="zh-CN" w:bidi="ar-SA"/>
                    </w:rPr>
                    <w:t>少量</w:t>
                  </w:r>
                </w:p>
              </w:tc>
            </w:tr>
          </w:tbl>
          <w:p w14:paraId="38060D8E">
            <w:pPr>
              <w:adjustRightInd w:val="0"/>
              <w:snapToGrid w:val="0"/>
              <w:spacing w:line="360" w:lineRule="auto"/>
              <w:ind w:firstLine="480" w:firstLineChars="200"/>
              <w:rPr>
                <w:b/>
                <w:bCs/>
                <w:sz w:val="24"/>
              </w:rPr>
            </w:pPr>
            <w:r>
              <w:rPr>
                <w:rFonts w:hint="eastAsia"/>
                <w:sz w:val="24"/>
              </w:rPr>
              <w:t>本项目大气污染物无组织排放量见表4-5</w:t>
            </w:r>
          </w:p>
          <w:p w14:paraId="6F2ED28D">
            <w:pPr>
              <w:jc w:val="center"/>
              <w:rPr>
                <w:sz w:val="24"/>
              </w:rPr>
            </w:pPr>
            <w:r>
              <w:rPr>
                <w:rFonts w:hint="eastAsia"/>
                <w:b/>
                <w:bCs/>
                <w:sz w:val="24"/>
              </w:rPr>
              <w:t>表4-5      大气污染物无组织排放量</w:t>
            </w:r>
          </w:p>
          <w:tbl>
            <w:tblPr>
              <w:tblStyle w:val="37"/>
              <w:tblW w:w="8274"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505"/>
              <w:gridCol w:w="1055"/>
              <w:gridCol w:w="880"/>
              <w:gridCol w:w="1136"/>
              <w:gridCol w:w="2746"/>
              <w:gridCol w:w="1126"/>
              <w:gridCol w:w="826"/>
            </w:tblGrid>
            <w:tr w14:paraId="0D8FDA9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05" w:type="dxa"/>
                  <w:vMerge w:val="restart"/>
                  <w:tcBorders>
                    <w:tl2br w:val="nil"/>
                    <w:tr2bl w:val="nil"/>
                  </w:tcBorders>
                  <w:vAlign w:val="center"/>
                </w:tcPr>
                <w:p w14:paraId="0FF399A8">
                  <w:pPr>
                    <w:adjustRightInd w:val="0"/>
                    <w:snapToGrid w:val="0"/>
                    <w:jc w:val="center"/>
                    <w:rPr>
                      <w:b/>
                      <w:bCs/>
                      <w:szCs w:val="21"/>
                    </w:rPr>
                  </w:pPr>
                  <w:r>
                    <w:rPr>
                      <w:rFonts w:hint="eastAsia"/>
                      <w:b/>
                      <w:bCs/>
                      <w:szCs w:val="21"/>
                    </w:rPr>
                    <w:t>序号</w:t>
                  </w:r>
                </w:p>
              </w:tc>
              <w:tc>
                <w:tcPr>
                  <w:tcW w:w="1055" w:type="dxa"/>
                  <w:vMerge w:val="restart"/>
                  <w:tcBorders>
                    <w:tl2br w:val="nil"/>
                    <w:tr2bl w:val="nil"/>
                  </w:tcBorders>
                  <w:vAlign w:val="center"/>
                </w:tcPr>
                <w:p w14:paraId="1748FCC0">
                  <w:pPr>
                    <w:adjustRightInd w:val="0"/>
                    <w:snapToGrid w:val="0"/>
                    <w:jc w:val="center"/>
                    <w:rPr>
                      <w:b/>
                      <w:bCs/>
                      <w:szCs w:val="21"/>
                    </w:rPr>
                  </w:pPr>
                  <w:r>
                    <w:rPr>
                      <w:rFonts w:hint="eastAsia"/>
                      <w:b/>
                      <w:bCs/>
                      <w:szCs w:val="21"/>
                    </w:rPr>
                    <w:t>产污环节</w:t>
                  </w:r>
                </w:p>
              </w:tc>
              <w:tc>
                <w:tcPr>
                  <w:tcW w:w="880" w:type="dxa"/>
                  <w:vMerge w:val="restart"/>
                  <w:tcBorders>
                    <w:tl2br w:val="nil"/>
                    <w:tr2bl w:val="nil"/>
                  </w:tcBorders>
                  <w:vAlign w:val="center"/>
                </w:tcPr>
                <w:p w14:paraId="7AEA4A20">
                  <w:pPr>
                    <w:adjustRightInd w:val="0"/>
                    <w:snapToGrid w:val="0"/>
                    <w:jc w:val="center"/>
                    <w:rPr>
                      <w:b/>
                      <w:bCs/>
                      <w:szCs w:val="21"/>
                    </w:rPr>
                  </w:pPr>
                  <w:r>
                    <w:rPr>
                      <w:rFonts w:hint="eastAsia"/>
                      <w:b/>
                      <w:bCs/>
                      <w:szCs w:val="21"/>
                    </w:rPr>
                    <w:t>污染物</w:t>
                  </w:r>
                </w:p>
              </w:tc>
              <w:tc>
                <w:tcPr>
                  <w:tcW w:w="1136" w:type="dxa"/>
                  <w:vMerge w:val="restart"/>
                  <w:tcBorders>
                    <w:tl2br w:val="nil"/>
                    <w:tr2bl w:val="nil"/>
                  </w:tcBorders>
                  <w:vAlign w:val="center"/>
                </w:tcPr>
                <w:p w14:paraId="4D92B57C">
                  <w:pPr>
                    <w:adjustRightInd w:val="0"/>
                    <w:snapToGrid w:val="0"/>
                    <w:jc w:val="center"/>
                    <w:rPr>
                      <w:b/>
                      <w:bCs/>
                      <w:szCs w:val="21"/>
                    </w:rPr>
                  </w:pPr>
                  <w:r>
                    <w:rPr>
                      <w:rFonts w:hint="eastAsia"/>
                      <w:b/>
                      <w:bCs/>
                      <w:szCs w:val="21"/>
                    </w:rPr>
                    <w:t>主要污染防治措施</w:t>
                  </w:r>
                </w:p>
              </w:tc>
              <w:tc>
                <w:tcPr>
                  <w:tcW w:w="3872" w:type="dxa"/>
                  <w:gridSpan w:val="2"/>
                  <w:tcBorders>
                    <w:tl2br w:val="nil"/>
                    <w:tr2bl w:val="nil"/>
                  </w:tcBorders>
                  <w:vAlign w:val="center"/>
                </w:tcPr>
                <w:p w14:paraId="26565E5D">
                  <w:pPr>
                    <w:adjustRightInd w:val="0"/>
                    <w:snapToGrid w:val="0"/>
                    <w:jc w:val="center"/>
                    <w:rPr>
                      <w:b/>
                      <w:bCs/>
                      <w:szCs w:val="21"/>
                    </w:rPr>
                  </w:pPr>
                  <w:r>
                    <w:rPr>
                      <w:rFonts w:hint="eastAsia"/>
                      <w:b/>
                      <w:bCs/>
                      <w:szCs w:val="21"/>
                    </w:rPr>
                    <w:t>国家或地方污染物排放标准</w:t>
                  </w:r>
                </w:p>
              </w:tc>
              <w:tc>
                <w:tcPr>
                  <w:tcW w:w="826" w:type="dxa"/>
                  <w:vMerge w:val="restart"/>
                  <w:tcBorders>
                    <w:tl2br w:val="nil"/>
                    <w:tr2bl w:val="nil"/>
                  </w:tcBorders>
                  <w:vAlign w:val="center"/>
                </w:tcPr>
                <w:p w14:paraId="797DBA8D">
                  <w:pPr>
                    <w:adjustRightInd w:val="0"/>
                    <w:snapToGrid w:val="0"/>
                    <w:jc w:val="center"/>
                    <w:rPr>
                      <w:b/>
                      <w:bCs/>
                      <w:szCs w:val="21"/>
                    </w:rPr>
                  </w:pPr>
                  <w:r>
                    <w:rPr>
                      <w:rFonts w:hint="eastAsia"/>
                      <w:b/>
                      <w:bCs/>
                      <w:szCs w:val="21"/>
                    </w:rPr>
                    <w:t>年排放量(t/a)</w:t>
                  </w:r>
                </w:p>
              </w:tc>
            </w:tr>
            <w:tr w14:paraId="6A6E360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505" w:type="dxa"/>
                  <w:vMerge w:val="continue"/>
                  <w:tcBorders>
                    <w:tl2br w:val="nil"/>
                    <w:tr2bl w:val="nil"/>
                  </w:tcBorders>
                  <w:vAlign w:val="center"/>
                </w:tcPr>
                <w:p w14:paraId="0302B4C7">
                  <w:pPr>
                    <w:adjustRightInd w:val="0"/>
                    <w:snapToGrid w:val="0"/>
                    <w:jc w:val="center"/>
                    <w:rPr>
                      <w:b/>
                      <w:bCs/>
                      <w:szCs w:val="21"/>
                    </w:rPr>
                  </w:pPr>
                </w:p>
              </w:tc>
              <w:tc>
                <w:tcPr>
                  <w:tcW w:w="1055" w:type="dxa"/>
                  <w:vMerge w:val="continue"/>
                  <w:tcBorders>
                    <w:tl2br w:val="nil"/>
                    <w:tr2bl w:val="nil"/>
                  </w:tcBorders>
                  <w:vAlign w:val="center"/>
                </w:tcPr>
                <w:p w14:paraId="7F6BF026">
                  <w:pPr>
                    <w:adjustRightInd w:val="0"/>
                    <w:snapToGrid w:val="0"/>
                    <w:jc w:val="center"/>
                    <w:rPr>
                      <w:b/>
                      <w:bCs/>
                      <w:szCs w:val="21"/>
                    </w:rPr>
                  </w:pPr>
                </w:p>
              </w:tc>
              <w:tc>
                <w:tcPr>
                  <w:tcW w:w="880" w:type="dxa"/>
                  <w:vMerge w:val="continue"/>
                  <w:tcBorders>
                    <w:tl2br w:val="nil"/>
                    <w:tr2bl w:val="nil"/>
                  </w:tcBorders>
                  <w:vAlign w:val="center"/>
                </w:tcPr>
                <w:p w14:paraId="5ABD960E">
                  <w:pPr>
                    <w:adjustRightInd w:val="0"/>
                    <w:snapToGrid w:val="0"/>
                    <w:jc w:val="center"/>
                    <w:rPr>
                      <w:b/>
                      <w:bCs/>
                      <w:szCs w:val="21"/>
                    </w:rPr>
                  </w:pPr>
                </w:p>
              </w:tc>
              <w:tc>
                <w:tcPr>
                  <w:tcW w:w="1136" w:type="dxa"/>
                  <w:vMerge w:val="continue"/>
                  <w:tcBorders>
                    <w:tl2br w:val="nil"/>
                    <w:tr2bl w:val="nil"/>
                  </w:tcBorders>
                  <w:vAlign w:val="center"/>
                </w:tcPr>
                <w:p w14:paraId="6E83FB69">
                  <w:pPr>
                    <w:adjustRightInd w:val="0"/>
                    <w:snapToGrid w:val="0"/>
                    <w:jc w:val="center"/>
                    <w:rPr>
                      <w:b/>
                      <w:bCs/>
                      <w:szCs w:val="21"/>
                    </w:rPr>
                  </w:pPr>
                </w:p>
              </w:tc>
              <w:tc>
                <w:tcPr>
                  <w:tcW w:w="2746" w:type="dxa"/>
                  <w:tcBorders>
                    <w:tl2br w:val="nil"/>
                    <w:tr2bl w:val="nil"/>
                  </w:tcBorders>
                  <w:vAlign w:val="center"/>
                </w:tcPr>
                <w:p w14:paraId="2EA08439">
                  <w:pPr>
                    <w:adjustRightInd w:val="0"/>
                    <w:snapToGrid w:val="0"/>
                    <w:jc w:val="center"/>
                    <w:rPr>
                      <w:b/>
                      <w:bCs/>
                      <w:szCs w:val="21"/>
                    </w:rPr>
                  </w:pPr>
                  <w:r>
                    <w:rPr>
                      <w:rFonts w:hint="eastAsia"/>
                      <w:b/>
                      <w:bCs/>
                      <w:szCs w:val="21"/>
                    </w:rPr>
                    <w:t>标准名称</w:t>
                  </w:r>
                </w:p>
              </w:tc>
              <w:tc>
                <w:tcPr>
                  <w:tcW w:w="1126" w:type="dxa"/>
                  <w:tcBorders>
                    <w:tl2br w:val="nil"/>
                    <w:tr2bl w:val="nil"/>
                  </w:tcBorders>
                  <w:vAlign w:val="center"/>
                </w:tcPr>
                <w:p w14:paraId="1E508E78">
                  <w:pPr>
                    <w:adjustRightInd w:val="0"/>
                    <w:snapToGrid w:val="0"/>
                    <w:jc w:val="center"/>
                    <w:rPr>
                      <w:b/>
                      <w:bCs/>
                      <w:szCs w:val="21"/>
                    </w:rPr>
                  </w:pPr>
                  <w:r>
                    <w:rPr>
                      <w:b/>
                      <w:bCs/>
                      <w:szCs w:val="21"/>
                    </w:rPr>
                    <w:t>浓度限值/(</w:t>
                  </w:r>
                  <w:r>
                    <w:rPr>
                      <w:rFonts w:hint="eastAsia"/>
                      <w:b/>
                      <w:bCs/>
                      <w:szCs w:val="21"/>
                    </w:rPr>
                    <w:t>m</w:t>
                  </w:r>
                  <w:r>
                    <w:rPr>
                      <w:b/>
                      <w:bCs/>
                      <w:szCs w:val="21"/>
                    </w:rPr>
                    <w:t>g/m</w:t>
                  </w:r>
                  <w:r>
                    <w:rPr>
                      <w:b/>
                      <w:bCs/>
                      <w:szCs w:val="21"/>
                      <w:vertAlign w:val="superscript"/>
                    </w:rPr>
                    <w:t>3</w:t>
                  </w:r>
                  <w:r>
                    <w:rPr>
                      <w:b/>
                      <w:bCs/>
                      <w:szCs w:val="21"/>
                    </w:rPr>
                    <w:t>)</w:t>
                  </w:r>
                </w:p>
              </w:tc>
              <w:tc>
                <w:tcPr>
                  <w:tcW w:w="826" w:type="dxa"/>
                  <w:vMerge w:val="continue"/>
                  <w:tcBorders>
                    <w:tl2br w:val="nil"/>
                    <w:tr2bl w:val="nil"/>
                  </w:tcBorders>
                  <w:vAlign w:val="center"/>
                </w:tcPr>
                <w:p w14:paraId="72509D6D">
                  <w:pPr>
                    <w:adjustRightInd w:val="0"/>
                    <w:snapToGrid w:val="0"/>
                    <w:jc w:val="center"/>
                    <w:rPr>
                      <w:szCs w:val="21"/>
                    </w:rPr>
                  </w:pPr>
                </w:p>
              </w:tc>
            </w:tr>
            <w:tr w14:paraId="104AF9C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80" w:hRule="atLeast"/>
              </w:trPr>
              <w:tc>
                <w:tcPr>
                  <w:tcW w:w="505" w:type="dxa"/>
                  <w:tcBorders>
                    <w:tl2br w:val="nil"/>
                    <w:tr2bl w:val="nil"/>
                  </w:tcBorders>
                  <w:vAlign w:val="center"/>
                </w:tcPr>
                <w:p w14:paraId="6A395A1E">
                  <w:pPr>
                    <w:adjustRightInd w:val="0"/>
                    <w:snapToGrid w:val="0"/>
                    <w:jc w:val="center"/>
                    <w:rPr>
                      <w:szCs w:val="21"/>
                    </w:rPr>
                  </w:pPr>
                  <w:r>
                    <w:rPr>
                      <w:rFonts w:hint="eastAsia"/>
                      <w:szCs w:val="21"/>
                    </w:rPr>
                    <w:t>1</w:t>
                  </w:r>
                </w:p>
              </w:tc>
              <w:tc>
                <w:tcPr>
                  <w:tcW w:w="1055" w:type="dxa"/>
                  <w:tcBorders>
                    <w:tl2br w:val="nil"/>
                    <w:tr2bl w:val="nil"/>
                  </w:tcBorders>
                  <w:vAlign w:val="center"/>
                </w:tcPr>
                <w:p w14:paraId="0286BA8E">
                  <w:pPr>
                    <w:adjustRightInd w:val="0"/>
                    <w:snapToGrid w:val="0"/>
                    <w:jc w:val="center"/>
                    <w:rPr>
                      <w:szCs w:val="21"/>
                    </w:rPr>
                  </w:pPr>
                  <w:r>
                    <w:rPr>
                      <w:rFonts w:hint="eastAsia"/>
                      <w:szCs w:val="21"/>
                    </w:rPr>
                    <w:t>喷塑</w:t>
                  </w:r>
                </w:p>
              </w:tc>
              <w:tc>
                <w:tcPr>
                  <w:tcW w:w="880" w:type="dxa"/>
                  <w:tcBorders>
                    <w:tl2br w:val="nil"/>
                    <w:tr2bl w:val="nil"/>
                  </w:tcBorders>
                  <w:vAlign w:val="center"/>
                </w:tcPr>
                <w:p w14:paraId="2AC7E8D2">
                  <w:pPr>
                    <w:adjustRightInd w:val="0"/>
                    <w:snapToGrid w:val="0"/>
                    <w:jc w:val="center"/>
                    <w:rPr>
                      <w:szCs w:val="21"/>
                    </w:rPr>
                  </w:pPr>
                  <w:r>
                    <w:rPr>
                      <w:rFonts w:hint="eastAsia"/>
                      <w:szCs w:val="21"/>
                    </w:rPr>
                    <w:t>颗粒物</w:t>
                  </w:r>
                </w:p>
              </w:tc>
              <w:tc>
                <w:tcPr>
                  <w:tcW w:w="1136" w:type="dxa"/>
                  <w:tcBorders>
                    <w:tl2br w:val="nil"/>
                    <w:tr2bl w:val="nil"/>
                  </w:tcBorders>
                  <w:vAlign w:val="center"/>
                </w:tcPr>
                <w:p w14:paraId="75091246">
                  <w:pPr>
                    <w:adjustRightInd w:val="0"/>
                    <w:snapToGrid w:val="0"/>
                    <w:jc w:val="center"/>
                    <w:rPr>
                      <w:szCs w:val="21"/>
                    </w:rPr>
                  </w:pPr>
                  <w:r>
                    <w:rPr>
                      <w:rFonts w:hint="eastAsia"/>
                      <w:szCs w:val="21"/>
                    </w:rPr>
                    <w:t>车间内无组织排放</w:t>
                  </w:r>
                </w:p>
              </w:tc>
              <w:tc>
                <w:tcPr>
                  <w:tcW w:w="2746" w:type="dxa"/>
                  <w:tcBorders>
                    <w:tl2br w:val="nil"/>
                    <w:tr2bl w:val="nil"/>
                  </w:tcBorders>
                  <w:vAlign w:val="center"/>
                </w:tcPr>
                <w:p w14:paraId="0FD50A41">
                  <w:pPr>
                    <w:adjustRightInd w:val="0"/>
                    <w:snapToGrid w:val="0"/>
                    <w:jc w:val="center"/>
                    <w:rPr>
                      <w:szCs w:val="21"/>
                    </w:rPr>
                  </w:pPr>
                  <w:r>
                    <w:rPr>
                      <w:rFonts w:hint="eastAsia"/>
                      <w:szCs w:val="21"/>
                    </w:rPr>
                    <w:t>《合成树脂工业污染物排放标准》（GB31572-2015）表9企业边界污染物浓度限值</w:t>
                  </w:r>
                </w:p>
              </w:tc>
              <w:tc>
                <w:tcPr>
                  <w:tcW w:w="1126" w:type="dxa"/>
                  <w:tcBorders>
                    <w:tl2br w:val="nil"/>
                    <w:tr2bl w:val="nil"/>
                  </w:tcBorders>
                  <w:vAlign w:val="center"/>
                </w:tcPr>
                <w:p w14:paraId="5A2BA573">
                  <w:pPr>
                    <w:adjustRightInd w:val="0"/>
                    <w:snapToGrid w:val="0"/>
                    <w:jc w:val="center"/>
                    <w:rPr>
                      <w:szCs w:val="21"/>
                    </w:rPr>
                  </w:pPr>
                  <w:r>
                    <w:rPr>
                      <w:rFonts w:hint="eastAsia"/>
                      <w:szCs w:val="21"/>
                    </w:rPr>
                    <w:t>1.0</w:t>
                  </w:r>
                </w:p>
              </w:tc>
              <w:tc>
                <w:tcPr>
                  <w:tcW w:w="826" w:type="dxa"/>
                  <w:tcBorders>
                    <w:tl2br w:val="nil"/>
                    <w:tr2bl w:val="nil"/>
                  </w:tcBorders>
                  <w:vAlign w:val="center"/>
                </w:tcPr>
                <w:p w14:paraId="77B254F8">
                  <w:pPr>
                    <w:jc w:val="center"/>
                    <w:rPr>
                      <w:rFonts w:hint="default" w:eastAsia="宋体"/>
                      <w:szCs w:val="21"/>
                      <w:lang w:val="en-US" w:eastAsia="zh-CN"/>
                    </w:rPr>
                  </w:pPr>
                  <w:r>
                    <w:rPr>
                      <w:rFonts w:hint="eastAsia"/>
                      <w:szCs w:val="21"/>
                    </w:rPr>
                    <w:t>0.0</w:t>
                  </w:r>
                  <w:r>
                    <w:rPr>
                      <w:rFonts w:hint="eastAsia"/>
                      <w:szCs w:val="21"/>
                      <w:lang w:val="en-US" w:eastAsia="zh-CN"/>
                    </w:rPr>
                    <w:t>48</w:t>
                  </w:r>
                </w:p>
              </w:tc>
            </w:tr>
            <w:tr w14:paraId="6365610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3" w:hRule="atLeast"/>
              </w:trPr>
              <w:tc>
                <w:tcPr>
                  <w:tcW w:w="505" w:type="dxa"/>
                  <w:vMerge w:val="restart"/>
                  <w:tcBorders>
                    <w:tl2br w:val="nil"/>
                    <w:tr2bl w:val="nil"/>
                  </w:tcBorders>
                  <w:vAlign w:val="center"/>
                </w:tcPr>
                <w:p w14:paraId="38709886">
                  <w:pPr>
                    <w:adjustRightInd w:val="0"/>
                    <w:snapToGrid w:val="0"/>
                    <w:jc w:val="center"/>
                    <w:rPr>
                      <w:szCs w:val="21"/>
                    </w:rPr>
                  </w:pPr>
                  <w:r>
                    <w:rPr>
                      <w:rFonts w:hint="eastAsia"/>
                      <w:szCs w:val="21"/>
                    </w:rPr>
                    <w:t>2</w:t>
                  </w:r>
                </w:p>
              </w:tc>
              <w:tc>
                <w:tcPr>
                  <w:tcW w:w="1055" w:type="dxa"/>
                  <w:vMerge w:val="restart"/>
                  <w:tcBorders>
                    <w:tl2br w:val="nil"/>
                    <w:tr2bl w:val="nil"/>
                  </w:tcBorders>
                  <w:vAlign w:val="center"/>
                </w:tcPr>
                <w:p w14:paraId="4240A08A">
                  <w:pPr>
                    <w:adjustRightInd w:val="0"/>
                    <w:snapToGrid w:val="0"/>
                    <w:jc w:val="center"/>
                    <w:rPr>
                      <w:szCs w:val="21"/>
                    </w:rPr>
                  </w:pPr>
                  <w:r>
                    <w:rPr>
                      <w:rFonts w:hint="eastAsia"/>
                      <w:szCs w:val="21"/>
                    </w:rPr>
                    <w:t>注塑</w:t>
                  </w:r>
                </w:p>
              </w:tc>
              <w:tc>
                <w:tcPr>
                  <w:tcW w:w="880" w:type="dxa"/>
                  <w:tcBorders>
                    <w:tl2br w:val="nil"/>
                    <w:tr2bl w:val="nil"/>
                  </w:tcBorders>
                  <w:vAlign w:val="center"/>
                </w:tcPr>
                <w:p w14:paraId="6A16FF3D">
                  <w:pPr>
                    <w:adjustRightInd w:val="0"/>
                    <w:snapToGrid w:val="0"/>
                    <w:jc w:val="center"/>
                    <w:rPr>
                      <w:szCs w:val="21"/>
                    </w:rPr>
                  </w:pPr>
                  <w:r>
                    <w:rPr>
                      <w:rFonts w:hint="eastAsia"/>
                      <w:szCs w:val="21"/>
                    </w:rPr>
                    <w:t>非甲烷总烃</w:t>
                  </w:r>
                </w:p>
              </w:tc>
              <w:tc>
                <w:tcPr>
                  <w:tcW w:w="1136" w:type="dxa"/>
                  <w:tcBorders>
                    <w:tl2br w:val="nil"/>
                    <w:tr2bl w:val="nil"/>
                  </w:tcBorders>
                  <w:vAlign w:val="center"/>
                </w:tcPr>
                <w:p w14:paraId="6178CA76">
                  <w:pPr>
                    <w:adjustRightInd w:val="0"/>
                    <w:snapToGrid w:val="0"/>
                    <w:jc w:val="center"/>
                    <w:rPr>
                      <w:szCs w:val="21"/>
                    </w:rPr>
                  </w:pPr>
                  <w:r>
                    <w:rPr>
                      <w:rFonts w:hint="eastAsia"/>
                      <w:szCs w:val="21"/>
                    </w:rPr>
                    <w:t>车间内无组织排放</w:t>
                  </w:r>
                </w:p>
              </w:tc>
              <w:tc>
                <w:tcPr>
                  <w:tcW w:w="2746" w:type="dxa"/>
                  <w:tcBorders>
                    <w:tl2br w:val="nil"/>
                    <w:tr2bl w:val="nil"/>
                  </w:tcBorders>
                  <w:vAlign w:val="center"/>
                </w:tcPr>
                <w:p w14:paraId="3F109860">
                  <w:pPr>
                    <w:adjustRightInd w:val="0"/>
                    <w:snapToGrid w:val="0"/>
                    <w:jc w:val="center"/>
                    <w:rPr>
                      <w:szCs w:val="21"/>
                    </w:rPr>
                  </w:pPr>
                  <w:r>
                    <w:rPr>
                      <w:rFonts w:hint="eastAsia"/>
                      <w:szCs w:val="21"/>
                    </w:rPr>
                    <w:t>《合成树脂工业污染物排放标准》（GB31572-2015）表9企业边界污染物浓度限值</w:t>
                  </w:r>
                </w:p>
              </w:tc>
              <w:tc>
                <w:tcPr>
                  <w:tcW w:w="1126" w:type="dxa"/>
                  <w:tcBorders>
                    <w:tl2br w:val="nil"/>
                    <w:tr2bl w:val="nil"/>
                  </w:tcBorders>
                  <w:vAlign w:val="center"/>
                </w:tcPr>
                <w:p w14:paraId="49454F92">
                  <w:pPr>
                    <w:adjustRightInd w:val="0"/>
                    <w:snapToGrid w:val="0"/>
                    <w:jc w:val="center"/>
                    <w:rPr>
                      <w:szCs w:val="21"/>
                    </w:rPr>
                  </w:pPr>
                  <w:r>
                    <w:rPr>
                      <w:rFonts w:hint="eastAsia"/>
                      <w:szCs w:val="21"/>
                    </w:rPr>
                    <w:t>4.0</w:t>
                  </w:r>
                </w:p>
              </w:tc>
              <w:tc>
                <w:tcPr>
                  <w:tcW w:w="826" w:type="dxa"/>
                  <w:tcBorders>
                    <w:tl2br w:val="nil"/>
                    <w:tr2bl w:val="nil"/>
                  </w:tcBorders>
                  <w:vAlign w:val="center"/>
                </w:tcPr>
                <w:p w14:paraId="3BE89AF1">
                  <w:pPr>
                    <w:jc w:val="center"/>
                    <w:rPr>
                      <w:rFonts w:hint="default" w:eastAsia="宋体"/>
                      <w:szCs w:val="21"/>
                      <w:lang w:val="en-US" w:eastAsia="zh-CN"/>
                    </w:rPr>
                  </w:pPr>
                  <w:r>
                    <w:rPr>
                      <w:rFonts w:hint="eastAsia"/>
                      <w:szCs w:val="21"/>
                      <w:lang w:val="en-US" w:eastAsia="zh-CN"/>
                    </w:rPr>
                    <w:t>1.296</w:t>
                  </w:r>
                </w:p>
              </w:tc>
            </w:tr>
            <w:tr w14:paraId="34CB884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505" w:type="dxa"/>
                  <w:vMerge w:val="continue"/>
                  <w:tcBorders>
                    <w:tl2br w:val="nil"/>
                    <w:tr2bl w:val="nil"/>
                  </w:tcBorders>
                  <w:vAlign w:val="center"/>
                </w:tcPr>
                <w:p w14:paraId="78165171">
                  <w:pPr>
                    <w:adjustRightInd w:val="0"/>
                    <w:snapToGrid w:val="0"/>
                    <w:jc w:val="center"/>
                    <w:rPr>
                      <w:rFonts w:hint="eastAsia"/>
                      <w:szCs w:val="21"/>
                    </w:rPr>
                  </w:pPr>
                </w:p>
              </w:tc>
              <w:tc>
                <w:tcPr>
                  <w:tcW w:w="1055" w:type="dxa"/>
                  <w:vMerge w:val="continue"/>
                  <w:tcBorders>
                    <w:tl2br w:val="nil"/>
                    <w:tr2bl w:val="nil"/>
                  </w:tcBorders>
                  <w:vAlign w:val="center"/>
                </w:tcPr>
                <w:p w14:paraId="1F263297">
                  <w:pPr>
                    <w:adjustRightInd w:val="0"/>
                    <w:snapToGrid w:val="0"/>
                    <w:jc w:val="center"/>
                    <w:rPr>
                      <w:rFonts w:hint="eastAsia"/>
                      <w:szCs w:val="21"/>
                    </w:rPr>
                  </w:pPr>
                </w:p>
              </w:tc>
              <w:tc>
                <w:tcPr>
                  <w:tcW w:w="880" w:type="dxa"/>
                  <w:tcBorders>
                    <w:tl2br w:val="nil"/>
                    <w:tr2bl w:val="nil"/>
                  </w:tcBorders>
                  <w:vAlign w:val="center"/>
                </w:tcPr>
                <w:p w14:paraId="5AFC1B69">
                  <w:pPr>
                    <w:pStyle w:val="198"/>
                    <w:tabs>
                      <w:tab w:val="left" w:pos="1021"/>
                    </w:tabs>
                    <w:rPr>
                      <w:rFonts w:hint="eastAsia"/>
                      <w:szCs w:val="21"/>
                    </w:rPr>
                  </w:pPr>
                  <w:r>
                    <w:rPr>
                      <w:rFonts w:hint="eastAsia"/>
                      <w:sz w:val="21"/>
                      <w:szCs w:val="21"/>
                      <w:u w:val="none"/>
                    </w:rPr>
                    <w:t>臭气浓度</w:t>
                  </w:r>
                </w:p>
              </w:tc>
              <w:tc>
                <w:tcPr>
                  <w:tcW w:w="1136" w:type="dxa"/>
                  <w:tcBorders>
                    <w:tl2br w:val="nil"/>
                    <w:tr2bl w:val="nil"/>
                  </w:tcBorders>
                  <w:vAlign w:val="center"/>
                </w:tcPr>
                <w:p w14:paraId="785F4E0E">
                  <w:pPr>
                    <w:pStyle w:val="198"/>
                    <w:tabs>
                      <w:tab w:val="left" w:pos="1021"/>
                    </w:tabs>
                    <w:rPr>
                      <w:rFonts w:hint="eastAsia"/>
                      <w:szCs w:val="21"/>
                    </w:rPr>
                  </w:pPr>
                  <w:r>
                    <w:rPr>
                      <w:rFonts w:hint="eastAsia"/>
                      <w:szCs w:val="21"/>
                    </w:rPr>
                    <w:t>车间内无组织排放</w:t>
                  </w:r>
                </w:p>
              </w:tc>
              <w:tc>
                <w:tcPr>
                  <w:tcW w:w="2746" w:type="dxa"/>
                  <w:tcBorders>
                    <w:tl2br w:val="nil"/>
                    <w:tr2bl w:val="nil"/>
                  </w:tcBorders>
                  <w:vAlign w:val="center"/>
                </w:tcPr>
                <w:p w14:paraId="27945022">
                  <w:pPr>
                    <w:jc w:val="center"/>
                    <w:rPr>
                      <w:rFonts w:hint="eastAsia"/>
                      <w:szCs w:val="21"/>
                    </w:rPr>
                  </w:pPr>
                  <w:r>
                    <w:rPr>
                      <w:rFonts w:hint="eastAsia"/>
                      <w:sz w:val="21"/>
                      <w:szCs w:val="21"/>
                      <w:u w:val="none"/>
                    </w:rPr>
                    <w:t>《恶臭污染物排放标准》（GB14554-93）表</w:t>
                  </w:r>
                  <w:r>
                    <w:rPr>
                      <w:rFonts w:hint="eastAsia"/>
                      <w:sz w:val="21"/>
                      <w:szCs w:val="21"/>
                      <w:u w:val="none"/>
                      <w:lang w:val="en-US" w:eastAsia="zh-CN"/>
                    </w:rPr>
                    <w:t>1</w:t>
                  </w:r>
                  <w:r>
                    <w:rPr>
                      <w:rFonts w:hint="eastAsia" w:cs="Times New Roman"/>
                      <w:color w:val="auto"/>
                      <w:lang w:eastAsia="zh-CN"/>
                    </w:rPr>
                    <w:t>新建二级恶臭污染物厂界标准值</w:t>
                  </w:r>
                </w:p>
              </w:tc>
              <w:tc>
                <w:tcPr>
                  <w:tcW w:w="1126" w:type="dxa"/>
                  <w:tcBorders>
                    <w:tl2br w:val="nil"/>
                    <w:tr2bl w:val="nil"/>
                  </w:tcBorders>
                  <w:vAlign w:val="center"/>
                </w:tcPr>
                <w:p w14:paraId="6AA095AA">
                  <w:pPr>
                    <w:adjustRightInd w:val="0"/>
                    <w:snapToGrid w:val="0"/>
                    <w:jc w:val="center"/>
                    <w:rPr>
                      <w:rFonts w:hint="default" w:eastAsia="宋体"/>
                      <w:szCs w:val="21"/>
                      <w:lang w:val="en-US" w:eastAsia="zh-CN"/>
                    </w:rPr>
                  </w:pPr>
                  <w:r>
                    <w:rPr>
                      <w:rFonts w:hint="eastAsia"/>
                      <w:szCs w:val="21"/>
                      <w:lang w:val="en-US" w:eastAsia="zh-CN"/>
                    </w:rPr>
                    <w:t>20(无量纲）</w:t>
                  </w:r>
                </w:p>
              </w:tc>
              <w:tc>
                <w:tcPr>
                  <w:tcW w:w="826" w:type="dxa"/>
                  <w:tcBorders>
                    <w:tl2br w:val="nil"/>
                    <w:tr2bl w:val="nil"/>
                  </w:tcBorders>
                  <w:vAlign w:val="center"/>
                </w:tcPr>
                <w:p w14:paraId="4F55C4B9">
                  <w:pPr>
                    <w:jc w:val="center"/>
                    <w:rPr>
                      <w:rFonts w:hint="default"/>
                      <w:szCs w:val="21"/>
                      <w:lang w:val="en-US" w:eastAsia="zh-CN"/>
                    </w:rPr>
                  </w:pPr>
                  <w:r>
                    <w:rPr>
                      <w:rFonts w:hint="eastAsia"/>
                      <w:szCs w:val="21"/>
                      <w:lang w:val="en-US" w:eastAsia="zh-CN"/>
                    </w:rPr>
                    <w:t>少量</w:t>
                  </w:r>
                </w:p>
              </w:tc>
            </w:tr>
            <w:tr w14:paraId="679C97D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12" w:hRule="atLeast"/>
              </w:trPr>
              <w:tc>
                <w:tcPr>
                  <w:tcW w:w="505" w:type="dxa"/>
                  <w:tcBorders>
                    <w:tl2br w:val="nil"/>
                    <w:tr2bl w:val="nil"/>
                  </w:tcBorders>
                  <w:vAlign w:val="center"/>
                </w:tcPr>
                <w:p w14:paraId="03C1A9D2">
                  <w:pPr>
                    <w:adjustRightInd w:val="0"/>
                    <w:snapToGrid w:val="0"/>
                    <w:jc w:val="center"/>
                    <w:rPr>
                      <w:szCs w:val="21"/>
                    </w:rPr>
                  </w:pPr>
                  <w:r>
                    <w:rPr>
                      <w:rFonts w:hint="eastAsia"/>
                      <w:szCs w:val="21"/>
                    </w:rPr>
                    <w:t>3</w:t>
                  </w:r>
                </w:p>
              </w:tc>
              <w:tc>
                <w:tcPr>
                  <w:tcW w:w="1055" w:type="dxa"/>
                  <w:tcBorders>
                    <w:tl2br w:val="nil"/>
                    <w:tr2bl w:val="nil"/>
                  </w:tcBorders>
                  <w:vAlign w:val="center"/>
                </w:tcPr>
                <w:p w14:paraId="10B07F1B">
                  <w:pPr>
                    <w:adjustRightInd w:val="0"/>
                    <w:snapToGrid w:val="0"/>
                    <w:jc w:val="center"/>
                    <w:rPr>
                      <w:szCs w:val="21"/>
                    </w:rPr>
                  </w:pPr>
                  <w:r>
                    <w:rPr>
                      <w:rFonts w:hint="eastAsia"/>
                      <w:szCs w:val="21"/>
                    </w:rPr>
                    <w:t>机加工</w:t>
                  </w:r>
                </w:p>
              </w:tc>
              <w:tc>
                <w:tcPr>
                  <w:tcW w:w="880" w:type="dxa"/>
                  <w:tcBorders>
                    <w:tl2br w:val="nil"/>
                    <w:tr2bl w:val="nil"/>
                  </w:tcBorders>
                  <w:vAlign w:val="center"/>
                </w:tcPr>
                <w:p w14:paraId="53D6CA3E">
                  <w:pPr>
                    <w:adjustRightInd w:val="0"/>
                    <w:snapToGrid w:val="0"/>
                    <w:jc w:val="center"/>
                    <w:rPr>
                      <w:szCs w:val="21"/>
                    </w:rPr>
                  </w:pPr>
                  <w:r>
                    <w:rPr>
                      <w:rFonts w:hint="eastAsia"/>
                      <w:szCs w:val="21"/>
                    </w:rPr>
                    <w:t>粉尘</w:t>
                  </w:r>
                </w:p>
              </w:tc>
              <w:tc>
                <w:tcPr>
                  <w:tcW w:w="1136" w:type="dxa"/>
                  <w:tcBorders>
                    <w:tl2br w:val="nil"/>
                    <w:tr2bl w:val="nil"/>
                  </w:tcBorders>
                  <w:vAlign w:val="center"/>
                </w:tcPr>
                <w:p w14:paraId="0FCBC979">
                  <w:pPr>
                    <w:adjustRightInd w:val="0"/>
                    <w:snapToGrid w:val="0"/>
                    <w:jc w:val="center"/>
                    <w:rPr>
                      <w:szCs w:val="21"/>
                    </w:rPr>
                  </w:pPr>
                  <w:r>
                    <w:rPr>
                      <w:rFonts w:hint="eastAsia"/>
                      <w:szCs w:val="21"/>
                    </w:rPr>
                    <w:t>车间内无组织排放</w:t>
                  </w:r>
                </w:p>
              </w:tc>
              <w:tc>
                <w:tcPr>
                  <w:tcW w:w="2746" w:type="dxa"/>
                  <w:tcBorders>
                    <w:tl2br w:val="nil"/>
                    <w:tr2bl w:val="nil"/>
                  </w:tcBorders>
                  <w:vAlign w:val="center"/>
                </w:tcPr>
                <w:p w14:paraId="06A60D3E">
                  <w:pPr>
                    <w:adjustRightInd w:val="0"/>
                    <w:snapToGrid w:val="0"/>
                    <w:jc w:val="center"/>
                    <w:rPr>
                      <w:szCs w:val="21"/>
                    </w:rPr>
                  </w:pPr>
                  <w:r>
                    <w:rPr>
                      <w:rFonts w:hint="eastAsia"/>
                      <w:spacing w:val="1"/>
                      <w:szCs w:val="21"/>
                    </w:rPr>
                    <w:t>《大气污染物综合排放标准》（GB16297-1996）表2新污染物大气污染物综合排放标准限值</w:t>
                  </w:r>
                </w:p>
              </w:tc>
              <w:tc>
                <w:tcPr>
                  <w:tcW w:w="1126" w:type="dxa"/>
                  <w:tcBorders>
                    <w:tl2br w:val="nil"/>
                    <w:tr2bl w:val="nil"/>
                  </w:tcBorders>
                  <w:vAlign w:val="center"/>
                </w:tcPr>
                <w:p w14:paraId="56246A1A">
                  <w:pPr>
                    <w:jc w:val="center"/>
                  </w:pPr>
                  <w:r>
                    <w:rPr>
                      <w:rFonts w:hint="eastAsia"/>
                    </w:rPr>
                    <w:t>1.0</w:t>
                  </w:r>
                </w:p>
              </w:tc>
              <w:tc>
                <w:tcPr>
                  <w:tcW w:w="826" w:type="dxa"/>
                  <w:tcBorders>
                    <w:tl2br w:val="nil"/>
                    <w:tr2bl w:val="nil"/>
                  </w:tcBorders>
                  <w:vAlign w:val="center"/>
                </w:tcPr>
                <w:p w14:paraId="5FDBDFB4">
                  <w:pPr>
                    <w:jc w:val="center"/>
                    <w:rPr>
                      <w:rFonts w:hint="default" w:eastAsia="宋体"/>
                      <w:szCs w:val="21"/>
                      <w:lang w:val="en-US" w:eastAsia="zh-CN"/>
                    </w:rPr>
                  </w:pPr>
                  <w:r>
                    <w:rPr>
                      <w:rFonts w:hint="eastAsia"/>
                      <w:szCs w:val="21"/>
                    </w:rPr>
                    <w:t>0.</w:t>
                  </w:r>
                  <w:r>
                    <w:rPr>
                      <w:rFonts w:hint="eastAsia"/>
                      <w:szCs w:val="21"/>
                      <w:lang w:val="en-US" w:eastAsia="zh-CN"/>
                    </w:rPr>
                    <w:t>158</w:t>
                  </w:r>
                </w:p>
              </w:tc>
            </w:tr>
            <w:tr w14:paraId="1E109BF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12" w:hRule="atLeast"/>
              </w:trPr>
              <w:tc>
                <w:tcPr>
                  <w:tcW w:w="505" w:type="dxa"/>
                  <w:tcBorders>
                    <w:tl2br w:val="nil"/>
                    <w:tr2bl w:val="nil"/>
                  </w:tcBorders>
                  <w:vAlign w:val="center"/>
                </w:tcPr>
                <w:p w14:paraId="3357E3AB">
                  <w:pPr>
                    <w:adjustRightInd w:val="0"/>
                    <w:snapToGrid w:val="0"/>
                    <w:jc w:val="center"/>
                    <w:rPr>
                      <w:szCs w:val="21"/>
                    </w:rPr>
                  </w:pPr>
                  <w:r>
                    <w:rPr>
                      <w:rFonts w:hint="eastAsia"/>
                      <w:szCs w:val="21"/>
                    </w:rPr>
                    <w:t>4</w:t>
                  </w:r>
                </w:p>
              </w:tc>
              <w:tc>
                <w:tcPr>
                  <w:tcW w:w="1055" w:type="dxa"/>
                  <w:tcBorders>
                    <w:tl2br w:val="nil"/>
                    <w:tr2bl w:val="nil"/>
                  </w:tcBorders>
                  <w:vAlign w:val="center"/>
                </w:tcPr>
                <w:p w14:paraId="79F81021">
                  <w:pPr>
                    <w:adjustRightInd w:val="0"/>
                    <w:snapToGrid w:val="0"/>
                    <w:jc w:val="center"/>
                    <w:rPr>
                      <w:szCs w:val="21"/>
                    </w:rPr>
                  </w:pPr>
                  <w:r>
                    <w:rPr>
                      <w:rFonts w:hint="eastAsia"/>
                      <w:szCs w:val="21"/>
                    </w:rPr>
                    <w:t>焊接</w:t>
                  </w:r>
                </w:p>
              </w:tc>
              <w:tc>
                <w:tcPr>
                  <w:tcW w:w="880" w:type="dxa"/>
                  <w:tcBorders>
                    <w:tl2br w:val="nil"/>
                    <w:tr2bl w:val="nil"/>
                  </w:tcBorders>
                  <w:vAlign w:val="center"/>
                </w:tcPr>
                <w:p w14:paraId="3B8E1355">
                  <w:pPr>
                    <w:adjustRightInd w:val="0"/>
                    <w:snapToGrid w:val="0"/>
                    <w:jc w:val="center"/>
                    <w:rPr>
                      <w:szCs w:val="21"/>
                    </w:rPr>
                  </w:pPr>
                  <w:r>
                    <w:rPr>
                      <w:rFonts w:hint="eastAsia"/>
                      <w:szCs w:val="21"/>
                    </w:rPr>
                    <w:t>烟尘</w:t>
                  </w:r>
                </w:p>
              </w:tc>
              <w:tc>
                <w:tcPr>
                  <w:tcW w:w="1136" w:type="dxa"/>
                  <w:tcBorders>
                    <w:tl2br w:val="nil"/>
                    <w:tr2bl w:val="nil"/>
                  </w:tcBorders>
                  <w:vAlign w:val="center"/>
                </w:tcPr>
                <w:p w14:paraId="534318A9">
                  <w:pPr>
                    <w:adjustRightInd w:val="0"/>
                    <w:snapToGrid w:val="0"/>
                    <w:jc w:val="center"/>
                    <w:rPr>
                      <w:szCs w:val="21"/>
                    </w:rPr>
                  </w:pPr>
                  <w:r>
                    <w:rPr>
                      <w:rFonts w:hint="eastAsia"/>
                      <w:szCs w:val="21"/>
                    </w:rPr>
                    <w:t>车间内无组织排放</w:t>
                  </w:r>
                </w:p>
              </w:tc>
              <w:tc>
                <w:tcPr>
                  <w:tcW w:w="2746" w:type="dxa"/>
                  <w:tcBorders>
                    <w:tl2br w:val="nil"/>
                    <w:tr2bl w:val="nil"/>
                  </w:tcBorders>
                  <w:vAlign w:val="center"/>
                </w:tcPr>
                <w:p w14:paraId="0ADD2285">
                  <w:pPr>
                    <w:adjustRightInd w:val="0"/>
                    <w:snapToGrid w:val="0"/>
                    <w:jc w:val="center"/>
                    <w:rPr>
                      <w:szCs w:val="21"/>
                    </w:rPr>
                  </w:pPr>
                  <w:r>
                    <w:rPr>
                      <w:rFonts w:hint="eastAsia"/>
                      <w:spacing w:val="1"/>
                      <w:szCs w:val="21"/>
                    </w:rPr>
                    <w:t>《大气污染物综合排放标准》（GB16297-1996）表2新污染物大气污染物综合排放标准限值</w:t>
                  </w:r>
                </w:p>
              </w:tc>
              <w:tc>
                <w:tcPr>
                  <w:tcW w:w="1126" w:type="dxa"/>
                  <w:tcBorders>
                    <w:tl2br w:val="nil"/>
                    <w:tr2bl w:val="nil"/>
                  </w:tcBorders>
                  <w:vAlign w:val="center"/>
                </w:tcPr>
                <w:p w14:paraId="20E4C48E">
                  <w:pPr>
                    <w:jc w:val="center"/>
                  </w:pPr>
                  <w:r>
                    <w:rPr>
                      <w:rFonts w:hint="eastAsia"/>
                    </w:rPr>
                    <w:t>1.0</w:t>
                  </w:r>
                </w:p>
              </w:tc>
              <w:tc>
                <w:tcPr>
                  <w:tcW w:w="826" w:type="dxa"/>
                  <w:tcBorders>
                    <w:tl2br w:val="nil"/>
                    <w:tr2bl w:val="nil"/>
                  </w:tcBorders>
                  <w:vAlign w:val="center"/>
                </w:tcPr>
                <w:p w14:paraId="44CBA506">
                  <w:pPr>
                    <w:jc w:val="center"/>
                    <w:rPr>
                      <w:rFonts w:hint="default" w:eastAsia="宋体"/>
                      <w:lang w:val="en-US" w:eastAsia="zh-CN"/>
                    </w:rPr>
                  </w:pPr>
                  <w:r>
                    <w:rPr>
                      <w:rFonts w:hint="eastAsia"/>
                    </w:rPr>
                    <w:t>0.00</w:t>
                  </w:r>
                  <w:r>
                    <w:rPr>
                      <w:rFonts w:hint="eastAsia"/>
                      <w:lang w:val="en-US" w:eastAsia="zh-CN"/>
                    </w:rPr>
                    <w:t>35</w:t>
                  </w:r>
                </w:p>
              </w:tc>
            </w:tr>
          </w:tbl>
          <w:p w14:paraId="70948F70">
            <w:pPr>
              <w:adjustRightInd w:val="0"/>
              <w:snapToGrid w:val="0"/>
              <w:spacing w:line="360" w:lineRule="auto"/>
              <w:ind w:firstLine="480" w:firstLineChars="200"/>
              <w:rPr>
                <w:b/>
                <w:bCs/>
                <w:szCs w:val="21"/>
              </w:rPr>
            </w:pPr>
            <w:r>
              <w:rPr>
                <w:rFonts w:hint="eastAsia"/>
                <w:sz w:val="24"/>
              </w:rPr>
              <w:t>本项目大气污染物排放量汇总见表4-6。</w:t>
            </w:r>
          </w:p>
          <w:p w14:paraId="09DADAD9">
            <w:pPr>
              <w:jc w:val="center"/>
              <w:rPr>
                <w:b/>
                <w:bCs/>
                <w:sz w:val="24"/>
              </w:rPr>
            </w:pPr>
            <w:r>
              <w:rPr>
                <w:rFonts w:hint="eastAsia"/>
                <w:b/>
                <w:bCs/>
                <w:sz w:val="24"/>
              </w:rPr>
              <w:t>表4-6     大气污染物排放量核算</w:t>
            </w:r>
          </w:p>
          <w:tbl>
            <w:tblPr>
              <w:tblStyle w:val="37"/>
              <w:tblW w:w="8259"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331"/>
              <w:gridCol w:w="2579"/>
              <w:gridCol w:w="3349"/>
            </w:tblGrid>
            <w:tr w14:paraId="26C04C7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6" w:hRule="atLeast"/>
              </w:trPr>
              <w:tc>
                <w:tcPr>
                  <w:tcW w:w="2331" w:type="dxa"/>
                  <w:tcBorders>
                    <w:tl2br w:val="nil"/>
                    <w:tr2bl w:val="nil"/>
                  </w:tcBorders>
                  <w:vAlign w:val="center"/>
                </w:tcPr>
                <w:p w14:paraId="0676A380">
                  <w:pPr>
                    <w:adjustRightInd w:val="0"/>
                    <w:snapToGrid w:val="0"/>
                    <w:jc w:val="center"/>
                    <w:rPr>
                      <w:b/>
                      <w:bCs/>
                      <w:szCs w:val="21"/>
                    </w:rPr>
                  </w:pPr>
                  <w:r>
                    <w:rPr>
                      <w:rFonts w:hint="eastAsia"/>
                      <w:b/>
                      <w:bCs/>
                      <w:szCs w:val="21"/>
                    </w:rPr>
                    <w:t>序号</w:t>
                  </w:r>
                </w:p>
              </w:tc>
              <w:tc>
                <w:tcPr>
                  <w:tcW w:w="2579" w:type="dxa"/>
                  <w:tcBorders>
                    <w:tl2br w:val="nil"/>
                    <w:tr2bl w:val="nil"/>
                  </w:tcBorders>
                  <w:vAlign w:val="center"/>
                </w:tcPr>
                <w:p w14:paraId="73A77688">
                  <w:pPr>
                    <w:adjustRightInd w:val="0"/>
                    <w:snapToGrid w:val="0"/>
                    <w:jc w:val="center"/>
                    <w:rPr>
                      <w:b/>
                      <w:bCs/>
                      <w:szCs w:val="21"/>
                    </w:rPr>
                  </w:pPr>
                  <w:r>
                    <w:rPr>
                      <w:rFonts w:hint="eastAsia"/>
                      <w:b/>
                      <w:bCs/>
                      <w:szCs w:val="21"/>
                    </w:rPr>
                    <w:t>污染物</w:t>
                  </w:r>
                </w:p>
              </w:tc>
              <w:tc>
                <w:tcPr>
                  <w:tcW w:w="3349" w:type="dxa"/>
                  <w:tcBorders>
                    <w:tl2br w:val="nil"/>
                    <w:tr2bl w:val="nil"/>
                  </w:tcBorders>
                  <w:vAlign w:val="center"/>
                </w:tcPr>
                <w:p w14:paraId="3BD19441">
                  <w:pPr>
                    <w:adjustRightInd w:val="0"/>
                    <w:snapToGrid w:val="0"/>
                    <w:jc w:val="center"/>
                    <w:rPr>
                      <w:b/>
                      <w:bCs/>
                      <w:szCs w:val="21"/>
                    </w:rPr>
                  </w:pPr>
                  <w:r>
                    <w:rPr>
                      <w:rFonts w:hint="eastAsia"/>
                      <w:b/>
                      <w:bCs/>
                      <w:szCs w:val="21"/>
                    </w:rPr>
                    <w:t>年排放量（t/a）</w:t>
                  </w:r>
                </w:p>
              </w:tc>
            </w:tr>
            <w:tr w14:paraId="14658A4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2331" w:type="dxa"/>
                  <w:tcBorders>
                    <w:tl2br w:val="nil"/>
                    <w:tr2bl w:val="nil"/>
                  </w:tcBorders>
                  <w:vAlign w:val="center"/>
                </w:tcPr>
                <w:p w14:paraId="5CC79E92">
                  <w:pPr>
                    <w:adjustRightInd w:val="0"/>
                    <w:snapToGrid w:val="0"/>
                    <w:jc w:val="center"/>
                    <w:rPr>
                      <w:szCs w:val="21"/>
                    </w:rPr>
                  </w:pPr>
                  <w:r>
                    <w:rPr>
                      <w:rFonts w:hint="eastAsia"/>
                      <w:szCs w:val="21"/>
                    </w:rPr>
                    <w:t>1</w:t>
                  </w:r>
                </w:p>
              </w:tc>
              <w:tc>
                <w:tcPr>
                  <w:tcW w:w="2579" w:type="dxa"/>
                  <w:tcBorders>
                    <w:tl2br w:val="nil"/>
                    <w:tr2bl w:val="nil"/>
                  </w:tcBorders>
                  <w:vAlign w:val="center"/>
                </w:tcPr>
                <w:p w14:paraId="53FF3EED">
                  <w:pPr>
                    <w:pStyle w:val="198"/>
                    <w:tabs>
                      <w:tab w:val="left" w:pos="1021"/>
                    </w:tabs>
                  </w:pPr>
                  <w:r>
                    <w:t>SO</w:t>
                  </w:r>
                  <w:r>
                    <w:rPr>
                      <w:vertAlign w:val="subscript"/>
                    </w:rPr>
                    <w:t>2</w:t>
                  </w:r>
                </w:p>
              </w:tc>
              <w:tc>
                <w:tcPr>
                  <w:tcW w:w="3349" w:type="dxa"/>
                  <w:tcBorders>
                    <w:tl2br w:val="nil"/>
                    <w:tr2bl w:val="nil"/>
                  </w:tcBorders>
                  <w:vAlign w:val="center"/>
                </w:tcPr>
                <w:p w14:paraId="6F5B92AA">
                  <w:pPr>
                    <w:pStyle w:val="198"/>
                    <w:tabs>
                      <w:tab w:val="left" w:pos="1021"/>
                    </w:tabs>
                    <w:rPr>
                      <w:rFonts w:hint="default" w:eastAsia="宋体"/>
                      <w:lang w:val="en-US" w:eastAsia="zh-CN"/>
                    </w:rPr>
                  </w:pPr>
                  <w:r>
                    <w:rPr>
                      <w:rFonts w:hint="eastAsia"/>
                    </w:rPr>
                    <w:t>0.0001</w:t>
                  </w:r>
                  <w:r>
                    <w:rPr>
                      <w:rFonts w:hint="eastAsia"/>
                      <w:lang w:val="en-US" w:eastAsia="zh-CN"/>
                    </w:rPr>
                    <w:t>6</w:t>
                  </w:r>
                </w:p>
              </w:tc>
            </w:tr>
            <w:tr w14:paraId="541B4E3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9" w:hRule="atLeast"/>
              </w:trPr>
              <w:tc>
                <w:tcPr>
                  <w:tcW w:w="2331" w:type="dxa"/>
                  <w:tcBorders>
                    <w:tl2br w:val="nil"/>
                    <w:tr2bl w:val="nil"/>
                  </w:tcBorders>
                  <w:vAlign w:val="center"/>
                </w:tcPr>
                <w:p w14:paraId="56898459">
                  <w:pPr>
                    <w:adjustRightInd w:val="0"/>
                    <w:snapToGrid w:val="0"/>
                    <w:jc w:val="center"/>
                    <w:rPr>
                      <w:szCs w:val="21"/>
                    </w:rPr>
                  </w:pPr>
                  <w:r>
                    <w:rPr>
                      <w:rFonts w:hint="eastAsia"/>
                      <w:szCs w:val="21"/>
                    </w:rPr>
                    <w:t>2</w:t>
                  </w:r>
                </w:p>
              </w:tc>
              <w:tc>
                <w:tcPr>
                  <w:tcW w:w="2579" w:type="dxa"/>
                  <w:tcBorders>
                    <w:tl2br w:val="nil"/>
                    <w:tr2bl w:val="nil"/>
                  </w:tcBorders>
                  <w:vAlign w:val="center"/>
                </w:tcPr>
                <w:p w14:paraId="69A0B392">
                  <w:pPr>
                    <w:pStyle w:val="198"/>
                    <w:tabs>
                      <w:tab w:val="left" w:pos="1021"/>
                    </w:tabs>
                  </w:pPr>
                  <w:r>
                    <w:t>NO</w:t>
                  </w:r>
                  <w:r>
                    <w:rPr>
                      <w:vertAlign w:val="subscript"/>
                    </w:rPr>
                    <w:t>X</w:t>
                  </w:r>
                </w:p>
              </w:tc>
              <w:tc>
                <w:tcPr>
                  <w:tcW w:w="3349" w:type="dxa"/>
                  <w:tcBorders>
                    <w:tl2br w:val="nil"/>
                    <w:tr2bl w:val="nil"/>
                  </w:tcBorders>
                  <w:vAlign w:val="center"/>
                </w:tcPr>
                <w:p w14:paraId="278CED53">
                  <w:pPr>
                    <w:pStyle w:val="198"/>
                    <w:tabs>
                      <w:tab w:val="left" w:pos="1021"/>
                    </w:tabs>
                    <w:rPr>
                      <w:rFonts w:hint="eastAsia" w:eastAsia="宋体"/>
                      <w:lang w:val="en-US" w:eastAsia="zh-CN"/>
                    </w:rPr>
                  </w:pPr>
                  <w:r>
                    <w:rPr>
                      <w:rFonts w:hint="eastAsia"/>
                    </w:rPr>
                    <w:t>0.0</w:t>
                  </w:r>
                  <w:r>
                    <w:rPr>
                      <w:rFonts w:hint="eastAsia"/>
                      <w:lang w:val="en-US" w:eastAsia="zh-CN"/>
                    </w:rPr>
                    <w:t>65</w:t>
                  </w:r>
                </w:p>
              </w:tc>
            </w:tr>
            <w:tr w14:paraId="5182DAE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9" w:hRule="atLeast"/>
              </w:trPr>
              <w:tc>
                <w:tcPr>
                  <w:tcW w:w="2331" w:type="dxa"/>
                  <w:tcBorders>
                    <w:tl2br w:val="nil"/>
                    <w:tr2bl w:val="nil"/>
                  </w:tcBorders>
                  <w:vAlign w:val="center"/>
                </w:tcPr>
                <w:p w14:paraId="2D8B229D">
                  <w:pPr>
                    <w:adjustRightInd w:val="0"/>
                    <w:snapToGrid w:val="0"/>
                    <w:jc w:val="center"/>
                    <w:rPr>
                      <w:szCs w:val="21"/>
                    </w:rPr>
                  </w:pPr>
                  <w:r>
                    <w:rPr>
                      <w:rFonts w:hint="eastAsia"/>
                      <w:szCs w:val="21"/>
                    </w:rPr>
                    <w:t>3</w:t>
                  </w:r>
                </w:p>
              </w:tc>
              <w:tc>
                <w:tcPr>
                  <w:tcW w:w="2579" w:type="dxa"/>
                  <w:tcBorders>
                    <w:tl2br w:val="nil"/>
                    <w:tr2bl w:val="nil"/>
                  </w:tcBorders>
                  <w:vAlign w:val="center"/>
                </w:tcPr>
                <w:p w14:paraId="7F243B9D">
                  <w:pPr>
                    <w:pStyle w:val="198"/>
                    <w:tabs>
                      <w:tab w:val="left" w:pos="1021"/>
                    </w:tabs>
                  </w:pPr>
                  <w:r>
                    <w:rPr>
                      <w:rFonts w:hint="eastAsia"/>
                    </w:rPr>
                    <w:t>颗粒物</w:t>
                  </w:r>
                </w:p>
              </w:tc>
              <w:tc>
                <w:tcPr>
                  <w:tcW w:w="3349" w:type="dxa"/>
                  <w:tcBorders>
                    <w:tl2br w:val="nil"/>
                    <w:tr2bl w:val="nil"/>
                  </w:tcBorders>
                  <w:vAlign w:val="center"/>
                </w:tcPr>
                <w:p w14:paraId="3AEBF157">
                  <w:pPr>
                    <w:pStyle w:val="198"/>
                    <w:tabs>
                      <w:tab w:val="left" w:pos="1021"/>
                    </w:tabs>
                    <w:rPr>
                      <w:rFonts w:hint="default" w:eastAsia="宋体"/>
                      <w:lang w:val="en-US" w:eastAsia="zh-CN"/>
                    </w:rPr>
                  </w:pPr>
                  <w:r>
                    <w:rPr>
                      <w:rFonts w:hint="eastAsia"/>
                      <w:lang w:val="en-US" w:eastAsia="zh-CN"/>
                    </w:rPr>
                    <w:t>0.212</w:t>
                  </w:r>
                </w:p>
              </w:tc>
            </w:tr>
            <w:tr w14:paraId="2B88285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9" w:hRule="atLeast"/>
              </w:trPr>
              <w:tc>
                <w:tcPr>
                  <w:tcW w:w="2331" w:type="dxa"/>
                  <w:tcBorders>
                    <w:tl2br w:val="nil"/>
                    <w:tr2bl w:val="nil"/>
                  </w:tcBorders>
                  <w:vAlign w:val="center"/>
                </w:tcPr>
                <w:p w14:paraId="692651D2">
                  <w:pPr>
                    <w:adjustRightInd w:val="0"/>
                    <w:snapToGrid w:val="0"/>
                    <w:jc w:val="center"/>
                    <w:rPr>
                      <w:szCs w:val="21"/>
                    </w:rPr>
                  </w:pPr>
                  <w:r>
                    <w:rPr>
                      <w:rFonts w:hint="eastAsia"/>
                      <w:szCs w:val="21"/>
                    </w:rPr>
                    <w:t>4</w:t>
                  </w:r>
                </w:p>
              </w:tc>
              <w:tc>
                <w:tcPr>
                  <w:tcW w:w="2579" w:type="dxa"/>
                  <w:tcBorders>
                    <w:tl2br w:val="nil"/>
                    <w:tr2bl w:val="nil"/>
                  </w:tcBorders>
                  <w:vAlign w:val="center"/>
                </w:tcPr>
                <w:p w14:paraId="4DB762F3">
                  <w:pPr>
                    <w:pStyle w:val="198"/>
                    <w:tabs>
                      <w:tab w:val="left" w:pos="1021"/>
                    </w:tabs>
                    <w:overflowPunct/>
                    <w:autoSpaceDE/>
                    <w:autoSpaceDN/>
                    <w:textAlignment w:val="auto"/>
                  </w:pPr>
                  <w:r>
                    <w:rPr>
                      <w:rFonts w:hint="eastAsia"/>
                    </w:rPr>
                    <w:t>非甲烷总烃</w:t>
                  </w:r>
                </w:p>
              </w:tc>
              <w:tc>
                <w:tcPr>
                  <w:tcW w:w="3349" w:type="dxa"/>
                  <w:tcBorders>
                    <w:tl2br w:val="nil"/>
                    <w:tr2bl w:val="nil"/>
                  </w:tcBorders>
                  <w:vAlign w:val="center"/>
                </w:tcPr>
                <w:p w14:paraId="42E2D89E">
                  <w:pPr>
                    <w:jc w:val="center"/>
                    <w:rPr>
                      <w:rFonts w:hint="default" w:eastAsia="宋体"/>
                      <w:lang w:val="en-US" w:eastAsia="zh-CN"/>
                    </w:rPr>
                  </w:pPr>
                  <w:r>
                    <w:rPr>
                      <w:rFonts w:hint="eastAsia"/>
                      <w:lang w:val="en-US" w:eastAsia="zh-CN"/>
                    </w:rPr>
                    <w:t>1.686</w:t>
                  </w:r>
                </w:p>
              </w:tc>
            </w:tr>
            <w:tr w14:paraId="53255DF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9" w:hRule="atLeast"/>
              </w:trPr>
              <w:tc>
                <w:tcPr>
                  <w:tcW w:w="2331" w:type="dxa"/>
                  <w:tcBorders>
                    <w:tl2br w:val="nil"/>
                    <w:tr2bl w:val="nil"/>
                  </w:tcBorders>
                  <w:vAlign w:val="center"/>
                </w:tcPr>
                <w:p w14:paraId="2C8F2D4D">
                  <w:pPr>
                    <w:adjustRightInd w:val="0"/>
                    <w:snapToGrid w:val="0"/>
                    <w:jc w:val="center"/>
                    <w:rPr>
                      <w:rFonts w:hint="eastAsia" w:eastAsia="宋体"/>
                      <w:szCs w:val="21"/>
                      <w:u w:val="none" w:color="auto"/>
                      <w:lang w:val="en-US" w:eastAsia="zh-CN"/>
                    </w:rPr>
                  </w:pPr>
                  <w:r>
                    <w:rPr>
                      <w:rFonts w:hint="eastAsia"/>
                      <w:szCs w:val="21"/>
                      <w:u w:val="none" w:color="auto"/>
                      <w:lang w:val="en-US" w:eastAsia="zh-CN"/>
                    </w:rPr>
                    <w:t>5</w:t>
                  </w:r>
                </w:p>
              </w:tc>
              <w:tc>
                <w:tcPr>
                  <w:tcW w:w="2579" w:type="dxa"/>
                  <w:tcBorders>
                    <w:tl2br w:val="nil"/>
                    <w:tr2bl w:val="nil"/>
                  </w:tcBorders>
                  <w:vAlign w:val="center"/>
                </w:tcPr>
                <w:p w14:paraId="2202DAA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u w:val="none" w:color="auto"/>
                    </w:rPr>
                  </w:pPr>
                  <w:r>
                    <w:rPr>
                      <w:rFonts w:hint="eastAsia" w:ascii="Times New Roman" w:hAnsi="Times New Roman" w:eastAsia="宋体" w:cs="Times New Roman"/>
                      <w:kern w:val="0"/>
                      <w:sz w:val="21"/>
                      <w:szCs w:val="21"/>
                      <w:u w:val="none" w:color="auto"/>
                      <w:lang w:val="en-US" w:eastAsia="zh-CN"/>
                    </w:rPr>
                    <w:t>臭气浓度</w:t>
                  </w:r>
                </w:p>
              </w:tc>
              <w:tc>
                <w:tcPr>
                  <w:tcW w:w="3349" w:type="dxa"/>
                  <w:tcBorders>
                    <w:tl2br w:val="nil"/>
                    <w:tr2bl w:val="nil"/>
                  </w:tcBorders>
                  <w:vAlign w:val="center"/>
                </w:tcPr>
                <w:p w14:paraId="040148F7">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u w:val="none" w:color="auto"/>
                      <w:lang w:val="en-US" w:eastAsia="zh-CN"/>
                    </w:rPr>
                  </w:pPr>
                  <w:r>
                    <w:rPr>
                      <w:rFonts w:hint="eastAsia" w:cs="Times New Roman"/>
                      <w:bCs/>
                      <w:kern w:val="0"/>
                      <w:sz w:val="21"/>
                      <w:szCs w:val="21"/>
                      <w:u w:val="none" w:color="auto"/>
                      <w:lang w:val="en-US" w:eastAsia="zh-CN" w:bidi="ar-SA"/>
                    </w:rPr>
                    <w:t>少量</w:t>
                  </w:r>
                </w:p>
              </w:tc>
            </w:tr>
          </w:tbl>
          <w:p w14:paraId="238B315A">
            <w:pPr>
              <w:spacing w:line="360" w:lineRule="auto"/>
              <w:ind w:firstLine="482" w:firstLineChars="200"/>
              <w:rPr>
                <w:b/>
                <w:bCs/>
                <w:sz w:val="24"/>
              </w:rPr>
            </w:pPr>
            <w:r>
              <w:rPr>
                <w:rFonts w:hint="eastAsia"/>
                <w:b/>
                <w:bCs/>
                <w:sz w:val="24"/>
              </w:rPr>
              <w:t>4.1.4</w:t>
            </w:r>
            <w:r>
              <w:rPr>
                <w:b/>
                <w:bCs/>
                <w:sz w:val="24"/>
              </w:rPr>
              <w:t>、项目废气产排污节点、污染物及污染治理设施信息详见下表：</w:t>
            </w:r>
          </w:p>
          <w:p w14:paraId="678D246C">
            <w:pPr>
              <w:jc w:val="center"/>
              <w:rPr>
                <w:b/>
                <w:bCs/>
                <w:sz w:val="24"/>
              </w:rPr>
            </w:pPr>
            <w:r>
              <w:rPr>
                <w:rFonts w:hint="eastAsia"/>
                <w:b/>
                <w:bCs/>
                <w:sz w:val="24"/>
              </w:rPr>
              <w:t>表4-7 废气产排污节点、污染物及污染治理设施信息表</w:t>
            </w:r>
          </w:p>
          <w:tbl>
            <w:tblPr>
              <w:tblStyle w:val="36"/>
              <w:tblW w:w="8277" w:type="dxa"/>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
            <w:tblGrid>
              <w:gridCol w:w="578"/>
              <w:gridCol w:w="991"/>
              <w:gridCol w:w="802"/>
              <w:gridCol w:w="611"/>
              <w:gridCol w:w="1588"/>
              <w:gridCol w:w="899"/>
              <w:gridCol w:w="749"/>
              <w:gridCol w:w="2059"/>
            </w:tblGrid>
            <w:tr w14:paraId="7F407913">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25" w:hRule="atLeast"/>
                <w:jc w:val="center"/>
              </w:trPr>
              <w:tc>
                <w:tcPr>
                  <w:tcW w:w="578" w:type="dxa"/>
                  <w:vMerge w:val="restart"/>
                  <w:vAlign w:val="center"/>
                </w:tcPr>
                <w:p w14:paraId="5A26A12A">
                  <w:pPr>
                    <w:autoSpaceDE w:val="0"/>
                    <w:adjustRightInd w:val="0"/>
                    <w:spacing w:beforeLines="20" w:afterLines="20"/>
                    <w:ind w:left="-105" w:leftChars="-50" w:right="-105" w:rightChars="-50"/>
                    <w:contextualSpacing/>
                    <w:jc w:val="center"/>
                    <w:rPr>
                      <w:szCs w:val="21"/>
                    </w:rPr>
                  </w:pPr>
                  <w:bookmarkStart w:id="11" w:name="BIAO4HDHY"/>
                  <w:bookmarkEnd w:id="11"/>
                  <w:r>
                    <w:rPr>
                      <w:szCs w:val="21"/>
                    </w:rPr>
                    <w:t>生产</w:t>
                  </w:r>
                </w:p>
                <w:p w14:paraId="1285FC0C">
                  <w:pPr>
                    <w:autoSpaceDE w:val="0"/>
                    <w:adjustRightInd w:val="0"/>
                    <w:spacing w:beforeLines="20" w:afterLines="20"/>
                    <w:ind w:left="-105" w:leftChars="-50" w:right="-105" w:rightChars="-50"/>
                    <w:contextualSpacing/>
                    <w:jc w:val="center"/>
                    <w:rPr>
                      <w:szCs w:val="21"/>
                    </w:rPr>
                  </w:pPr>
                  <w:r>
                    <w:rPr>
                      <w:szCs w:val="21"/>
                    </w:rPr>
                    <w:t>单元</w:t>
                  </w:r>
                </w:p>
              </w:tc>
              <w:tc>
                <w:tcPr>
                  <w:tcW w:w="991" w:type="dxa"/>
                  <w:vMerge w:val="restart"/>
                  <w:vAlign w:val="center"/>
                </w:tcPr>
                <w:p w14:paraId="00994954">
                  <w:pPr>
                    <w:autoSpaceDE w:val="0"/>
                    <w:adjustRightInd w:val="0"/>
                    <w:spacing w:beforeLines="20" w:afterLines="20"/>
                    <w:ind w:left="-105" w:leftChars="-50" w:right="-105" w:rightChars="-50"/>
                    <w:contextualSpacing/>
                    <w:jc w:val="center"/>
                    <w:rPr>
                      <w:szCs w:val="21"/>
                    </w:rPr>
                  </w:pPr>
                  <w:r>
                    <w:rPr>
                      <w:szCs w:val="21"/>
                    </w:rPr>
                    <w:t>对应产污环节名称</w:t>
                  </w:r>
                </w:p>
              </w:tc>
              <w:tc>
                <w:tcPr>
                  <w:tcW w:w="802" w:type="dxa"/>
                  <w:vMerge w:val="restart"/>
                  <w:vAlign w:val="center"/>
                </w:tcPr>
                <w:p w14:paraId="18C90475">
                  <w:pPr>
                    <w:autoSpaceDE w:val="0"/>
                    <w:adjustRightInd w:val="0"/>
                    <w:spacing w:beforeLines="20" w:afterLines="20"/>
                    <w:ind w:left="-105" w:leftChars="-50" w:right="-105" w:rightChars="-50"/>
                    <w:contextualSpacing/>
                    <w:jc w:val="center"/>
                    <w:rPr>
                      <w:szCs w:val="21"/>
                    </w:rPr>
                  </w:pPr>
                  <w:r>
                    <w:rPr>
                      <w:szCs w:val="21"/>
                    </w:rPr>
                    <w:t>污染物种类</w:t>
                  </w:r>
                </w:p>
              </w:tc>
              <w:tc>
                <w:tcPr>
                  <w:tcW w:w="611" w:type="dxa"/>
                  <w:vMerge w:val="restart"/>
                  <w:vAlign w:val="center"/>
                </w:tcPr>
                <w:p w14:paraId="398CF2D9">
                  <w:pPr>
                    <w:autoSpaceDE w:val="0"/>
                    <w:adjustRightInd w:val="0"/>
                    <w:spacing w:beforeLines="20" w:afterLines="20"/>
                    <w:ind w:left="-105" w:leftChars="-50" w:right="-105" w:rightChars="-50"/>
                    <w:contextualSpacing/>
                    <w:jc w:val="center"/>
                    <w:rPr>
                      <w:szCs w:val="21"/>
                    </w:rPr>
                  </w:pPr>
                  <w:r>
                    <w:rPr>
                      <w:szCs w:val="21"/>
                    </w:rPr>
                    <w:t>排放</w:t>
                  </w:r>
                </w:p>
                <w:p w14:paraId="09EAC367">
                  <w:pPr>
                    <w:autoSpaceDE w:val="0"/>
                    <w:adjustRightInd w:val="0"/>
                    <w:spacing w:beforeLines="20" w:afterLines="20"/>
                    <w:ind w:left="-105" w:leftChars="-50" w:right="-105" w:rightChars="-50"/>
                    <w:contextualSpacing/>
                    <w:jc w:val="center"/>
                    <w:rPr>
                      <w:szCs w:val="21"/>
                    </w:rPr>
                  </w:pPr>
                  <w:r>
                    <w:rPr>
                      <w:szCs w:val="21"/>
                    </w:rPr>
                    <w:t>形式</w:t>
                  </w:r>
                </w:p>
              </w:tc>
              <w:tc>
                <w:tcPr>
                  <w:tcW w:w="2487" w:type="dxa"/>
                  <w:gridSpan w:val="2"/>
                  <w:vAlign w:val="center"/>
                </w:tcPr>
                <w:p w14:paraId="59242C15">
                  <w:pPr>
                    <w:autoSpaceDE w:val="0"/>
                    <w:adjustRightInd w:val="0"/>
                    <w:spacing w:beforeLines="20" w:afterLines="20"/>
                    <w:ind w:left="-105" w:leftChars="-50" w:right="-105" w:rightChars="-50"/>
                    <w:contextualSpacing/>
                    <w:jc w:val="center"/>
                    <w:rPr>
                      <w:szCs w:val="21"/>
                    </w:rPr>
                  </w:pPr>
                  <w:r>
                    <w:rPr>
                      <w:szCs w:val="21"/>
                    </w:rPr>
                    <w:t>污染防治设施及工艺</w:t>
                  </w:r>
                </w:p>
              </w:tc>
              <w:tc>
                <w:tcPr>
                  <w:tcW w:w="749" w:type="dxa"/>
                  <w:vMerge w:val="restart"/>
                  <w:vAlign w:val="center"/>
                </w:tcPr>
                <w:p w14:paraId="7FBAB7FE">
                  <w:pPr>
                    <w:autoSpaceDE w:val="0"/>
                    <w:adjustRightInd w:val="0"/>
                    <w:spacing w:beforeLines="20" w:afterLines="20"/>
                    <w:ind w:left="-105" w:leftChars="-50" w:right="-105" w:rightChars="-50"/>
                    <w:contextualSpacing/>
                    <w:jc w:val="center"/>
                    <w:rPr>
                      <w:szCs w:val="21"/>
                    </w:rPr>
                  </w:pPr>
                  <w:r>
                    <w:rPr>
                      <w:szCs w:val="21"/>
                    </w:rPr>
                    <w:t>排放口编号</w:t>
                  </w:r>
                </w:p>
              </w:tc>
              <w:tc>
                <w:tcPr>
                  <w:tcW w:w="2059" w:type="dxa"/>
                  <w:vMerge w:val="restart"/>
                  <w:vAlign w:val="center"/>
                </w:tcPr>
                <w:p w14:paraId="3DC6AB31">
                  <w:pPr>
                    <w:autoSpaceDE w:val="0"/>
                    <w:adjustRightInd w:val="0"/>
                    <w:spacing w:beforeLines="20" w:afterLines="20"/>
                    <w:ind w:left="-105" w:leftChars="-50" w:right="-105" w:rightChars="-50"/>
                    <w:contextualSpacing/>
                    <w:jc w:val="center"/>
                    <w:rPr>
                      <w:szCs w:val="21"/>
                    </w:rPr>
                  </w:pPr>
                  <w:r>
                    <w:rPr>
                      <w:szCs w:val="21"/>
                    </w:rPr>
                    <w:t>排放标准</w:t>
                  </w:r>
                </w:p>
              </w:tc>
            </w:tr>
            <w:tr w14:paraId="2C118369">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jc w:val="center"/>
              </w:trPr>
              <w:tc>
                <w:tcPr>
                  <w:tcW w:w="578" w:type="dxa"/>
                  <w:vMerge w:val="continue"/>
                  <w:vAlign w:val="center"/>
                </w:tcPr>
                <w:p w14:paraId="5114AB5D">
                  <w:pPr>
                    <w:autoSpaceDE w:val="0"/>
                    <w:adjustRightInd w:val="0"/>
                    <w:spacing w:beforeLines="20" w:afterLines="20"/>
                    <w:ind w:left="-105" w:leftChars="-50" w:right="-105" w:rightChars="-50"/>
                    <w:contextualSpacing/>
                    <w:jc w:val="center"/>
                    <w:rPr>
                      <w:szCs w:val="21"/>
                    </w:rPr>
                  </w:pPr>
                </w:p>
              </w:tc>
              <w:tc>
                <w:tcPr>
                  <w:tcW w:w="991" w:type="dxa"/>
                  <w:vMerge w:val="continue"/>
                  <w:vAlign w:val="center"/>
                </w:tcPr>
                <w:p w14:paraId="2430F76C">
                  <w:pPr>
                    <w:autoSpaceDE w:val="0"/>
                    <w:adjustRightInd w:val="0"/>
                    <w:spacing w:beforeLines="20" w:afterLines="20"/>
                    <w:ind w:left="-105" w:leftChars="-50" w:right="-105" w:rightChars="-50"/>
                    <w:contextualSpacing/>
                    <w:jc w:val="center"/>
                    <w:rPr>
                      <w:szCs w:val="21"/>
                    </w:rPr>
                  </w:pPr>
                </w:p>
              </w:tc>
              <w:tc>
                <w:tcPr>
                  <w:tcW w:w="802" w:type="dxa"/>
                  <w:vMerge w:val="continue"/>
                  <w:vAlign w:val="center"/>
                </w:tcPr>
                <w:p w14:paraId="756B3F9B">
                  <w:pPr>
                    <w:autoSpaceDE w:val="0"/>
                    <w:adjustRightInd w:val="0"/>
                    <w:spacing w:beforeLines="20" w:afterLines="20"/>
                    <w:ind w:left="-105" w:leftChars="-50" w:right="-105" w:rightChars="-50"/>
                    <w:contextualSpacing/>
                    <w:jc w:val="center"/>
                    <w:rPr>
                      <w:szCs w:val="21"/>
                    </w:rPr>
                  </w:pPr>
                </w:p>
              </w:tc>
              <w:tc>
                <w:tcPr>
                  <w:tcW w:w="611" w:type="dxa"/>
                  <w:vMerge w:val="continue"/>
                  <w:vAlign w:val="center"/>
                </w:tcPr>
                <w:p w14:paraId="29E339B2">
                  <w:pPr>
                    <w:autoSpaceDE w:val="0"/>
                    <w:adjustRightInd w:val="0"/>
                    <w:spacing w:beforeLines="20" w:afterLines="20"/>
                    <w:ind w:left="-105" w:leftChars="-50" w:right="-105" w:rightChars="-50"/>
                    <w:contextualSpacing/>
                    <w:jc w:val="center"/>
                    <w:rPr>
                      <w:szCs w:val="21"/>
                    </w:rPr>
                  </w:pPr>
                </w:p>
              </w:tc>
              <w:tc>
                <w:tcPr>
                  <w:tcW w:w="1588" w:type="dxa"/>
                  <w:vAlign w:val="center"/>
                </w:tcPr>
                <w:p w14:paraId="68986A43">
                  <w:pPr>
                    <w:autoSpaceDE w:val="0"/>
                    <w:adjustRightInd w:val="0"/>
                    <w:spacing w:beforeLines="20" w:afterLines="20"/>
                    <w:ind w:left="-105" w:leftChars="-50" w:right="-105" w:rightChars="-50"/>
                    <w:contextualSpacing/>
                    <w:jc w:val="center"/>
                    <w:rPr>
                      <w:szCs w:val="21"/>
                    </w:rPr>
                  </w:pPr>
                  <w:r>
                    <w:rPr>
                      <w:szCs w:val="21"/>
                    </w:rPr>
                    <w:t>污染防治设施名称及工艺</w:t>
                  </w:r>
                </w:p>
              </w:tc>
              <w:tc>
                <w:tcPr>
                  <w:tcW w:w="899" w:type="dxa"/>
                  <w:vAlign w:val="center"/>
                </w:tcPr>
                <w:p w14:paraId="24F39EBE">
                  <w:pPr>
                    <w:autoSpaceDE w:val="0"/>
                    <w:adjustRightInd w:val="0"/>
                    <w:spacing w:beforeLines="20" w:afterLines="20"/>
                    <w:ind w:left="-105" w:leftChars="-50" w:right="-105" w:rightChars="-50"/>
                    <w:contextualSpacing/>
                    <w:jc w:val="center"/>
                    <w:rPr>
                      <w:szCs w:val="21"/>
                    </w:rPr>
                  </w:pPr>
                  <w:r>
                    <w:rPr>
                      <w:szCs w:val="21"/>
                    </w:rPr>
                    <w:t>是否为可行技术</w:t>
                  </w:r>
                </w:p>
              </w:tc>
              <w:tc>
                <w:tcPr>
                  <w:tcW w:w="749" w:type="dxa"/>
                  <w:vMerge w:val="continue"/>
                  <w:vAlign w:val="center"/>
                </w:tcPr>
                <w:p w14:paraId="55B056A2">
                  <w:pPr>
                    <w:autoSpaceDE w:val="0"/>
                    <w:adjustRightInd w:val="0"/>
                    <w:spacing w:beforeLines="20" w:afterLines="20"/>
                    <w:ind w:left="-105" w:leftChars="-50" w:right="-105" w:rightChars="-50"/>
                    <w:contextualSpacing/>
                    <w:jc w:val="center"/>
                    <w:rPr>
                      <w:szCs w:val="21"/>
                    </w:rPr>
                  </w:pPr>
                </w:p>
              </w:tc>
              <w:tc>
                <w:tcPr>
                  <w:tcW w:w="2059" w:type="dxa"/>
                  <w:vMerge w:val="continue"/>
                  <w:vAlign w:val="center"/>
                </w:tcPr>
                <w:p w14:paraId="1711B4E0">
                  <w:pPr>
                    <w:autoSpaceDE w:val="0"/>
                    <w:adjustRightInd w:val="0"/>
                    <w:spacing w:beforeLines="20" w:afterLines="20"/>
                    <w:ind w:left="-105" w:leftChars="-50" w:right="-105" w:rightChars="-50"/>
                    <w:contextualSpacing/>
                    <w:jc w:val="center"/>
                    <w:rPr>
                      <w:szCs w:val="21"/>
                    </w:rPr>
                  </w:pPr>
                </w:p>
              </w:tc>
            </w:tr>
            <w:tr w14:paraId="5B18AB79">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430" w:hRule="atLeast"/>
                <w:jc w:val="center"/>
              </w:trPr>
              <w:tc>
                <w:tcPr>
                  <w:tcW w:w="578" w:type="dxa"/>
                  <w:vAlign w:val="center"/>
                </w:tcPr>
                <w:p w14:paraId="237F3513">
                  <w:pPr>
                    <w:autoSpaceDE w:val="0"/>
                    <w:adjustRightInd w:val="0"/>
                    <w:spacing w:beforeLines="20" w:afterLines="20"/>
                    <w:ind w:left="-105" w:leftChars="-50" w:right="-105" w:rightChars="-50"/>
                    <w:contextualSpacing/>
                    <w:jc w:val="center"/>
                    <w:rPr>
                      <w:szCs w:val="21"/>
                    </w:rPr>
                  </w:pPr>
                  <w:r>
                    <w:rPr>
                      <w:szCs w:val="21"/>
                    </w:rPr>
                    <w:t>生产</w:t>
                  </w:r>
                </w:p>
                <w:p w14:paraId="70209389">
                  <w:pPr>
                    <w:autoSpaceDE w:val="0"/>
                    <w:adjustRightInd w:val="0"/>
                    <w:spacing w:beforeLines="20" w:afterLines="20"/>
                    <w:ind w:left="-105" w:leftChars="-50" w:right="-105" w:rightChars="-50"/>
                    <w:contextualSpacing/>
                    <w:jc w:val="center"/>
                    <w:rPr>
                      <w:szCs w:val="21"/>
                    </w:rPr>
                  </w:pPr>
                  <w:r>
                    <w:rPr>
                      <w:rFonts w:hint="eastAsia"/>
                      <w:szCs w:val="21"/>
                    </w:rPr>
                    <w:t>车间</w:t>
                  </w:r>
                </w:p>
              </w:tc>
              <w:tc>
                <w:tcPr>
                  <w:tcW w:w="991" w:type="dxa"/>
                  <w:tcBorders>
                    <w:bottom w:val="single" w:color="auto" w:sz="4" w:space="0"/>
                  </w:tcBorders>
                  <w:vAlign w:val="center"/>
                </w:tcPr>
                <w:p w14:paraId="54BBF39E">
                  <w:pPr>
                    <w:autoSpaceDE w:val="0"/>
                    <w:adjustRightInd w:val="0"/>
                    <w:spacing w:beforeLines="20" w:afterLines="20"/>
                    <w:ind w:left="-105" w:leftChars="-50" w:right="-105" w:rightChars="-50"/>
                    <w:contextualSpacing/>
                    <w:jc w:val="center"/>
                    <w:rPr>
                      <w:szCs w:val="21"/>
                    </w:rPr>
                  </w:pPr>
                  <w:r>
                    <w:rPr>
                      <w:rFonts w:hint="eastAsia"/>
                      <w:szCs w:val="21"/>
                    </w:rPr>
                    <w:t>注塑废气</w:t>
                  </w:r>
                </w:p>
              </w:tc>
              <w:tc>
                <w:tcPr>
                  <w:tcW w:w="802" w:type="dxa"/>
                  <w:tcBorders>
                    <w:bottom w:val="single" w:color="auto" w:sz="4" w:space="0"/>
                  </w:tcBorders>
                  <w:vAlign w:val="center"/>
                </w:tcPr>
                <w:p w14:paraId="3911CE96">
                  <w:pPr>
                    <w:autoSpaceDE w:val="0"/>
                    <w:adjustRightInd w:val="0"/>
                    <w:spacing w:beforeLines="20" w:afterLines="20"/>
                    <w:ind w:left="-105" w:leftChars="-50" w:right="-105" w:rightChars="-50"/>
                    <w:contextualSpacing/>
                    <w:jc w:val="center"/>
                    <w:rPr>
                      <w:szCs w:val="21"/>
                    </w:rPr>
                  </w:pPr>
                  <w:r>
                    <w:rPr>
                      <w:szCs w:val="21"/>
                    </w:rPr>
                    <w:t>非甲烷总烃</w:t>
                  </w:r>
                </w:p>
              </w:tc>
              <w:tc>
                <w:tcPr>
                  <w:tcW w:w="611" w:type="dxa"/>
                  <w:tcBorders>
                    <w:bottom w:val="single" w:color="auto" w:sz="4" w:space="0"/>
                  </w:tcBorders>
                  <w:vAlign w:val="center"/>
                </w:tcPr>
                <w:p w14:paraId="4853E818">
                  <w:pPr>
                    <w:autoSpaceDE w:val="0"/>
                    <w:adjustRightInd w:val="0"/>
                    <w:spacing w:beforeLines="20" w:afterLines="20"/>
                    <w:ind w:left="-105" w:leftChars="-50" w:right="-105" w:rightChars="-50"/>
                    <w:contextualSpacing/>
                    <w:jc w:val="center"/>
                    <w:rPr>
                      <w:szCs w:val="21"/>
                    </w:rPr>
                  </w:pPr>
                  <w:r>
                    <w:rPr>
                      <w:szCs w:val="21"/>
                    </w:rPr>
                    <w:t>有组织</w:t>
                  </w:r>
                </w:p>
              </w:tc>
              <w:tc>
                <w:tcPr>
                  <w:tcW w:w="1588" w:type="dxa"/>
                  <w:tcBorders>
                    <w:bottom w:val="single" w:color="auto" w:sz="4" w:space="0"/>
                  </w:tcBorders>
                  <w:vAlign w:val="center"/>
                </w:tcPr>
                <w:p w14:paraId="15DFD2DE">
                  <w:pPr>
                    <w:autoSpaceDE w:val="0"/>
                    <w:adjustRightInd w:val="0"/>
                    <w:spacing w:beforeLines="20" w:afterLines="20"/>
                    <w:ind w:left="-105" w:leftChars="-50" w:right="-105" w:rightChars="-50"/>
                    <w:contextualSpacing/>
                    <w:jc w:val="center"/>
                    <w:rPr>
                      <w:szCs w:val="21"/>
                    </w:rPr>
                  </w:pPr>
                  <w:r>
                    <w:rPr>
                      <w:rFonts w:hint="eastAsia"/>
                      <w:szCs w:val="21"/>
                    </w:rPr>
                    <w:t>集气罩+两级活性炭吸附装置</w:t>
                  </w:r>
                </w:p>
              </w:tc>
              <w:tc>
                <w:tcPr>
                  <w:tcW w:w="899" w:type="dxa"/>
                  <w:tcBorders>
                    <w:bottom w:val="single" w:color="auto" w:sz="4" w:space="0"/>
                  </w:tcBorders>
                  <w:vAlign w:val="center"/>
                </w:tcPr>
                <w:p w14:paraId="4B4B6D0D">
                  <w:pPr>
                    <w:autoSpaceDE w:val="0"/>
                    <w:adjustRightInd w:val="0"/>
                    <w:spacing w:beforeLines="20" w:afterLines="20"/>
                    <w:ind w:left="-105" w:leftChars="-50" w:right="-105" w:rightChars="-50"/>
                    <w:contextualSpacing/>
                    <w:jc w:val="center"/>
                    <w:rPr>
                      <w:szCs w:val="21"/>
                    </w:rPr>
                  </w:pPr>
                  <w:r>
                    <w:rPr>
                      <w:szCs w:val="21"/>
                    </w:rPr>
                    <w:t>是</w:t>
                  </w:r>
                </w:p>
              </w:tc>
              <w:tc>
                <w:tcPr>
                  <w:tcW w:w="749" w:type="dxa"/>
                  <w:tcBorders>
                    <w:bottom w:val="single" w:color="auto" w:sz="4" w:space="0"/>
                  </w:tcBorders>
                  <w:vAlign w:val="center"/>
                </w:tcPr>
                <w:p w14:paraId="683EF8FE">
                  <w:pPr>
                    <w:autoSpaceDE w:val="0"/>
                    <w:adjustRightInd w:val="0"/>
                    <w:spacing w:beforeLines="20" w:afterLines="20"/>
                    <w:ind w:left="-105" w:leftChars="-50" w:right="-105" w:rightChars="-50"/>
                    <w:contextualSpacing/>
                    <w:jc w:val="center"/>
                    <w:rPr>
                      <w:szCs w:val="21"/>
                    </w:rPr>
                  </w:pPr>
                  <w:r>
                    <w:rPr>
                      <w:rFonts w:hint="eastAsia"/>
                      <w:szCs w:val="21"/>
                    </w:rPr>
                    <w:t>DA001</w:t>
                  </w:r>
                </w:p>
              </w:tc>
              <w:tc>
                <w:tcPr>
                  <w:tcW w:w="2059" w:type="dxa"/>
                  <w:tcBorders>
                    <w:bottom w:val="single" w:color="auto" w:sz="4" w:space="0"/>
                  </w:tcBorders>
                  <w:vAlign w:val="center"/>
                </w:tcPr>
                <w:p w14:paraId="4109DFA8">
                  <w:pPr>
                    <w:autoSpaceDE w:val="0"/>
                    <w:adjustRightInd w:val="0"/>
                    <w:spacing w:beforeLines="20" w:afterLines="20"/>
                    <w:ind w:left="-105" w:leftChars="-50" w:right="-105" w:rightChars="-50"/>
                    <w:contextualSpacing/>
                    <w:jc w:val="center"/>
                    <w:rPr>
                      <w:szCs w:val="21"/>
                    </w:rPr>
                  </w:pPr>
                  <w:r>
                    <w:rPr>
                      <w:rFonts w:hint="eastAsia"/>
                      <w:bCs/>
                      <w:szCs w:val="21"/>
                    </w:rPr>
                    <w:t>GB31572-2015</w:t>
                  </w:r>
                </w:p>
              </w:tc>
            </w:tr>
            <w:tr w14:paraId="6EE91228">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jc w:val="center"/>
              </w:trPr>
              <w:tc>
                <w:tcPr>
                  <w:tcW w:w="578" w:type="dxa"/>
                  <w:vAlign w:val="center"/>
                </w:tcPr>
                <w:p w14:paraId="6E1F0DE2">
                  <w:pPr>
                    <w:autoSpaceDE w:val="0"/>
                    <w:adjustRightInd w:val="0"/>
                    <w:spacing w:beforeLines="20" w:afterLines="20"/>
                    <w:ind w:left="-105" w:leftChars="-50" w:right="-105" w:rightChars="-50"/>
                    <w:contextualSpacing/>
                    <w:jc w:val="center"/>
                    <w:rPr>
                      <w:szCs w:val="21"/>
                    </w:rPr>
                  </w:pPr>
                  <w:r>
                    <w:rPr>
                      <w:rFonts w:hint="eastAsia"/>
                      <w:szCs w:val="21"/>
                    </w:rPr>
                    <w:t>生产车间</w:t>
                  </w:r>
                </w:p>
              </w:tc>
              <w:tc>
                <w:tcPr>
                  <w:tcW w:w="991" w:type="dxa"/>
                  <w:vAlign w:val="center"/>
                </w:tcPr>
                <w:p w14:paraId="50533725">
                  <w:pPr>
                    <w:autoSpaceDE w:val="0"/>
                    <w:adjustRightInd w:val="0"/>
                    <w:spacing w:beforeLines="20" w:afterLines="20"/>
                    <w:ind w:left="-105" w:leftChars="-50" w:right="-105" w:rightChars="-50"/>
                    <w:contextualSpacing/>
                    <w:jc w:val="center"/>
                    <w:rPr>
                      <w:szCs w:val="21"/>
                    </w:rPr>
                  </w:pPr>
                  <w:r>
                    <w:rPr>
                      <w:rFonts w:hint="eastAsia"/>
                      <w:szCs w:val="21"/>
                    </w:rPr>
                    <w:t>喷塑粉尘</w:t>
                  </w:r>
                </w:p>
              </w:tc>
              <w:tc>
                <w:tcPr>
                  <w:tcW w:w="802" w:type="dxa"/>
                  <w:vAlign w:val="center"/>
                </w:tcPr>
                <w:p w14:paraId="66A90D74">
                  <w:pPr>
                    <w:autoSpaceDE w:val="0"/>
                    <w:adjustRightInd w:val="0"/>
                    <w:spacing w:beforeLines="20" w:afterLines="20"/>
                    <w:ind w:left="-105" w:leftChars="-50" w:right="-105" w:rightChars="-50"/>
                    <w:contextualSpacing/>
                    <w:jc w:val="center"/>
                    <w:rPr>
                      <w:szCs w:val="21"/>
                    </w:rPr>
                  </w:pPr>
                  <w:r>
                    <w:rPr>
                      <w:rFonts w:hint="eastAsia"/>
                      <w:szCs w:val="21"/>
                    </w:rPr>
                    <w:t>颗粒物</w:t>
                  </w:r>
                </w:p>
              </w:tc>
              <w:tc>
                <w:tcPr>
                  <w:tcW w:w="611" w:type="dxa"/>
                  <w:vAlign w:val="center"/>
                </w:tcPr>
                <w:p w14:paraId="5C07991F">
                  <w:pPr>
                    <w:autoSpaceDE w:val="0"/>
                    <w:adjustRightInd w:val="0"/>
                    <w:spacing w:beforeLines="20" w:afterLines="20"/>
                    <w:ind w:left="-105" w:leftChars="-50" w:right="-105" w:rightChars="-50"/>
                    <w:contextualSpacing/>
                    <w:jc w:val="center"/>
                    <w:rPr>
                      <w:szCs w:val="21"/>
                    </w:rPr>
                  </w:pPr>
                  <w:r>
                    <w:rPr>
                      <w:rFonts w:hint="eastAsia"/>
                      <w:szCs w:val="21"/>
                    </w:rPr>
                    <w:t>有组织</w:t>
                  </w:r>
                </w:p>
              </w:tc>
              <w:tc>
                <w:tcPr>
                  <w:tcW w:w="1588" w:type="dxa"/>
                  <w:vAlign w:val="center"/>
                </w:tcPr>
                <w:p w14:paraId="3859D76E">
                  <w:pPr>
                    <w:autoSpaceDE w:val="0"/>
                    <w:adjustRightInd w:val="0"/>
                    <w:spacing w:beforeLines="20" w:afterLines="20"/>
                    <w:ind w:left="-105" w:leftChars="-50" w:right="-105" w:rightChars="-50"/>
                    <w:contextualSpacing/>
                    <w:jc w:val="center"/>
                    <w:rPr>
                      <w:szCs w:val="21"/>
                    </w:rPr>
                  </w:pPr>
                  <w:r>
                    <w:rPr>
                      <w:rFonts w:hint="eastAsia"/>
                      <w:szCs w:val="21"/>
                      <w:lang w:val="en-US" w:eastAsia="zh-CN"/>
                    </w:rPr>
                    <w:t>旋风除尘+滤芯除尘器+</w:t>
                  </w:r>
                  <w:r>
                    <w:rPr>
                      <w:rFonts w:hint="eastAsia"/>
                      <w:szCs w:val="21"/>
                    </w:rPr>
                    <w:t>集气罩+两级活性炭吸附装置</w:t>
                  </w:r>
                </w:p>
              </w:tc>
              <w:tc>
                <w:tcPr>
                  <w:tcW w:w="899" w:type="dxa"/>
                  <w:vAlign w:val="center"/>
                </w:tcPr>
                <w:p w14:paraId="10840B79">
                  <w:pPr>
                    <w:autoSpaceDE w:val="0"/>
                    <w:adjustRightInd w:val="0"/>
                    <w:spacing w:beforeLines="20" w:afterLines="20"/>
                    <w:ind w:left="-105" w:leftChars="-50" w:right="-105" w:rightChars="-50"/>
                    <w:contextualSpacing/>
                    <w:jc w:val="center"/>
                    <w:rPr>
                      <w:szCs w:val="21"/>
                    </w:rPr>
                  </w:pPr>
                  <w:r>
                    <w:rPr>
                      <w:rFonts w:hint="eastAsia"/>
                      <w:szCs w:val="21"/>
                    </w:rPr>
                    <w:t>是</w:t>
                  </w:r>
                </w:p>
              </w:tc>
              <w:tc>
                <w:tcPr>
                  <w:tcW w:w="749" w:type="dxa"/>
                  <w:vAlign w:val="center"/>
                </w:tcPr>
                <w:p w14:paraId="5BAB4D92">
                  <w:pPr>
                    <w:autoSpaceDE w:val="0"/>
                    <w:adjustRightInd w:val="0"/>
                    <w:spacing w:beforeLines="20" w:afterLines="20"/>
                    <w:ind w:left="-105" w:leftChars="-50" w:right="-105" w:rightChars="-50"/>
                    <w:contextualSpacing/>
                    <w:jc w:val="center"/>
                    <w:rPr>
                      <w:szCs w:val="21"/>
                    </w:rPr>
                  </w:pPr>
                  <w:r>
                    <w:rPr>
                      <w:rFonts w:hint="eastAsia"/>
                      <w:szCs w:val="21"/>
                    </w:rPr>
                    <w:t>DA002</w:t>
                  </w:r>
                </w:p>
              </w:tc>
              <w:tc>
                <w:tcPr>
                  <w:tcW w:w="2059" w:type="dxa"/>
                  <w:vAlign w:val="center"/>
                </w:tcPr>
                <w:p w14:paraId="19CA1E33">
                  <w:pPr>
                    <w:autoSpaceDE w:val="0"/>
                    <w:adjustRightInd w:val="0"/>
                    <w:spacing w:beforeLines="20" w:afterLines="20"/>
                    <w:ind w:left="-105" w:leftChars="-50" w:right="-105" w:rightChars="-50"/>
                    <w:contextualSpacing/>
                    <w:jc w:val="center"/>
                    <w:rPr>
                      <w:bCs/>
                      <w:szCs w:val="21"/>
                    </w:rPr>
                  </w:pPr>
                  <w:r>
                    <w:rPr>
                      <w:rFonts w:hint="eastAsia"/>
                      <w:bCs/>
                      <w:szCs w:val="21"/>
                    </w:rPr>
                    <w:t>GB31572-2015</w:t>
                  </w:r>
                </w:p>
              </w:tc>
            </w:tr>
            <w:tr w14:paraId="383A7959">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jc w:val="center"/>
              </w:trPr>
              <w:tc>
                <w:tcPr>
                  <w:tcW w:w="578" w:type="dxa"/>
                  <w:vAlign w:val="center"/>
                </w:tcPr>
                <w:p w14:paraId="53809907">
                  <w:pPr>
                    <w:autoSpaceDE w:val="0"/>
                    <w:adjustRightInd w:val="0"/>
                    <w:spacing w:beforeLines="20" w:afterLines="20"/>
                    <w:ind w:left="-105" w:leftChars="-50" w:right="-105" w:rightChars="-50"/>
                    <w:contextualSpacing/>
                    <w:jc w:val="center"/>
                    <w:rPr>
                      <w:szCs w:val="21"/>
                    </w:rPr>
                  </w:pPr>
                  <w:r>
                    <w:rPr>
                      <w:rFonts w:hint="eastAsia"/>
                      <w:szCs w:val="21"/>
                    </w:rPr>
                    <w:t>生产</w:t>
                  </w:r>
                </w:p>
                <w:p w14:paraId="0A65D816">
                  <w:pPr>
                    <w:autoSpaceDE w:val="0"/>
                    <w:adjustRightInd w:val="0"/>
                    <w:spacing w:beforeLines="20" w:afterLines="20"/>
                    <w:ind w:left="-105" w:leftChars="-50" w:right="-105" w:rightChars="-50"/>
                    <w:contextualSpacing/>
                    <w:jc w:val="center"/>
                    <w:rPr>
                      <w:szCs w:val="21"/>
                    </w:rPr>
                  </w:pPr>
                  <w:r>
                    <w:rPr>
                      <w:rFonts w:hint="eastAsia"/>
                      <w:szCs w:val="21"/>
                    </w:rPr>
                    <w:t>车间</w:t>
                  </w:r>
                </w:p>
              </w:tc>
              <w:tc>
                <w:tcPr>
                  <w:tcW w:w="991" w:type="dxa"/>
                  <w:vAlign w:val="center"/>
                </w:tcPr>
                <w:p w14:paraId="6E675975">
                  <w:pPr>
                    <w:autoSpaceDE w:val="0"/>
                    <w:adjustRightInd w:val="0"/>
                    <w:spacing w:beforeLines="20" w:afterLines="20"/>
                    <w:ind w:left="-105" w:leftChars="-50" w:right="-105" w:rightChars="-50"/>
                    <w:contextualSpacing/>
                    <w:jc w:val="center"/>
                    <w:rPr>
                      <w:szCs w:val="21"/>
                    </w:rPr>
                  </w:pPr>
                  <w:r>
                    <w:rPr>
                      <w:rFonts w:hint="eastAsia"/>
                      <w:szCs w:val="21"/>
                    </w:rPr>
                    <w:t>天然气燃烧机废气</w:t>
                  </w:r>
                </w:p>
              </w:tc>
              <w:tc>
                <w:tcPr>
                  <w:tcW w:w="802" w:type="dxa"/>
                  <w:vAlign w:val="center"/>
                </w:tcPr>
                <w:p w14:paraId="43356AD7">
                  <w:pPr>
                    <w:autoSpaceDE w:val="0"/>
                    <w:adjustRightInd w:val="0"/>
                    <w:spacing w:beforeLines="20" w:afterLines="20"/>
                    <w:ind w:left="-105" w:leftChars="-50" w:right="-105" w:rightChars="-50"/>
                    <w:contextualSpacing/>
                    <w:jc w:val="center"/>
                    <w:rPr>
                      <w:szCs w:val="21"/>
                    </w:rPr>
                  </w:pPr>
                  <w:r>
                    <w:rPr>
                      <w:rFonts w:hint="eastAsia"/>
                      <w:szCs w:val="21"/>
                    </w:rPr>
                    <w:t>SO</w:t>
                  </w:r>
                  <w:r>
                    <w:rPr>
                      <w:rFonts w:hint="eastAsia"/>
                      <w:szCs w:val="21"/>
                      <w:vertAlign w:val="subscript"/>
                    </w:rPr>
                    <w:t>2</w:t>
                  </w:r>
                  <w:r>
                    <w:rPr>
                      <w:rFonts w:hint="eastAsia"/>
                      <w:szCs w:val="21"/>
                    </w:rPr>
                    <w:t>、NO</w:t>
                  </w:r>
                  <w:r>
                    <w:rPr>
                      <w:rFonts w:hint="eastAsia"/>
                      <w:szCs w:val="21"/>
                      <w:vertAlign w:val="subscript"/>
                    </w:rPr>
                    <w:t>X</w:t>
                  </w:r>
                </w:p>
              </w:tc>
              <w:tc>
                <w:tcPr>
                  <w:tcW w:w="611" w:type="dxa"/>
                  <w:vAlign w:val="center"/>
                </w:tcPr>
                <w:p w14:paraId="6B51FBEE">
                  <w:pPr>
                    <w:autoSpaceDE w:val="0"/>
                    <w:adjustRightInd w:val="0"/>
                    <w:spacing w:beforeLines="20" w:afterLines="20"/>
                    <w:ind w:left="-105" w:leftChars="-50" w:right="-105" w:rightChars="-50"/>
                    <w:contextualSpacing/>
                    <w:jc w:val="center"/>
                    <w:rPr>
                      <w:szCs w:val="21"/>
                    </w:rPr>
                  </w:pPr>
                  <w:r>
                    <w:rPr>
                      <w:rFonts w:hint="eastAsia"/>
                      <w:szCs w:val="21"/>
                    </w:rPr>
                    <w:t>有组织</w:t>
                  </w:r>
                </w:p>
              </w:tc>
              <w:tc>
                <w:tcPr>
                  <w:tcW w:w="1588" w:type="dxa"/>
                  <w:vAlign w:val="center"/>
                </w:tcPr>
                <w:p w14:paraId="51D6B52C">
                  <w:pPr>
                    <w:autoSpaceDE w:val="0"/>
                    <w:adjustRightInd w:val="0"/>
                    <w:spacing w:beforeLines="20" w:afterLines="20"/>
                    <w:ind w:left="-105" w:leftChars="-50" w:right="-105" w:rightChars="-50"/>
                    <w:contextualSpacing/>
                    <w:jc w:val="center"/>
                    <w:rPr>
                      <w:szCs w:val="21"/>
                    </w:rPr>
                  </w:pPr>
                  <w:r>
                    <w:rPr>
                      <w:rFonts w:hint="eastAsia"/>
                      <w:szCs w:val="21"/>
                    </w:rPr>
                    <w:t>排气管+排气筒</w:t>
                  </w:r>
                </w:p>
              </w:tc>
              <w:tc>
                <w:tcPr>
                  <w:tcW w:w="899" w:type="dxa"/>
                  <w:vAlign w:val="center"/>
                </w:tcPr>
                <w:p w14:paraId="718732FF">
                  <w:pPr>
                    <w:autoSpaceDE w:val="0"/>
                    <w:adjustRightInd w:val="0"/>
                    <w:spacing w:beforeLines="20" w:afterLines="20"/>
                    <w:ind w:left="-105" w:leftChars="-50" w:right="-105" w:rightChars="-50"/>
                    <w:contextualSpacing/>
                    <w:jc w:val="center"/>
                    <w:rPr>
                      <w:szCs w:val="21"/>
                    </w:rPr>
                  </w:pPr>
                  <w:r>
                    <w:rPr>
                      <w:rFonts w:hint="eastAsia"/>
                      <w:szCs w:val="21"/>
                    </w:rPr>
                    <w:t>是</w:t>
                  </w:r>
                </w:p>
              </w:tc>
              <w:tc>
                <w:tcPr>
                  <w:tcW w:w="749" w:type="dxa"/>
                  <w:vAlign w:val="center"/>
                </w:tcPr>
                <w:p w14:paraId="04468D39">
                  <w:pPr>
                    <w:autoSpaceDE w:val="0"/>
                    <w:adjustRightInd w:val="0"/>
                    <w:spacing w:beforeLines="20" w:afterLines="20"/>
                    <w:ind w:left="-105" w:leftChars="-50" w:right="-105" w:rightChars="-50"/>
                    <w:contextualSpacing/>
                    <w:jc w:val="center"/>
                    <w:rPr>
                      <w:szCs w:val="21"/>
                    </w:rPr>
                  </w:pPr>
                  <w:r>
                    <w:rPr>
                      <w:rFonts w:hint="eastAsia"/>
                      <w:szCs w:val="21"/>
                    </w:rPr>
                    <w:t>DA003</w:t>
                  </w:r>
                </w:p>
              </w:tc>
              <w:tc>
                <w:tcPr>
                  <w:tcW w:w="2059" w:type="dxa"/>
                  <w:vAlign w:val="center"/>
                </w:tcPr>
                <w:p w14:paraId="5A5AA4E7">
                  <w:pPr>
                    <w:jc w:val="center"/>
                    <w:rPr>
                      <w:rFonts w:hint="default" w:eastAsia="宋体"/>
                      <w:bCs/>
                      <w:szCs w:val="21"/>
                      <w:lang w:val="en-US" w:eastAsia="zh-CN"/>
                    </w:rPr>
                  </w:pPr>
                  <w:r>
                    <w:rPr>
                      <w:rFonts w:hint="eastAsia"/>
                      <w:bCs/>
                      <w:szCs w:val="21"/>
                      <w:lang w:val="en-US" w:eastAsia="zh-CN"/>
                    </w:rPr>
                    <w:t>DB43/3082-2024</w:t>
                  </w:r>
                </w:p>
              </w:tc>
            </w:tr>
          </w:tbl>
          <w:p w14:paraId="1341BF05">
            <w:pPr>
              <w:snapToGrid w:val="0"/>
              <w:spacing w:line="360" w:lineRule="auto"/>
              <w:ind w:firstLine="482" w:firstLineChars="200"/>
              <w:rPr>
                <w:b/>
                <w:bCs/>
                <w:sz w:val="24"/>
              </w:rPr>
            </w:pPr>
            <w:r>
              <w:rPr>
                <w:b/>
                <w:bCs/>
                <w:sz w:val="24"/>
              </w:rPr>
              <w:t>4</w:t>
            </w:r>
            <w:r>
              <w:rPr>
                <w:rFonts w:hint="eastAsia"/>
                <w:b/>
                <w:bCs/>
                <w:sz w:val="24"/>
              </w:rPr>
              <w:t>.1.5</w:t>
            </w:r>
            <w:r>
              <w:rPr>
                <w:b/>
                <w:bCs/>
                <w:sz w:val="24"/>
              </w:rPr>
              <w:t>、非正常工况废气排放</w:t>
            </w:r>
          </w:p>
          <w:p w14:paraId="2B0E7258">
            <w:pPr>
              <w:spacing w:line="360" w:lineRule="auto"/>
              <w:ind w:firstLine="480" w:firstLineChars="200"/>
              <w:jc w:val="left"/>
              <w:rPr>
                <w:b/>
                <w:bCs/>
                <w:sz w:val="24"/>
              </w:rPr>
            </w:pPr>
            <w:r>
              <w:rPr>
                <w:sz w:val="24"/>
              </w:rPr>
              <w:t>本项目非正常工况主要是生产管理不善或其他原因（如废气处理装置故障等）导致废气非正常排放，发生故障时处理设施的处理效率为0，本项目废气污染物非正常排放情况见表</w:t>
            </w:r>
            <w:r>
              <w:rPr>
                <w:rFonts w:hint="eastAsia"/>
                <w:sz w:val="24"/>
              </w:rPr>
              <w:t>4-8</w:t>
            </w:r>
            <w:r>
              <w:rPr>
                <w:sz w:val="24"/>
              </w:rPr>
              <w:t>。</w:t>
            </w:r>
          </w:p>
          <w:p w14:paraId="764156F6">
            <w:pPr>
              <w:jc w:val="center"/>
              <w:rPr>
                <w:b/>
                <w:bCs/>
                <w:sz w:val="24"/>
              </w:rPr>
            </w:pPr>
            <w:r>
              <w:rPr>
                <w:rFonts w:hint="eastAsia"/>
                <w:b/>
                <w:bCs/>
                <w:sz w:val="24"/>
              </w:rPr>
              <w:t>表4-8  项目废气污染源强非正常排放情况</w:t>
            </w:r>
          </w:p>
          <w:tbl>
            <w:tblPr>
              <w:tblStyle w:val="36"/>
              <w:tblW w:w="8277"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51"/>
              <w:gridCol w:w="1234"/>
              <w:gridCol w:w="943"/>
              <w:gridCol w:w="1178"/>
              <w:gridCol w:w="958"/>
              <w:gridCol w:w="757"/>
              <w:gridCol w:w="890"/>
              <w:gridCol w:w="1466"/>
            </w:tblGrid>
            <w:tr w14:paraId="70F420F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vAlign w:val="center"/>
                </w:tcPr>
                <w:p w14:paraId="66E97B2D">
                  <w:pPr>
                    <w:snapToGrid w:val="0"/>
                    <w:jc w:val="center"/>
                    <w:rPr>
                      <w:szCs w:val="21"/>
                    </w:rPr>
                  </w:pPr>
                  <w:r>
                    <w:rPr>
                      <w:szCs w:val="21"/>
                    </w:rPr>
                    <w:t>污染源</w:t>
                  </w:r>
                </w:p>
              </w:tc>
              <w:tc>
                <w:tcPr>
                  <w:tcW w:w="1234" w:type="dxa"/>
                  <w:vAlign w:val="center"/>
                </w:tcPr>
                <w:p w14:paraId="685D9A56">
                  <w:pPr>
                    <w:snapToGrid w:val="0"/>
                    <w:jc w:val="center"/>
                    <w:rPr>
                      <w:szCs w:val="21"/>
                    </w:rPr>
                  </w:pPr>
                  <w:r>
                    <w:rPr>
                      <w:szCs w:val="21"/>
                    </w:rPr>
                    <w:t>非正常排放原因</w:t>
                  </w:r>
                </w:p>
              </w:tc>
              <w:tc>
                <w:tcPr>
                  <w:tcW w:w="943" w:type="dxa"/>
                  <w:vAlign w:val="center"/>
                </w:tcPr>
                <w:p w14:paraId="433B2524">
                  <w:pPr>
                    <w:snapToGrid w:val="0"/>
                    <w:jc w:val="center"/>
                    <w:rPr>
                      <w:szCs w:val="21"/>
                    </w:rPr>
                  </w:pPr>
                  <w:r>
                    <w:rPr>
                      <w:szCs w:val="21"/>
                    </w:rPr>
                    <w:t>污染物</w:t>
                  </w:r>
                </w:p>
              </w:tc>
              <w:tc>
                <w:tcPr>
                  <w:tcW w:w="1178" w:type="dxa"/>
                  <w:vAlign w:val="center"/>
                </w:tcPr>
                <w:p w14:paraId="1744DE14">
                  <w:pPr>
                    <w:snapToGrid w:val="0"/>
                    <w:jc w:val="center"/>
                    <w:rPr>
                      <w:szCs w:val="21"/>
                    </w:rPr>
                  </w:pPr>
                  <w:r>
                    <w:rPr>
                      <w:szCs w:val="21"/>
                    </w:rPr>
                    <w:t>非正常排放浓度</w:t>
                  </w:r>
                  <w:r>
                    <w:rPr>
                      <w:spacing w:val="4"/>
                      <w:szCs w:val="21"/>
                    </w:rPr>
                    <w:t>mg/m</w:t>
                  </w:r>
                  <w:r>
                    <w:rPr>
                      <w:spacing w:val="4"/>
                      <w:szCs w:val="21"/>
                      <w:vertAlign w:val="superscript"/>
                    </w:rPr>
                    <w:t>3</w:t>
                  </w:r>
                </w:p>
              </w:tc>
              <w:tc>
                <w:tcPr>
                  <w:tcW w:w="958" w:type="dxa"/>
                  <w:vAlign w:val="center"/>
                </w:tcPr>
                <w:p w14:paraId="046870E0">
                  <w:pPr>
                    <w:ind w:left="-105" w:leftChars="-50" w:right="-105" w:rightChars="-50"/>
                    <w:jc w:val="center"/>
                    <w:rPr>
                      <w:szCs w:val="21"/>
                    </w:rPr>
                  </w:pPr>
                  <w:r>
                    <w:rPr>
                      <w:szCs w:val="21"/>
                    </w:rPr>
                    <w:t>非正常排放速率（kg/h）</w:t>
                  </w:r>
                </w:p>
              </w:tc>
              <w:tc>
                <w:tcPr>
                  <w:tcW w:w="757" w:type="dxa"/>
                  <w:vAlign w:val="center"/>
                </w:tcPr>
                <w:p w14:paraId="4E0E9B3D">
                  <w:pPr>
                    <w:snapToGrid w:val="0"/>
                    <w:jc w:val="center"/>
                    <w:rPr>
                      <w:szCs w:val="21"/>
                    </w:rPr>
                  </w:pPr>
                  <w:r>
                    <w:rPr>
                      <w:szCs w:val="21"/>
                    </w:rPr>
                    <w:t>单次持续时间</w:t>
                  </w:r>
                </w:p>
              </w:tc>
              <w:tc>
                <w:tcPr>
                  <w:tcW w:w="890" w:type="dxa"/>
                  <w:vAlign w:val="center"/>
                </w:tcPr>
                <w:p w14:paraId="5F5613A0">
                  <w:pPr>
                    <w:snapToGrid w:val="0"/>
                    <w:jc w:val="center"/>
                    <w:rPr>
                      <w:szCs w:val="21"/>
                    </w:rPr>
                  </w:pPr>
                  <w:r>
                    <w:rPr>
                      <w:szCs w:val="21"/>
                    </w:rPr>
                    <w:t>年发生频次</w:t>
                  </w:r>
                </w:p>
              </w:tc>
              <w:tc>
                <w:tcPr>
                  <w:tcW w:w="1466" w:type="dxa"/>
                  <w:vAlign w:val="center"/>
                </w:tcPr>
                <w:p w14:paraId="20B017C9">
                  <w:pPr>
                    <w:snapToGrid w:val="0"/>
                    <w:jc w:val="center"/>
                    <w:rPr>
                      <w:szCs w:val="21"/>
                    </w:rPr>
                  </w:pPr>
                  <w:r>
                    <w:rPr>
                      <w:szCs w:val="21"/>
                    </w:rPr>
                    <w:t>应对措施</w:t>
                  </w:r>
                </w:p>
              </w:tc>
            </w:tr>
            <w:tr w14:paraId="524C823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51" w:type="dxa"/>
                  <w:vAlign w:val="center"/>
                </w:tcPr>
                <w:p w14:paraId="01C28A39">
                  <w:pPr>
                    <w:jc w:val="center"/>
                  </w:pPr>
                  <w:r>
                    <w:rPr>
                      <w:rFonts w:hint="eastAsia"/>
                    </w:rPr>
                    <w:t>DA001</w:t>
                  </w:r>
                </w:p>
              </w:tc>
              <w:tc>
                <w:tcPr>
                  <w:tcW w:w="1234" w:type="dxa"/>
                  <w:vAlign w:val="center"/>
                </w:tcPr>
                <w:p w14:paraId="0DA1DF0C">
                  <w:pPr>
                    <w:snapToGrid w:val="0"/>
                    <w:jc w:val="center"/>
                    <w:rPr>
                      <w:szCs w:val="21"/>
                    </w:rPr>
                  </w:pPr>
                  <w:r>
                    <w:rPr>
                      <w:rFonts w:hint="eastAsia"/>
                      <w:szCs w:val="21"/>
                    </w:rPr>
                    <w:t>集气罩+两级活性炭吸附装置</w:t>
                  </w:r>
                </w:p>
              </w:tc>
              <w:tc>
                <w:tcPr>
                  <w:tcW w:w="943" w:type="dxa"/>
                  <w:vAlign w:val="center"/>
                </w:tcPr>
                <w:p w14:paraId="4EF36FE4">
                  <w:pPr>
                    <w:pStyle w:val="152"/>
                    <w:spacing w:before="24" w:after="24"/>
                    <w:rPr>
                      <w:szCs w:val="21"/>
                    </w:rPr>
                  </w:pPr>
                  <w:r>
                    <w:rPr>
                      <w:rFonts w:hint="eastAsia" w:ascii="Times New Roman"/>
                      <w:szCs w:val="21"/>
                    </w:rPr>
                    <w:t>非甲烷总烃</w:t>
                  </w:r>
                </w:p>
              </w:tc>
              <w:tc>
                <w:tcPr>
                  <w:tcW w:w="1178" w:type="dxa"/>
                  <w:vAlign w:val="center"/>
                </w:tcPr>
                <w:p w14:paraId="58FDFFC3">
                  <w:pPr>
                    <w:widowControl/>
                    <w:jc w:val="center"/>
                    <w:textAlignment w:val="center"/>
                    <w:rPr>
                      <w:rFonts w:hint="default"/>
                      <w:color w:val="000000"/>
                      <w:kern w:val="0"/>
                      <w:sz w:val="22"/>
                      <w:szCs w:val="22"/>
                      <w:lang w:val="en-US"/>
                    </w:rPr>
                  </w:pPr>
                  <w:r>
                    <w:rPr>
                      <w:rFonts w:hint="eastAsia"/>
                      <w:color w:val="000000"/>
                      <w:kern w:val="0"/>
                      <w:sz w:val="22"/>
                      <w:szCs w:val="22"/>
                    </w:rPr>
                    <w:t>0.0</w:t>
                  </w:r>
                  <w:r>
                    <w:rPr>
                      <w:rFonts w:hint="eastAsia"/>
                      <w:color w:val="000000"/>
                      <w:kern w:val="0"/>
                      <w:sz w:val="22"/>
                      <w:szCs w:val="22"/>
                      <w:lang w:val="en-US" w:eastAsia="zh-CN"/>
                    </w:rPr>
                    <w:t>32</w:t>
                  </w:r>
                </w:p>
              </w:tc>
              <w:tc>
                <w:tcPr>
                  <w:tcW w:w="958" w:type="dxa"/>
                  <w:vAlign w:val="center"/>
                </w:tcPr>
                <w:p w14:paraId="7B469C54">
                  <w:pPr>
                    <w:widowControl/>
                    <w:jc w:val="center"/>
                    <w:textAlignment w:val="center"/>
                    <w:rPr>
                      <w:rFonts w:hint="default" w:eastAsia="宋体"/>
                      <w:color w:val="000000"/>
                      <w:kern w:val="0"/>
                      <w:sz w:val="22"/>
                      <w:szCs w:val="22"/>
                      <w:lang w:val="en-US" w:eastAsia="zh-CN"/>
                    </w:rPr>
                  </w:pPr>
                  <w:r>
                    <w:rPr>
                      <w:rFonts w:hint="eastAsia"/>
                      <w:color w:val="000000"/>
                      <w:kern w:val="0"/>
                      <w:sz w:val="22"/>
                      <w:szCs w:val="22"/>
                    </w:rPr>
                    <w:t>0.</w:t>
                  </w:r>
                  <w:r>
                    <w:rPr>
                      <w:rFonts w:hint="eastAsia"/>
                      <w:color w:val="000000"/>
                      <w:kern w:val="0"/>
                      <w:sz w:val="22"/>
                      <w:szCs w:val="22"/>
                      <w:lang w:val="en-US" w:eastAsia="zh-CN"/>
                    </w:rPr>
                    <w:t>54</w:t>
                  </w:r>
                </w:p>
              </w:tc>
              <w:tc>
                <w:tcPr>
                  <w:tcW w:w="757" w:type="dxa"/>
                  <w:vAlign w:val="center"/>
                </w:tcPr>
                <w:p w14:paraId="04C56A45">
                  <w:pPr>
                    <w:snapToGrid w:val="0"/>
                    <w:jc w:val="center"/>
                    <w:rPr>
                      <w:szCs w:val="21"/>
                    </w:rPr>
                  </w:pPr>
                  <w:r>
                    <w:rPr>
                      <w:rFonts w:hint="eastAsia"/>
                      <w:szCs w:val="21"/>
                    </w:rPr>
                    <w:t>1</w:t>
                  </w:r>
                  <w:r>
                    <w:rPr>
                      <w:szCs w:val="21"/>
                    </w:rPr>
                    <w:t>h</w:t>
                  </w:r>
                </w:p>
              </w:tc>
              <w:tc>
                <w:tcPr>
                  <w:tcW w:w="890" w:type="dxa"/>
                  <w:vAlign w:val="center"/>
                </w:tcPr>
                <w:p w14:paraId="74E802E5">
                  <w:pPr>
                    <w:snapToGrid w:val="0"/>
                    <w:jc w:val="center"/>
                    <w:rPr>
                      <w:szCs w:val="21"/>
                    </w:rPr>
                  </w:pPr>
                  <w:r>
                    <w:rPr>
                      <w:szCs w:val="21"/>
                    </w:rPr>
                    <w:t>1</w:t>
                  </w:r>
                </w:p>
              </w:tc>
              <w:tc>
                <w:tcPr>
                  <w:tcW w:w="1466" w:type="dxa"/>
                  <w:vAlign w:val="center"/>
                </w:tcPr>
                <w:p w14:paraId="4FEDFB37">
                  <w:pPr>
                    <w:snapToGrid w:val="0"/>
                    <w:rPr>
                      <w:szCs w:val="21"/>
                    </w:rPr>
                  </w:pPr>
                  <w:r>
                    <w:rPr>
                      <w:szCs w:val="21"/>
                    </w:rPr>
                    <w:t>关停对应生产设施，</w:t>
                  </w:r>
                  <w:r>
                    <w:rPr>
                      <w:rFonts w:hint="eastAsia"/>
                      <w:szCs w:val="21"/>
                    </w:rPr>
                    <w:t>及时维修</w:t>
                  </w:r>
                </w:p>
              </w:tc>
            </w:tr>
          </w:tbl>
          <w:p w14:paraId="24AE3EBF">
            <w:pPr>
              <w:snapToGrid w:val="0"/>
              <w:spacing w:line="360" w:lineRule="auto"/>
              <w:ind w:firstLine="480" w:firstLineChars="200"/>
              <w:rPr>
                <w:sz w:val="24"/>
              </w:rPr>
            </w:pPr>
            <w:r>
              <w:rPr>
                <w:sz w:val="24"/>
              </w:rPr>
              <w:t>正常排放下的污染物对环境空气影响较正常时明显增加，对周边环境有一定影响，因此，要求企业必须做好污染治理设施的日常维护与事故性排放的防护措施，避免事故排放的发生，一旦发生事故时，能及时维修并采取相应的防护措施，将污染影响降到最小，建议建设单位做好以下防范工作：</w:t>
            </w:r>
          </w:p>
          <w:p w14:paraId="09CF45DD">
            <w:pPr>
              <w:snapToGrid w:val="0"/>
              <w:spacing w:line="360" w:lineRule="auto"/>
              <w:ind w:firstLine="480" w:firstLineChars="200"/>
              <w:rPr>
                <w:sz w:val="24"/>
              </w:rPr>
            </w:pPr>
            <w:r>
              <w:rPr>
                <w:sz w:val="24"/>
              </w:rPr>
              <w:t>①平时注意废气处理设施的维护，及时发现处理设施的隐患，确保废气处理系统正常运行；开、停、检修要有预案，有严密周全的计划，确保不发生非正常排放，或使影响最小。</w:t>
            </w:r>
          </w:p>
          <w:p w14:paraId="5CE1C5F4">
            <w:pPr>
              <w:snapToGrid w:val="0"/>
              <w:spacing w:line="360" w:lineRule="auto"/>
              <w:ind w:firstLine="480" w:firstLineChars="200"/>
              <w:rPr>
                <w:sz w:val="24"/>
              </w:rPr>
            </w:pPr>
            <w:r>
              <w:rPr>
                <w:sz w:val="24"/>
              </w:rPr>
              <w:t>②应设有备用电源和备用处理设备和零件，以备停电或设备出现故障时保障及时更换使废气做到达标排放。</w:t>
            </w:r>
          </w:p>
          <w:p w14:paraId="59CB9925">
            <w:pPr>
              <w:snapToGrid w:val="0"/>
              <w:spacing w:line="360" w:lineRule="auto"/>
              <w:ind w:firstLine="480" w:firstLineChars="200"/>
              <w:rPr>
                <w:sz w:val="24"/>
              </w:rPr>
            </w:pPr>
            <w:r>
              <w:rPr>
                <w:sz w:val="24"/>
              </w:rPr>
              <w:t>③对员工进行岗位培训，做好值班记录，实行岗位责任制。</w:t>
            </w:r>
          </w:p>
          <w:p w14:paraId="44CB083B">
            <w:pPr>
              <w:snapToGrid w:val="0"/>
              <w:spacing w:line="360" w:lineRule="auto"/>
              <w:ind w:firstLine="482" w:firstLineChars="200"/>
              <w:rPr>
                <w:b/>
                <w:sz w:val="24"/>
              </w:rPr>
            </w:pPr>
            <w:r>
              <w:rPr>
                <w:rFonts w:hint="eastAsia"/>
                <w:b/>
                <w:sz w:val="24"/>
              </w:rPr>
              <w:t>4.1.</w:t>
            </w:r>
            <w:r>
              <w:rPr>
                <w:b/>
                <w:sz w:val="24"/>
              </w:rPr>
              <w:t>6、</w:t>
            </w:r>
            <w:r>
              <w:rPr>
                <w:rFonts w:hint="eastAsia"/>
                <w:b/>
                <w:sz w:val="24"/>
              </w:rPr>
              <w:t>排污许可自行监测计划</w:t>
            </w:r>
          </w:p>
          <w:p w14:paraId="6A2933F1">
            <w:pPr>
              <w:snapToGrid w:val="0"/>
              <w:spacing w:line="360" w:lineRule="auto"/>
              <w:ind w:firstLine="480" w:firstLineChars="200"/>
              <w:rPr>
                <w:bCs/>
                <w:sz w:val="24"/>
              </w:rPr>
            </w:pPr>
            <w:r>
              <w:rPr>
                <w:rFonts w:hint="eastAsia"/>
                <w:sz w:val="24"/>
              </w:rPr>
              <w:t>根据《排污单位自行监测技术指南总则》（</w:t>
            </w:r>
            <w:r>
              <w:rPr>
                <w:sz w:val="24"/>
              </w:rPr>
              <w:t>HJ819-2017</w:t>
            </w:r>
            <w:r>
              <w:rPr>
                <w:rFonts w:hint="eastAsia"/>
                <w:sz w:val="24"/>
              </w:rPr>
              <w:t>）及《固定污染源排污许可分类管理名录》（</w:t>
            </w:r>
            <w:r>
              <w:rPr>
                <w:sz w:val="24"/>
              </w:rPr>
              <w:t xml:space="preserve">2019 </w:t>
            </w:r>
            <w:r>
              <w:rPr>
                <w:rFonts w:hint="eastAsia"/>
                <w:sz w:val="24"/>
              </w:rPr>
              <w:t>年版），本项目排污许可证等级属于简化管理，结合项目运营期间污染物排放特点，制定本项目的污染源监测计划，建设单位需保证按监测计划实施。监测分析方法按照现行国家、部颁标准和有关规定执行。本项目自行监测计划见表</w:t>
            </w:r>
            <w:r>
              <w:rPr>
                <w:sz w:val="24"/>
              </w:rPr>
              <w:t>4-</w:t>
            </w:r>
            <w:r>
              <w:rPr>
                <w:rFonts w:hint="eastAsia"/>
                <w:sz w:val="24"/>
              </w:rPr>
              <w:t>9，表4-10</w:t>
            </w:r>
            <w:r>
              <w:rPr>
                <w:bCs/>
                <w:sz w:val="24"/>
              </w:rPr>
              <w:t>。</w:t>
            </w:r>
          </w:p>
          <w:p w14:paraId="457FB582">
            <w:pPr>
              <w:pStyle w:val="2"/>
              <w:spacing w:line="240" w:lineRule="auto"/>
              <w:ind w:firstLine="482"/>
              <w:jc w:val="center"/>
              <w:rPr>
                <w:rFonts w:ascii="Times New Roman"/>
                <w:b/>
                <w:color w:val="auto"/>
              </w:rPr>
            </w:pPr>
            <w:r>
              <w:rPr>
                <w:rFonts w:ascii="Times New Roman"/>
                <w:b/>
                <w:color w:val="auto"/>
              </w:rPr>
              <w:t>表4-</w:t>
            </w:r>
            <w:r>
              <w:rPr>
                <w:rFonts w:hint="eastAsia" w:ascii="Times New Roman"/>
                <w:b/>
                <w:color w:val="auto"/>
              </w:rPr>
              <w:t xml:space="preserve">9   </w:t>
            </w:r>
            <w:r>
              <w:rPr>
                <w:rFonts w:ascii="Times New Roman"/>
                <w:b/>
                <w:color w:val="auto"/>
              </w:rPr>
              <w:t xml:space="preserve"> 本项目有组织废气监测计划</w:t>
            </w:r>
          </w:p>
          <w:tbl>
            <w:tblPr>
              <w:tblStyle w:val="36"/>
              <w:tblW w:w="8277"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769"/>
              <w:gridCol w:w="1081"/>
              <w:gridCol w:w="1238"/>
              <w:gridCol w:w="4189"/>
            </w:tblGrid>
            <w:tr w14:paraId="308589E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1769" w:type="dxa"/>
                  <w:vAlign w:val="center"/>
                </w:tcPr>
                <w:p w14:paraId="36305186">
                  <w:pPr>
                    <w:pStyle w:val="82"/>
                    <w:spacing w:before="0" w:after="0"/>
                    <w:ind w:right="0"/>
                    <w:jc w:val="center"/>
                    <w:rPr>
                      <w:szCs w:val="21"/>
                    </w:rPr>
                  </w:pPr>
                  <w:r>
                    <w:rPr>
                      <w:szCs w:val="21"/>
                    </w:rPr>
                    <w:t>监测点位</w:t>
                  </w:r>
                </w:p>
              </w:tc>
              <w:tc>
                <w:tcPr>
                  <w:tcW w:w="1081" w:type="dxa"/>
                  <w:tcBorders>
                    <w:bottom w:val="single" w:color="auto" w:sz="2" w:space="0"/>
                  </w:tcBorders>
                  <w:vAlign w:val="center"/>
                </w:tcPr>
                <w:p w14:paraId="76BC6047">
                  <w:pPr>
                    <w:pStyle w:val="82"/>
                    <w:spacing w:before="0" w:after="0"/>
                    <w:ind w:right="0"/>
                    <w:jc w:val="center"/>
                    <w:rPr>
                      <w:szCs w:val="21"/>
                    </w:rPr>
                  </w:pPr>
                  <w:r>
                    <w:rPr>
                      <w:szCs w:val="21"/>
                    </w:rPr>
                    <w:t>监测因子</w:t>
                  </w:r>
                </w:p>
              </w:tc>
              <w:tc>
                <w:tcPr>
                  <w:tcW w:w="1238" w:type="dxa"/>
                  <w:tcBorders>
                    <w:bottom w:val="single" w:color="auto" w:sz="2" w:space="0"/>
                  </w:tcBorders>
                  <w:vAlign w:val="center"/>
                </w:tcPr>
                <w:p w14:paraId="386013C0">
                  <w:pPr>
                    <w:pStyle w:val="82"/>
                    <w:spacing w:before="0" w:after="0"/>
                    <w:ind w:right="0"/>
                    <w:jc w:val="center"/>
                    <w:rPr>
                      <w:szCs w:val="21"/>
                    </w:rPr>
                  </w:pPr>
                  <w:r>
                    <w:rPr>
                      <w:szCs w:val="21"/>
                    </w:rPr>
                    <w:t>监测频次</w:t>
                  </w:r>
                </w:p>
              </w:tc>
              <w:tc>
                <w:tcPr>
                  <w:tcW w:w="4189" w:type="dxa"/>
                  <w:vAlign w:val="center"/>
                </w:tcPr>
                <w:p w14:paraId="50B0502C">
                  <w:pPr>
                    <w:pStyle w:val="82"/>
                    <w:spacing w:before="0" w:after="0"/>
                    <w:ind w:right="0"/>
                    <w:jc w:val="center"/>
                    <w:rPr>
                      <w:szCs w:val="21"/>
                    </w:rPr>
                  </w:pPr>
                  <w:r>
                    <w:rPr>
                      <w:szCs w:val="21"/>
                    </w:rPr>
                    <w:t>执行标准</w:t>
                  </w:r>
                </w:p>
              </w:tc>
            </w:tr>
            <w:tr w14:paraId="6948D68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9" w:hRule="atLeast"/>
              </w:trPr>
              <w:tc>
                <w:tcPr>
                  <w:tcW w:w="1769" w:type="dxa"/>
                  <w:tcBorders>
                    <w:bottom w:val="single" w:color="auto" w:sz="4" w:space="0"/>
                    <w:right w:val="single" w:color="auto" w:sz="2" w:space="0"/>
                  </w:tcBorders>
                  <w:vAlign w:val="center"/>
                </w:tcPr>
                <w:p w14:paraId="4E5A905E">
                  <w:pPr>
                    <w:widowControl/>
                    <w:tabs>
                      <w:tab w:val="left" w:pos="945"/>
                      <w:tab w:val="right" w:leader="dot" w:pos="1155"/>
                      <w:tab w:val="left" w:pos="8715"/>
                    </w:tabs>
                    <w:adjustRightInd w:val="0"/>
                    <w:snapToGrid w:val="0"/>
                    <w:jc w:val="center"/>
                    <w:textAlignment w:val="baseline"/>
                    <w:rPr>
                      <w:szCs w:val="21"/>
                    </w:rPr>
                  </w:pPr>
                  <w:r>
                    <w:rPr>
                      <w:rFonts w:hint="eastAsia"/>
                      <w:szCs w:val="21"/>
                    </w:rPr>
                    <w:t>注塑</w:t>
                  </w:r>
                  <w:r>
                    <w:rPr>
                      <w:szCs w:val="21"/>
                    </w:rPr>
                    <w:t>废气排气筒</w:t>
                  </w:r>
                  <w:r>
                    <w:rPr>
                      <w:rFonts w:hint="eastAsia"/>
                      <w:szCs w:val="21"/>
                    </w:rPr>
                    <w:t>DA001</w:t>
                  </w:r>
                </w:p>
              </w:tc>
              <w:tc>
                <w:tcPr>
                  <w:tcW w:w="1081" w:type="dxa"/>
                  <w:tcBorders>
                    <w:top w:val="single" w:color="auto" w:sz="2" w:space="0"/>
                    <w:left w:val="single" w:color="auto" w:sz="2" w:space="0"/>
                    <w:bottom w:val="single" w:color="auto" w:sz="4" w:space="0"/>
                    <w:right w:val="single" w:color="auto" w:sz="2" w:space="0"/>
                  </w:tcBorders>
                  <w:vAlign w:val="center"/>
                </w:tcPr>
                <w:p w14:paraId="1F31D038">
                  <w:pPr>
                    <w:widowControl/>
                    <w:tabs>
                      <w:tab w:val="left" w:pos="945"/>
                      <w:tab w:val="right" w:leader="dot" w:pos="1155"/>
                      <w:tab w:val="left" w:pos="8715"/>
                    </w:tabs>
                    <w:adjustRightInd w:val="0"/>
                    <w:snapToGrid w:val="0"/>
                    <w:jc w:val="center"/>
                    <w:textAlignment w:val="baseline"/>
                    <w:rPr>
                      <w:szCs w:val="21"/>
                    </w:rPr>
                  </w:pPr>
                  <w:r>
                    <w:t>非甲烷总烃</w:t>
                  </w:r>
                </w:p>
              </w:tc>
              <w:tc>
                <w:tcPr>
                  <w:tcW w:w="1238" w:type="dxa"/>
                  <w:tcBorders>
                    <w:top w:val="single" w:color="auto" w:sz="2" w:space="0"/>
                    <w:left w:val="single" w:color="auto" w:sz="2" w:space="0"/>
                    <w:bottom w:val="single" w:color="auto" w:sz="4" w:space="0"/>
                    <w:right w:val="single" w:color="auto" w:sz="2" w:space="0"/>
                  </w:tcBorders>
                  <w:vAlign w:val="center"/>
                </w:tcPr>
                <w:p w14:paraId="4A80F6E7">
                  <w:pPr>
                    <w:widowControl/>
                    <w:tabs>
                      <w:tab w:val="left" w:pos="945"/>
                      <w:tab w:val="right" w:leader="dot" w:pos="1155"/>
                      <w:tab w:val="left" w:pos="8715"/>
                    </w:tabs>
                    <w:adjustRightInd w:val="0"/>
                    <w:snapToGrid w:val="0"/>
                    <w:jc w:val="center"/>
                    <w:textAlignment w:val="baseline"/>
                    <w:rPr>
                      <w:szCs w:val="21"/>
                    </w:rPr>
                  </w:pPr>
                  <w:r>
                    <w:rPr>
                      <w:szCs w:val="21"/>
                    </w:rPr>
                    <w:t>1次/年</w:t>
                  </w:r>
                </w:p>
              </w:tc>
              <w:tc>
                <w:tcPr>
                  <w:tcW w:w="4189" w:type="dxa"/>
                  <w:tcBorders>
                    <w:left w:val="single" w:color="auto" w:sz="2" w:space="0"/>
                    <w:bottom w:val="single" w:color="auto" w:sz="4" w:space="0"/>
                  </w:tcBorders>
                  <w:vAlign w:val="center"/>
                </w:tcPr>
                <w:p w14:paraId="7355289F">
                  <w:pPr>
                    <w:pBdr>
                      <w:top w:val="none" w:color="auto" w:sz="0" w:space="1"/>
                      <w:left w:val="none" w:color="auto" w:sz="0" w:space="4"/>
                      <w:bottom w:val="none" w:color="auto" w:sz="0" w:space="1"/>
                      <w:right w:val="none" w:color="auto" w:sz="0" w:space="4"/>
                    </w:pBdr>
                    <w:adjustRightInd w:val="0"/>
                    <w:snapToGrid w:val="0"/>
                    <w:jc w:val="center"/>
                    <w:rPr>
                      <w:snapToGrid w:val="0"/>
                      <w:szCs w:val="21"/>
                    </w:rPr>
                  </w:pPr>
                  <w:r>
                    <w:rPr>
                      <w:rFonts w:hint="eastAsia"/>
                      <w:bCs/>
                      <w:szCs w:val="21"/>
                    </w:rPr>
                    <w:t>《合成树脂工业污染物排放标准》（GB31572-2015）表4大气污染物排放限值</w:t>
                  </w:r>
                </w:p>
              </w:tc>
            </w:tr>
            <w:tr w14:paraId="6B4B62A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5" w:hRule="atLeast"/>
              </w:trPr>
              <w:tc>
                <w:tcPr>
                  <w:tcW w:w="1769" w:type="dxa"/>
                  <w:tcBorders>
                    <w:bottom w:val="single" w:color="auto" w:sz="4" w:space="0"/>
                    <w:right w:val="single" w:color="auto" w:sz="2" w:space="0"/>
                  </w:tcBorders>
                  <w:vAlign w:val="center"/>
                </w:tcPr>
                <w:p w14:paraId="317D633A">
                  <w:pPr>
                    <w:widowControl/>
                    <w:tabs>
                      <w:tab w:val="left" w:pos="945"/>
                      <w:tab w:val="right" w:leader="dot" w:pos="1155"/>
                      <w:tab w:val="left" w:pos="8715"/>
                    </w:tabs>
                    <w:adjustRightInd w:val="0"/>
                    <w:snapToGrid w:val="0"/>
                    <w:jc w:val="center"/>
                    <w:textAlignment w:val="baseline"/>
                    <w:rPr>
                      <w:szCs w:val="21"/>
                    </w:rPr>
                  </w:pPr>
                  <w:r>
                    <w:rPr>
                      <w:rFonts w:hint="eastAsia"/>
                      <w:szCs w:val="21"/>
                    </w:rPr>
                    <w:t>喷塑粉尘排气筒DA002</w:t>
                  </w:r>
                </w:p>
              </w:tc>
              <w:tc>
                <w:tcPr>
                  <w:tcW w:w="1081" w:type="dxa"/>
                  <w:tcBorders>
                    <w:top w:val="single" w:color="auto" w:sz="4" w:space="0"/>
                    <w:left w:val="single" w:color="auto" w:sz="2" w:space="0"/>
                    <w:bottom w:val="single" w:color="auto" w:sz="4" w:space="0"/>
                    <w:right w:val="single" w:color="auto" w:sz="2" w:space="0"/>
                  </w:tcBorders>
                  <w:vAlign w:val="center"/>
                </w:tcPr>
                <w:p w14:paraId="075A3CB0">
                  <w:pPr>
                    <w:widowControl/>
                    <w:tabs>
                      <w:tab w:val="left" w:pos="945"/>
                      <w:tab w:val="right" w:leader="dot" w:pos="1155"/>
                      <w:tab w:val="left" w:pos="8715"/>
                    </w:tabs>
                    <w:adjustRightInd w:val="0"/>
                    <w:snapToGrid w:val="0"/>
                    <w:jc w:val="center"/>
                    <w:textAlignment w:val="baseline"/>
                  </w:pPr>
                  <w:r>
                    <w:rPr>
                      <w:rFonts w:hint="eastAsia"/>
                    </w:rPr>
                    <w:t>颗粒物</w:t>
                  </w:r>
                </w:p>
              </w:tc>
              <w:tc>
                <w:tcPr>
                  <w:tcW w:w="1238" w:type="dxa"/>
                  <w:tcBorders>
                    <w:top w:val="single" w:color="auto" w:sz="4" w:space="0"/>
                    <w:left w:val="single" w:color="auto" w:sz="2" w:space="0"/>
                    <w:bottom w:val="single" w:color="auto" w:sz="4" w:space="0"/>
                    <w:right w:val="single" w:color="auto" w:sz="2" w:space="0"/>
                  </w:tcBorders>
                  <w:vAlign w:val="center"/>
                </w:tcPr>
                <w:p w14:paraId="6AC1084A">
                  <w:pPr>
                    <w:widowControl/>
                    <w:tabs>
                      <w:tab w:val="left" w:pos="945"/>
                      <w:tab w:val="right" w:leader="dot" w:pos="1155"/>
                      <w:tab w:val="left" w:pos="8715"/>
                    </w:tabs>
                    <w:adjustRightInd w:val="0"/>
                    <w:snapToGrid w:val="0"/>
                    <w:jc w:val="center"/>
                    <w:textAlignment w:val="baseline"/>
                    <w:rPr>
                      <w:szCs w:val="21"/>
                    </w:rPr>
                  </w:pPr>
                  <w:r>
                    <w:rPr>
                      <w:szCs w:val="21"/>
                    </w:rPr>
                    <w:t>1次/年</w:t>
                  </w:r>
                </w:p>
              </w:tc>
              <w:tc>
                <w:tcPr>
                  <w:tcW w:w="4189" w:type="dxa"/>
                  <w:tcBorders>
                    <w:left w:val="single" w:color="auto" w:sz="2" w:space="0"/>
                    <w:bottom w:val="single" w:color="auto" w:sz="4" w:space="0"/>
                  </w:tcBorders>
                  <w:vAlign w:val="center"/>
                </w:tcPr>
                <w:p w14:paraId="4BFE541F">
                  <w:pPr>
                    <w:pBdr>
                      <w:top w:val="none" w:color="auto" w:sz="0" w:space="1"/>
                      <w:left w:val="none" w:color="auto" w:sz="0" w:space="4"/>
                      <w:bottom w:val="none" w:color="auto" w:sz="0" w:space="1"/>
                      <w:right w:val="none" w:color="auto" w:sz="0" w:space="4"/>
                    </w:pBdr>
                    <w:adjustRightInd w:val="0"/>
                    <w:snapToGrid w:val="0"/>
                    <w:jc w:val="center"/>
                    <w:rPr>
                      <w:bCs/>
                      <w:szCs w:val="21"/>
                    </w:rPr>
                  </w:pPr>
                  <w:r>
                    <w:rPr>
                      <w:rFonts w:hint="eastAsia"/>
                      <w:bCs/>
                      <w:szCs w:val="21"/>
                    </w:rPr>
                    <w:t>《合成树脂工业污染物排放标准》（GB31572-2015）表4大气污染物排放限值</w:t>
                  </w:r>
                </w:p>
              </w:tc>
            </w:tr>
            <w:tr w14:paraId="612B4D1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6" w:hRule="atLeast"/>
              </w:trPr>
              <w:tc>
                <w:tcPr>
                  <w:tcW w:w="1769" w:type="dxa"/>
                  <w:vAlign w:val="center"/>
                </w:tcPr>
                <w:p w14:paraId="7BC0B7CD">
                  <w:pPr>
                    <w:widowControl/>
                    <w:tabs>
                      <w:tab w:val="left" w:pos="945"/>
                      <w:tab w:val="right" w:leader="dot" w:pos="1155"/>
                      <w:tab w:val="left" w:pos="8715"/>
                    </w:tabs>
                    <w:adjustRightInd w:val="0"/>
                    <w:snapToGrid w:val="0"/>
                    <w:jc w:val="center"/>
                    <w:textAlignment w:val="baseline"/>
                    <w:rPr>
                      <w:szCs w:val="21"/>
                    </w:rPr>
                  </w:pPr>
                  <w:r>
                    <w:rPr>
                      <w:rFonts w:hint="eastAsia"/>
                      <w:szCs w:val="21"/>
                    </w:rPr>
                    <w:t>天然气燃烧机废气排气筒DA003</w:t>
                  </w:r>
                </w:p>
              </w:tc>
              <w:tc>
                <w:tcPr>
                  <w:tcW w:w="1081" w:type="dxa"/>
                  <w:vAlign w:val="center"/>
                </w:tcPr>
                <w:p w14:paraId="1AD38E69">
                  <w:pPr>
                    <w:widowControl/>
                    <w:tabs>
                      <w:tab w:val="left" w:pos="945"/>
                      <w:tab w:val="right" w:leader="dot" w:pos="1155"/>
                      <w:tab w:val="left" w:pos="8715"/>
                    </w:tabs>
                    <w:adjustRightInd w:val="0"/>
                    <w:snapToGrid w:val="0"/>
                    <w:jc w:val="center"/>
                    <w:textAlignment w:val="baseline"/>
                  </w:pPr>
                  <w:r>
                    <w:rPr>
                      <w:rFonts w:hint="eastAsia"/>
                    </w:rPr>
                    <w:t>SO</w:t>
                  </w:r>
                  <w:r>
                    <w:rPr>
                      <w:rFonts w:hint="eastAsia"/>
                      <w:vertAlign w:val="subscript"/>
                    </w:rPr>
                    <w:t>2</w:t>
                  </w:r>
                  <w:r>
                    <w:rPr>
                      <w:rFonts w:hint="eastAsia"/>
                    </w:rPr>
                    <w:t>、NO</w:t>
                  </w:r>
                  <w:r>
                    <w:rPr>
                      <w:rFonts w:hint="eastAsia"/>
                      <w:vertAlign w:val="subscript"/>
                    </w:rPr>
                    <w:t>X</w:t>
                  </w:r>
                </w:p>
              </w:tc>
              <w:tc>
                <w:tcPr>
                  <w:tcW w:w="1238" w:type="dxa"/>
                  <w:vAlign w:val="center"/>
                </w:tcPr>
                <w:p w14:paraId="057F55E3">
                  <w:pPr>
                    <w:widowControl/>
                    <w:tabs>
                      <w:tab w:val="left" w:pos="945"/>
                      <w:tab w:val="right" w:leader="dot" w:pos="1155"/>
                      <w:tab w:val="left" w:pos="8715"/>
                    </w:tabs>
                    <w:adjustRightInd w:val="0"/>
                    <w:snapToGrid w:val="0"/>
                    <w:jc w:val="center"/>
                    <w:textAlignment w:val="baseline"/>
                    <w:rPr>
                      <w:szCs w:val="21"/>
                    </w:rPr>
                  </w:pPr>
                  <w:r>
                    <w:rPr>
                      <w:rFonts w:hint="eastAsia"/>
                      <w:szCs w:val="21"/>
                    </w:rPr>
                    <w:t>1次/年</w:t>
                  </w:r>
                </w:p>
              </w:tc>
              <w:tc>
                <w:tcPr>
                  <w:tcW w:w="4189" w:type="dxa"/>
                  <w:vAlign w:val="center"/>
                </w:tcPr>
                <w:p w14:paraId="627EC272">
                  <w:pPr>
                    <w:rPr>
                      <w:rFonts w:hint="eastAsia" w:eastAsia="宋体"/>
                      <w:szCs w:val="21"/>
                      <w:lang w:eastAsia="zh-CN"/>
                    </w:rPr>
                  </w:pPr>
                  <w:r>
                    <w:rPr>
                      <w:rFonts w:hint="eastAsia" w:cs="Times New Roman"/>
                      <w:szCs w:val="21"/>
                      <w:u w:val="none"/>
                      <w:lang w:eastAsia="zh-CN"/>
                    </w:rPr>
                    <w:t>《湖南省工业炉窑大气污染综合治理实施方案》（DB43/3082-2024）中附件1工业炉窑大气污染物排放浓度限值</w:t>
                  </w:r>
                </w:p>
              </w:tc>
            </w:tr>
          </w:tbl>
          <w:p w14:paraId="2021E3A2">
            <w:pPr>
              <w:pStyle w:val="2"/>
              <w:spacing w:line="240" w:lineRule="auto"/>
              <w:ind w:firstLine="0" w:firstLineChars="0"/>
              <w:jc w:val="center"/>
              <w:rPr>
                <w:rFonts w:ascii="Times New Roman"/>
                <w:b/>
                <w:color w:val="auto"/>
              </w:rPr>
            </w:pPr>
            <w:r>
              <w:rPr>
                <w:rFonts w:ascii="Times New Roman"/>
                <w:b/>
                <w:color w:val="auto"/>
              </w:rPr>
              <w:t>表4-1</w:t>
            </w:r>
            <w:r>
              <w:rPr>
                <w:rFonts w:hint="eastAsia" w:ascii="Times New Roman"/>
                <w:b/>
                <w:color w:val="auto"/>
              </w:rPr>
              <w:t xml:space="preserve">0 </w:t>
            </w:r>
            <w:r>
              <w:rPr>
                <w:rFonts w:ascii="Times New Roman"/>
                <w:b/>
                <w:color w:val="auto"/>
              </w:rPr>
              <w:t xml:space="preserve"> 本项目无组织废气监测计划</w:t>
            </w:r>
          </w:p>
          <w:tbl>
            <w:tblPr>
              <w:tblStyle w:val="36"/>
              <w:tblW w:w="8277"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179"/>
              <w:gridCol w:w="1265"/>
              <w:gridCol w:w="1191"/>
              <w:gridCol w:w="4642"/>
            </w:tblGrid>
            <w:tr w14:paraId="392D775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1179" w:type="dxa"/>
                  <w:vAlign w:val="center"/>
                </w:tcPr>
                <w:p w14:paraId="6D8A8E6D">
                  <w:pPr>
                    <w:pStyle w:val="82"/>
                    <w:spacing w:before="0" w:after="0"/>
                    <w:jc w:val="center"/>
                    <w:rPr>
                      <w:szCs w:val="21"/>
                    </w:rPr>
                  </w:pPr>
                  <w:r>
                    <w:rPr>
                      <w:szCs w:val="21"/>
                    </w:rPr>
                    <w:t>监测点位</w:t>
                  </w:r>
                </w:p>
              </w:tc>
              <w:tc>
                <w:tcPr>
                  <w:tcW w:w="1265" w:type="dxa"/>
                  <w:vAlign w:val="center"/>
                </w:tcPr>
                <w:p w14:paraId="4BFFA3F0">
                  <w:pPr>
                    <w:pStyle w:val="82"/>
                    <w:spacing w:before="0" w:after="0"/>
                    <w:jc w:val="center"/>
                    <w:rPr>
                      <w:szCs w:val="21"/>
                    </w:rPr>
                  </w:pPr>
                  <w:r>
                    <w:rPr>
                      <w:szCs w:val="21"/>
                    </w:rPr>
                    <w:t>监测因子</w:t>
                  </w:r>
                </w:p>
              </w:tc>
              <w:tc>
                <w:tcPr>
                  <w:tcW w:w="1191" w:type="dxa"/>
                  <w:vAlign w:val="center"/>
                </w:tcPr>
                <w:p w14:paraId="56A256AE">
                  <w:pPr>
                    <w:pStyle w:val="82"/>
                    <w:spacing w:before="0" w:after="0"/>
                    <w:jc w:val="center"/>
                    <w:rPr>
                      <w:szCs w:val="21"/>
                    </w:rPr>
                  </w:pPr>
                  <w:r>
                    <w:rPr>
                      <w:szCs w:val="21"/>
                    </w:rPr>
                    <w:t>监测频次</w:t>
                  </w:r>
                </w:p>
              </w:tc>
              <w:tc>
                <w:tcPr>
                  <w:tcW w:w="4642" w:type="dxa"/>
                  <w:vAlign w:val="center"/>
                </w:tcPr>
                <w:p w14:paraId="5960E930">
                  <w:pPr>
                    <w:pStyle w:val="82"/>
                    <w:spacing w:before="0" w:after="0"/>
                    <w:jc w:val="center"/>
                    <w:rPr>
                      <w:szCs w:val="21"/>
                    </w:rPr>
                  </w:pPr>
                  <w:r>
                    <w:rPr>
                      <w:szCs w:val="21"/>
                    </w:rPr>
                    <w:t>执行标准</w:t>
                  </w:r>
                </w:p>
              </w:tc>
            </w:tr>
            <w:tr w14:paraId="09B9D74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61" w:hRule="atLeast"/>
              </w:trPr>
              <w:tc>
                <w:tcPr>
                  <w:tcW w:w="1179" w:type="dxa"/>
                  <w:vAlign w:val="center"/>
                </w:tcPr>
                <w:p w14:paraId="7399F97E">
                  <w:pPr>
                    <w:widowControl/>
                    <w:tabs>
                      <w:tab w:val="left" w:pos="945"/>
                      <w:tab w:val="right" w:leader="dot" w:pos="1155"/>
                      <w:tab w:val="left" w:pos="8715"/>
                    </w:tabs>
                    <w:adjustRightInd w:val="0"/>
                    <w:snapToGrid w:val="0"/>
                    <w:jc w:val="center"/>
                    <w:textAlignment w:val="baseline"/>
                    <w:rPr>
                      <w:szCs w:val="21"/>
                    </w:rPr>
                  </w:pPr>
                  <w:r>
                    <w:rPr>
                      <w:szCs w:val="21"/>
                    </w:rPr>
                    <w:t>厂</w:t>
                  </w:r>
                  <w:r>
                    <w:rPr>
                      <w:rFonts w:hint="eastAsia"/>
                      <w:szCs w:val="21"/>
                    </w:rPr>
                    <w:t>界</w:t>
                  </w:r>
                  <w:r>
                    <w:rPr>
                      <w:szCs w:val="21"/>
                    </w:rPr>
                    <w:t>上、下风向</w:t>
                  </w:r>
                </w:p>
              </w:tc>
              <w:tc>
                <w:tcPr>
                  <w:tcW w:w="1265" w:type="dxa"/>
                  <w:vAlign w:val="center"/>
                </w:tcPr>
                <w:p w14:paraId="16992524">
                  <w:pPr>
                    <w:widowControl/>
                    <w:tabs>
                      <w:tab w:val="left" w:pos="945"/>
                      <w:tab w:val="right" w:leader="dot" w:pos="1155"/>
                      <w:tab w:val="left" w:pos="8715"/>
                    </w:tabs>
                    <w:adjustRightInd w:val="0"/>
                    <w:snapToGrid w:val="0"/>
                    <w:jc w:val="center"/>
                    <w:textAlignment w:val="baseline"/>
                    <w:rPr>
                      <w:szCs w:val="21"/>
                    </w:rPr>
                  </w:pPr>
                  <w:r>
                    <w:rPr>
                      <w:szCs w:val="21"/>
                    </w:rPr>
                    <w:t>颗粒物、非甲烷总烃</w:t>
                  </w:r>
                </w:p>
              </w:tc>
              <w:tc>
                <w:tcPr>
                  <w:tcW w:w="1191" w:type="dxa"/>
                  <w:vAlign w:val="center"/>
                </w:tcPr>
                <w:p w14:paraId="1DF1F4F1">
                  <w:pPr>
                    <w:widowControl/>
                    <w:tabs>
                      <w:tab w:val="left" w:pos="945"/>
                      <w:tab w:val="right" w:leader="dot" w:pos="1155"/>
                      <w:tab w:val="left" w:pos="8715"/>
                    </w:tabs>
                    <w:adjustRightInd w:val="0"/>
                    <w:snapToGrid w:val="0"/>
                    <w:jc w:val="center"/>
                    <w:textAlignment w:val="baseline"/>
                    <w:rPr>
                      <w:szCs w:val="21"/>
                    </w:rPr>
                  </w:pPr>
                  <w:r>
                    <w:rPr>
                      <w:szCs w:val="21"/>
                    </w:rPr>
                    <w:t>1次/年</w:t>
                  </w:r>
                </w:p>
              </w:tc>
              <w:tc>
                <w:tcPr>
                  <w:tcW w:w="4642" w:type="dxa"/>
                  <w:vAlign w:val="center"/>
                </w:tcPr>
                <w:p w14:paraId="580F24F7">
                  <w:pPr>
                    <w:pStyle w:val="131"/>
                    <w:overflowPunct/>
                    <w:autoSpaceDE/>
                    <w:autoSpaceDN/>
                    <w:snapToGrid w:val="0"/>
                    <w:spacing w:line="240" w:lineRule="auto"/>
                    <w:ind w:firstLine="420"/>
                    <w:jc w:val="left"/>
                    <w:rPr>
                      <w:rFonts w:ascii="Times New Roman" w:hAnsi="Times New Roman"/>
                    </w:rPr>
                  </w:pPr>
                  <w:r>
                    <w:rPr>
                      <w:rFonts w:ascii="Times New Roman" w:hAnsi="Times New Roman"/>
                    </w:rPr>
                    <w:t>《合成树脂工业污染物排放标准》（GB31572-2015）表9企业边界污染物浓度限值</w:t>
                  </w:r>
                </w:p>
              </w:tc>
            </w:tr>
          </w:tbl>
          <w:p w14:paraId="304B30FE">
            <w:pPr>
              <w:pStyle w:val="2"/>
              <w:spacing w:line="360" w:lineRule="auto"/>
              <w:ind w:firstLine="482"/>
              <w:rPr>
                <w:rFonts w:ascii="Times New Roman"/>
                <w:b/>
                <w:bCs/>
              </w:rPr>
            </w:pPr>
            <w:r>
              <w:rPr>
                <w:rFonts w:hint="eastAsia" w:ascii="Times New Roman"/>
                <w:b/>
                <w:bCs/>
              </w:rPr>
              <w:t>4.1.</w:t>
            </w:r>
            <w:r>
              <w:rPr>
                <w:rFonts w:ascii="Times New Roman"/>
                <w:b/>
                <w:bCs/>
              </w:rPr>
              <w:t>7、废气治理设施可行性分析</w:t>
            </w:r>
          </w:p>
          <w:p w14:paraId="7828A9CF">
            <w:pPr>
              <w:tabs>
                <w:tab w:val="left" w:pos="555"/>
              </w:tabs>
              <w:spacing w:line="360" w:lineRule="auto"/>
              <w:ind w:firstLine="480" w:firstLineChars="200"/>
              <w:jc w:val="left"/>
              <w:rPr>
                <w:bCs/>
                <w:sz w:val="24"/>
              </w:rPr>
            </w:pPr>
            <w:r>
              <w:rPr>
                <w:bCs/>
                <w:sz w:val="24"/>
              </w:rPr>
              <w:t>（</w:t>
            </w:r>
            <w:r>
              <w:rPr>
                <w:rFonts w:hint="eastAsia"/>
                <w:bCs/>
                <w:sz w:val="24"/>
              </w:rPr>
              <w:t>1</w:t>
            </w:r>
            <w:r>
              <w:rPr>
                <w:bCs/>
                <w:sz w:val="24"/>
              </w:rPr>
              <w:t>）</w:t>
            </w:r>
            <w:r>
              <w:rPr>
                <w:rFonts w:hint="eastAsia"/>
                <w:bCs/>
                <w:sz w:val="24"/>
              </w:rPr>
              <w:t>有组织污染防治措施</w:t>
            </w:r>
            <w:r>
              <w:rPr>
                <w:bCs/>
                <w:sz w:val="24"/>
              </w:rPr>
              <w:t>可行性分析：</w:t>
            </w:r>
          </w:p>
          <w:p w14:paraId="058E2150">
            <w:pPr>
              <w:pStyle w:val="2"/>
              <w:spacing w:line="360" w:lineRule="auto"/>
              <w:ind w:firstLine="676" w:firstLineChars="282"/>
              <w:jc w:val="left"/>
              <w:rPr>
                <w:rFonts w:ascii="Times New Roman"/>
              </w:rPr>
            </w:pPr>
            <w:r>
              <w:rPr>
                <w:rFonts w:ascii="Times New Roman"/>
              </w:rPr>
              <w:t>项目</w:t>
            </w:r>
            <w:r>
              <w:rPr>
                <w:rFonts w:hint="eastAsia" w:ascii="Times New Roman"/>
              </w:rPr>
              <w:t>注塑废气</w:t>
            </w:r>
            <w:r>
              <w:rPr>
                <w:rFonts w:ascii="Times New Roman"/>
              </w:rPr>
              <w:t>以非甲烷总烃计，考虑其废气产生量较小，拟采用</w:t>
            </w:r>
            <w:r>
              <w:rPr>
                <w:rFonts w:hint="eastAsia" w:ascii="Times New Roman"/>
              </w:rPr>
              <w:t>集气罩+二级活性炭</w:t>
            </w:r>
            <w:r>
              <w:rPr>
                <w:rFonts w:ascii="Times New Roman"/>
              </w:rPr>
              <w:t>装置处理；项目污染物处理工艺均属于排污许可技术规范中确认的可行技术。</w:t>
            </w:r>
          </w:p>
          <w:p w14:paraId="311D7277">
            <w:pPr>
              <w:wordWrap w:val="0"/>
              <w:spacing w:line="360" w:lineRule="auto"/>
              <w:ind w:firstLine="480" w:firstLineChars="200"/>
              <w:jc w:val="left"/>
              <w:rPr>
                <w:sz w:val="24"/>
              </w:rPr>
            </w:pPr>
            <w:r>
              <w:rPr>
                <w:sz w:val="24"/>
              </w:rPr>
              <w:t>①活性炭是一种很细小的炭粒，有很大的表面积，普通活性炭的比表面积在500～1700m</w:t>
            </w:r>
            <w:r>
              <w:rPr>
                <w:sz w:val="24"/>
                <w:vertAlign w:val="superscript"/>
              </w:rPr>
              <w:t>2</w:t>
            </w:r>
            <w:r>
              <w:rPr>
                <w:sz w:val="24"/>
              </w:rPr>
              <w:t>/g间</w:t>
            </w:r>
            <w:r>
              <w:rPr>
                <w:rFonts w:hint="eastAsia"/>
                <w:sz w:val="24"/>
              </w:rPr>
              <w:t>，</w:t>
            </w:r>
            <w:r>
              <w:rPr>
                <w:sz w:val="24"/>
              </w:rPr>
              <w:t>而且炭粒中还有更细小的孔——</w:t>
            </w:r>
            <w:r>
              <w:fldChar w:fldCharType="begin"/>
            </w:r>
            <w:r>
              <w:instrText xml:space="preserve"> HYPERLINK "https://baike.sogou.com/lemma/ShowInnerLink.htm?lemmaId=99922&amp;ss_c=ssc.citiao.link" \t "https://baike.sogou.com/_blank" </w:instrText>
            </w:r>
            <w:r>
              <w:fldChar w:fldCharType="separate"/>
            </w:r>
            <w:r>
              <w:rPr>
                <w:sz w:val="24"/>
              </w:rPr>
              <w:t>毛细管</w:t>
            </w:r>
            <w:r>
              <w:rPr>
                <w:sz w:val="24"/>
              </w:rPr>
              <w:fldChar w:fldCharType="end"/>
            </w:r>
            <w:r>
              <w:rPr>
                <w:sz w:val="24"/>
              </w:rPr>
              <w:t>。这种毛细管具有很强的吸附能力，由于炭粒的表面积很大，能与气体（杂质）充分接触。当这些气体（杂质）碰到毛细管被吸附，起净化作用。</w:t>
            </w:r>
          </w:p>
          <w:p w14:paraId="5EA1F8CA">
            <w:pPr>
              <w:wordWrap w:val="0"/>
              <w:spacing w:line="360" w:lineRule="auto"/>
              <w:ind w:firstLine="480" w:firstLineChars="200"/>
              <w:jc w:val="left"/>
              <w:rPr>
                <w:sz w:val="24"/>
              </w:rPr>
            </w:pPr>
            <w:r>
              <w:rPr>
                <w:sz w:val="24"/>
              </w:rPr>
              <w:t>活性炭吸附</w:t>
            </w:r>
            <w:r>
              <w:rPr>
                <w:rFonts w:hint="eastAsia"/>
                <w:sz w:val="24"/>
              </w:rPr>
              <w:t>装置</w:t>
            </w:r>
            <w:r>
              <w:rPr>
                <w:sz w:val="24"/>
              </w:rPr>
              <w:t>是一种干式废气处理设备</w:t>
            </w:r>
            <w:r>
              <w:rPr>
                <w:rFonts w:hint="eastAsia"/>
                <w:sz w:val="24"/>
              </w:rPr>
              <w:t>，</w:t>
            </w:r>
            <w:r>
              <w:rPr>
                <w:sz w:val="24"/>
              </w:rPr>
              <w:t>活性炭是一种很细小的炭粒，有很大的表面积，普通活性炭的比表面积在500～1700m</w:t>
            </w:r>
            <w:r>
              <w:rPr>
                <w:sz w:val="24"/>
                <w:vertAlign w:val="superscript"/>
              </w:rPr>
              <w:t>2</w:t>
            </w:r>
            <w:r>
              <w:rPr>
                <w:sz w:val="24"/>
              </w:rPr>
              <w:t>/g间</w:t>
            </w:r>
            <w:r>
              <w:rPr>
                <w:rFonts w:hint="eastAsia"/>
                <w:sz w:val="24"/>
              </w:rPr>
              <w:t>，</w:t>
            </w:r>
            <w:r>
              <w:rPr>
                <w:sz w:val="24"/>
              </w:rPr>
              <w:t>具有很强的吸附能力，由于炭粒的表面积很大，能与气体（杂质）充分接触。当这些气体（杂质）碰到毛细管被吸附，起净化作用。</w:t>
            </w:r>
            <w:r>
              <w:rPr>
                <w:rFonts w:hint="eastAsia"/>
                <w:sz w:val="24"/>
              </w:rPr>
              <w:t>对于</w:t>
            </w:r>
            <w:r>
              <w:rPr>
                <w:sz w:val="24"/>
              </w:rPr>
              <w:t>有机废气和臭味（苯类、酚类、醇类、醚类、酊类）</w:t>
            </w:r>
            <w:r>
              <w:rPr>
                <w:rFonts w:hint="eastAsia"/>
                <w:sz w:val="24"/>
              </w:rPr>
              <w:t>有很强的吸附能力，</w:t>
            </w:r>
            <w:r>
              <w:rPr>
                <w:sz w:val="24"/>
              </w:rPr>
              <w:t>去除率可高达</w:t>
            </w:r>
            <w:r>
              <w:rPr>
                <w:rFonts w:hint="eastAsia"/>
                <w:sz w:val="24"/>
              </w:rPr>
              <w:t>80</w:t>
            </w:r>
            <w:r>
              <w:rPr>
                <w:sz w:val="24"/>
              </w:rPr>
              <w:t>%以上。</w:t>
            </w:r>
            <w:r>
              <w:rPr>
                <w:rFonts w:hint="eastAsia"/>
                <w:sz w:val="24"/>
              </w:rPr>
              <w:t>有机废气或颗粒物经活性炭净化后进入排气筒达标排放。值得注意的是：</w:t>
            </w:r>
            <w:r>
              <w:rPr>
                <w:sz w:val="24"/>
              </w:rPr>
              <w:t>①</w:t>
            </w:r>
            <w:r>
              <w:rPr>
                <w:rFonts w:hint="eastAsia"/>
                <w:sz w:val="24"/>
              </w:rPr>
              <w:t>当活性炭吸附一定量废气后达到饱和，此时应及时更换成新鲜的活性炭，更换下来的活性炭交由有资质单位处理。</w:t>
            </w:r>
            <w:r>
              <w:rPr>
                <w:sz w:val="24"/>
              </w:rPr>
              <w:t>②</w:t>
            </w:r>
            <w:r>
              <w:rPr>
                <w:rFonts w:hint="eastAsia"/>
                <w:sz w:val="24"/>
              </w:rPr>
              <w:t>活性炭的选择应符合《吸附法工业有机废气治理工程技术规范 （HJ2026-2013）》要求。③活性炭更换频率为每季度更换一次，每年更换4次，更换下来的废活性炭经收集后暂存于危废暂存间，定期交由有资质单位处理。</w:t>
            </w:r>
          </w:p>
          <w:p w14:paraId="2A431732">
            <w:pPr>
              <w:wordWrap w:val="0"/>
              <w:spacing w:line="360" w:lineRule="auto"/>
              <w:ind w:firstLine="482" w:firstLineChars="200"/>
              <w:rPr>
                <w:b/>
                <w:bCs/>
                <w:sz w:val="24"/>
              </w:rPr>
            </w:pPr>
            <w:r>
              <w:rPr>
                <w:rFonts w:hint="eastAsia"/>
                <w:b/>
                <w:bCs/>
                <w:sz w:val="24"/>
              </w:rPr>
              <w:t>活性炭用量确定依据：</w:t>
            </w:r>
          </w:p>
          <w:p w14:paraId="0F0416C6">
            <w:pPr>
              <w:wordWrap w:val="0"/>
              <w:spacing w:line="360" w:lineRule="auto"/>
              <w:ind w:firstLine="480" w:firstLineChars="200"/>
              <w:rPr>
                <w:b/>
                <w:sz w:val="24"/>
              </w:rPr>
            </w:pPr>
            <w:r>
              <w:rPr>
                <w:rFonts w:hint="eastAsia"/>
                <w:sz w:val="24"/>
              </w:rPr>
              <w:t>根据《吸附法工业有机废气治理工程技术规范》（HJ2026-2013）要求，以及《关于加快解决当前挥发性有机物治理突出问题的通知》中有关有机废气治理设施治理要求，选用活性炭主要指标不得低于相关要求（碘值不低于800mg/g，灰分不高于15%，比表面积不低于750m</w:t>
            </w:r>
            <w:r>
              <w:rPr>
                <w:rFonts w:hint="eastAsia"/>
                <w:sz w:val="24"/>
                <w:vertAlign w:val="superscript"/>
              </w:rPr>
              <w:t>2</w:t>
            </w:r>
            <w:r>
              <w:rPr>
                <w:rFonts w:hint="eastAsia"/>
                <w:sz w:val="24"/>
              </w:rPr>
              <w:t>/g，四氯化碳吸附率不低于40%，堆积密度不高于0.6g/cm</w:t>
            </w:r>
            <w:r>
              <w:rPr>
                <w:rFonts w:hint="eastAsia"/>
                <w:sz w:val="24"/>
                <w:vertAlign w:val="superscript"/>
              </w:rPr>
              <w:t>3</w:t>
            </w:r>
            <w:r>
              <w:rPr>
                <w:rFonts w:hint="eastAsia"/>
                <w:sz w:val="24"/>
              </w:rPr>
              <w:t>，保证废气有效处理。）控制合理风速。</w:t>
            </w:r>
          </w:p>
          <w:p w14:paraId="3F8E98B6">
            <w:pPr>
              <w:autoSpaceDE w:val="0"/>
              <w:autoSpaceDN w:val="0"/>
              <w:adjustRightInd w:val="0"/>
              <w:snapToGrid w:val="0"/>
              <w:ind w:firstLine="482" w:firstLineChars="200"/>
              <w:jc w:val="center"/>
              <w:rPr>
                <w:b/>
                <w:sz w:val="24"/>
              </w:rPr>
            </w:pPr>
            <w:r>
              <w:rPr>
                <w:rFonts w:hint="eastAsia"/>
                <w:b/>
                <w:sz w:val="24"/>
              </w:rPr>
              <w:t>表4-11    废气处理措施基本参数</w:t>
            </w:r>
          </w:p>
          <w:tbl>
            <w:tblPr>
              <w:tblStyle w:val="37"/>
              <w:tblW w:w="8274"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44"/>
              <w:gridCol w:w="1096"/>
              <w:gridCol w:w="1581"/>
              <w:gridCol w:w="3162"/>
              <w:gridCol w:w="1791"/>
            </w:tblGrid>
            <w:tr w14:paraId="3B83633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644" w:type="dxa"/>
                  <w:vAlign w:val="center"/>
                </w:tcPr>
                <w:p w14:paraId="0FE0B361">
                  <w:pPr>
                    <w:pStyle w:val="11"/>
                    <w:overflowPunct/>
                    <w:autoSpaceDE/>
                    <w:autoSpaceDN/>
                    <w:snapToGrid w:val="0"/>
                    <w:spacing w:before="0" w:after="0" w:line="240" w:lineRule="auto"/>
                    <w:ind w:firstLine="0"/>
                    <w:jc w:val="center"/>
                    <w:rPr>
                      <w:b/>
                      <w:bCs/>
                      <w:sz w:val="21"/>
                      <w:szCs w:val="21"/>
                    </w:rPr>
                  </w:pPr>
                  <w:r>
                    <w:rPr>
                      <w:rFonts w:hint="eastAsia"/>
                      <w:b/>
                      <w:bCs/>
                      <w:sz w:val="21"/>
                      <w:szCs w:val="21"/>
                    </w:rPr>
                    <w:t>序号</w:t>
                  </w:r>
                </w:p>
              </w:tc>
              <w:tc>
                <w:tcPr>
                  <w:tcW w:w="1096" w:type="dxa"/>
                  <w:vAlign w:val="center"/>
                </w:tcPr>
                <w:p w14:paraId="37ACE474">
                  <w:pPr>
                    <w:pStyle w:val="11"/>
                    <w:overflowPunct/>
                    <w:autoSpaceDE/>
                    <w:autoSpaceDN/>
                    <w:snapToGrid w:val="0"/>
                    <w:spacing w:before="0" w:after="0" w:line="240" w:lineRule="auto"/>
                    <w:ind w:firstLine="0"/>
                    <w:jc w:val="center"/>
                    <w:rPr>
                      <w:b/>
                      <w:bCs/>
                      <w:sz w:val="21"/>
                      <w:szCs w:val="21"/>
                    </w:rPr>
                  </w:pPr>
                  <w:r>
                    <w:rPr>
                      <w:rFonts w:hint="eastAsia"/>
                      <w:b/>
                      <w:bCs/>
                      <w:sz w:val="21"/>
                      <w:szCs w:val="21"/>
                    </w:rPr>
                    <w:t>设施名称</w:t>
                  </w:r>
                </w:p>
              </w:tc>
              <w:tc>
                <w:tcPr>
                  <w:tcW w:w="1581" w:type="dxa"/>
                  <w:vAlign w:val="center"/>
                </w:tcPr>
                <w:p w14:paraId="38D5A362">
                  <w:pPr>
                    <w:pStyle w:val="11"/>
                    <w:overflowPunct/>
                    <w:autoSpaceDE/>
                    <w:autoSpaceDN/>
                    <w:snapToGrid w:val="0"/>
                    <w:spacing w:before="0" w:after="0" w:line="240" w:lineRule="auto"/>
                    <w:ind w:firstLine="0"/>
                    <w:jc w:val="center"/>
                    <w:rPr>
                      <w:b/>
                      <w:bCs/>
                      <w:sz w:val="21"/>
                      <w:szCs w:val="21"/>
                    </w:rPr>
                  </w:pPr>
                  <w:r>
                    <w:rPr>
                      <w:rFonts w:hint="eastAsia"/>
                      <w:b/>
                      <w:bCs/>
                      <w:sz w:val="21"/>
                      <w:szCs w:val="21"/>
                    </w:rPr>
                    <w:t>项目</w:t>
                  </w:r>
                </w:p>
              </w:tc>
              <w:tc>
                <w:tcPr>
                  <w:tcW w:w="3162" w:type="dxa"/>
                  <w:vAlign w:val="center"/>
                </w:tcPr>
                <w:p w14:paraId="0B269C43">
                  <w:pPr>
                    <w:pStyle w:val="11"/>
                    <w:overflowPunct/>
                    <w:autoSpaceDE/>
                    <w:autoSpaceDN/>
                    <w:snapToGrid w:val="0"/>
                    <w:spacing w:before="0" w:after="0" w:line="240" w:lineRule="auto"/>
                    <w:ind w:firstLine="0"/>
                    <w:jc w:val="center"/>
                    <w:rPr>
                      <w:b/>
                      <w:bCs/>
                      <w:sz w:val="21"/>
                      <w:szCs w:val="21"/>
                    </w:rPr>
                  </w:pPr>
                  <w:r>
                    <w:rPr>
                      <w:rFonts w:hint="eastAsia"/>
                      <w:b/>
                      <w:bCs/>
                      <w:sz w:val="21"/>
                      <w:szCs w:val="21"/>
                    </w:rPr>
                    <w:t>规格</w:t>
                  </w:r>
                </w:p>
              </w:tc>
              <w:tc>
                <w:tcPr>
                  <w:tcW w:w="1791" w:type="dxa"/>
                  <w:vAlign w:val="center"/>
                </w:tcPr>
                <w:p w14:paraId="119CB3A4">
                  <w:pPr>
                    <w:pStyle w:val="11"/>
                    <w:overflowPunct/>
                    <w:autoSpaceDE/>
                    <w:autoSpaceDN/>
                    <w:snapToGrid w:val="0"/>
                    <w:spacing w:before="0" w:after="0" w:line="240" w:lineRule="auto"/>
                    <w:ind w:firstLine="0"/>
                    <w:jc w:val="center"/>
                    <w:rPr>
                      <w:b/>
                      <w:bCs/>
                      <w:sz w:val="21"/>
                      <w:szCs w:val="21"/>
                    </w:rPr>
                  </w:pPr>
                  <w:r>
                    <w:rPr>
                      <w:rFonts w:hint="eastAsia"/>
                      <w:b/>
                      <w:bCs/>
                      <w:sz w:val="21"/>
                      <w:szCs w:val="21"/>
                    </w:rPr>
                    <w:t>运行条件</w:t>
                  </w:r>
                </w:p>
              </w:tc>
            </w:tr>
            <w:tr w14:paraId="3698F7B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54" w:hRule="atLeast"/>
                <w:jc w:val="center"/>
              </w:trPr>
              <w:tc>
                <w:tcPr>
                  <w:tcW w:w="644" w:type="dxa"/>
                  <w:vMerge w:val="restart"/>
                  <w:vAlign w:val="center"/>
                </w:tcPr>
                <w:p w14:paraId="6533C0B5">
                  <w:pPr>
                    <w:pStyle w:val="11"/>
                    <w:overflowPunct/>
                    <w:autoSpaceDE/>
                    <w:autoSpaceDN/>
                    <w:snapToGrid w:val="0"/>
                    <w:spacing w:line="240" w:lineRule="auto"/>
                    <w:ind w:firstLine="0"/>
                    <w:jc w:val="center"/>
                    <w:rPr>
                      <w:sz w:val="21"/>
                      <w:szCs w:val="21"/>
                    </w:rPr>
                  </w:pPr>
                  <w:r>
                    <w:rPr>
                      <w:rFonts w:hint="eastAsia"/>
                      <w:sz w:val="21"/>
                      <w:szCs w:val="21"/>
                    </w:rPr>
                    <w:t>1</w:t>
                  </w:r>
                </w:p>
              </w:tc>
              <w:tc>
                <w:tcPr>
                  <w:tcW w:w="1096" w:type="dxa"/>
                  <w:vMerge w:val="restart"/>
                  <w:vAlign w:val="center"/>
                </w:tcPr>
                <w:p w14:paraId="685C28A8">
                  <w:pPr>
                    <w:pStyle w:val="11"/>
                    <w:overflowPunct/>
                    <w:autoSpaceDE/>
                    <w:autoSpaceDN/>
                    <w:snapToGrid w:val="0"/>
                    <w:spacing w:line="240" w:lineRule="auto"/>
                    <w:ind w:firstLine="0"/>
                    <w:jc w:val="center"/>
                    <w:rPr>
                      <w:sz w:val="21"/>
                      <w:szCs w:val="21"/>
                    </w:rPr>
                  </w:pPr>
                  <w:r>
                    <w:rPr>
                      <w:rFonts w:hint="eastAsia"/>
                      <w:sz w:val="21"/>
                      <w:szCs w:val="21"/>
                    </w:rPr>
                    <w:t>两级活性炭吸附装置</w:t>
                  </w:r>
                </w:p>
              </w:tc>
              <w:tc>
                <w:tcPr>
                  <w:tcW w:w="1581" w:type="dxa"/>
                  <w:vAlign w:val="center"/>
                </w:tcPr>
                <w:p w14:paraId="0D801E9C">
                  <w:pPr>
                    <w:pStyle w:val="11"/>
                    <w:overflowPunct/>
                    <w:autoSpaceDE/>
                    <w:autoSpaceDN/>
                    <w:snapToGrid w:val="0"/>
                    <w:spacing w:before="0" w:after="0" w:line="240" w:lineRule="auto"/>
                    <w:ind w:firstLine="0"/>
                    <w:jc w:val="center"/>
                    <w:rPr>
                      <w:sz w:val="21"/>
                      <w:szCs w:val="21"/>
                    </w:rPr>
                  </w:pPr>
                  <w:r>
                    <w:rPr>
                      <w:rFonts w:hint="eastAsia"/>
                      <w:sz w:val="21"/>
                      <w:szCs w:val="21"/>
                    </w:rPr>
                    <w:t>型式</w:t>
                  </w:r>
                </w:p>
              </w:tc>
              <w:tc>
                <w:tcPr>
                  <w:tcW w:w="3162" w:type="dxa"/>
                  <w:vAlign w:val="center"/>
                </w:tcPr>
                <w:p w14:paraId="4F6B6281">
                  <w:pPr>
                    <w:pStyle w:val="11"/>
                    <w:overflowPunct/>
                    <w:autoSpaceDE/>
                    <w:autoSpaceDN/>
                    <w:snapToGrid w:val="0"/>
                    <w:spacing w:before="0" w:after="0" w:line="240" w:lineRule="auto"/>
                    <w:ind w:firstLine="0"/>
                    <w:jc w:val="center"/>
                    <w:rPr>
                      <w:sz w:val="21"/>
                      <w:szCs w:val="21"/>
                    </w:rPr>
                  </w:pPr>
                  <w:r>
                    <w:rPr>
                      <w:rFonts w:hint="eastAsia"/>
                      <w:sz w:val="21"/>
                      <w:szCs w:val="21"/>
                    </w:rPr>
                    <w:t>高效卧式</w:t>
                  </w:r>
                </w:p>
              </w:tc>
              <w:tc>
                <w:tcPr>
                  <w:tcW w:w="1791" w:type="dxa"/>
                  <w:vMerge w:val="restart"/>
                  <w:vAlign w:val="center"/>
                </w:tcPr>
                <w:p w14:paraId="54C4BAF7">
                  <w:pPr>
                    <w:pStyle w:val="11"/>
                    <w:overflowPunct/>
                    <w:autoSpaceDE/>
                    <w:autoSpaceDN/>
                    <w:snapToGrid w:val="0"/>
                    <w:spacing w:line="240" w:lineRule="auto"/>
                    <w:ind w:firstLine="0"/>
                    <w:jc w:val="center"/>
                    <w:rPr>
                      <w:sz w:val="21"/>
                      <w:szCs w:val="21"/>
                    </w:rPr>
                  </w:pPr>
                </w:p>
                <w:p w14:paraId="7D85B9F5">
                  <w:pPr>
                    <w:pStyle w:val="11"/>
                    <w:overflowPunct/>
                    <w:autoSpaceDE/>
                    <w:autoSpaceDN/>
                    <w:snapToGrid w:val="0"/>
                    <w:spacing w:line="240" w:lineRule="auto"/>
                    <w:ind w:firstLine="0"/>
                    <w:jc w:val="center"/>
                    <w:rPr>
                      <w:sz w:val="21"/>
                      <w:szCs w:val="21"/>
                    </w:rPr>
                  </w:pPr>
                  <w:r>
                    <w:rPr>
                      <w:rFonts w:hint="eastAsia"/>
                      <w:sz w:val="21"/>
                      <w:szCs w:val="21"/>
                    </w:rPr>
                    <w:t>温度：不超过40摄氏度；废气不含水、无杂质；更换频次；理论3个月/次，具体依实际而定</w:t>
                  </w:r>
                </w:p>
              </w:tc>
            </w:tr>
            <w:tr w14:paraId="480A3E8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62" w:hRule="atLeast"/>
                <w:jc w:val="center"/>
              </w:trPr>
              <w:tc>
                <w:tcPr>
                  <w:tcW w:w="644" w:type="dxa"/>
                  <w:vMerge w:val="continue"/>
                  <w:vAlign w:val="center"/>
                </w:tcPr>
                <w:p w14:paraId="4F6959F8">
                  <w:pPr>
                    <w:pStyle w:val="11"/>
                    <w:overflowPunct/>
                    <w:autoSpaceDE/>
                    <w:autoSpaceDN/>
                    <w:snapToGrid w:val="0"/>
                    <w:spacing w:line="240" w:lineRule="auto"/>
                    <w:ind w:firstLine="0"/>
                    <w:jc w:val="center"/>
                    <w:rPr>
                      <w:sz w:val="21"/>
                      <w:szCs w:val="21"/>
                    </w:rPr>
                  </w:pPr>
                </w:p>
              </w:tc>
              <w:tc>
                <w:tcPr>
                  <w:tcW w:w="1096" w:type="dxa"/>
                  <w:vMerge w:val="continue"/>
                  <w:vAlign w:val="center"/>
                </w:tcPr>
                <w:p w14:paraId="15765286">
                  <w:pPr>
                    <w:pStyle w:val="11"/>
                    <w:overflowPunct/>
                    <w:autoSpaceDE/>
                    <w:autoSpaceDN/>
                    <w:snapToGrid w:val="0"/>
                    <w:spacing w:line="240" w:lineRule="auto"/>
                    <w:ind w:firstLine="0"/>
                    <w:jc w:val="center"/>
                    <w:rPr>
                      <w:sz w:val="21"/>
                      <w:szCs w:val="21"/>
                    </w:rPr>
                  </w:pPr>
                </w:p>
              </w:tc>
              <w:tc>
                <w:tcPr>
                  <w:tcW w:w="1581" w:type="dxa"/>
                  <w:vAlign w:val="center"/>
                </w:tcPr>
                <w:p w14:paraId="4258C4AC">
                  <w:pPr>
                    <w:pStyle w:val="11"/>
                    <w:overflowPunct/>
                    <w:autoSpaceDE/>
                    <w:autoSpaceDN/>
                    <w:snapToGrid w:val="0"/>
                    <w:spacing w:before="0" w:after="0" w:line="240" w:lineRule="auto"/>
                    <w:ind w:firstLine="0"/>
                    <w:jc w:val="center"/>
                    <w:rPr>
                      <w:sz w:val="21"/>
                      <w:szCs w:val="21"/>
                    </w:rPr>
                  </w:pPr>
                  <w:r>
                    <w:rPr>
                      <w:rFonts w:hint="eastAsia"/>
                      <w:sz w:val="21"/>
                      <w:szCs w:val="21"/>
                    </w:rPr>
                    <w:t>处理量</w:t>
                  </w:r>
                </w:p>
              </w:tc>
              <w:tc>
                <w:tcPr>
                  <w:tcW w:w="3162" w:type="dxa"/>
                  <w:vAlign w:val="center"/>
                </w:tcPr>
                <w:p w14:paraId="10C86BAA">
                  <w:pPr>
                    <w:pStyle w:val="11"/>
                    <w:overflowPunct/>
                    <w:autoSpaceDE/>
                    <w:autoSpaceDN/>
                    <w:snapToGrid w:val="0"/>
                    <w:spacing w:before="0" w:after="0" w:line="240" w:lineRule="auto"/>
                    <w:ind w:firstLine="0"/>
                    <w:jc w:val="center"/>
                    <w:rPr>
                      <w:sz w:val="21"/>
                      <w:szCs w:val="21"/>
                    </w:rPr>
                  </w:pPr>
                  <w:r>
                    <w:rPr>
                      <w:rFonts w:hint="eastAsia"/>
                      <w:sz w:val="21"/>
                      <w:szCs w:val="21"/>
                      <w:lang w:val="en-US" w:eastAsia="zh-CN"/>
                    </w:rPr>
                    <w:t>7</w:t>
                  </w:r>
                  <w:r>
                    <w:rPr>
                      <w:rFonts w:hint="eastAsia"/>
                      <w:sz w:val="21"/>
                      <w:szCs w:val="21"/>
                    </w:rPr>
                    <w:t>000m</w:t>
                  </w:r>
                  <w:r>
                    <w:rPr>
                      <w:rFonts w:hint="eastAsia"/>
                      <w:sz w:val="21"/>
                      <w:szCs w:val="21"/>
                      <w:vertAlign w:val="superscript"/>
                    </w:rPr>
                    <w:t>3</w:t>
                  </w:r>
                  <w:r>
                    <w:rPr>
                      <w:rFonts w:hint="eastAsia"/>
                      <w:sz w:val="21"/>
                      <w:szCs w:val="21"/>
                    </w:rPr>
                    <w:t>/h</w:t>
                  </w:r>
                </w:p>
              </w:tc>
              <w:tc>
                <w:tcPr>
                  <w:tcW w:w="1791" w:type="dxa"/>
                  <w:vMerge w:val="continue"/>
                  <w:vAlign w:val="center"/>
                </w:tcPr>
                <w:p w14:paraId="424AC9B5">
                  <w:pPr>
                    <w:pStyle w:val="11"/>
                    <w:overflowPunct/>
                    <w:autoSpaceDE/>
                    <w:autoSpaceDN/>
                    <w:snapToGrid w:val="0"/>
                    <w:spacing w:line="240" w:lineRule="auto"/>
                    <w:ind w:firstLine="0"/>
                    <w:jc w:val="center"/>
                    <w:rPr>
                      <w:sz w:val="21"/>
                      <w:szCs w:val="21"/>
                    </w:rPr>
                  </w:pPr>
                </w:p>
              </w:tc>
            </w:tr>
            <w:tr w14:paraId="1A34F54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644" w:type="dxa"/>
                  <w:vMerge w:val="continue"/>
                  <w:vAlign w:val="center"/>
                </w:tcPr>
                <w:p w14:paraId="04114345">
                  <w:pPr>
                    <w:pStyle w:val="11"/>
                    <w:overflowPunct/>
                    <w:autoSpaceDE/>
                    <w:autoSpaceDN/>
                    <w:snapToGrid w:val="0"/>
                    <w:spacing w:line="240" w:lineRule="auto"/>
                    <w:ind w:firstLine="0"/>
                    <w:jc w:val="center"/>
                    <w:rPr>
                      <w:sz w:val="21"/>
                      <w:szCs w:val="21"/>
                    </w:rPr>
                  </w:pPr>
                </w:p>
              </w:tc>
              <w:tc>
                <w:tcPr>
                  <w:tcW w:w="1096" w:type="dxa"/>
                  <w:vMerge w:val="continue"/>
                  <w:vAlign w:val="center"/>
                </w:tcPr>
                <w:p w14:paraId="72FBBBC2">
                  <w:pPr>
                    <w:pStyle w:val="11"/>
                    <w:overflowPunct/>
                    <w:autoSpaceDE/>
                    <w:autoSpaceDN/>
                    <w:snapToGrid w:val="0"/>
                    <w:spacing w:line="240" w:lineRule="auto"/>
                    <w:ind w:firstLine="0"/>
                    <w:jc w:val="center"/>
                    <w:rPr>
                      <w:sz w:val="21"/>
                      <w:szCs w:val="21"/>
                    </w:rPr>
                  </w:pPr>
                </w:p>
              </w:tc>
              <w:tc>
                <w:tcPr>
                  <w:tcW w:w="1581" w:type="dxa"/>
                  <w:vAlign w:val="center"/>
                </w:tcPr>
                <w:p w14:paraId="43A6B024">
                  <w:pPr>
                    <w:pStyle w:val="11"/>
                    <w:overflowPunct/>
                    <w:autoSpaceDE/>
                    <w:autoSpaceDN/>
                    <w:snapToGrid w:val="0"/>
                    <w:spacing w:before="0" w:after="0" w:line="240" w:lineRule="auto"/>
                    <w:ind w:firstLine="0"/>
                    <w:jc w:val="center"/>
                    <w:rPr>
                      <w:sz w:val="21"/>
                      <w:szCs w:val="21"/>
                    </w:rPr>
                  </w:pPr>
                  <w:r>
                    <w:rPr>
                      <w:rFonts w:hint="eastAsia"/>
                      <w:sz w:val="21"/>
                      <w:szCs w:val="21"/>
                    </w:rPr>
                    <w:t>材质</w:t>
                  </w:r>
                </w:p>
              </w:tc>
              <w:tc>
                <w:tcPr>
                  <w:tcW w:w="3162" w:type="dxa"/>
                  <w:vAlign w:val="center"/>
                </w:tcPr>
                <w:p w14:paraId="2628F5CA">
                  <w:pPr>
                    <w:pStyle w:val="11"/>
                    <w:overflowPunct/>
                    <w:autoSpaceDE/>
                    <w:autoSpaceDN/>
                    <w:snapToGrid w:val="0"/>
                    <w:spacing w:before="0" w:after="0" w:line="240" w:lineRule="auto"/>
                    <w:ind w:firstLine="0"/>
                    <w:jc w:val="center"/>
                    <w:rPr>
                      <w:sz w:val="21"/>
                      <w:szCs w:val="21"/>
                    </w:rPr>
                  </w:pPr>
                  <w:r>
                    <w:rPr>
                      <w:rFonts w:hint="eastAsia"/>
                      <w:sz w:val="21"/>
                      <w:szCs w:val="21"/>
                    </w:rPr>
                    <w:t>2mm厚的碳钢钢板</w:t>
                  </w:r>
                </w:p>
              </w:tc>
              <w:tc>
                <w:tcPr>
                  <w:tcW w:w="1791" w:type="dxa"/>
                  <w:vMerge w:val="continue"/>
                  <w:vAlign w:val="center"/>
                </w:tcPr>
                <w:p w14:paraId="5104F404">
                  <w:pPr>
                    <w:pStyle w:val="11"/>
                    <w:overflowPunct/>
                    <w:autoSpaceDE/>
                    <w:autoSpaceDN/>
                    <w:snapToGrid w:val="0"/>
                    <w:spacing w:line="240" w:lineRule="auto"/>
                    <w:ind w:firstLine="0"/>
                    <w:jc w:val="center"/>
                    <w:rPr>
                      <w:sz w:val="21"/>
                      <w:szCs w:val="21"/>
                    </w:rPr>
                  </w:pPr>
                </w:p>
              </w:tc>
            </w:tr>
            <w:tr w14:paraId="1DFA8D2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644" w:type="dxa"/>
                  <w:vMerge w:val="continue"/>
                  <w:vAlign w:val="center"/>
                </w:tcPr>
                <w:p w14:paraId="54DBFC00">
                  <w:pPr>
                    <w:pStyle w:val="11"/>
                    <w:overflowPunct/>
                    <w:autoSpaceDE/>
                    <w:autoSpaceDN/>
                    <w:snapToGrid w:val="0"/>
                    <w:spacing w:line="240" w:lineRule="auto"/>
                    <w:ind w:firstLine="0"/>
                    <w:jc w:val="center"/>
                    <w:rPr>
                      <w:sz w:val="21"/>
                      <w:szCs w:val="21"/>
                    </w:rPr>
                  </w:pPr>
                </w:p>
              </w:tc>
              <w:tc>
                <w:tcPr>
                  <w:tcW w:w="1096" w:type="dxa"/>
                  <w:vMerge w:val="continue"/>
                  <w:vAlign w:val="center"/>
                </w:tcPr>
                <w:p w14:paraId="3F691A4A">
                  <w:pPr>
                    <w:pStyle w:val="11"/>
                    <w:overflowPunct/>
                    <w:autoSpaceDE/>
                    <w:autoSpaceDN/>
                    <w:snapToGrid w:val="0"/>
                    <w:spacing w:line="240" w:lineRule="auto"/>
                    <w:ind w:firstLine="0"/>
                    <w:jc w:val="center"/>
                    <w:rPr>
                      <w:sz w:val="21"/>
                      <w:szCs w:val="21"/>
                    </w:rPr>
                  </w:pPr>
                </w:p>
              </w:tc>
              <w:tc>
                <w:tcPr>
                  <w:tcW w:w="1581" w:type="dxa"/>
                  <w:vAlign w:val="center"/>
                </w:tcPr>
                <w:p w14:paraId="7389DEC2">
                  <w:pPr>
                    <w:pStyle w:val="11"/>
                    <w:overflowPunct/>
                    <w:autoSpaceDE/>
                    <w:autoSpaceDN/>
                    <w:snapToGrid w:val="0"/>
                    <w:spacing w:before="0" w:after="0" w:line="240" w:lineRule="auto"/>
                    <w:ind w:firstLine="0"/>
                    <w:jc w:val="center"/>
                    <w:rPr>
                      <w:sz w:val="21"/>
                      <w:szCs w:val="21"/>
                    </w:rPr>
                  </w:pPr>
                  <w:r>
                    <w:rPr>
                      <w:rFonts w:hint="eastAsia"/>
                      <w:sz w:val="21"/>
                      <w:szCs w:val="21"/>
                    </w:rPr>
                    <w:t>尺寸</w:t>
                  </w:r>
                </w:p>
              </w:tc>
              <w:tc>
                <w:tcPr>
                  <w:tcW w:w="3162" w:type="dxa"/>
                  <w:vAlign w:val="center"/>
                </w:tcPr>
                <w:p w14:paraId="7400F466">
                  <w:pPr>
                    <w:pStyle w:val="11"/>
                    <w:overflowPunct/>
                    <w:autoSpaceDE/>
                    <w:autoSpaceDN/>
                    <w:snapToGrid w:val="0"/>
                    <w:spacing w:before="0" w:after="0" w:line="240" w:lineRule="auto"/>
                    <w:ind w:firstLine="0"/>
                    <w:jc w:val="center"/>
                    <w:rPr>
                      <w:sz w:val="21"/>
                      <w:szCs w:val="21"/>
                    </w:rPr>
                  </w:pPr>
                  <w:r>
                    <w:rPr>
                      <w:rFonts w:hint="eastAsia"/>
                      <w:sz w:val="21"/>
                      <w:szCs w:val="21"/>
                    </w:rPr>
                    <w:t>2500L*2000W*1280Hmm</w:t>
                  </w:r>
                </w:p>
              </w:tc>
              <w:tc>
                <w:tcPr>
                  <w:tcW w:w="1791" w:type="dxa"/>
                  <w:vMerge w:val="continue"/>
                  <w:vAlign w:val="center"/>
                </w:tcPr>
                <w:p w14:paraId="0E2D4261">
                  <w:pPr>
                    <w:pStyle w:val="11"/>
                    <w:overflowPunct/>
                    <w:autoSpaceDE/>
                    <w:autoSpaceDN/>
                    <w:snapToGrid w:val="0"/>
                    <w:spacing w:line="240" w:lineRule="auto"/>
                    <w:ind w:firstLine="0"/>
                    <w:jc w:val="center"/>
                    <w:rPr>
                      <w:sz w:val="21"/>
                      <w:szCs w:val="21"/>
                    </w:rPr>
                  </w:pPr>
                </w:p>
              </w:tc>
            </w:tr>
            <w:tr w14:paraId="2EDDBE5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7" w:hRule="atLeast"/>
                <w:jc w:val="center"/>
              </w:trPr>
              <w:tc>
                <w:tcPr>
                  <w:tcW w:w="644" w:type="dxa"/>
                  <w:vMerge w:val="continue"/>
                  <w:vAlign w:val="center"/>
                </w:tcPr>
                <w:p w14:paraId="1FEC6622">
                  <w:pPr>
                    <w:pStyle w:val="11"/>
                    <w:overflowPunct/>
                    <w:autoSpaceDE/>
                    <w:autoSpaceDN/>
                    <w:snapToGrid w:val="0"/>
                    <w:spacing w:line="240" w:lineRule="auto"/>
                    <w:ind w:firstLine="0"/>
                    <w:jc w:val="center"/>
                    <w:rPr>
                      <w:sz w:val="21"/>
                      <w:szCs w:val="21"/>
                    </w:rPr>
                  </w:pPr>
                </w:p>
              </w:tc>
              <w:tc>
                <w:tcPr>
                  <w:tcW w:w="1096" w:type="dxa"/>
                  <w:vMerge w:val="continue"/>
                  <w:vAlign w:val="center"/>
                </w:tcPr>
                <w:p w14:paraId="506A461A">
                  <w:pPr>
                    <w:pStyle w:val="11"/>
                    <w:overflowPunct/>
                    <w:autoSpaceDE/>
                    <w:autoSpaceDN/>
                    <w:snapToGrid w:val="0"/>
                    <w:spacing w:line="240" w:lineRule="auto"/>
                    <w:ind w:firstLine="0"/>
                    <w:jc w:val="center"/>
                    <w:rPr>
                      <w:sz w:val="21"/>
                      <w:szCs w:val="21"/>
                    </w:rPr>
                  </w:pPr>
                </w:p>
              </w:tc>
              <w:tc>
                <w:tcPr>
                  <w:tcW w:w="1581" w:type="dxa"/>
                  <w:vAlign w:val="center"/>
                </w:tcPr>
                <w:p w14:paraId="296C8F48">
                  <w:pPr>
                    <w:pStyle w:val="11"/>
                    <w:overflowPunct/>
                    <w:autoSpaceDE/>
                    <w:autoSpaceDN/>
                    <w:snapToGrid w:val="0"/>
                    <w:spacing w:before="0" w:after="0" w:line="240" w:lineRule="auto"/>
                    <w:ind w:firstLine="0"/>
                    <w:jc w:val="center"/>
                    <w:rPr>
                      <w:sz w:val="21"/>
                      <w:szCs w:val="21"/>
                    </w:rPr>
                  </w:pPr>
                  <w:r>
                    <w:rPr>
                      <w:rFonts w:hint="eastAsia"/>
                      <w:sz w:val="21"/>
                      <w:szCs w:val="21"/>
                    </w:rPr>
                    <w:t>截面风速</w:t>
                  </w:r>
                </w:p>
              </w:tc>
              <w:tc>
                <w:tcPr>
                  <w:tcW w:w="3162" w:type="dxa"/>
                  <w:vAlign w:val="center"/>
                </w:tcPr>
                <w:p w14:paraId="199B684E">
                  <w:pPr>
                    <w:pStyle w:val="11"/>
                    <w:overflowPunct/>
                    <w:autoSpaceDE/>
                    <w:autoSpaceDN/>
                    <w:snapToGrid w:val="0"/>
                    <w:spacing w:before="0" w:after="0" w:line="240" w:lineRule="auto"/>
                    <w:ind w:firstLine="0"/>
                    <w:jc w:val="center"/>
                    <w:rPr>
                      <w:sz w:val="21"/>
                      <w:szCs w:val="21"/>
                    </w:rPr>
                  </w:pPr>
                  <w:r>
                    <w:rPr>
                      <w:rFonts w:hint="eastAsia"/>
                      <w:sz w:val="21"/>
                      <w:szCs w:val="21"/>
                    </w:rPr>
                    <w:t>0.3m/s</w:t>
                  </w:r>
                </w:p>
              </w:tc>
              <w:tc>
                <w:tcPr>
                  <w:tcW w:w="1791" w:type="dxa"/>
                  <w:vMerge w:val="continue"/>
                  <w:vAlign w:val="center"/>
                </w:tcPr>
                <w:p w14:paraId="36708D07">
                  <w:pPr>
                    <w:pStyle w:val="11"/>
                    <w:overflowPunct/>
                    <w:autoSpaceDE/>
                    <w:autoSpaceDN/>
                    <w:snapToGrid w:val="0"/>
                    <w:spacing w:line="240" w:lineRule="auto"/>
                    <w:ind w:firstLine="0"/>
                    <w:jc w:val="center"/>
                    <w:rPr>
                      <w:sz w:val="21"/>
                      <w:szCs w:val="21"/>
                    </w:rPr>
                  </w:pPr>
                </w:p>
              </w:tc>
            </w:tr>
            <w:tr w14:paraId="77C76CA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7" w:hRule="atLeast"/>
                <w:jc w:val="center"/>
              </w:trPr>
              <w:tc>
                <w:tcPr>
                  <w:tcW w:w="644" w:type="dxa"/>
                  <w:vMerge w:val="continue"/>
                  <w:vAlign w:val="center"/>
                </w:tcPr>
                <w:p w14:paraId="3DBCDCE4">
                  <w:pPr>
                    <w:pStyle w:val="11"/>
                    <w:overflowPunct/>
                    <w:autoSpaceDE/>
                    <w:autoSpaceDN/>
                    <w:snapToGrid w:val="0"/>
                    <w:spacing w:line="240" w:lineRule="auto"/>
                    <w:ind w:firstLine="0"/>
                    <w:jc w:val="center"/>
                    <w:rPr>
                      <w:sz w:val="21"/>
                      <w:szCs w:val="21"/>
                    </w:rPr>
                  </w:pPr>
                </w:p>
              </w:tc>
              <w:tc>
                <w:tcPr>
                  <w:tcW w:w="1096" w:type="dxa"/>
                  <w:vMerge w:val="continue"/>
                  <w:vAlign w:val="center"/>
                </w:tcPr>
                <w:p w14:paraId="7D772B0F">
                  <w:pPr>
                    <w:pStyle w:val="11"/>
                    <w:overflowPunct/>
                    <w:autoSpaceDE/>
                    <w:autoSpaceDN/>
                    <w:snapToGrid w:val="0"/>
                    <w:spacing w:line="240" w:lineRule="auto"/>
                    <w:ind w:firstLine="0"/>
                    <w:jc w:val="center"/>
                    <w:rPr>
                      <w:sz w:val="21"/>
                      <w:szCs w:val="21"/>
                    </w:rPr>
                  </w:pPr>
                </w:p>
              </w:tc>
              <w:tc>
                <w:tcPr>
                  <w:tcW w:w="1581" w:type="dxa"/>
                  <w:vAlign w:val="center"/>
                </w:tcPr>
                <w:p w14:paraId="5A075B15">
                  <w:pPr>
                    <w:pStyle w:val="11"/>
                    <w:overflowPunct/>
                    <w:autoSpaceDE/>
                    <w:autoSpaceDN/>
                    <w:snapToGrid w:val="0"/>
                    <w:spacing w:before="0" w:after="0" w:line="240" w:lineRule="auto"/>
                    <w:ind w:firstLine="0"/>
                    <w:jc w:val="center"/>
                    <w:rPr>
                      <w:sz w:val="21"/>
                      <w:szCs w:val="21"/>
                    </w:rPr>
                  </w:pPr>
                  <w:r>
                    <w:rPr>
                      <w:rFonts w:hint="eastAsia"/>
                      <w:sz w:val="21"/>
                      <w:szCs w:val="21"/>
                    </w:rPr>
                    <w:t>截面积</w:t>
                  </w:r>
                </w:p>
              </w:tc>
              <w:tc>
                <w:tcPr>
                  <w:tcW w:w="3162" w:type="dxa"/>
                  <w:vAlign w:val="center"/>
                </w:tcPr>
                <w:p w14:paraId="2A69752A">
                  <w:pPr>
                    <w:pStyle w:val="11"/>
                    <w:overflowPunct/>
                    <w:autoSpaceDE/>
                    <w:autoSpaceDN/>
                    <w:snapToGrid w:val="0"/>
                    <w:spacing w:before="0" w:after="0" w:line="240" w:lineRule="auto"/>
                    <w:ind w:firstLine="0"/>
                    <w:jc w:val="center"/>
                    <w:rPr>
                      <w:sz w:val="21"/>
                      <w:szCs w:val="21"/>
                    </w:rPr>
                  </w:pPr>
                  <w:r>
                    <w:rPr>
                      <w:rFonts w:hint="eastAsia"/>
                      <w:sz w:val="21"/>
                      <w:szCs w:val="21"/>
                    </w:rPr>
                    <w:t>5m</w:t>
                  </w:r>
                  <w:r>
                    <w:rPr>
                      <w:rFonts w:hint="eastAsia"/>
                      <w:sz w:val="21"/>
                      <w:szCs w:val="21"/>
                      <w:vertAlign w:val="superscript"/>
                    </w:rPr>
                    <w:t>2</w:t>
                  </w:r>
                </w:p>
              </w:tc>
              <w:tc>
                <w:tcPr>
                  <w:tcW w:w="1791" w:type="dxa"/>
                  <w:vMerge w:val="continue"/>
                  <w:vAlign w:val="center"/>
                </w:tcPr>
                <w:p w14:paraId="6DEC7791">
                  <w:pPr>
                    <w:pStyle w:val="11"/>
                    <w:overflowPunct/>
                    <w:autoSpaceDE/>
                    <w:autoSpaceDN/>
                    <w:snapToGrid w:val="0"/>
                    <w:spacing w:line="240" w:lineRule="auto"/>
                    <w:ind w:firstLine="0"/>
                    <w:jc w:val="center"/>
                    <w:rPr>
                      <w:sz w:val="21"/>
                      <w:szCs w:val="21"/>
                    </w:rPr>
                  </w:pPr>
                </w:p>
              </w:tc>
            </w:tr>
            <w:tr w14:paraId="759D144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7" w:hRule="atLeast"/>
                <w:jc w:val="center"/>
              </w:trPr>
              <w:tc>
                <w:tcPr>
                  <w:tcW w:w="644" w:type="dxa"/>
                  <w:vMerge w:val="continue"/>
                  <w:vAlign w:val="center"/>
                </w:tcPr>
                <w:p w14:paraId="25F0089F">
                  <w:pPr>
                    <w:pStyle w:val="11"/>
                    <w:overflowPunct/>
                    <w:autoSpaceDE/>
                    <w:autoSpaceDN/>
                    <w:snapToGrid w:val="0"/>
                    <w:spacing w:line="240" w:lineRule="auto"/>
                    <w:ind w:firstLine="0"/>
                    <w:jc w:val="center"/>
                    <w:rPr>
                      <w:sz w:val="21"/>
                      <w:szCs w:val="21"/>
                    </w:rPr>
                  </w:pPr>
                </w:p>
              </w:tc>
              <w:tc>
                <w:tcPr>
                  <w:tcW w:w="1096" w:type="dxa"/>
                  <w:vMerge w:val="continue"/>
                  <w:vAlign w:val="center"/>
                </w:tcPr>
                <w:p w14:paraId="7418B19F">
                  <w:pPr>
                    <w:pStyle w:val="11"/>
                    <w:overflowPunct/>
                    <w:autoSpaceDE/>
                    <w:autoSpaceDN/>
                    <w:snapToGrid w:val="0"/>
                    <w:spacing w:line="240" w:lineRule="auto"/>
                    <w:ind w:firstLine="0"/>
                    <w:jc w:val="center"/>
                    <w:rPr>
                      <w:sz w:val="21"/>
                      <w:szCs w:val="21"/>
                    </w:rPr>
                  </w:pPr>
                </w:p>
              </w:tc>
              <w:tc>
                <w:tcPr>
                  <w:tcW w:w="1581" w:type="dxa"/>
                  <w:vAlign w:val="center"/>
                </w:tcPr>
                <w:p w14:paraId="32DD2A1D">
                  <w:pPr>
                    <w:pStyle w:val="11"/>
                    <w:overflowPunct/>
                    <w:autoSpaceDE/>
                    <w:autoSpaceDN/>
                    <w:snapToGrid w:val="0"/>
                    <w:spacing w:before="0" w:after="0" w:line="240" w:lineRule="auto"/>
                    <w:ind w:firstLine="0"/>
                    <w:jc w:val="center"/>
                    <w:rPr>
                      <w:sz w:val="21"/>
                      <w:szCs w:val="21"/>
                    </w:rPr>
                  </w:pPr>
                  <w:r>
                    <w:rPr>
                      <w:rFonts w:hint="eastAsia"/>
                      <w:sz w:val="21"/>
                      <w:szCs w:val="21"/>
                    </w:rPr>
                    <w:t>炭层</w:t>
                  </w:r>
                </w:p>
              </w:tc>
              <w:tc>
                <w:tcPr>
                  <w:tcW w:w="3162" w:type="dxa"/>
                  <w:vAlign w:val="center"/>
                </w:tcPr>
                <w:p w14:paraId="66D37F1F">
                  <w:pPr>
                    <w:pStyle w:val="11"/>
                    <w:overflowPunct/>
                    <w:autoSpaceDE/>
                    <w:autoSpaceDN/>
                    <w:snapToGrid w:val="0"/>
                    <w:spacing w:before="0" w:after="0" w:line="240" w:lineRule="auto"/>
                    <w:ind w:firstLine="0"/>
                    <w:jc w:val="center"/>
                    <w:rPr>
                      <w:sz w:val="21"/>
                      <w:szCs w:val="21"/>
                    </w:rPr>
                  </w:pPr>
                  <w:r>
                    <w:rPr>
                      <w:rFonts w:hint="eastAsia"/>
                      <w:sz w:val="21"/>
                      <w:szCs w:val="21"/>
                    </w:rPr>
                    <w:t>2000*1500*1000mm（2层）</w:t>
                  </w:r>
                </w:p>
              </w:tc>
              <w:tc>
                <w:tcPr>
                  <w:tcW w:w="1791" w:type="dxa"/>
                  <w:vMerge w:val="continue"/>
                  <w:vAlign w:val="center"/>
                </w:tcPr>
                <w:p w14:paraId="74FC0BF2">
                  <w:pPr>
                    <w:pStyle w:val="11"/>
                    <w:overflowPunct/>
                    <w:autoSpaceDE/>
                    <w:autoSpaceDN/>
                    <w:snapToGrid w:val="0"/>
                    <w:spacing w:line="240" w:lineRule="auto"/>
                    <w:ind w:firstLine="0"/>
                    <w:jc w:val="center"/>
                    <w:rPr>
                      <w:sz w:val="21"/>
                      <w:szCs w:val="21"/>
                    </w:rPr>
                  </w:pPr>
                </w:p>
              </w:tc>
            </w:tr>
            <w:tr w14:paraId="28306E5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644" w:type="dxa"/>
                  <w:vMerge w:val="continue"/>
                  <w:vAlign w:val="center"/>
                </w:tcPr>
                <w:p w14:paraId="2CF0CF26">
                  <w:pPr>
                    <w:pStyle w:val="11"/>
                    <w:overflowPunct/>
                    <w:autoSpaceDE/>
                    <w:autoSpaceDN/>
                    <w:snapToGrid w:val="0"/>
                    <w:spacing w:line="240" w:lineRule="auto"/>
                    <w:ind w:firstLine="0"/>
                    <w:jc w:val="center"/>
                    <w:rPr>
                      <w:sz w:val="21"/>
                      <w:szCs w:val="21"/>
                    </w:rPr>
                  </w:pPr>
                </w:p>
              </w:tc>
              <w:tc>
                <w:tcPr>
                  <w:tcW w:w="1096" w:type="dxa"/>
                  <w:vMerge w:val="continue"/>
                  <w:vAlign w:val="center"/>
                </w:tcPr>
                <w:p w14:paraId="080877E3">
                  <w:pPr>
                    <w:pStyle w:val="11"/>
                    <w:overflowPunct/>
                    <w:autoSpaceDE/>
                    <w:autoSpaceDN/>
                    <w:snapToGrid w:val="0"/>
                    <w:spacing w:line="240" w:lineRule="auto"/>
                    <w:ind w:firstLine="0"/>
                    <w:jc w:val="center"/>
                    <w:rPr>
                      <w:sz w:val="21"/>
                      <w:szCs w:val="21"/>
                    </w:rPr>
                  </w:pPr>
                </w:p>
              </w:tc>
              <w:tc>
                <w:tcPr>
                  <w:tcW w:w="1581" w:type="dxa"/>
                  <w:vAlign w:val="center"/>
                </w:tcPr>
                <w:p w14:paraId="2C7F2A90">
                  <w:pPr>
                    <w:pStyle w:val="11"/>
                    <w:overflowPunct/>
                    <w:autoSpaceDE/>
                    <w:autoSpaceDN/>
                    <w:snapToGrid w:val="0"/>
                    <w:spacing w:before="0" w:after="0" w:line="240" w:lineRule="auto"/>
                    <w:ind w:firstLine="0"/>
                    <w:jc w:val="center"/>
                    <w:rPr>
                      <w:sz w:val="21"/>
                      <w:szCs w:val="21"/>
                    </w:rPr>
                  </w:pPr>
                  <w:r>
                    <w:rPr>
                      <w:rFonts w:hint="eastAsia"/>
                      <w:sz w:val="21"/>
                      <w:szCs w:val="21"/>
                    </w:rPr>
                    <w:t>填充量</w:t>
                  </w:r>
                </w:p>
              </w:tc>
              <w:tc>
                <w:tcPr>
                  <w:tcW w:w="3162" w:type="dxa"/>
                  <w:vAlign w:val="center"/>
                </w:tcPr>
                <w:p w14:paraId="1E1B84DA">
                  <w:pPr>
                    <w:pStyle w:val="11"/>
                    <w:overflowPunct/>
                    <w:autoSpaceDE/>
                    <w:autoSpaceDN/>
                    <w:snapToGrid w:val="0"/>
                    <w:spacing w:before="0" w:after="0" w:line="240" w:lineRule="auto"/>
                    <w:ind w:firstLine="0"/>
                    <w:jc w:val="center"/>
                    <w:rPr>
                      <w:sz w:val="21"/>
                      <w:szCs w:val="21"/>
                    </w:rPr>
                  </w:pPr>
                  <w:r>
                    <w:rPr>
                      <w:rFonts w:hint="eastAsia"/>
                      <w:sz w:val="21"/>
                      <w:szCs w:val="21"/>
                    </w:rPr>
                    <w:t>0.2t，颗粒活性炭碘值800mg/g</w:t>
                  </w:r>
                </w:p>
              </w:tc>
              <w:tc>
                <w:tcPr>
                  <w:tcW w:w="1791" w:type="dxa"/>
                  <w:vMerge w:val="continue"/>
                  <w:vAlign w:val="center"/>
                </w:tcPr>
                <w:p w14:paraId="12CFCC46">
                  <w:pPr>
                    <w:pStyle w:val="11"/>
                    <w:overflowPunct/>
                    <w:autoSpaceDE/>
                    <w:autoSpaceDN/>
                    <w:snapToGrid w:val="0"/>
                    <w:spacing w:line="240" w:lineRule="auto"/>
                    <w:ind w:firstLine="0"/>
                    <w:jc w:val="center"/>
                    <w:rPr>
                      <w:sz w:val="21"/>
                      <w:szCs w:val="21"/>
                    </w:rPr>
                  </w:pPr>
                </w:p>
              </w:tc>
            </w:tr>
            <w:tr w14:paraId="712C85F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44" w:type="dxa"/>
                  <w:vMerge w:val="continue"/>
                  <w:vAlign w:val="center"/>
                </w:tcPr>
                <w:p w14:paraId="7411AEB2">
                  <w:pPr>
                    <w:pStyle w:val="11"/>
                    <w:overflowPunct/>
                    <w:autoSpaceDE/>
                    <w:autoSpaceDN/>
                    <w:snapToGrid w:val="0"/>
                    <w:spacing w:line="240" w:lineRule="auto"/>
                    <w:ind w:firstLine="0"/>
                    <w:jc w:val="center"/>
                    <w:rPr>
                      <w:sz w:val="21"/>
                      <w:szCs w:val="21"/>
                    </w:rPr>
                  </w:pPr>
                </w:p>
              </w:tc>
              <w:tc>
                <w:tcPr>
                  <w:tcW w:w="1096" w:type="dxa"/>
                  <w:vMerge w:val="continue"/>
                  <w:vAlign w:val="center"/>
                </w:tcPr>
                <w:p w14:paraId="605D9578">
                  <w:pPr>
                    <w:pStyle w:val="11"/>
                    <w:overflowPunct/>
                    <w:autoSpaceDE/>
                    <w:autoSpaceDN/>
                    <w:snapToGrid w:val="0"/>
                    <w:spacing w:line="240" w:lineRule="auto"/>
                    <w:ind w:firstLine="0"/>
                    <w:jc w:val="center"/>
                    <w:rPr>
                      <w:sz w:val="21"/>
                      <w:szCs w:val="21"/>
                    </w:rPr>
                  </w:pPr>
                </w:p>
              </w:tc>
              <w:tc>
                <w:tcPr>
                  <w:tcW w:w="1581" w:type="dxa"/>
                  <w:vAlign w:val="center"/>
                </w:tcPr>
                <w:p w14:paraId="62A5A0BF">
                  <w:pPr>
                    <w:pStyle w:val="11"/>
                    <w:overflowPunct/>
                    <w:autoSpaceDE/>
                    <w:autoSpaceDN/>
                    <w:snapToGrid w:val="0"/>
                    <w:spacing w:before="0" w:after="0" w:line="240" w:lineRule="auto"/>
                    <w:ind w:firstLine="0"/>
                    <w:jc w:val="center"/>
                    <w:rPr>
                      <w:sz w:val="21"/>
                      <w:szCs w:val="21"/>
                    </w:rPr>
                  </w:pPr>
                  <w:r>
                    <w:rPr>
                      <w:rFonts w:hint="eastAsia"/>
                      <w:sz w:val="21"/>
                      <w:szCs w:val="21"/>
                    </w:rPr>
                    <w:t>含机械压差表</w:t>
                  </w:r>
                </w:p>
              </w:tc>
              <w:tc>
                <w:tcPr>
                  <w:tcW w:w="3162" w:type="dxa"/>
                  <w:vAlign w:val="center"/>
                </w:tcPr>
                <w:p w14:paraId="01E1221A">
                  <w:pPr>
                    <w:pStyle w:val="11"/>
                    <w:overflowPunct/>
                    <w:autoSpaceDE/>
                    <w:autoSpaceDN/>
                    <w:snapToGrid w:val="0"/>
                    <w:spacing w:before="0" w:after="0" w:line="240" w:lineRule="auto"/>
                    <w:ind w:firstLine="0"/>
                    <w:jc w:val="center"/>
                    <w:rPr>
                      <w:sz w:val="21"/>
                      <w:szCs w:val="21"/>
                    </w:rPr>
                  </w:pPr>
                  <w:r>
                    <w:rPr>
                      <w:rFonts w:hint="eastAsia"/>
                      <w:sz w:val="21"/>
                      <w:szCs w:val="21"/>
                    </w:rPr>
                    <w:t>一般大于700Pa，则表示活性炭需要更换</w:t>
                  </w:r>
                </w:p>
              </w:tc>
              <w:tc>
                <w:tcPr>
                  <w:tcW w:w="1791" w:type="dxa"/>
                  <w:vMerge w:val="continue"/>
                  <w:vAlign w:val="center"/>
                </w:tcPr>
                <w:p w14:paraId="7384C96D">
                  <w:pPr>
                    <w:pStyle w:val="11"/>
                    <w:overflowPunct/>
                    <w:autoSpaceDE/>
                    <w:autoSpaceDN/>
                    <w:snapToGrid w:val="0"/>
                    <w:spacing w:line="240" w:lineRule="auto"/>
                    <w:ind w:firstLine="0"/>
                    <w:jc w:val="center"/>
                    <w:rPr>
                      <w:sz w:val="21"/>
                      <w:szCs w:val="21"/>
                    </w:rPr>
                  </w:pPr>
                </w:p>
              </w:tc>
            </w:tr>
          </w:tbl>
          <w:p w14:paraId="2105C960">
            <w:pPr>
              <w:pStyle w:val="2"/>
              <w:spacing w:line="360" w:lineRule="auto"/>
              <w:ind w:firstLine="480"/>
            </w:pPr>
            <w:r>
              <w:rPr>
                <w:rFonts w:hint="eastAsia" w:ascii="Times New Roman"/>
                <w:color w:val="auto"/>
              </w:rPr>
              <w:t>综上所述</w:t>
            </w:r>
            <w:r>
              <w:rPr>
                <w:rFonts w:ascii="Times New Roman"/>
                <w:color w:val="auto"/>
              </w:rPr>
              <w:t>，本项目采取的</w:t>
            </w:r>
            <w:r>
              <w:rPr>
                <w:rFonts w:hint="eastAsia" w:ascii="Times New Roman"/>
                <w:color w:val="auto"/>
                <w:lang w:eastAsia="zh-CN"/>
              </w:rPr>
              <w:t>“</w:t>
            </w:r>
            <w:r>
              <w:rPr>
                <w:rFonts w:hint="eastAsia" w:ascii="Times New Roman"/>
              </w:rPr>
              <w:t>集气罩+两级活性炭吸附</w:t>
            </w:r>
            <w:r>
              <w:rPr>
                <w:rFonts w:ascii="Times New Roman"/>
              </w:rPr>
              <w:t>装置</w:t>
            </w:r>
            <w:r>
              <w:rPr>
                <w:rFonts w:ascii="Times New Roman"/>
                <w:color w:val="auto"/>
              </w:rPr>
              <w:t>+15m排气筒（</w:t>
            </w:r>
            <w:r>
              <w:rPr>
                <w:rFonts w:hint="eastAsia" w:ascii="Times New Roman"/>
                <w:color w:val="auto"/>
              </w:rPr>
              <w:t>DA002</w:t>
            </w:r>
            <w:r>
              <w:rPr>
                <w:rFonts w:ascii="Times New Roman"/>
                <w:color w:val="auto"/>
              </w:rPr>
              <w:t>）</w:t>
            </w:r>
            <w:r>
              <w:rPr>
                <w:rFonts w:hint="eastAsia" w:ascii="Times New Roman"/>
                <w:color w:val="auto"/>
                <w:lang w:eastAsia="zh-CN"/>
              </w:rPr>
              <w:t>”</w:t>
            </w:r>
            <w:r>
              <w:rPr>
                <w:rFonts w:ascii="Times New Roman"/>
                <w:color w:val="auto"/>
              </w:rPr>
              <w:t>装置处理为排污许可推荐工艺。</w:t>
            </w:r>
          </w:p>
          <w:p w14:paraId="58787E85">
            <w:pPr>
              <w:spacing w:line="360" w:lineRule="auto"/>
              <w:ind w:firstLine="600" w:firstLineChars="250"/>
              <w:rPr>
                <w:spacing w:val="-4"/>
                <w:sz w:val="24"/>
                <w:szCs w:val="24"/>
              </w:rPr>
            </w:pPr>
            <w:r>
              <w:rPr>
                <w:sz w:val="24"/>
                <w:szCs w:val="24"/>
              </w:rPr>
              <w:t>（3）</w:t>
            </w:r>
            <w:r>
              <w:rPr>
                <w:rFonts w:hint="eastAsia"/>
                <w:sz w:val="24"/>
                <w:szCs w:val="24"/>
              </w:rPr>
              <w:t>无组织</w:t>
            </w:r>
            <w:r>
              <w:rPr>
                <w:sz w:val="24"/>
                <w:szCs w:val="24"/>
              </w:rPr>
              <w:t>防治措施可行性</w:t>
            </w:r>
          </w:p>
          <w:p w14:paraId="158FF8C0">
            <w:pPr>
              <w:pStyle w:val="2"/>
              <w:spacing w:line="360" w:lineRule="auto"/>
              <w:ind w:firstLine="676" w:firstLineChars="282"/>
              <w:jc w:val="left"/>
              <w:rPr>
                <w:rFonts w:ascii="Times New Roman"/>
                <w:sz w:val="24"/>
                <w:szCs w:val="24"/>
              </w:rPr>
            </w:pPr>
            <w:r>
              <w:rPr>
                <w:rFonts w:ascii="Times New Roman"/>
                <w:sz w:val="24"/>
                <w:szCs w:val="24"/>
              </w:rPr>
              <w:t>项目</w:t>
            </w:r>
            <w:r>
              <w:rPr>
                <w:rFonts w:hint="eastAsia" w:ascii="Times New Roman"/>
                <w:sz w:val="24"/>
                <w:szCs w:val="24"/>
              </w:rPr>
              <w:t>喷塑粉尘</w:t>
            </w:r>
            <w:r>
              <w:rPr>
                <w:rFonts w:ascii="Times New Roman"/>
                <w:sz w:val="24"/>
                <w:szCs w:val="24"/>
              </w:rPr>
              <w:t>采用</w:t>
            </w:r>
            <w:r>
              <w:rPr>
                <w:rFonts w:hint="eastAsia" w:ascii="Times New Roman"/>
                <w:sz w:val="24"/>
                <w:szCs w:val="24"/>
              </w:rPr>
              <w:t>旋风除尘+滤芯除尘</w:t>
            </w:r>
            <w:r>
              <w:rPr>
                <w:rFonts w:ascii="Times New Roman"/>
                <w:sz w:val="24"/>
                <w:szCs w:val="24"/>
              </w:rPr>
              <w:t>处理</w:t>
            </w:r>
            <w:r>
              <w:rPr>
                <w:rFonts w:hint="eastAsia" w:ascii="Times New Roman"/>
                <w:sz w:val="24"/>
                <w:szCs w:val="24"/>
              </w:rPr>
              <w:t>，</w:t>
            </w:r>
            <w:r>
              <w:rPr>
                <w:rFonts w:ascii="Times New Roman"/>
                <w:sz w:val="24"/>
                <w:szCs w:val="24"/>
              </w:rPr>
              <w:t>属于排污许可技术规范中确认的可行技术。</w:t>
            </w:r>
          </w:p>
          <w:p w14:paraId="0888A7AD">
            <w:pPr>
              <w:pStyle w:val="2"/>
              <w:spacing w:line="360" w:lineRule="auto"/>
              <w:ind w:firstLine="676" w:firstLineChars="282"/>
              <w:jc w:val="left"/>
              <w:rPr>
                <w:rFonts w:ascii="Times New Roman"/>
              </w:rPr>
            </w:pPr>
            <w:r>
              <w:rPr>
                <w:rFonts w:ascii="Times New Roman"/>
              </w:rPr>
              <w:t>①</w:t>
            </w:r>
            <w:r>
              <w:rPr>
                <w:rFonts w:hint="eastAsia" w:ascii="Times New Roman"/>
              </w:rPr>
              <w:t>滤芯除尘器</w:t>
            </w:r>
            <w:r>
              <w:rPr>
                <w:rFonts w:ascii="Times New Roman"/>
              </w:rPr>
              <w:t>工作原理</w:t>
            </w:r>
            <w:r>
              <w:rPr>
                <w:rFonts w:hint="eastAsia" w:ascii="Times New Roman"/>
              </w:rPr>
              <w:t>：</w:t>
            </w:r>
            <w:r>
              <w:rPr>
                <w:rFonts w:ascii="Times New Roman"/>
              </w:rPr>
              <w:t>滤芯除尘器的滤芯通常由多层材料组成，当空气经过滤芯时，因为滤芯具有不同的细孔大小和表面特性，能够拦截不同粒径的粒物。大颗粒物因惯性作用无法穿过滤芯而落下，细小颗粒物则会受到滤芯的吸附力和静电作用而被截留。滤芯除尘器在工作时，空气由进气口进入设备，并通过滤芯被均匀分布，然后经过滤芯逐渐净化。</w:t>
            </w:r>
          </w:p>
          <w:p w14:paraId="3BF6FDF6">
            <w:pPr>
              <w:pStyle w:val="2"/>
              <w:spacing w:line="360" w:lineRule="auto"/>
              <w:ind w:firstLine="676" w:firstLineChars="282"/>
              <w:jc w:val="left"/>
              <w:rPr>
                <w:rFonts w:ascii="Times New Roman" w:cs="Times New Roman"/>
                <w:color w:val="000000"/>
              </w:rPr>
            </w:pPr>
            <w:r>
              <w:rPr>
                <w:rFonts w:ascii="Times New Roman" w:cs="Times New Roman"/>
                <w:color w:val="000000"/>
              </w:rPr>
              <w:t>滤芯除尘器的原理是基于过滤和吸附的作用，通过不同层次的滤材实现了对空气中颗粒物和气体污染物的有效过滤和净化。</w:t>
            </w:r>
          </w:p>
          <w:p w14:paraId="23978064">
            <w:pPr>
              <w:pStyle w:val="2"/>
              <w:spacing w:line="360" w:lineRule="auto"/>
              <w:ind w:firstLine="676" w:firstLineChars="282"/>
              <w:jc w:val="left"/>
              <w:rPr>
                <w:rFonts w:ascii="Times New Roman" w:cs="Times New Roman"/>
                <w:color w:val="000000"/>
              </w:rPr>
            </w:pPr>
            <w:r>
              <w:rPr>
                <w:rFonts w:hint="eastAsia" w:ascii="Times New Roman" w:cs="Times New Roman"/>
                <w:color w:val="000000"/>
              </w:rPr>
              <w:t>②</w:t>
            </w:r>
            <w:r>
              <w:rPr>
                <w:rFonts w:ascii="Times New Roman" w:cs="Times New Roman"/>
                <w:color w:val="000000"/>
              </w:rPr>
              <w:t>无组织污染防治措施建议</w:t>
            </w:r>
          </w:p>
          <w:p w14:paraId="04D53FB6">
            <w:pPr>
              <w:pStyle w:val="2"/>
              <w:spacing w:line="360" w:lineRule="auto"/>
              <w:ind w:firstLine="480"/>
              <w:rPr>
                <w:rFonts w:ascii="Times New Roman"/>
                <w:color w:val="auto"/>
              </w:rPr>
            </w:pPr>
            <w:r>
              <w:rPr>
                <w:rFonts w:ascii="Times New Roman"/>
                <w:color w:val="auto"/>
              </w:rPr>
              <w:t>建设单位通过以下措施加强无组织废气控制：</w:t>
            </w:r>
          </w:p>
          <w:p w14:paraId="2A949D68">
            <w:pPr>
              <w:pStyle w:val="2"/>
              <w:spacing w:line="360" w:lineRule="auto"/>
              <w:ind w:firstLine="480"/>
              <w:rPr>
                <w:rFonts w:ascii="Times New Roman"/>
              </w:rPr>
            </w:pPr>
            <w:r>
              <w:rPr>
                <w:rFonts w:ascii="Times New Roman"/>
                <w:color w:val="auto"/>
              </w:rPr>
              <w:t>①提高生产车间生产线区</w:t>
            </w:r>
            <w:r>
              <w:rPr>
                <w:rFonts w:ascii="Times New Roman"/>
              </w:rPr>
              <w:t>域的密闭程度，严禁</w:t>
            </w:r>
            <w:r>
              <w:rPr>
                <w:rFonts w:hint="eastAsia" w:ascii="Times New Roman"/>
              </w:rPr>
              <w:t>喷塑工艺和</w:t>
            </w:r>
            <w:r>
              <w:rPr>
                <w:rFonts w:hint="eastAsia" w:ascii="Times New Roman"/>
                <w:lang w:val="en-US" w:eastAsia="zh-CN"/>
              </w:rPr>
              <w:t>注塑</w:t>
            </w:r>
            <w:r>
              <w:rPr>
                <w:rFonts w:hint="eastAsia" w:ascii="Times New Roman"/>
              </w:rPr>
              <w:t>工艺</w:t>
            </w:r>
            <w:r>
              <w:rPr>
                <w:rFonts w:ascii="Times New Roman"/>
              </w:rPr>
              <w:t>敞开式作业，合理设计送排风系统，提高废气捕集率，尽量将废气收集集中处置、排放，减少无组织排放废气的产生量，减少其环境影响。</w:t>
            </w:r>
          </w:p>
          <w:p w14:paraId="227BFCF7">
            <w:pPr>
              <w:pStyle w:val="2"/>
              <w:spacing w:line="360" w:lineRule="auto"/>
              <w:ind w:firstLine="480"/>
              <w:rPr>
                <w:rFonts w:ascii="Times New Roman"/>
              </w:rPr>
            </w:pPr>
            <w:r>
              <w:rPr>
                <w:rFonts w:ascii="Times New Roman"/>
              </w:rPr>
              <w:t>②加强生产管理，规范操作，使设备处于正常工作状态，减少生产、控制、输送等过程中的废气散发。</w:t>
            </w:r>
          </w:p>
          <w:p w14:paraId="418EB379">
            <w:pPr>
              <w:pStyle w:val="2"/>
              <w:spacing w:line="360" w:lineRule="auto"/>
              <w:ind w:firstLine="480"/>
              <w:rPr>
                <w:rFonts w:ascii="Times New Roman"/>
              </w:rPr>
            </w:pPr>
            <w:r>
              <w:rPr>
                <w:rFonts w:ascii="Times New Roman"/>
              </w:rPr>
              <w:t>③加强车间整体通风换气，使车间内的无组织废气高处排放。</w:t>
            </w:r>
          </w:p>
          <w:p w14:paraId="7BFA6798">
            <w:pPr>
              <w:pStyle w:val="2"/>
              <w:spacing w:line="360" w:lineRule="auto"/>
              <w:ind w:firstLine="480"/>
              <w:rPr>
                <w:rFonts w:ascii="Times New Roman"/>
              </w:rPr>
            </w:pPr>
            <w:r>
              <w:rPr>
                <w:rFonts w:ascii="Times New Roman"/>
              </w:rPr>
              <w:t>④加强生产管理，规范操作使设备设施处于正常工作状态，减少生产、控制、输送等过程中的废气散发。</w:t>
            </w:r>
          </w:p>
          <w:p w14:paraId="1815956B">
            <w:pPr>
              <w:pStyle w:val="2"/>
              <w:spacing w:line="360" w:lineRule="auto"/>
              <w:ind w:firstLine="480"/>
              <w:rPr>
                <w:rFonts w:ascii="Times New Roman"/>
              </w:rPr>
            </w:pPr>
            <w:r>
              <w:rPr>
                <w:rFonts w:ascii="Times New Roman"/>
              </w:rPr>
              <w:t xml:space="preserve"> ⑤加强设备的维护，定期对生产装置进行检查检验，减少装置的跑、冒、滴、漏。</w:t>
            </w:r>
          </w:p>
          <w:p w14:paraId="1899253F">
            <w:pPr>
              <w:pStyle w:val="2"/>
              <w:spacing w:line="360" w:lineRule="auto"/>
              <w:ind w:firstLine="480"/>
              <w:rPr>
                <w:rFonts w:ascii="Times New Roman"/>
              </w:rPr>
            </w:pPr>
            <w:r>
              <w:rPr>
                <w:rFonts w:ascii="Times New Roman"/>
              </w:rPr>
              <w:t>⑥含VOCs物料的转移过程中控制措施：</w:t>
            </w:r>
            <w:r>
              <w:rPr>
                <w:rFonts w:hint="eastAsia" w:ascii="Times New Roman"/>
              </w:rPr>
              <w:t>环氧树脂粉末涂料</w:t>
            </w:r>
            <w:r>
              <w:rPr>
                <w:rFonts w:ascii="Times New Roman"/>
              </w:rPr>
              <w:t>的输送为非管道式输送，转移过程应采用密闭容器，防止输送过程中非甲烷总烃的无组织逸散。</w:t>
            </w:r>
          </w:p>
          <w:p w14:paraId="132817A9">
            <w:pPr>
              <w:pStyle w:val="2"/>
              <w:spacing w:line="360" w:lineRule="auto"/>
              <w:ind w:firstLine="480"/>
              <w:rPr>
                <w:rFonts w:ascii="Times New Roman"/>
              </w:rPr>
            </w:pPr>
            <w:r>
              <w:rPr>
                <w:rFonts w:ascii="Times New Roman"/>
              </w:rPr>
              <w:t>综上所述，本项目废气污染防治措施可行。</w:t>
            </w:r>
          </w:p>
          <w:p w14:paraId="529A7EAA">
            <w:pPr>
              <w:pStyle w:val="2"/>
              <w:spacing w:line="360" w:lineRule="auto"/>
              <w:ind w:firstLine="480"/>
              <w:rPr>
                <w:rFonts w:hint="default" w:ascii="Times New Roman"/>
                <w:lang w:val="en-US" w:eastAsia="zh-CN"/>
              </w:rPr>
            </w:pPr>
            <w:r>
              <w:rPr>
                <w:rFonts w:hint="eastAsia" w:ascii="Times New Roman"/>
                <w:lang w:val="en-US" w:eastAsia="zh-CN"/>
              </w:rPr>
              <w:t>（4）本项目依托现有工程可行性分析</w:t>
            </w:r>
          </w:p>
          <w:p w14:paraId="14F4FC0D">
            <w:pPr>
              <w:pStyle w:val="2"/>
              <w:spacing w:line="360" w:lineRule="auto"/>
              <w:ind w:firstLine="480"/>
              <w:rPr>
                <w:rFonts w:hint="default"/>
                <w:lang w:val="en-US" w:eastAsia="zh-CN"/>
              </w:rPr>
            </w:pPr>
            <w:r>
              <w:rPr>
                <w:rFonts w:hint="eastAsia" w:ascii="Times New Roman"/>
                <w:lang w:val="en-US" w:eastAsia="zh-CN"/>
              </w:rPr>
              <w:t>本项目生产过程中产生的注塑废气、喷塑粉尘及天然气燃烧废气，现有工程注塑废气为集气罩+UV光解+活性炭吸附装置+15m排气筒排放，喷塑粉尘治理设施为旋风除尘+滤芯除尘器+集气罩+UV光解+活性炭吸附装置+15m排气筒排放，天然气燃烧废气治理设施为排气管+8m排气筒；由于现有工程废气治理设施中UV光解装置处理效率不佳，且属于落后淘汰设备，改建工程在现有工程的基础上进行技术改造，拟将UV光解装置淘汰，更换为两级活性炭。两级活性炭处理效率高，运维方便。</w:t>
            </w:r>
          </w:p>
          <w:p w14:paraId="6B8E58EE">
            <w:pPr>
              <w:pStyle w:val="35"/>
              <w:spacing w:after="0" w:line="360" w:lineRule="auto"/>
              <w:ind w:left="0" w:leftChars="0" w:firstLine="0"/>
              <w:rPr>
                <w:b/>
                <w:szCs w:val="24"/>
              </w:rPr>
            </w:pPr>
            <w:r>
              <w:rPr>
                <w:rFonts w:hint="eastAsia"/>
                <w:b/>
                <w:szCs w:val="24"/>
              </w:rPr>
              <w:t>4.2、废水</w:t>
            </w:r>
          </w:p>
          <w:p w14:paraId="2F7EF0C1">
            <w:pPr>
              <w:keepNext w:val="0"/>
              <w:keepLines w:val="0"/>
              <w:pageBreakBefore w:val="0"/>
              <w:widowControl w:val="0"/>
              <w:kinsoku/>
              <w:wordWrap w:val="0"/>
              <w:overflowPunct/>
              <w:topLinePunct w:val="0"/>
              <w:autoSpaceDE/>
              <w:autoSpaceDN/>
              <w:bidi w:val="0"/>
              <w:adjustRightInd/>
              <w:snapToGrid/>
              <w:spacing w:line="360" w:lineRule="auto"/>
              <w:ind w:firstLine="482" w:firstLineChars="200"/>
              <w:textAlignment w:val="auto"/>
              <w:rPr>
                <w:b/>
                <w:sz w:val="24"/>
              </w:rPr>
            </w:pPr>
            <w:r>
              <w:rPr>
                <w:rFonts w:hint="eastAsia"/>
                <w:b/>
                <w:sz w:val="24"/>
              </w:rPr>
              <w:t>4.2.1废水污染源强核算</w:t>
            </w:r>
          </w:p>
          <w:p w14:paraId="3DD73E1D">
            <w:pPr>
              <w:pStyle w:val="2"/>
              <w:spacing w:line="360" w:lineRule="auto"/>
              <w:ind w:firstLine="480"/>
            </w:pPr>
            <w:r>
              <w:rPr>
                <w:rFonts w:hint="eastAsia"/>
              </w:rPr>
              <w:t>本项目运营过程中废水主要为生活污水</w:t>
            </w:r>
          </w:p>
          <w:p w14:paraId="1FBFA02E">
            <w:pPr>
              <w:numPr>
                <w:ilvl w:val="0"/>
                <w:numId w:val="8"/>
              </w:numPr>
              <w:spacing w:line="360" w:lineRule="auto"/>
              <w:ind w:firstLine="480" w:firstLineChars="200"/>
              <w:rPr>
                <w:sz w:val="24"/>
              </w:rPr>
            </w:pPr>
            <w:r>
              <w:rPr>
                <w:rFonts w:hint="eastAsia"/>
                <w:sz w:val="24"/>
              </w:rPr>
              <w:t>生活污水</w:t>
            </w:r>
          </w:p>
          <w:p w14:paraId="0AA697D3">
            <w:pPr>
              <w:spacing w:line="360" w:lineRule="auto"/>
              <w:ind w:firstLine="480" w:firstLineChars="200"/>
              <w:rPr>
                <w:rFonts w:hint="eastAsia" w:ascii="Times New Roman" w:hAnsi="Times New Roman" w:cs="Times New Roman"/>
                <w:b/>
                <w:bCs/>
                <w:sz w:val="24"/>
                <w:szCs w:val="24"/>
              </w:rPr>
            </w:pPr>
            <w:r>
              <w:rPr>
                <w:bCs/>
                <w:kern w:val="44"/>
                <w:sz w:val="24"/>
              </w:rPr>
              <w:t>本项目员工</w:t>
            </w:r>
            <w:r>
              <w:rPr>
                <w:rFonts w:hint="eastAsia"/>
                <w:bCs/>
                <w:kern w:val="44"/>
                <w:sz w:val="24"/>
              </w:rPr>
              <w:t>30</w:t>
            </w:r>
            <w:r>
              <w:rPr>
                <w:bCs/>
                <w:kern w:val="44"/>
                <w:sz w:val="24"/>
              </w:rPr>
              <w:t>人，</w:t>
            </w:r>
            <w:r>
              <w:rPr>
                <w:snapToGrid w:val="0"/>
                <w:kern w:val="0"/>
                <w:sz w:val="24"/>
              </w:rPr>
              <w:t>年工作300天</w:t>
            </w:r>
            <w:r>
              <w:rPr>
                <w:rFonts w:hint="eastAsia"/>
                <w:snapToGrid w:val="0"/>
                <w:kern w:val="0"/>
                <w:sz w:val="24"/>
              </w:rPr>
              <w:t>，</w:t>
            </w:r>
            <w:r>
              <w:rPr>
                <w:rFonts w:hint="eastAsia"/>
                <w:bCs/>
                <w:kern w:val="44"/>
                <w:sz w:val="24"/>
              </w:rPr>
              <w:t>厂内不提供</w:t>
            </w:r>
            <w:r>
              <w:rPr>
                <w:sz w:val="24"/>
              </w:rPr>
              <w:t>食宿</w:t>
            </w:r>
            <w:r>
              <w:rPr>
                <w:snapToGrid w:val="0"/>
                <w:kern w:val="0"/>
                <w:sz w:val="24"/>
              </w:rPr>
              <w:t>，</w:t>
            </w:r>
            <w:r>
              <w:rPr>
                <w:bCs/>
                <w:kern w:val="44"/>
                <w:sz w:val="24"/>
              </w:rPr>
              <w:t>参考《湖南省用水定额》（DB43/T388-202</w:t>
            </w:r>
            <w:r>
              <w:rPr>
                <w:rFonts w:hint="eastAsia"/>
                <w:bCs/>
                <w:kern w:val="44"/>
                <w:sz w:val="24"/>
              </w:rPr>
              <w:t>5</w:t>
            </w:r>
            <w:r>
              <w:rPr>
                <w:bCs/>
                <w:kern w:val="44"/>
                <w:sz w:val="24"/>
              </w:rPr>
              <w:t>）用水定额指标，未在厂里食宿的人，城镇居民生活用水定额为45L/人.d，</w:t>
            </w:r>
            <w:r>
              <w:rPr>
                <w:snapToGrid w:val="0"/>
                <w:kern w:val="0"/>
                <w:sz w:val="24"/>
              </w:rPr>
              <w:t>则生活用水量为</w:t>
            </w:r>
            <w:r>
              <w:rPr>
                <w:rFonts w:hint="eastAsia"/>
                <w:snapToGrid w:val="0"/>
                <w:kern w:val="0"/>
                <w:sz w:val="24"/>
              </w:rPr>
              <w:t>1.35m</w:t>
            </w:r>
            <w:r>
              <w:rPr>
                <w:rFonts w:hint="eastAsia"/>
                <w:snapToGrid w:val="0"/>
                <w:kern w:val="0"/>
                <w:sz w:val="24"/>
                <w:vertAlign w:val="superscript"/>
              </w:rPr>
              <w:t>3</w:t>
            </w:r>
            <w:r>
              <w:rPr>
                <w:snapToGrid w:val="0"/>
                <w:kern w:val="0"/>
                <w:sz w:val="24"/>
              </w:rPr>
              <w:t>/d（</w:t>
            </w:r>
            <w:r>
              <w:rPr>
                <w:rFonts w:hint="eastAsia"/>
                <w:snapToGrid w:val="0"/>
                <w:kern w:val="0"/>
                <w:sz w:val="24"/>
              </w:rPr>
              <w:t>405m</w:t>
            </w:r>
            <w:r>
              <w:rPr>
                <w:rFonts w:hint="eastAsia"/>
                <w:snapToGrid w:val="0"/>
                <w:kern w:val="0"/>
                <w:sz w:val="24"/>
                <w:vertAlign w:val="superscript"/>
              </w:rPr>
              <w:t>3</w:t>
            </w:r>
            <w:r>
              <w:rPr>
                <w:snapToGrid w:val="0"/>
                <w:kern w:val="0"/>
                <w:sz w:val="24"/>
              </w:rPr>
              <w:t>/a），生活废水按用水量的80%计，即生活污水产生量为</w:t>
            </w:r>
            <w:r>
              <w:rPr>
                <w:rFonts w:hint="eastAsia"/>
                <w:snapToGrid w:val="0"/>
                <w:kern w:val="0"/>
                <w:sz w:val="24"/>
              </w:rPr>
              <w:t>1.08m</w:t>
            </w:r>
            <w:r>
              <w:rPr>
                <w:rFonts w:hint="eastAsia"/>
                <w:snapToGrid w:val="0"/>
                <w:kern w:val="0"/>
                <w:sz w:val="24"/>
                <w:vertAlign w:val="superscript"/>
              </w:rPr>
              <w:t>3</w:t>
            </w:r>
            <w:r>
              <w:rPr>
                <w:snapToGrid w:val="0"/>
                <w:kern w:val="0"/>
                <w:sz w:val="24"/>
              </w:rPr>
              <w:t>/d（</w:t>
            </w:r>
            <w:r>
              <w:rPr>
                <w:rFonts w:hint="eastAsia"/>
                <w:snapToGrid w:val="0"/>
                <w:kern w:val="0"/>
                <w:sz w:val="24"/>
              </w:rPr>
              <w:t>324m</w:t>
            </w:r>
            <w:r>
              <w:rPr>
                <w:rFonts w:hint="eastAsia"/>
                <w:snapToGrid w:val="0"/>
                <w:kern w:val="0"/>
                <w:sz w:val="24"/>
                <w:vertAlign w:val="superscript"/>
              </w:rPr>
              <w:t>3</w:t>
            </w:r>
            <w:r>
              <w:rPr>
                <w:snapToGrid w:val="0"/>
                <w:kern w:val="0"/>
                <w:sz w:val="24"/>
              </w:rPr>
              <w:t>/a）</w:t>
            </w:r>
            <w:r>
              <w:rPr>
                <w:sz w:val="24"/>
              </w:rPr>
              <w:t>。主要污染因子为COD、BOD</w:t>
            </w:r>
            <w:r>
              <w:rPr>
                <w:sz w:val="24"/>
                <w:vertAlign w:val="subscript"/>
              </w:rPr>
              <w:t>5</w:t>
            </w:r>
            <w:r>
              <w:rPr>
                <w:sz w:val="24"/>
              </w:rPr>
              <w:t>、SS、NH</w:t>
            </w:r>
            <w:r>
              <w:rPr>
                <w:sz w:val="24"/>
                <w:vertAlign w:val="subscript"/>
              </w:rPr>
              <w:t>3</w:t>
            </w:r>
            <w:r>
              <w:rPr>
                <w:sz w:val="24"/>
              </w:rPr>
              <w:t>-N</w:t>
            </w:r>
            <w:r>
              <w:rPr>
                <w:rFonts w:hint="eastAsia"/>
                <w:sz w:val="24"/>
              </w:rPr>
              <w:t>。</w:t>
            </w:r>
            <w:r>
              <w:rPr>
                <w:bCs/>
                <w:kern w:val="44"/>
                <w:sz w:val="24"/>
              </w:rPr>
              <w:t>生活污水</w:t>
            </w:r>
            <w:r>
              <w:rPr>
                <w:rFonts w:hint="eastAsia"/>
                <w:bCs/>
                <w:kern w:val="44"/>
                <w:sz w:val="24"/>
                <w:lang w:val="en-US" w:eastAsia="zh-CN"/>
              </w:rPr>
              <w:t>依托</w:t>
            </w:r>
            <w:r>
              <w:rPr>
                <w:rFonts w:hint="eastAsia"/>
                <w:bCs/>
                <w:kern w:val="44"/>
                <w:sz w:val="24"/>
              </w:rPr>
              <w:t>衡钢原有化粪池处理后达到《污水综合排放标准》（GB8978-1996）表4中的三级标准，预处理后的污水经厂区污水管网排入衡钢西区污水处理厂处理后，</w:t>
            </w:r>
            <w:r>
              <w:rPr>
                <w:rFonts w:hint="eastAsia"/>
                <w:bCs/>
                <w:kern w:val="44"/>
                <w:sz w:val="24"/>
                <w:lang w:eastAsia="zh-CN"/>
              </w:rPr>
              <w:t>排入幸福河</w:t>
            </w:r>
            <w:r>
              <w:rPr>
                <w:rFonts w:hint="eastAsia"/>
                <w:bCs/>
                <w:kern w:val="44"/>
                <w:sz w:val="24"/>
              </w:rPr>
              <w:t>，然后进入铜桥港污水处理厂进一步处理，处理后排入湘江。本项目生活污水经预处理后浓度有所减少，排放水污染物远低于标准限值。</w:t>
            </w:r>
            <w:r>
              <w:rPr>
                <w:rFonts w:hint="eastAsia"/>
                <w:sz w:val="24"/>
              </w:rPr>
              <w:t>本项目废水</w:t>
            </w:r>
            <w:r>
              <w:rPr>
                <w:sz w:val="24"/>
              </w:rPr>
              <w:t>污染物产生及排放情况</w:t>
            </w:r>
            <w:r>
              <w:rPr>
                <w:rFonts w:hint="eastAsia"/>
                <w:sz w:val="24"/>
              </w:rPr>
              <w:t>见表4-12</w:t>
            </w:r>
            <w:r>
              <w:rPr>
                <w:sz w:val="24"/>
              </w:rPr>
              <w:t>：</w:t>
            </w:r>
          </w:p>
          <w:p w14:paraId="1D74CB85">
            <w:pPr>
              <w:pStyle w:val="19"/>
              <w:ind w:firstLine="482" w:firstLineChars="200"/>
              <w:jc w:val="center"/>
              <w:rPr>
                <w:rFonts w:ascii="Times New Roman" w:hAnsi="Times New Roman" w:cs="Times New Roman"/>
                <w:sz w:val="24"/>
                <w:szCs w:val="24"/>
              </w:rPr>
            </w:pPr>
            <w:r>
              <w:rPr>
                <w:rFonts w:hint="eastAsia" w:ascii="Times New Roman" w:hAnsi="Times New Roman" w:cs="Times New Roman"/>
                <w:b/>
                <w:bCs/>
                <w:sz w:val="24"/>
                <w:szCs w:val="24"/>
              </w:rPr>
              <w:t>表4-12    项目废水产生及排放情况</w:t>
            </w:r>
          </w:p>
          <w:tbl>
            <w:tblPr>
              <w:tblStyle w:val="37"/>
              <w:tblW w:w="8277"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246"/>
              <w:gridCol w:w="837"/>
              <w:gridCol w:w="650"/>
              <w:gridCol w:w="763"/>
              <w:gridCol w:w="625"/>
              <w:gridCol w:w="725"/>
              <w:gridCol w:w="1025"/>
              <w:gridCol w:w="975"/>
              <w:gridCol w:w="712"/>
              <w:gridCol w:w="719"/>
            </w:tblGrid>
            <w:tr w14:paraId="6B8532E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246" w:type="dxa"/>
                  <w:vAlign w:val="center"/>
                </w:tcPr>
                <w:p w14:paraId="1B4FEA28">
                  <w:pPr>
                    <w:pStyle w:val="19"/>
                    <w:jc w:val="center"/>
                    <w:rPr>
                      <w:rFonts w:ascii="Times New Roman" w:hAnsi="Times New Roman" w:cs="Times New Roman"/>
                    </w:rPr>
                  </w:pPr>
                  <w:r>
                    <w:rPr>
                      <w:rFonts w:hint="eastAsia" w:ascii="Times New Roman" w:hAnsi="Times New Roman" w:cs="Times New Roman"/>
                    </w:rPr>
                    <w:t>污水来源</w:t>
                  </w:r>
                </w:p>
              </w:tc>
              <w:tc>
                <w:tcPr>
                  <w:tcW w:w="837" w:type="dxa"/>
                  <w:vAlign w:val="center"/>
                </w:tcPr>
                <w:p w14:paraId="71201718">
                  <w:pPr>
                    <w:pStyle w:val="19"/>
                    <w:jc w:val="center"/>
                    <w:rPr>
                      <w:rFonts w:ascii="Times New Roman" w:hAnsi="Times New Roman" w:cs="Times New Roman"/>
                    </w:rPr>
                  </w:pPr>
                  <w:r>
                    <w:rPr>
                      <w:rFonts w:hint="eastAsia" w:ascii="Times New Roman" w:hAnsi="Times New Roman" w:cs="Times New Roman"/>
                    </w:rPr>
                    <w:t>污染物</w:t>
                  </w:r>
                </w:p>
                <w:p w14:paraId="759A16BE">
                  <w:pPr>
                    <w:pStyle w:val="19"/>
                    <w:jc w:val="center"/>
                    <w:rPr>
                      <w:rFonts w:ascii="Times New Roman" w:hAnsi="Times New Roman" w:cs="Times New Roman"/>
                    </w:rPr>
                  </w:pPr>
                  <w:r>
                    <w:rPr>
                      <w:rFonts w:hint="eastAsia" w:ascii="Times New Roman" w:hAnsi="Times New Roman" w:cs="Times New Roman"/>
                    </w:rPr>
                    <w:t>名称</w:t>
                  </w:r>
                </w:p>
              </w:tc>
              <w:tc>
                <w:tcPr>
                  <w:tcW w:w="650" w:type="dxa"/>
                  <w:vAlign w:val="center"/>
                </w:tcPr>
                <w:p w14:paraId="1ED9AC30">
                  <w:pPr>
                    <w:pStyle w:val="19"/>
                    <w:jc w:val="center"/>
                    <w:rPr>
                      <w:rFonts w:ascii="Times New Roman" w:hAnsi="Times New Roman" w:cs="Times New Roman"/>
                    </w:rPr>
                  </w:pPr>
                  <w:r>
                    <w:rPr>
                      <w:rFonts w:hint="eastAsia" w:ascii="Times New Roman" w:hAnsi="Times New Roman" w:cs="Times New Roman"/>
                    </w:rPr>
                    <w:t>产生浓度（mg/l）</w:t>
                  </w:r>
                </w:p>
              </w:tc>
              <w:tc>
                <w:tcPr>
                  <w:tcW w:w="763" w:type="dxa"/>
                  <w:vAlign w:val="center"/>
                </w:tcPr>
                <w:p w14:paraId="41751500">
                  <w:pPr>
                    <w:pStyle w:val="19"/>
                    <w:jc w:val="center"/>
                    <w:rPr>
                      <w:rFonts w:ascii="Times New Roman" w:hAnsi="Times New Roman" w:cs="Times New Roman"/>
                    </w:rPr>
                  </w:pPr>
                  <w:r>
                    <w:rPr>
                      <w:rFonts w:hint="eastAsia" w:ascii="Times New Roman" w:hAnsi="Times New Roman" w:cs="Times New Roman"/>
                    </w:rPr>
                    <w:t>产生量（t/a）</w:t>
                  </w:r>
                </w:p>
              </w:tc>
              <w:tc>
                <w:tcPr>
                  <w:tcW w:w="625" w:type="dxa"/>
                  <w:vAlign w:val="center"/>
                </w:tcPr>
                <w:p w14:paraId="3A0DC5D4">
                  <w:pPr>
                    <w:pStyle w:val="19"/>
                    <w:jc w:val="center"/>
                    <w:rPr>
                      <w:rFonts w:ascii="Times New Roman" w:hAnsi="Times New Roman" w:cs="Times New Roman"/>
                    </w:rPr>
                  </w:pPr>
                  <w:r>
                    <w:rPr>
                      <w:rFonts w:hint="eastAsia" w:ascii="Times New Roman" w:hAnsi="Times New Roman" w:cs="Times New Roman"/>
                    </w:rPr>
                    <w:t>处理设施</w:t>
                  </w:r>
                </w:p>
              </w:tc>
              <w:tc>
                <w:tcPr>
                  <w:tcW w:w="725" w:type="dxa"/>
                  <w:vAlign w:val="center"/>
                </w:tcPr>
                <w:p w14:paraId="4D8C2D48">
                  <w:pPr>
                    <w:pStyle w:val="19"/>
                    <w:jc w:val="center"/>
                    <w:rPr>
                      <w:rFonts w:ascii="Times New Roman" w:hAnsi="Times New Roman" w:cs="Times New Roman"/>
                    </w:rPr>
                  </w:pPr>
                  <w:r>
                    <w:rPr>
                      <w:rFonts w:hint="eastAsia" w:ascii="Times New Roman" w:hAnsi="Times New Roman" w:cs="Times New Roman"/>
                    </w:rPr>
                    <w:t>处理效率（%）</w:t>
                  </w:r>
                </w:p>
              </w:tc>
              <w:tc>
                <w:tcPr>
                  <w:tcW w:w="1025" w:type="dxa"/>
                  <w:vAlign w:val="center"/>
                </w:tcPr>
                <w:p w14:paraId="33596B6E">
                  <w:pPr>
                    <w:pStyle w:val="19"/>
                    <w:jc w:val="center"/>
                    <w:rPr>
                      <w:rFonts w:ascii="Times New Roman" w:hAnsi="Times New Roman" w:cs="Times New Roman"/>
                    </w:rPr>
                  </w:pPr>
                  <w:r>
                    <w:rPr>
                      <w:rFonts w:hint="eastAsia" w:ascii="Times New Roman" w:hAnsi="Times New Roman" w:cs="Times New Roman"/>
                    </w:rPr>
                    <w:t>排放浓度（mg/l）</w:t>
                  </w:r>
                </w:p>
              </w:tc>
              <w:tc>
                <w:tcPr>
                  <w:tcW w:w="975" w:type="dxa"/>
                  <w:vAlign w:val="center"/>
                </w:tcPr>
                <w:p w14:paraId="2ED985A3">
                  <w:pPr>
                    <w:widowControl/>
                    <w:tabs>
                      <w:tab w:val="left" w:pos="449"/>
                    </w:tabs>
                    <w:jc w:val="center"/>
                    <w:textAlignment w:val="center"/>
                    <w:rPr>
                      <w:szCs w:val="21"/>
                    </w:rPr>
                  </w:pPr>
                  <w:r>
                    <w:rPr>
                      <w:rFonts w:hint="eastAsia"/>
                      <w:szCs w:val="21"/>
                    </w:rPr>
                    <w:t>排放量（t/a）</w:t>
                  </w:r>
                </w:p>
              </w:tc>
              <w:tc>
                <w:tcPr>
                  <w:tcW w:w="712" w:type="dxa"/>
                  <w:vAlign w:val="center"/>
                </w:tcPr>
                <w:p w14:paraId="000A164A">
                  <w:pPr>
                    <w:pStyle w:val="19"/>
                    <w:jc w:val="center"/>
                    <w:rPr>
                      <w:rFonts w:ascii="Times New Roman" w:hAnsi="Times New Roman" w:cs="Times New Roman"/>
                    </w:rPr>
                  </w:pPr>
                  <w:r>
                    <w:rPr>
                      <w:rFonts w:hint="eastAsia" w:ascii="Times New Roman" w:hAnsi="Times New Roman" w:cs="Times New Roman"/>
                    </w:rPr>
                    <w:t>标准限值mg/l</w:t>
                  </w:r>
                </w:p>
              </w:tc>
              <w:tc>
                <w:tcPr>
                  <w:tcW w:w="719" w:type="dxa"/>
                  <w:vAlign w:val="center"/>
                </w:tcPr>
                <w:p w14:paraId="29E0B145">
                  <w:pPr>
                    <w:pStyle w:val="19"/>
                    <w:jc w:val="center"/>
                    <w:rPr>
                      <w:rFonts w:ascii="Times New Roman" w:hAnsi="Times New Roman" w:cs="Times New Roman"/>
                    </w:rPr>
                  </w:pPr>
                  <w:r>
                    <w:rPr>
                      <w:rFonts w:hint="eastAsia" w:ascii="Times New Roman" w:hAnsi="Times New Roman" w:cs="Times New Roman"/>
                    </w:rPr>
                    <w:t>达标情况</w:t>
                  </w:r>
                </w:p>
              </w:tc>
            </w:tr>
            <w:tr w14:paraId="2EA5E82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96" w:hRule="atLeast"/>
              </w:trPr>
              <w:tc>
                <w:tcPr>
                  <w:tcW w:w="1246" w:type="dxa"/>
                  <w:vMerge w:val="restart"/>
                  <w:vAlign w:val="center"/>
                </w:tcPr>
                <w:p w14:paraId="4E07803A">
                  <w:pPr>
                    <w:pStyle w:val="19"/>
                    <w:rPr>
                      <w:rFonts w:ascii="Times New Roman" w:hAnsi="Times New Roman" w:cs="Times New Roman"/>
                    </w:rPr>
                  </w:pPr>
                  <w:r>
                    <w:rPr>
                      <w:rFonts w:ascii="Times New Roman" w:hAnsi="Times New Roman" w:cs="Times New Roman"/>
                    </w:rPr>
                    <w:t>生活污水（</w:t>
                  </w:r>
                  <w:r>
                    <w:rPr>
                      <w:rFonts w:hint="eastAsia" w:ascii="Times New Roman" w:hAnsi="Times New Roman" w:cs="Times New Roman"/>
                    </w:rPr>
                    <w:t>324</w:t>
                  </w:r>
                  <w:r>
                    <w:rPr>
                      <w:rFonts w:ascii="Times New Roman" w:hAnsi="Times New Roman" w:cs="Times New Roman"/>
                    </w:rPr>
                    <w:t>m</w:t>
                  </w:r>
                  <w:r>
                    <w:rPr>
                      <w:rFonts w:ascii="Times New Roman" w:hAnsi="Times New Roman" w:cs="Times New Roman"/>
                      <w:vertAlign w:val="superscript"/>
                    </w:rPr>
                    <w:t>3</w:t>
                  </w:r>
                  <w:r>
                    <w:rPr>
                      <w:rFonts w:ascii="Times New Roman" w:hAnsi="Times New Roman" w:cs="Times New Roman"/>
                    </w:rPr>
                    <w:t>/a）</w:t>
                  </w:r>
                </w:p>
              </w:tc>
              <w:tc>
                <w:tcPr>
                  <w:tcW w:w="837" w:type="dxa"/>
                  <w:vAlign w:val="center"/>
                </w:tcPr>
                <w:p w14:paraId="5571874D">
                  <w:pPr>
                    <w:pStyle w:val="19"/>
                    <w:jc w:val="center"/>
                    <w:rPr>
                      <w:rFonts w:ascii="Times New Roman" w:hAnsi="Times New Roman" w:cs="Times New Roman"/>
                    </w:rPr>
                  </w:pPr>
                  <w:r>
                    <w:rPr>
                      <w:rFonts w:ascii="Times New Roman" w:hAnsi="Times New Roman" w:cs="Times New Roman"/>
                    </w:rPr>
                    <w:t>COD</w:t>
                  </w:r>
                </w:p>
              </w:tc>
              <w:tc>
                <w:tcPr>
                  <w:tcW w:w="650" w:type="dxa"/>
                  <w:vAlign w:val="center"/>
                </w:tcPr>
                <w:p w14:paraId="4238899A">
                  <w:pPr>
                    <w:pStyle w:val="19"/>
                    <w:jc w:val="center"/>
                    <w:rPr>
                      <w:rFonts w:ascii="Times New Roman" w:hAnsi="Times New Roman" w:cs="Times New Roman"/>
                    </w:rPr>
                  </w:pPr>
                  <w:r>
                    <w:rPr>
                      <w:rFonts w:hint="eastAsia" w:ascii="Times New Roman" w:hAnsi="Times New Roman" w:cs="Times New Roman"/>
                    </w:rPr>
                    <w:t>400</w:t>
                  </w:r>
                </w:p>
              </w:tc>
              <w:tc>
                <w:tcPr>
                  <w:tcW w:w="763" w:type="dxa"/>
                  <w:vAlign w:val="center"/>
                </w:tcPr>
                <w:p w14:paraId="3DA226A1">
                  <w:pPr>
                    <w:pStyle w:val="19"/>
                    <w:jc w:val="center"/>
                    <w:rPr>
                      <w:rFonts w:ascii="Times New Roman" w:hAnsi="Times New Roman" w:cs="Times New Roman"/>
                    </w:rPr>
                  </w:pPr>
                  <w:r>
                    <w:rPr>
                      <w:rFonts w:hint="eastAsia" w:ascii="Times New Roman" w:hAnsi="Times New Roman" w:cs="Times New Roman"/>
                    </w:rPr>
                    <w:t>0.13</w:t>
                  </w:r>
                </w:p>
              </w:tc>
              <w:tc>
                <w:tcPr>
                  <w:tcW w:w="625" w:type="dxa"/>
                  <w:vMerge w:val="restart"/>
                  <w:vAlign w:val="center"/>
                </w:tcPr>
                <w:p w14:paraId="26BD43BE">
                  <w:pPr>
                    <w:pStyle w:val="19"/>
                    <w:jc w:val="center"/>
                    <w:rPr>
                      <w:rFonts w:ascii="Times New Roman" w:hAnsi="Times New Roman" w:cs="Times New Roman"/>
                    </w:rPr>
                  </w:pPr>
                  <w:r>
                    <w:rPr>
                      <w:rFonts w:hint="eastAsia" w:ascii="Times New Roman" w:hAnsi="Times New Roman" w:cs="Times New Roman"/>
                    </w:rPr>
                    <w:t>化粪池</w:t>
                  </w:r>
                </w:p>
                <w:p w14:paraId="02B9A1E8">
                  <w:pPr>
                    <w:pStyle w:val="19"/>
                    <w:jc w:val="center"/>
                    <w:rPr>
                      <w:rFonts w:ascii="Times New Roman" w:hAnsi="Times New Roman" w:cs="Times New Roman"/>
                    </w:rPr>
                  </w:pPr>
                </w:p>
              </w:tc>
              <w:tc>
                <w:tcPr>
                  <w:tcW w:w="725" w:type="dxa"/>
                  <w:vAlign w:val="center"/>
                </w:tcPr>
                <w:p w14:paraId="23D60DF3">
                  <w:pPr>
                    <w:pStyle w:val="19"/>
                    <w:jc w:val="center"/>
                    <w:rPr>
                      <w:rFonts w:ascii="Times New Roman" w:hAnsi="Times New Roman" w:cs="Times New Roman"/>
                    </w:rPr>
                  </w:pPr>
                  <w:r>
                    <w:rPr>
                      <w:rFonts w:hint="eastAsia" w:ascii="Times New Roman" w:hAnsi="Times New Roman" w:cs="Times New Roman"/>
                    </w:rPr>
                    <w:t>15</w:t>
                  </w:r>
                </w:p>
              </w:tc>
              <w:tc>
                <w:tcPr>
                  <w:tcW w:w="1025" w:type="dxa"/>
                  <w:vAlign w:val="center"/>
                </w:tcPr>
                <w:p w14:paraId="30AEC277">
                  <w:pPr>
                    <w:widowControl/>
                    <w:jc w:val="center"/>
                    <w:textAlignment w:val="center"/>
                    <w:rPr>
                      <w:szCs w:val="21"/>
                    </w:rPr>
                  </w:pPr>
                  <w:r>
                    <w:rPr>
                      <w:rFonts w:hint="eastAsia"/>
                      <w:szCs w:val="21"/>
                    </w:rPr>
                    <w:t>340</w:t>
                  </w:r>
                </w:p>
              </w:tc>
              <w:tc>
                <w:tcPr>
                  <w:tcW w:w="975" w:type="dxa"/>
                  <w:vAlign w:val="center"/>
                </w:tcPr>
                <w:p w14:paraId="6F83486E">
                  <w:pPr>
                    <w:widowControl/>
                    <w:tabs>
                      <w:tab w:val="left" w:pos="449"/>
                    </w:tabs>
                    <w:jc w:val="center"/>
                    <w:textAlignment w:val="center"/>
                    <w:rPr>
                      <w:szCs w:val="21"/>
                    </w:rPr>
                  </w:pPr>
                  <w:r>
                    <w:rPr>
                      <w:rFonts w:hint="eastAsia"/>
                      <w:szCs w:val="21"/>
                    </w:rPr>
                    <w:t>0.11</w:t>
                  </w:r>
                </w:p>
              </w:tc>
              <w:tc>
                <w:tcPr>
                  <w:tcW w:w="712" w:type="dxa"/>
                  <w:vAlign w:val="center"/>
                </w:tcPr>
                <w:p w14:paraId="0DEC07F7">
                  <w:pPr>
                    <w:widowControl/>
                    <w:jc w:val="center"/>
                    <w:textAlignment w:val="center"/>
                    <w:rPr>
                      <w:kern w:val="0"/>
                      <w:szCs w:val="21"/>
                    </w:rPr>
                  </w:pPr>
                  <w:r>
                    <w:rPr>
                      <w:rFonts w:hint="eastAsia"/>
                      <w:kern w:val="0"/>
                      <w:szCs w:val="21"/>
                    </w:rPr>
                    <w:t>500</w:t>
                  </w:r>
                </w:p>
              </w:tc>
              <w:tc>
                <w:tcPr>
                  <w:tcW w:w="719" w:type="dxa"/>
                  <w:vAlign w:val="center"/>
                </w:tcPr>
                <w:p w14:paraId="51EE7415">
                  <w:pPr>
                    <w:widowControl/>
                    <w:jc w:val="center"/>
                    <w:textAlignment w:val="center"/>
                    <w:rPr>
                      <w:kern w:val="0"/>
                      <w:szCs w:val="21"/>
                    </w:rPr>
                  </w:pPr>
                  <w:r>
                    <w:rPr>
                      <w:rFonts w:hint="eastAsia"/>
                      <w:kern w:val="0"/>
                      <w:szCs w:val="21"/>
                    </w:rPr>
                    <w:t>达标</w:t>
                  </w:r>
                </w:p>
              </w:tc>
            </w:tr>
            <w:tr w14:paraId="371C841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46" w:type="dxa"/>
                  <w:vMerge w:val="continue"/>
                  <w:vAlign w:val="center"/>
                </w:tcPr>
                <w:p w14:paraId="0B56F357">
                  <w:pPr>
                    <w:pStyle w:val="19"/>
                    <w:jc w:val="center"/>
                  </w:pPr>
                </w:p>
              </w:tc>
              <w:tc>
                <w:tcPr>
                  <w:tcW w:w="837" w:type="dxa"/>
                  <w:vAlign w:val="center"/>
                </w:tcPr>
                <w:p w14:paraId="0CC68F4E">
                  <w:pPr>
                    <w:pStyle w:val="19"/>
                    <w:jc w:val="center"/>
                    <w:rPr>
                      <w:rFonts w:ascii="Times New Roman" w:hAnsi="Times New Roman" w:cs="Times New Roman"/>
                    </w:rPr>
                  </w:pPr>
                  <w:r>
                    <w:rPr>
                      <w:rFonts w:ascii="Times New Roman" w:hAnsi="Times New Roman" w:cs="Times New Roman"/>
                    </w:rPr>
                    <w:t>BOD</w:t>
                  </w:r>
                  <w:r>
                    <w:rPr>
                      <w:rFonts w:ascii="Times New Roman" w:hAnsi="Times New Roman" w:cs="Times New Roman"/>
                      <w:vertAlign w:val="subscript"/>
                    </w:rPr>
                    <w:t>5</w:t>
                  </w:r>
                </w:p>
              </w:tc>
              <w:tc>
                <w:tcPr>
                  <w:tcW w:w="650" w:type="dxa"/>
                  <w:vAlign w:val="center"/>
                </w:tcPr>
                <w:p w14:paraId="20D2460B">
                  <w:pPr>
                    <w:pStyle w:val="19"/>
                    <w:jc w:val="center"/>
                    <w:rPr>
                      <w:rFonts w:ascii="Times New Roman" w:hAnsi="Times New Roman" w:cs="Times New Roman"/>
                    </w:rPr>
                  </w:pPr>
                  <w:r>
                    <w:rPr>
                      <w:rFonts w:hint="eastAsia" w:ascii="Times New Roman" w:hAnsi="Times New Roman" w:cs="Times New Roman"/>
                    </w:rPr>
                    <w:t>220</w:t>
                  </w:r>
                </w:p>
              </w:tc>
              <w:tc>
                <w:tcPr>
                  <w:tcW w:w="763" w:type="dxa"/>
                  <w:vAlign w:val="center"/>
                </w:tcPr>
                <w:p w14:paraId="6FD1D64B">
                  <w:pPr>
                    <w:pStyle w:val="19"/>
                    <w:jc w:val="center"/>
                    <w:rPr>
                      <w:rFonts w:ascii="Times New Roman" w:hAnsi="Times New Roman" w:cs="Times New Roman"/>
                    </w:rPr>
                  </w:pPr>
                  <w:r>
                    <w:rPr>
                      <w:rFonts w:hint="eastAsia" w:ascii="Times New Roman" w:hAnsi="Times New Roman" w:cs="Times New Roman"/>
                    </w:rPr>
                    <w:t>0.071</w:t>
                  </w:r>
                </w:p>
              </w:tc>
              <w:tc>
                <w:tcPr>
                  <w:tcW w:w="625" w:type="dxa"/>
                  <w:vMerge w:val="continue"/>
                  <w:vAlign w:val="center"/>
                </w:tcPr>
                <w:p w14:paraId="3C1DFDFB">
                  <w:pPr>
                    <w:pStyle w:val="19"/>
                    <w:jc w:val="center"/>
                    <w:rPr>
                      <w:rFonts w:ascii="Times New Roman" w:hAnsi="Times New Roman" w:cs="Times New Roman"/>
                    </w:rPr>
                  </w:pPr>
                </w:p>
              </w:tc>
              <w:tc>
                <w:tcPr>
                  <w:tcW w:w="725" w:type="dxa"/>
                  <w:vAlign w:val="center"/>
                </w:tcPr>
                <w:p w14:paraId="7BC0F4D3">
                  <w:pPr>
                    <w:pStyle w:val="19"/>
                    <w:jc w:val="center"/>
                    <w:rPr>
                      <w:rFonts w:ascii="Times New Roman" w:hAnsi="Times New Roman" w:cs="Times New Roman"/>
                    </w:rPr>
                  </w:pPr>
                  <w:r>
                    <w:rPr>
                      <w:rFonts w:hint="eastAsia" w:ascii="Times New Roman" w:hAnsi="Times New Roman" w:cs="Times New Roman"/>
                    </w:rPr>
                    <w:t>9</w:t>
                  </w:r>
                </w:p>
              </w:tc>
              <w:tc>
                <w:tcPr>
                  <w:tcW w:w="1025" w:type="dxa"/>
                  <w:vAlign w:val="center"/>
                </w:tcPr>
                <w:p w14:paraId="00553E5B">
                  <w:pPr>
                    <w:widowControl/>
                    <w:jc w:val="center"/>
                    <w:textAlignment w:val="center"/>
                    <w:rPr>
                      <w:szCs w:val="21"/>
                    </w:rPr>
                  </w:pPr>
                  <w:r>
                    <w:rPr>
                      <w:rFonts w:hint="eastAsia"/>
                      <w:szCs w:val="21"/>
                    </w:rPr>
                    <w:t>200.2</w:t>
                  </w:r>
                </w:p>
              </w:tc>
              <w:tc>
                <w:tcPr>
                  <w:tcW w:w="975" w:type="dxa"/>
                  <w:vAlign w:val="center"/>
                </w:tcPr>
                <w:p w14:paraId="01E4EB1F">
                  <w:pPr>
                    <w:widowControl/>
                    <w:tabs>
                      <w:tab w:val="left" w:pos="449"/>
                    </w:tabs>
                    <w:jc w:val="center"/>
                    <w:textAlignment w:val="center"/>
                    <w:rPr>
                      <w:szCs w:val="21"/>
                    </w:rPr>
                  </w:pPr>
                  <w:r>
                    <w:rPr>
                      <w:rFonts w:hint="eastAsia"/>
                      <w:szCs w:val="21"/>
                    </w:rPr>
                    <w:t>0.065</w:t>
                  </w:r>
                </w:p>
              </w:tc>
              <w:tc>
                <w:tcPr>
                  <w:tcW w:w="712" w:type="dxa"/>
                  <w:vAlign w:val="center"/>
                </w:tcPr>
                <w:p w14:paraId="7A65C4CB">
                  <w:pPr>
                    <w:widowControl/>
                    <w:jc w:val="center"/>
                    <w:textAlignment w:val="center"/>
                    <w:rPr>
                      <w:kern w:val="0"/>
                      <w:szCs w:val="21"/>
                    </w:rPr>
                  </w:pPr>
                  <w:r>
                    <w:rPr>
                      <w:rFonts w:hint="eastAsia"/>
                      <w:kern w:val="0"/>
                      <w:szCs w:val="21"/>
                    </w:rPr>
                    <w:t>300</w:t>
                  </w:r>
                </w:p>
              </w:tc>
              <w:tc>
                <w:tcPr>
                  <w:tcW w:w="719" w:type="dxa"/>
                  <w:vAlign w:val="center"/>
                </w:tcPr>
                <w:p w14:paraId="42F6D4BD">
                  <w:pPr>
                    <w:widowControl/>
                    <w:jc w:val="center"/>
                    <w:textAlignment w:val="center"/>
                    <w:rPr>
                      <w:kern w:val="0"/>
                      <w:szCs w:val="21"/>
                    </w:rPr>
                  </w:pPr>
                  <w:r>
                    <w:rPr>
                      <w:rFonts w:hint="eastAsia"/>
                      <w:kern w:val="0"/>
                      <w:szCs w:val="21"/>
                    </w:rPr>
                    <w:t>达标</w:t>
                  </w:r>
                </w:p>
              </w:tc>
            </w:tr>
            <w:tr w14:paraId="1B1D2C4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4" w:hRule="atLeast"/>
              </w:trPr>
              <w:tc>
                <w:tcPr>
                  <w:tcW w:w="1246" w:type="dxa"/>
                  <w:vMerge w:val="continue"/>
                  <w:vAlign w:val="center"/>
                </w:tcPr>
                <w:p w14:paraId="44016CDD">
                  <w:pPr>
                    <w:pStyle w:val="19"/>
                    <w:jc w:val="center"/>
                  </w:pPr>
                </w:p>
              </w:tc>
              <w:tc>
                <w:tcPr>
                  <w:tcW w:w="837" w:type="dxa"/>
                  <w:vAlign w:val="center"/>
                </w:tcPr>
                <w:p w14:paraId="409D21E6">
                  <w:pPr>
                    <w:pStyle w:val="19"/>
                    <w:jc w:val="center"/>
                    <w:rPr>
                      <w:rFonts w:ascii="Times New Roman" w:hAnsi="Times New Roman" w:cs="Times New Roman"/>
                    </w:rPr>
                  </w:pPr>
                  <w:r>
                    <w:rPr>
                      <w:rFonts w:ascii="Times New Roman" w:hAnsi="Times New Roman" w:cs="Times New Roman"/>
                    </w:rPr>
                    <w:t>SS</w:t>
                  </w:r>
                </w:p>
              </w:tc>
              <w:tc>
                <w:tcPr>
                  <w:tcW w:w="650" w:type="dxa"/>
                  <w:vAlign w:val="center"/>
                </w:tcPr>
                <w:p w14:paraId="2633D977">
                  <w:pPr>
                    <w:pStyle w:val="19"/>
                    <w:jc w:val="center"/>
                    <w:rPr>
                      <w:rFonts w:ascii="Times New Roman" w:hAnsi="Times New Roman" w:cs="Times New Roman"/>
                    </w:rPr>
                  </w:pPr>
                  <w:r>
                    <w:rPr>
                      <w:rFonts w:hint="eastAsia" w:ascii="Times New Roman" w:hAnsi="Times New Roman" w:cs="Times New Roman"/>
                    </w:rPr>
                    <w:t>200</w:t>
                  </w:r>
                </w:p>
              </w:tc>
              <w:tc>
                <w:tcPr>
                  <w:tcW w:w="763" w:type="dxa"/>
                  <w:vAlign w:val="center"/>
                </w:tcPr>
                <w:p w14:paraId="2EC549C8">
                  <w:pPr>
                    <w:pStyle w:val="19"/>
                    <w:jc w:val="center"/>
                    <w:rPr>
                      <w:rFonts w:ascii="Times New Roman" w:hAnsi="Times New Roman" w:cs="Times New Roman"/>
                    </w:rPr>
                  </w:pPr>
                  <w:r>
                    <w:rPr>
                      <w:rFonts w:hint="eastAsia" w:ascii="Times New Roman" w:hAnsi="Times New Roman" w:cs="Times New Roman"/>
                    </w:rPr>
                    <w:t>0.065</w:t>
                  </w:r>
                </w:p>
              </w:tc>
              <w:tc>
                <w:tcPr>
                  <w:tcW w:w="625" w:type="dxa"/>
                  <w:vMerge w:val="continue"/>
                  <w:vAlign w:val="center"/>
                </w:tcPr>
                <w:p w14:paraId="1CB5AE48">
                  <w:pPr>
                    <w:pStyle w:val="19"/>
                    <w:jc w:val="center"/>
                    <w:rPr>
                      <w:rFonts w:ascii="Times New Roman" w:hAnsi="Times New Roman" w:cs="Times New Roman"/>
                    </w:rPr>
                  </w:pPr>
                </w:p>
              </w:tc>
              <w:tc>
                <w:tcPr>
                  <w:tcW w:w="725" w:type="dxa"/>
                  <w:vAlign w:val="center"/>
                </w:tcPr>
                <w:p w14:paraId="0BBBD9FD">
                  <w:pPr>
                    <w:pStyle w:val="19"/>
                    <w:jc w:val="center"/>
                    <w:rPr>
                      <w:rFonts w:ascii="Times New Roman" w:hAnsi="Times New Roman" w:cs="Times New Roman"/>
                    </w:rPr>
                  </w:pPr>
                  <w:r>
                    <w:rPr>
                      <w:rFonts w:hint="eastAsia" w:ascii="Times New Roman" w:hAnsi="Times New Roman" w:cs="Times New Roman"/>
                    </w:rPr>
                    <w:t>30</w:t>
                  </w:r>
                </w:p>
              </w:tc>
              <w:tc>
                <w:tcPr>
                  <w:tcW w:w="1025" w:type="dxa"/>
                  <w:vAlign w:val="center"/>
                </w:tcPr>
                <w:p w14:paraId="5EC8C21E">
                  <w:pPr>
                    <w:widowControl/>
                    <w:tabs>
                      <w:tab w:val="left" w:pos="449"/>
                    </w:tabs>
                    <w:jc w:val="center"/>
                    <w:textAlignment w:val="center"/>
                    <w:rPr>
                      <w:szCs w:val="21"/>
                    </w:rPr>
                  </w:pPr>
                  <w:r>
                    <w:rPr>
                      <w:rFonts w:hint="eastAsia"/>
                      <w:szCs w:val="21"/>
                    </w:rPr>
                    <w:t>140</w:t>
                  </w:r>
                </w:p>
              </w:tc>
              <w:tc>
                <w:tcPr>
                  <w:tcW w:w="975" w:type="dxa"/>
                  <w:vAlign w:val="center"/>
                </w:tcPr>
                <w:p w14:paraId="23AC4D2C">
                  <w:pPr>
                    <w:widowControl/>
                    <w:tabs>
                      <w:tab w:val="left" w:pos="449"/>
                    </w:tabs>
                    <w:jc w:val="center"/>
                    <w:textAlignment w:val="center"/>
                    <w:rPr>
                      <w:szCs w:val="21"/>
                    </w:rPr>
                  </w:pPr>
                  <w:r>
                    <w:rPr>
                      <w:rFonts w:hint="eastAsia"/>
                      <w:szCs w:val="21"/>
                    </w:rPr>
                    <w:t>0.045</w:t>
                  </w:r>
                </w:p>
              </w:tc>
              <w:tc>
                <w:tcPr>
                  <w:tcW w:w="712" w:type="dxa"/>
                  <w:vAlign w:val="center"/>
                </w:tcPr>
                <w:p w14:paraId="08ECDF7D">
                  <w:pPr>
                    <w:widowControl/>
                    <w:jc w:val="center"/>
                    <w:textAlignment w:val="center"/>
                    <w:rPr>
                      <w:kern w:val="0"/>
                      <w:szCs w:val="21"/>
                    </w:rPr>
                  </w:pPr>
                  <w:r>
                    <w:rPr>
                      <w:rFonts w:hint="eastAsia"/>
                      <w:kern w:val="0"/>
                      <w:szCs w:val="21"/>
                    </w:rPr>
                    <w:t>400</w:t>
                  </w:r>
                </w:p>
              </w:tc>
              <w:tc>
                <w:tcPr>
                  <w:tcW w:w="719" w:type="dxa"/>
                  <w:vAlign w:val="center"/>
                </w:tcPr>
                <w:p w14:paraId="415E3942">
                  <w:pPr>
                    <w:widowControl/>
                    <w:jc w:val="center"/>
                    <w:textAlignment w:val="center"/>
                    <w:rPr>
                      <w:kern w:val="0"/>
                      <w:szCs w:val="21"/>
                    </w:rPr>
                  </w:pPr>
                  <w:r>
                    <w:rPr>
                      <w:rFonts w:hint="eastAsia"/>
                      <w:kern w:val="0"/>
                      <w:szCs w:val="21"/>
                    </w:rPr>
                    <w:t>达标</w:t>
                  </w:r>
                </w:p>
              </w:tc>
            </w:tr>
            <w:tr w14:paraId="28FCB2A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1246" w:type="dxa"/>
                  <w:vMerge w:val="continue"/>
                  <w:vAlign w:val="center"/>
                </w:tcPr>
                <w:p w14:paraId="7ED1C42A">
                  <w:pPr>
                    <w:pStyle w:val="19"/>
                    <w:jc w:val="center"/>
                  </w:pPr>
                </w:p>
              </w:tc>
              <w:tc>
                <w:tcPr>
                  <w:tcW w:w="837" w:type="dxa"/>
                  <w:vAlign w:val="center"/>
                </w:tcPr>
                <w:p w14:paraId="0AA0702A">
                  <w:pPr>
                    <w:pStyle w:val="19"/>
                    <w:jc w:val="center"/>
                    <w:rPr>
                      <w:rFonts w:ascii="Times New Roman" w:hAnsi="Times New Roman" w:cs="Times New Roman"/>
                    </w:rPr>
                  </w:pPr>
                  <w:r>
                    <w:rPr>
                      <w:rFonts w:hint="eastAsia" w:ascii="Times New Roman" w:hAnsi="Times New Roman" w:cs="Times New Roman"/>
                    </w:rPr>
                    <w:t>氨氮</w:t>
                  </w:r>
                </w:p>
              </w:tc>
              <w:tc>
                <w:tcPr>
                  <w:tcW w:w="650" w:type="dxa"/>
                  <w:vAlign w:val="center"/>
                </w:tcPr>
                <w:p w14:paraId="443BCF8B">
                  <w:pPr>
                    <w:pStyle w:val="19"/>
                    <w:jc w:val="center"/>
                    <w:rPr>
                      <w:rFonts w:ascii="Times New Roman" w:hAnsi="Times New Roman" w:cs="Times New Roman"/>
                    </w:rPr>
                  </w:pPr>
                  <w:r>
                    <w:rPr>
                      <w:rFonts w:hint="eastAsia" w:ascii="Times New Roman" w:hAnsi="Times New Roman" w:cs="Times New Roman"/>
                    </w:rPr>
                    <w:t>25</w:t>
                  </w:r>
                </w:p>
              </w:tc>
              <w:tc>
                <w:tcPr>
                  <w:tcW w:w="763" w:type="dxa"/>
                  <w:vAlign w:val="center"/>
                </w:tcPr>
                <w:p w14:paraId="4C091190">
                  <w:pPr>
                    <w:pStyle w:val="19"/>
                    <w:jc w:val="center"/>
                    <w:rPr>
                      <w:rFonts w:ascii="Times New Roman" w:hAnsi="Times New Roman" w:cs="Times New Roman"/>
                    </w:rPr>
                  </w:pPr>
                  <w:r>
                    <w:rPr>
                      <w:rFonts w:hint="eastAsia" w:ascii="Times New Roman" w:hAnsi="Times New Roman" w:cs="Times New Roman"/>
                    </w:rPr>
                    <w:t>0.008</w:t>
                  </w:r>
                </w:p>
              </w:tc>
              <w:tc>
                <w:tcPr>
                  <w:tcW w:w="625" w:type="dxa"/>
                  <w:vMerge w:val="continue"/>
                  <w:vAlign w:val="center"/>
                </w:tcPr>
                <w:p w14:paraId="37B6001A">
                  <w:pPr>
                    <w:pStyle w:val="19"/>
                    <w:jc w:val="center"/>
                    <w:rPr>
                      <w:rFonts w:ascii="Times New Roman" w:hAnsi="Times New Roman" w:cs="Times New Roman"/>
                    </w:rPr>
                  </w:pPr>
                </w:p>
              </w:tc>
              <w:tc>
                <w:tcPr>
                  <w:tcW w:w="725" w:type="dxa"/>
                  <w:vAlign w:val="center"/>
                </w:tcPr>
                <w:p w14:paraId="3D753774">
                  <w:pPr>
                    <w:pStyle w:val="19"/>
                    <w:jc w:val="center"/>
                    <w:rPr>
                      <w:rFonts w:ascii="Times New Roman" w:hAnsi="Times New Roman" w:cs="Times New Roman"/>
                    </w:rPr>
                  </w:pPr>
                  <w:r>
                    <w:rPr>
                      <w:rFonts w:hint="eastAsia" w:ascii="Times New Roman" w:hAnsi="Times New Roman" w:cs="Times New Roman"/>
                    </w:rPr>
                    <w:t>3</w:t>
                  </w:r>
                </w:p>
              </w:tc>
              <w:tc>
                <w:tcPr>
                  <w:tcW w:w="1025" w:type="dxa"/>
                  <w:vAlign w:val="center"/>
                </w:tcPr>
                <w:p w14:paraId="43750ABD">
                  <w:pPr>
                    <w:widowControl/>
                    <w:jc w:val="center"/>
                    <w:textAlignment w:val="center"/>
                    <w:rPr>
                      <w:szCs w:val="21"/>
                    </w:rPr>
                  </w:pPr>
                  <w:r>
                    <w:rPr>
                      <w:rFonts w:hint="eastAsia"/>
                      <w:szCs w:val="21"/>
                    </w:rPr>
                    <w:t>17.5</w:t>
                  </w:r>
                </w:p>
              </w:tc>
              <w:tc>
                <w:tcPr>
                  <w:tcW w:w="975" w:type="dxa"/>
                  <w:vAlign w:val="center"/>
                </w:tcPr>
                <w:p w14:paraId="10FFE25E">
                  <w:pPr>
                    <w:widowControl/>
                    <w:tabs>
                      <w:tab w:val="left" w:pos="449"/>
                    </w:tabs>
                    <w:jc w:val="center"/>
                    <w:textAlignment w:val="center"/>
                    <w:rPr>
                      <w:szCs w:val="21"/>
                    </w:rPr>
                  </w:pPr>
                  <w:r>
                    <w:rPr>
                      <w:rFonts w:hint="eastAsia"/>
                      <w:szCs w:val="21"/>
                    </w:rPr>
                    <w:t>0.0057</w:t>
                  </w:r>
                </w:p>
              </w:tc>
              <w:tc>
                <w:tcPr>
                  <w:tcW w:w="712" w:type="dxa"/>
                  <w:vAlign w:val="center"/>
                </w:tcPr>
                <w:p w14:paraId="577DF875">
                  <w:pPr>
                    <w:widowControl/>
                    <w:jc w:val="center"/>
                    <w:textAlignment w:val="center"/>
                    <w:rPr>
                      <w:kern w:val="0"/>
                      <w:szCs w:val="21"/>
                    </w:rPr>
                  </w:pPr>
                  <w:r>
                    <w:rPr>
                      <w:rFonts w:hint="eastAsia"/>
                      <w:kern w:val="0"/>
                      <w:szCs w:val="21"/>
                    </w:rPr>
                    <w:t>/</w:t>
                  </w:r>
                </w:p>
              </w:tc>
              <w:tc>
                <w:tcPr>
                  <w:tcW w:w="719" w:type="dxa"/>
                  <w:vAlign w:val="center"/>
                </w:tcPr>
                <w:p w14:paraId="74AE7FF5">
                  <w:pPr>
                    <w:widowControl/>
                    <w:jc w:val="center"/>
                    <w:textAlignment w:val="center"/>
                    <w:rPr>
                      <w:kern w:val="0"/>
                      <w:szCs w:val="21"/>
                    </w:rPr>
                  </w:pPr>
                  <w:r>
                    <w:rPr>
                      <w:rFonts w:hint="eastAsia"/>
                      <w:kern w:val="0"/>
                      <w:szCs w:val="21"/>
                    </w:rPr>
                    <w:t>/</w:t>
                  </w:r>
                </w:p>
              </w:tc>
            </w:tr>
            <w:tr w14:paraId="6A211E7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84" w:hRule="atLeast"/>
              </w:trPr>
              <w:tc>
                <w:tcPr>
                  <w:tcW w:w="1246" w:type="dxa"/>
                  <w:vMerge w:val="continue"/>
                  <w:vAlign w:val="center"/>
                </w:tcPr>
                <w:p w14:paraId="2B8791F9">
                  <w:pPr>
                    <w:pStyle w:val="19"/>
                    <w:jc w:val="center"/>
                  </w:pPr>
                </w:p>
              </w:tc>
              <w:tc>
                <w:tcPr>
                  <w:tcW w:w="837" w:type="dxa"/>
                  <w:vAlign w:val="center"/>
                </w:tcPr>
                <w:p w14:paraId="66C57B3B">
                  <w:pPr>
                    <w:pStyle w:val="19"/>
                    <w:jc w:val="center"/>
                    <w:rPr>
                      <w:rFonts w:ascii="Times New Roman" w:hAnsi="Times New Roman" w:cs="Times New Roman"/>
                    </w:rPr>
                  </w:pPr>
                  <w:r>
                    <w:rPr>
                      <w:rFonts w:hint="eastAsia" w:ascii="Times New Roman" w:hAnsi="Times New Roman" w:cs="Times New Roman"/>
                    </w:rPr>
                    <w:t>动植物油</w:t>
                  </w:r>
                </w:p>
              </w:tc>
              <w:tc>
                <w:tcPr>
                  <w:tcW w:w="650" w:type="dxa"/>
                  <w:vAlign w:val="center"/>
                </w:tcPr>
                <w:p w14:paraId="70FF8362">
                  <w:pPr>
                    <w:pStyle w:val="19"/>
                    <w:jc w:val="center"/>
                    <w:rPr>
                      <w:rFonts w:ascii="Times New Roman" w:hAnsi="Times New Roman" w:cs="Times New Roman"/>
                    </w:rPr>
                  </w:pPr>
                  <w:r>
                    <w:rPr>
                      <w:rFonts w:hint="eastAsia" w:ascii="Times New Roman" w:hAnsi="Times New Roman" w:cs="Times New Roman"/>
                    </w:rPr>
                    <w:t>100</w:t>
                  </w:r>
                </w:p>
              </w:tc>
              <w:tc>
                <w:tcPr>
                  <w:tcW w:w="763" w:type="dxa"/>
                  <w:vAlign w:val="center"/>
                </w:tcPr>
                <w:p w14:paraId="6F0D03BC">
                  <w:pPr>
                    <w:pStyle w:val="19"/>
                    <w:jc w:val="center"/>
                    <w:rPr>
                      <w:rFonts w:ascii="Times New Roman" w:hAnsi="Times New Roman" w:cs="Times New Roman"/>
                    </w:rPr>
                  </w:pPr>
                  <w:r>
                    <w:rPr>
                      <w:rFonts w:hint="eastAsia" w:ascii="Times New Roman" w:hAnsi="Times New Roman" w:cs="Times New Roman"/>
                    </w:rPr>
                    <w:t>0.032</w:t>
                  </w:r>
                </w:p>
              </w:tc>
              <w:tc>
                <w:tcPr>
                  <w:tcW w:w="625" w:type="dxa"/>
                  <w:vMerge w:val="continue"/>
                  <w:vAlign w:val="center"/>
                </w:tcPr>
                <w:p w14:paraId="74EC04D7">
                  <w:pPr>
                    <w:pStyle w:val="19"/>
                    <w:jc w:val="center"/>
                    <w:rPr>
                      <w:rFonts w:ascii="Times New Roman" w:hAnsi="Times New Roman" w:cs="Times New Roman"/>
                    </w:rPr>
                  </w:pPr>
                </w:p>
              </w:tc>
              <w:tc>
                <w:tcPr>
                  <w:tcW w:w="725" w:type="dxa"/>
                  <w:vAlign w:val="center"/>
                </w:tcPr>
                <w:p w14:paraId="3595AC12">
                  <w:pPr>
                    <w:pStyle w:val="19"/>
                    <w:jc w:val="center"/>
                    <w:rPr>
                      <w:rFonts w:ascii="Times New Roman" w:hAnsi="Times New Roman" w:cs="Times New Roman"/>
                    </w:rPr>
                  </w:pPr>
                  <w:r>
                    <w:rPr>
                      <w:rFonts w:hint="eastAsia" w:ascii="Times New Roman" w:hAnsi="Times New Roman" w:cs="Times New Roman"/>
                    </w:rPr>
                    <w:t>15</w:t>
                  </w:r>
                </w:p>
              </w:tc>
              <w:tc>
                <w:tcPr>
                  <w:tcW w:w="1025" w:type="dxa"/>
                  <w:vAlign w:val="center"/>
                </w:tcPr>
                <w:p w14:paraId="5D58329A">
                  <w:pPr>
                    <w:widowControl/>
                    <w:jc w:val="center"/>
                    <w:textAlignment w:val="center"/>
                    <w:rPr>
                      <w:kern w:val="0"/>
                      <w:szCs w:val="21"/>
                    </w:rPr>
                  </w:pPr>
                  <w:r>
                    <w:rPr>
                      <w:rFonts w:hint="eastAsia"/>
                      <w:kern w:val="0"/>
                      <w:szCs w:val="21"/>
                    </w:rPr>
                    <w:t>85</w:t>
                  </w:r>
                </w:p>
              </w:tc>
              <w:tc>
                <w:tcPr>
                  <w:tcW w:w="975" w:type="dxa"/>
                  <w:vAlign w:val="center"/>
                </w:tcPr>
                <w:p w14:paraId="624599C4">
                  <w:pPr>
                    <w:widowControl/>
                    <w:tabs>
                      <w:tab w:val="left" w:pos="449"/>
                    </w:tabs>
                    <w:jc w:val="center"/>
                    <w:textAlignment w:val="center"/>
                    <w:rPr>
                      <w:szCs w:val="21"/>
                    </w:rPr>
                  </w:pPr>
                  <w:r>
                    <w:rPr>
                      <w:rFonts w:hint="eastAsia"/>
                      <w:szCs w:val="21"/>
                    </w:rPr>
                    <w:t>0.028</w:t>
                  </w:r>
                </w:p>
              </w:tc>
              <w:tc>
                <w:tcPr>
                  <w:tcW w:w="712" w:type="dxa"/>
                  <w:vAlign w:val="center"/>
                </w:tcPr>
                <w:p w14:paraId="70786286">
                  <w:pPr>
                    <w:widowControl/>
                    <w:jc w:val="center"/>
                    <w:textAlignment w:val="center"/>
                    <w:rPr>
                      <w:kern w:val="0"/>
                      <w:szCs w:val="21"/>
                    </w:rPr>
                  </w:pPr>
                  <w:r>
                    <w:rPr>
                      <w:rFonts w:hint="eastAsia"/>
                      <w:kern w:val="0"/>
                      <w:szCs w:val="21"/>
                    </w:rPr>
                    <w:t>100</w:t>
                  </w:r>
                </w:p>
              </w:tc>
              <w:tc>
                <w:tcPr>
                  <w:tcW w:w="719" w:type="dxa"/>
                  <w:vAlign w:val="center"/>
                </w:tcPr>
                <w:p w14:paraId="4632EAFB">
                  <w:pPr>
                    <w:widowControl/>
                    <w:jc w:val="center"/>
                    <w:textAlignment w:val="center"/>
                    <w:rPr>
                      <w:kern w:val="0"/>
                      <w:szCs w:val="21"/>
                    </w:rPr>
                  </w:pPr>
                  <w:r>
                    <w:rPr>
                      <w:rFonts w:hint="eastAsia"/>
                      <w:kern w:val="0"/>
                      <w:szCs w:val="21"/>
                    </w:rPr>
                    <w:t>达标</w:t>
                  </w:r>
                </w:p>
              </w:tc>
            </w:tr>
          </w:tbl>
          <w:p w14:paraId="1414A1DA">
            <w:pPr>
              <w:tabs>
                <w:tab w:val="left" w:pos="3465"/>
              </w:tabs>
              <w:adjustRightInd w:val="0"/>
              <w:snapToGrid w:val="0"/>
              <w:spacing w:line="360" w:lineRule="auto"/>
              <w:ind w:firstLine="482" w:firstLineChars="200"/>
              <w:rPr>
                <w:b/>
                <w:bCs/>
                <w:sz w:val="24"/>
              </w:rPr>
            </w:pPr>
            <w:r>
              <w:rPr>
                <w:rFonts w:hint="eastAsia"/>
                <w:b/>
                <w:bCs/>
                <w:sz w:val="24"/>
              </w:rPr>
              <w:t>（2）措施可行性分析</w:t>
            </w:r>
          </w:p>
          <w:p w14:paraId="5A2EB837">
            <w:pPr>
              <w:tabs>
                <w:tab w:val="left" w:pos="3465"/>
              </w:tabs>
              <w:adjustRightInd w:val="0"/>
              <w:snapToGrid w:val="0"/>
              <w:spacing w:line="360" w:lineRule="auto"/>
              <w:ind w:firstLine="480" w:firstLineChars="200"/>
              <w:rPr>
                <w:sz w:val="24"/>
              </w:rPr>
            </w:pPr>
            <w:r>
              <w:rPr>
                <w:rFonts w:hint="eastAsia"/>
                <w:sz w:val="24"/>
              </w:rPr>
              <w:t>1）废水预处理措施可行性分析</w:t>
            </w:r>
          </w:p>
          <w:p w14:paraId="2161FC79">
            <w:pPr>
              <w:tabs>
                <w:tab w:val="left" w:pos="3465"/>
              </w:tabs>
              <w:adjustRightInd w:val="0"/>
              <w:snapToGrid w:val="0"/>
              <w:spacing w:line="360" w:lineRule="auto"/>
              <w:ind w:firstLine="480" w:firstLineChars="200"/>
              <w:rPr>
                <w:sz w:val="24"/>
              </w:rPr>
            </w:pPr>
            <w:r>
              <w:rPr>
                <w:rFonts w:hint="eastAsia"/>
                <w:sz w:val="24"/>
              </w:rPr>
              <w:t>化粪池作为生活污水预处理工艺已经成熟运用多年，生活污水主要含有可生化的有机污染物，该方法是在厌氧的条件下，利用厌氧菌将生活污水中的部分有机污染物分解，从而起到降低污染物浓度的目的。</w:t>
            </w:r>
          </w:p>
          <w:p w14:paraId="6202A583">
            <w:pPr>
              <w:tabs>
                <w:tab w:val="left" w:pos="3465"/>
              </w:tabs>
              <w:adjustRightInd w:val="0"/>
              <w:snapToGrid w:val="0"/>
              <w:spacing w:line="360" w:lineRule="auto"/>
              <w:ind w:firstLine="480" w:firstLineChars="200"/>
              <w:rPr>
                <w:sz w:val="24"/>
              </w:rPr>
            </w:pPr>
            <w:r>
              <w:rPr>
                <w:rFonts w:hint="eastAsia"/>
                <w:sz w:val="24"/>
              </w:rPr>
              <w:t>本项目污水水质较为简单，生活污水经化粪池预处理后，水质可以达到《污水综合排放标准》（GB8978-1996）表 4 中的三级标准。</w:t>
            </w:r>
          </w:p>
          <w:p w14:paraId="74EF5E41">
            <w:pPr>
              <w:tabs>
                <w:tab w:val="left" w:pos="3465"/>
              </w:tabs>
              <w:adjustRightInd w:val="0"/>
              <w:snapToGrid w:val="0"/>
              <w:spacing w:line="360" w:lineRule="auto"/>
              <w:ind w:firstLine="480" w:firstLineChars="200"/>
              <w:rPr>
                <w:sz w:val="24"/>
              </w:rPr>
            </w:pPr>
            <w:r>
              <w:rPr>
                <w:rFonts w:hint="eastAsia"/>
                <w:sz w:val="24"/>
              </w:rPr>
              <w:t>因此，项目采取的废水预处理措施可行。</w:t>
            </w:r>
          </w:p>
          <w:p w14:paraId="6B2987BD">
            <w:pPr>
              <w:numPr>
                <w:ilvl w:val="0"/>
                <w:numId w:val="9"/>
              </w:numPr>
              <w:tabs>
                <w:tab w:val="left" w:pos="3465"/>
              </w:tabs>
              <w:adjustRightInd w:val="0"/>
              <w:snapToGrid w:val="0"/>
              <w:spacing w:line="360" w:lineRule="auto"/>
              <w:ind w:firstLine="480" w:firstLineChars="200"/>
              <w:rPr>
                <w:rFonts w:hint="eastAsia"/>
                <w:sz w:val="24"/>
                <w:lang w:val="en-US" w:eastAsia="zh-CN"/>
              </w:rPr>
            </w:pPr>
            <w:r>
              <w:rPr>
                <w:rFonts w:hint="eastAsia"/>
                <w:sz w:val="24"/>
                <w:lang w:val="en-US" w:eastAsia="zh-CN"/>
              </w:rPr>
              <w:t>本项目生活污水依托现有废水处理设施可行性分析</w:t>
            </w:r>
          </w:p>
          <w:p w14:paraId="74CC2EF9">
            <w:pPr>
              <w:pStyle w:val="2"/>
              <w:numPr>
                <w:ilvl w:val="0"/>
                <w:numId w:val="0"/>
              </w:numPr>
              <w:spacing w:line="360" w:lineRule="auto"/>
              <w:rPr>
                <w:rFonts w:hint="eastAsia"/>
                <w:lang w:val="en-US" w:eastAsia="zh-CN"/>
              </w:rPr>
            </w:pPr>
            <w:r>
              <w:rPr>
                <w:rFonts w:hint="eastAsia"/>
                <w:lang w:val="en-US" w:eastAsia="zh-CN"/>
              </w:rPr>
              <w:t xml:space="preserve">  </w:t>
            </w:r>
            <w:r>
              <w:rPr>
                <w:rFonts w:hint="eastAsia" w:ascii="Times New Roman" w:hAnsi="Times New Roman" w:eastAsia="宋体" w:cs="Times New Roman"/>
                <w:color w:val="auto"/>
                <w:kern w:val="2"/>
                <w:sz w:val="24"/>
                <w:szCs w:val="24"/>
                <w:lang w:val="en-US" w:eastAsia="zh-CN" w:bidi="ar-SA"/>
              </w:rPr>
              <w:t>本项目</w:t>
            </w:r>
            <w:r>
              <w:rPr>
                <w:rFonts w:hint="eastAsia" w:ascii="Times New Roman" w:hAnsi="Times New Roman" w:cs="Times New Roman"/>
                <w:color w:val="auto"/>
                <w:kern w:val="2"/>
                <w:sz w:val="24"/>
                <w:szCs w:val="24"/>
                <w:lang w:val="en-US" w:eastAsia="zh-CN" w:bidi="ar-SA"/>
              </w:rPr>
              <w:t>改建后生活污水较现有工程减少108m</w:t>
            </w:r>
            <w:r>
              <w:rPr>
                <w:rFonts w:hint="eastAsia" w:ascii="Times New Roman" w:hAnsi="Times New Roman" w:cs="Times New Roman"/>
                <w:color w:val="auto"/>
                <w:kern w:val="2"/>
                <w:sz w:val="24"/>
                <w:szCs w:val="24"/>
                <w:vertAlign w:val="superscript"/>
                <w:lang w:val="en-US" w:eastAsia="zh-CN" w:bidi="ar-SA"/>
              </w:rPr>
              <w:t>3</w:t>
            </w:r>
            <w:r>
              <w:rPr>
                <w:rFonts w:hint="eastAsia" w:ascii="Times New Roman" w:hAnsi="Times New Roman" w:cs="Times New Roman"/>
                <w:color w:val="auto"/>
                <w:kern w:val="2"/>
                <w:sz w:val="24"/>
                <w:szCs w:val="24"/>
                <w:lang w:val="en-US" w:eastAsia="zh-CN" w:bidi="ar-SA"/>
              </w:rPr>
              <w:t>/a，</w:t>
            </w:r>
            <w:r>
              <w:rPr>
                <w:bCs/>
                <w:kern w:val="44"/>
                <w:sz w:val="24"/>
              </w:rPr>
              <w:t>生活污水</w:t>
            </w:r>
            <w:r>
              <w:rPr>
                <w:rFonts w:hint="eastAsia"/>
                <w:bCs/>
                <w:kern w:val="44"/>
                <w:sz w:val="24"/>
                <w:lang w:val="en-US" w:eastAsia="zh-CN"/>
              </w:rPr>
              <w:t>依托</w:t>
            </w:r>
            <w:r>
              <w:rPr>
                <w:rFonts w:hint="eastAsia"/>
                <w:bCs/>
                <w:kern w:val="44"/>
                <w:sz w:val="24"/>
              </w:rPr>
              <w:t>衡钢原有化粪池处理后达到《污水综合排放标准》（GB8978-1996）表4中的三级标准，预处理后的污水经厂区污水管网排入衡钢西区污水处理厂处理后，</w:t>
            </w:r>
            <w:r>
              <w:rPr>
                <w:rFonts w:hint="eastAsia"/>
                <w:bCs/>
                <w:kern w:val="44"/>
                <w:sz w:val="24"/>
                <w:lang w:eastAsia="zh-CN"/>
              </w:rPr>
              <w:t>排入幸福河</w:t>
            </w:r>
            <w:r>
              <w:rPr>
                <w:rFonts w:hint="eastAsia"/>
                <w:bCs/>
                <w:kern w:val="44"/>
                <w:sz w:val="24"/>
              </w:rPr>
              <w:t>，</w:t>
            </w:r>
            <w:r>
              <w:rPr>
                <w:rFonts w:hint="eastAsia"/>
                <w:lang w:val="en-US" w:eastAsia="zh-CN"/>
              </w:rPr>
              <w:t>然后进入铜桥港污水处理厂进一步处理，处理后排入湘江。</w:t>
            </w:r>
          </w:p>
          <w:p w14:paraId="43806225">
            <w:pPr>
              <w:pStyle w:val="2"/>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ind w:firstLine="480" w:firstLineChars="200"/>
              <w:textAlignment w:val="auto"/>
              <w:rPr>
                <w:rFonts w:hint="default"/>
                <w:lang w:val="en-US" w:eastAsia="zh-CN"/>
              </w:rPr>
            </w:pPr>
            <w:r>
              <w:rPr>
                <w:rFonts w:hint="eastAsia"/>
                <w:lang w:val="en-US" w:eastAsia="zh-CN"/>
              </w:rPr>
              <w:t>综上所述，改建工程生活污水依托现有工程废水处理设施可行</w:t>
            </w:r>
          </w:p>
          <w:p w14:paraId="1F257B3E">
            <w:pPr>
              <w:tabs>
                <w:tab w:val="left" w:pos="3465"/>
              </w:tabs>
              <w:adjustRightInd w:val="0"/>
              <w:snapToGrid w:val="0"/>
              <w:spacing w:line="360" w:lineRule="auto"/>
              <w:ind w:firstLine="480" w:firstLineChars="200"/>
              <w:rPr>
                <w:sz w:val="24"/>
              </w:rPr>
            </w:pPr>
            <w:r>
              <w:rPr>
                <w:rFonts w:hint="eastAsia"/>
                <w:sz w:val="24"/>
                <w:lang w:val="en-US" w:eastAsia="zh-CN"/>
              </w:rPr>
              <w:t>3）</w:t>
            </w:r>
            <w:r>
              <w:rPr>
                <w:rFonts w:hint="eastAsia"/>
                <w:sz w:val="24"/>
              </w:rPr>
              <w:t>项目废水</w:t>
            </w:r>
            <w:r>
              <w:rPr>
                <w:rFonts w:hint="eastAsia"/>
                <w:sz w:val="24"/>
                <w:lang w:val="en-US" w:eastAsia="zh-CN"/>
              </w:rPr>
              <w:t>依托</w:t>
            </w:r>
            <w:r>
              <w:rPr>
                <w:rFonts w:hint="eastAsia"/>
                <w:sz w:val="24"/>
              </w:rPr>
              <w:t>铜桥港污水处理厂深度处理的可行性分析</w:t>
            </w:r>
          </w:p>
          <w:p w14:paraId="10EB888D">
            <w:pPr>
              <w:tabs>
                <w:tab w:val="left" w:pos="3465"/>
              </w:tabs>
              <w:adjustRightInd w:val="0"/>
              <w:snapToGrid w:val="0"/>
              <w:spacing w:line="360" w:lineRule="auto"/>
              <w:ind w:firstLine="480" w:firstLineChars="200"/>
              <w:rPr>
                <w:sz w:val="24"/>
              </w:rPr>
            </w:pPr>
            <w:r>
              <w:rPr>
                <w:rFonts w:hint="eastAsia"/>
                <w:sz w:val="24"/>
              </w:rPr>
              <w:t>铜桥港污水处理厂位于塑田村一组幸福河北岸，设计污水处理规模10万 t/d，其中一期工程为5万t/d，一期工程已于2010年5月建成试运行。2017 年 5 月铜桥港污水处理厂在一期基础上进行了提质改造，增加了5万m</w:t>
            </w:r>
            <w:r>
              <w:rPr>
                <w:rFonts w:hint="eastAsia"/>
                <w:sz w:val="24"/>
                <w:vertAlign w:val="superscript"/>
              </w:rPr>
              <w:t>3</w:t>
            </w:r>
            <w:r>
              <w:rPr>
                <w:rFonts w:hint="eastAsia"/>
                <w:sz w:val="24"/>
              </w:rPr>
              <w:t>/d的常规处理能力，10万m</w:t>
            </w:r>
            <w:r>
              <w:rPr>
                <w:rFonts w:hint="eastAsia"/>
                <w:sz w:val="24"/>
                <w:vertAlign w:val="superscript"/>
              </w:rPr>
              <w:t>3</w:t>
            </w:r>
            <w:r>
              <w:rPr>
                <w:rFonts w:hint="eastAsia"/>
                <w:sz w:val="24"/>
              </w:rPr>
              <w:t>/d的深度处理能力和6万m</w:t>
            </w:r>
            <w:r>
              <w:rPr>
                <w:rFonts w:hint="eastAsia"/>
                <w:sz w:val="24"/>
                <w:vertAlign w:val="superscript"/>
              </w:rPr>
              <w:t>3</w:t>
            </w:r>
            <w:r>
              <w:rPr>
                <w:rFonts w:hint="eastAsia"/>
                <w:sz w:val="24"/>
              </w:rPr>
              <w:t>/d 的中水回用，新建管网56387m。提质改造后，污水处理厂采用“预处理+A</w:t>
            </w:r>
            <w:r>
              <w:rPr>
                <w:rFonts w:hint="eastAsia"/>
                <w:sz w:val="24"/>
                <w:vertAlign w:val="subscript"/>
              </w:rPr>
              <w:t>2</w:t>
            </w:r>
            <w:r>
              <w:rPr>
                <w:rFonts w:hint="eastAsia"/>
                <w:sz w:val="24"/>
              </w:rPr>
              <w:t>/O生化池+二沉池+絮凝沉淀池+V形滤池+二氧化氯消毒工艺”，污水排放水质执行《城镇污水处理厂污染排放标准》（GB18918-2002）中一级 A 标准。本项目外排废水主要为生活污水，排水总量为1.08m</w:t>
            </w:r>
            <w:r>
              <w:rPr>
                <w:rFonts w:hint="eastAsia"/>
                <w:sz w:val="24"/>
                <w:vertAlign w:val="superscript"/>
              </w:rPr>
              <w:t>3</w:t>
            </w:r>
            <w:r>
              <w:rPr>
                <w:rFonts w:hint="eastAsia"/>
                <w:sz w:val="24"/>
              </w:rPr>
              <w:t>/d（324m</w:t>
            </w:r>
            <w:r>
              <w:rPr>
                <w:rFonts w:hint="eastAsia"/>
                <w:sz w:val="24"/>
                <w:vertAlign w:val="superscript"/>
              </w:rPr>
              <w:t>3</w:t>
            </w:r>
            <w:r>
              <w:rPr>
                <w:rFonts w:hint="eastAsia"/>
                <w:sz w:val="24"/>
              </w:rPr>
              <w:t>/a），仅占污水处理厂日处理量的0.00083%，不会对铜桥港污水处理厂接纳的水量形成冲击。项目生活污水经衡钢原有的化粪池预处理满足《污水综合排放标准》（GB8978-1996）表4中的三级标准，满足污水处理厂的接管标准要求，能进入衡钢西区污水处理厂，再排放到幸福河最终流入铜桥港污水处理厂，不会对铜桥港污水处理厂的水质形成冲击。根据调查，项目所在地市政污水管网已经建成，本项目污水经市政污水管网能够进入铜桥港污水处理厂处理，污水进入铜桥港污水处理厂可行。综上所述，项目不直接对外排放废水，废水依托衡钢西区污水处理厂处理合理可行，能做到达标排放，因此项目运营期废水对水环境影响较小。</w:t>
            </w:r>
          </w:p>
          <w:p w14:paraId="1C6DB53F">
            <w:pPr>
              <w:tabs>
                <w:tab w:val="left" w:pos="3465"/>
              </w:tabs>
              <w:adjustRightInd w:val="0"/>
              <w:snapToGrid w:val="0"/>
              <w:spacing w:line="360" w:lineRule="auto"/>
              <w:ind w:firstLine="480" w:firstLineChars="200"/>
              <w:rPr>
                <w:sz w:val="24"/>
              </w:rPr>
            </w:pPr>
            <w:r>
              <w:rPr>
                <w:rFonts w:hint="eastAsia"/>
                <w:sz w:val="24"/>
              </w:rPr>
              <w:t>（3）废水环境影响分析</w:t>
            </w:r>
          </w:p>
          <w:p w14:paraId="65196E76">
            <w:pPr>
              <w:tabs>
                <w:tab w:val="left" w:pos="3465"/>
              </w:tabs>
              <w:adjustRightInd w:val="0"/>
              <w:snapToGrid w:val="0"/>
              <w:spacing w:line="360" w:lineRule="auto"/>
              <w:ind w:firstLine="480" w:firstLineChars="200"/>
              <w:rPr>
                <w:sz w:val="24"/>
              </w:rPr>
            </w:pPr>
            <w:r>
              <w:rPr>
                <w:rFonts w:hint="eastAsia"/>
                <w:sz w:val="24"/>
              </w:rPr>
              <w:t>根据运营期废水源强核算，项目预处理后的生活污水水质可以达到《污水综合排放标准》（GB8978-1996）表4中的三级标准，满足衡钢西区污水处理厂的进水水质要求和纳污能力，可通过园区污水管网顺利接入送往铜桥港污水处理厂深度处理达标后排入湘江。因此本项目建成投产后，对于周边水环境影响不大，本项目水污染物评价结果可接受。</w:t>
            </w:r>
          </w:p>
          <w:p w14:paraId="4D181A0B">
            <w:pPr>
              <w:tabs>
                <w:tab w:val="left" w:pos="3465"/>
              </w:tabs>
              <w:adjustRightInd w:val="0"/>
              <w:snapToGrid w:val="0"/>
              <w:spacing w:line="360" w:lineRule="auto"/>
              <w:ind w:firstLine="480" w:firstLineChars="200"/>
              <w:rPr>
                <w:sz w:val="24"/>
              </w:rPr>
            </w:pPr>
            <w:r>
              <w:rPr>
                <w:rFonts w:hint="eastAsia"/>
                <w:sz w:val="24"/>
              </w:rPr>
              <w:t>（4）自行监测要求</w:t>
            </w:r>
          </w:p>
          <w:p w14:paraId="780EF7ED">
            <w:pPr>
              <w:spacing w:line="360" w:lineRule="auto"/>
              <w:ind w:firstLine="480" w:firstLineChars="200"/>
              <w:rPr>
                <w:sz w:val="24"/>
              </w:rPr>
            </w:pPr>
            <w:r>
              <w:rPr>
                <w:rFonts w:hint="eastAsia"/>
                <w:sz w:val="24"/>
              </w:rPr>
              <w:t>本项目外排废水主要为生活污水，生活污水</w:t>
            </w:r>
            <w:r>
              <w:rPr>
                <w:rFonts w:hint="eastAsia"/>
                <w:sz w:val="24"/>
                <w:lang w:val="en-US" w:eastAsia="zh-CN"/>
              </w:rPr>
              <w:t>依托</w:t>
            </w:r>
            <w:r>
              <w:rPr>
                <w:rFonts w:hint="eastAsia"/>
                <w:sz w:val="24"/>
              </w:rPr>
              <w:t>衡钢原有化粪池预处理后，预处理后的污水经厂区污水管网进入衡钢西区污水处理厂处理后，</w:t>
            </w:r>
            <w:r>
              <w:rPr>
                <w:rFonts w:hint="eastAsia"/>
                <w:sz w:val="24"/>
                <w:lang w:eastAsia="zh-CN"/>
              </w:rPr>
              <w:t>排入幸福河</w:t>
            </w:r>
            <w:r>
              <w:rPr>
                <w:rFonts w:hint="eastAsia"/>
                <w:sz w:val="24"/>
              </w:rPr>
              <w:t>，然后进入铜桥港污水处理厂进一步处理，处理后排入湘江，根据《排污许可证申请与核发技术规范 橡胶和塑料制品业》（HJ 1122—2020），单独排入城镇集中污水处理设施的生活污水仅说明排放去向，因此无需进行日常监测。</w:t>
            </w:r>
          </w:p>
          <w:p w14:paraId="638096CC">
            <w:pPr>
              <w:spacing w:line="360" w:lineRule="auto"/>
              <w:rPr>
                <w:b/>
                <w:bCs/>
                <w:sz w:val="24"/>
              </w:rPr>
            </w:pPr>
            <w:r>
              <w:rPr>
                <w:rFonts w:hint="eastAsia"/>
                <w:b/>
                <w:bCs/>
                <w:sz w:val="24"/>
              </w:rPr>
              <w:t>4.</w:t>
            </w:r>
            <w:r>
              <w:rPr>
                <w:b/>
                <w:bCs/>
                <w:sz w:val="24"/>
              </w:rPr>
              <w:t>3、声环境影响分析</w:t>
            </w:r>
          </w:p>
          <w:p w14:paraId="71392F97">
            <w:pPr>
              <w:spacing w:line="360" w:lineRule="auto"/>
              <w:ind w:firstLine="480" w:firstLineChars="200"/>
              <w:rPr>
                <w:color w:val="000000"/>
                <w:sz w:val="24"/>
              </w:rPr>
            </w:pPr>
            <w:r>
              <w:rPr>
                <w:sz w:val="24"/>
                <w:szCs w:val="28"/>
              </w:rPr>
              <w:t>1、噪声源强</w:t>
            </w:r>
          </w:p>
          <w:p w14:paraId="100B1324">
            <w:pPr>
              <w:adjustRightInd w:val="0"/>
              <w:snapToGrid w:val="0"/>
              <w:spacing w:line="360" w:lineRule="auto"/>
              <w:ind w:firstLine="480" w:firstLineChars="200"/>
              <w:rPr>
                <w:rFonts w:hint="eastAsia"/>
                <w:b/>
                <w:bCs/>
                <w:sz w:val="24"/>
                <w:lang w:val="zh-CN"/>
              </w:rPr>
            </w:pPr>
            <w:r>
              <w:rPr>
                <w:color w:val="000000"/>
                <w:sz w:val="24"/>
              </w:rPr>
              <w:t>根据《环境影响评价技术导则 声环境》（HJ 2.4-2021）重新预测噪声排放强度。建设项目主要噪声设备有等生产设备</w:t>
            </w:r>
            <w:r>
              <w:rPr>
                <w:rFonts w:hint="eastAsia"/>
                <w:color w:val="000000"/>
                <w:sz w:val="24"/>
              </w:rPr>
              <w:t>，</w:t>
            </w:r>
            <w:r>
              <w:rPr>
                <w:rFonts w:hint="eastAsia"/>
                <w:sz w:val="24"/>
              </w:rPr>
              <w:t>冲床、车床、注塑机、压力机</w:t>
            </w:r>
            <w:r>
              <w:rPr>
                <w:rFonts w:hint="eastAsia"/>
                <w:sz w:val="24"/>
                <w:lang w:eastAsia="zh-CN"/>
              </w:rPr>
              <w:t>、</w:t>
            </w:r>
            <w:r>
              <w:rPr>
                <w:rFonts w:hint="eastAsia"/>
                <w:sz w:val="24"/>
                <w:lang w:val="en-US" w:eastAsia="zh-CN"/>
              </w:rPr>
              <w:t>混料机、磨床</w:t>
            </w:r>
            <w:r>
              <w:rPr>
                <w:color w:val="000000"/>
                <w:sz w:val="24"/>
              </w:rPr>
              <w:t>等噪声源强为70-</w:t>
            </w:r>
            <w:r>
              <w:rPr>
                <w:rFonts w:hint="eastAsia"/>
                <w:color w:val="000000"/>
                <w:sz w:val="24"/>
              </w:rPr>
              <w:t>90</w:t>
            </w:r>
            <w:r>
              <w:rPr>
                <w:color w:val="000000"/>
                <w:sz w:val="24"/>
              </w:rPr>
              <w:t>dB（A）。建设单位将采取以下主要噪声防治措施：①生产设备全部室内安装，有利于降低噪声的扩散与传播；对噪声设备基础进行减振处理，减轻设备振动。本项目夜间不生产。由于本建设项目噪声源强相对较小，项目通过采取有效的噪声防治措施减少噪声对周边环境的影响。</w:t>
            </w:r>
            <w:r>
              <w:rPr>
                <w:rFonts w:hint="eastAsia"/>
                <w:color w:val="000000"/>
                <w:sz w:val="24"/>
              </w:rPr>
              <w:t>见表4-13</w:t>
            </w:r>
          </w:p>
          <w:p w14:paraId="08A98764">
            <w:pPr>
              <w:tabs>
                <w:tab w:val="left" w:pos="1280"/>
              </w:tabs>
              <w:adjustRightInd w:val="0"/>
              <w:snapToGrid w:val="0"/>
              <w:jc w:val="center"/>
              <w:textAlignment w:val="baseline"/>
              <w:rPr>
                <w:color w:val="000000"/>
                <w:sz w:val="24"/>
              </w:rPr>
            </w:pPr>
            <w:r>
              <w:rPr>
                <w:rFonts w:hint="eastAsia"/>
                <w:b/>
                <w:bCs/>
                <w:sz w:val="24"/>
                <w:lang w:val="zh-CN"/>
              </w:rPr>
              <w:t>表4</w:t>
            </w:r>
            <w:r>
              <w:rPr>
                <w:rFonts w:hint="eastAsia"/>
                <w:b/>
                <w:bCs/>
                <w:sz w:val="24"/>
              </w:rPr>
              <w:t xml:space="preserve">-13    </w:t>
            </w:r>
            <w:r>
              <w:rPr>
                <w:rFonts w:hint="eastAsia"/>
                <w:b/>
                <w:bCs/>
                <w:sz w:val="24"/>
                <w:lang w:val="zh-CN"/>
              </w:rPr>
              <w:t>营运期室内噪声源强一览表   单位dB（A）</w:t>
            </w:r>
          </w:p>
          <w:tbl>
            <w:tblPr>
              <w:tblStyle w:val="36"/>
              <w:tblW w:w="8277"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379"/>
              <w:gridCol w:w="267"/>
              <w:gridCol w:w="550"/>
              <w:gridCol w:w="437"/>
              <w:gridCol w:w="381"/>
              <w:gridCol w:w="360"/>
              <w:gridCol w:w="265"/>
              <w:gridCol w:w="207"/>
              <w:gridCol w:w="220"/>
              <w:gridCol w:w="300"/>
              <w:gridCol w:w="288"/>
              <w:gridCol w:w="265"/>
              <w:gridCol w:w="313"/>
              <w:gridCol w:w="265"/>
              <w:gridCol w:w="311"/>
              <w:gridCol w:w="252"/>
              <w:gridCol w:w="268"/>
              <w:gridCol w:w="368"/>
              <w:gridCol w:w="300"/>
              <w:gridCol w:w="239"/>
              <w:gridCol w:w="303"/>
              <w:gridCol w:w="313"/>
              <w:gridCol w:w="308"/>
              <w:gridCol w:w="307"/>
              <w:gridCol w:w="307"/>
              <w:gridCol w:w="307"/>
              <w:gridCol w:w="197"/>
            </w:tblGrid>
            <w:tr w14:paraId="7AEA5E4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97" w:hRule="exact"/>
                <w:jc w:val="center"/>
              </w:trPr>
              <w:tc>
                <w:tcPr>
                  <w:tcW w:w="379" w:type="dxa"/>
                  <w:vMerge w:val="restart"/>
                  <w:vAlign w:val="center"/>
                </w:tcPr>
                <w:p w14:paraId="556E8D08">
                  <w:pPr>
                    <w:adjustRightInd w:val="0"/>
                    <w:snapToGrid w:val="0"/>
                    <w:jc w:val="center"/>
                    <w:rPr>
                      <w:sz w:val="18"/>
                      <w:szCs w:val="18"/>
                    </w:rPr>
                  </w:pPr>
                  <w:r>
                    <w:rPr>
                      <w:b/>
                      <w:sz w:val="18"/>
                      <w:szCs w:val="18"/>
                    </w:rPr>
                    <w:t>序号</w:t>
                  </w:r>
                </w:p>
              </w:tc>
              <w:tc>
                <w:tcPr>
                  <w:tcW w:w="267" w:type="dxa"/>
                  <w:vMerge w:val="restart"/>
                  <w:vAlign w:val="center"/>
                </w:tcPr>
                <w:p w14:paraId="15E64CA4">
                  <w:pPr>
                    <w:adjustRightInd w:val="0"/>
                    <w:snapToGrid w:val="0"/>
                    <w:jc w:val="center"/>
                    <w:rPr>
                      <w:sz w:val="18"/>
                      <w:szCs w:val="18"/>
                    </w:rPr>
                  </w:pPr>
                  <w:r>
                    <w:rPr>
                      <w:b/>
                      <w:sz w:val="18"/>
                      <w:szCs w:val="18"/>
                    </w:rPr>
                    <w:t>建筑物名称</w:t>
                  </w:r>
                </w:p>
              </w:tc>
              <w:tc>
                <w:tcPr>
                  <w:tcW w:w="550" w:type="dxa"/>
                  <w:vMerge w:val="restart"/>
                  <w:vAlign w:val="center"/>
                </w:tcPr>
                <w:p w14:paraId="3CD1C962">
                  <w:pPr>
                    <w:adjustRightInd w:val="0"/>
                    <w:snapToGrid w:val="0"/>
                    <w:jc w:val="center"/>
                    <w:rPr>
                      <w:sz w:val="18"/>
                      <w:szCs w:val="18"/>
                    </w:rPr>
                  </w:pPr>
                  <w:r>
                    <w:rPr>
                      <w:b/>
                      <w:sz w:val="18"/>
                      <w:szCs w:val="18"/>
                    </w:rPr>
                    <w:t>声源名称</w:t>
                  </w:r>
                </w:p>
              </w:tc>
              <w:tc>
                <w:tcPr>
                  <w:tcW w:w="437" w:type="dxa"/>
                  <w:vAlign w:val="center"/>
                </w:tcPr>
                <w:p w14:paraId="59A18961">
                  <w:pPr>
                    <w:adjustRightInd w:val="0"/>
                    <w:snapToGrid w:val="0"/>
                    <w:jc w:val="center"/>
                    <w:rPr>
                      <w:sz w:val="18"/>
                      <w:szCs w:val="18"/>
                    </w:rPr>
                  </w:pPr>
                  <w:r>
                    <w:rPr>
                      <w:b/>
                      <w:sz w:val="18"/>
                      <w:szCs w:val="18"/>
                    </w:rPr>
                    <w:t>声源源强</w:t>
                  </w:r>
                </w:p>
              </w:tc>
              <w:tc>
                <w:tcPr>
                  <w:tcW w:w="381" w:type="dxa"/>
                  <w:vMerge w:val="restart"/>
                  <w:vAlign w:val="center"/>
                </w:tcPr>
                <w:p w14:paraId="39D69A3B">
                  <w:pPr>
                    <w:adjustRightInd w:val="0"/>
                    <w:snapToGrid w:val="0"/>
                    <w:jc w:val="center"/>
                    <w:rPr>
                      <w:sz w:val="18"/>
                      <w:szCs w:val="18"/>
                    </w:rPr>
                  </w:pPr>
                  <w:r>
                    <w:rPr>
                      <w:b/>
                      <w:sz w:val="18"/>
                      <w:szCs w:val="18"/>
                    </w:rPr>
                    <w:t>声源控制措施</w:t>
                  </w:r>
                </w:p>
              </w:tc>
              <w:tc>
                <w:tcPr>
                  <w:tcW w:w="1052" w:type="dxa"/>
                  <w:gridSpan w:val="4"/>
                  <w:vAlign w:val="center"/>
                </w:tcPr>
                <w:p w14:paraId="053CD5F4">
                  <w:pPr>
                    <w:adjustRightInd w:val="0"/>
                    <w:snapToGrid w:val="0"/>
                    <w:jc w:val="center"/>
                    <w:rPr>
                      <w:sz w:val="18"/>
                      <w:szCs w:val="18"/>
                    </w:rPr>
                  </w:pPr>
                  <w:r>
                    <w:rPr>
                      <w:b/>
                      <w:sz w:val="18"/>
                      <w:szCs w:val="18"/>
                    </w:rPr>
                    <w:t>空间相对位置/m</w:t>
                  </w:r>
                </w:p>
              </w:tc>
              <w:tc>
                <w:tcPr>
                  <w:tcW w:w="1166" w:type="dxa"/>
                  <w:gridSpan w:val="4"/>
                  <w:vAlign w:val="center"/>
                </w:tcPr>
                <w:p w14:paraId="41DFA954">
                  <w:pPr>
                    <w:adjustRightInd w:val="0"/>
                    <w:snapToGrid w:val="0"/>
                    <w:jc w:val="center"/>
                    <w:rPr>
                      <w:b/>
                      <w:sz w:val="18"/>
                      <w:szCs w:val="18"/>
                    </w:rPr>
                  </w:pPr>
                  <w:r>
                    <w:rPr>
                      <w:b/>
                      <w:sz w:val="18"/>
                      <w:szCs w:val="18"/>
                    </w:rPr>
                    <w:t>距室内边界距离/m</w:t>
                  </w:r>
                </w:p>
              </w:tc>
              <w:tc>
                <w:tcPr>
                  <w:tcW w:w="1096" w:type="dxa"/>
                  <w:gridSpan w:val="4"/>
                  <w:vAlign w:val="center"/>
                </w:tcPr>
                <w:p w14:paraId="322F3822">
                  <w:pPr>
                    <w:adjustRightInd w:val="0"/>
                    <w:snapToGrid w:val="0"/>
                    <w:jc w:val="center"/>
                    <w:rPr>
                      <w:b/>
                      <w:sz w:val="18"/>
                      <w:szCs w:val="18"/>
                    </w:rPr>
                  </w:pPr>
                  <w:r>
                    <w:rPr>
                      <w:b/>
                      <w:sz w:val="18"/>
                      <w:szCs w:val="18"/>
                    </w:rPr>
                    <w:t>室内边界声级/dB(A)</w:t>
                  </w:r>
                </w:p>
              </w:tc>
              <w:tc>
                <w:tcPr>
                  <w:tcW w:w="368" w:type="dxa"/>
                  <w:vMerge w:val="restart"/>
                  <w:vAlign w:val="center"/>
                </w:tcPr>
                <w:p w14:paraId="287189F3">
                  <w:pPr>
                    <w:adjustRightInd w:val="0"/>
                    <w:snapToGrid w:val="0"/>
                    <w:jc w:val="center"/>
                    <w:rPr>
                      <w:sz w:val="18"/>
                      <w:szCs w:val="18"/>
                    </w:rPr>
                  </w:pPr>
                  <w:r>
                    <w:rPr>
                      <w:b/>
                      <w:sz w:val="18"/>
                      <w:szCs w:val="18"/>
                    </w:rPr>
                    <w:t>运行时段</w:t>
                  </w:r>
                </w:p>
              </w:tc>
              <w:tc>
                <w:tcPr>
                  <w:tcW w:w="1155" w:type="dxa"/>
                  <w:gridSpan w:val="4"/>
                  <w:vAlign w:val="center"/>
                </w:tcPr>
                <w:p w14:paraId="2A190660">
                  <w:pPr>
                    <w:adjustRightInd w:val="0"/>
                    <w:snapToGrid w:val="0"/>
                    <w:jc w:val="center"/>
                    <w:rPr>
                      <w:b/>
                      <w:sz w:val="18"/>
                      <w:szCs w:val="18"/>
                    </w:rPr>
                  </w:pPr>
                  <w:r>
                    <w:rPr>
                      <w:b/>
                      <w:sz w:val="18"/>
                      <w:szCs w:val="18"/>
                    </w:rPr>
                    <w:t>建筑物插入损失 / dB(A)</w:t>
                  </w:r>
                </w:p>
              </w:tc>
              <w:tc>
                <w:tcPr>
                  <w:tcW w:w="1426" w:type="dxa"/>
                  <w:gridSpan w:val="5"/>
                  <w:vAlign w:val="center"/>
                </w:tcPr>
                <w:p w14:paraId="480FF252">
                  <w:pPr>
                    <w:adjustRightInd w:val="0"/>
                    <w:snapToGrid w:val="0"/>
                    <w:jc w:val="center"/>
                    <w:rPr>
                      <w:b/>
                      <w:sz w:val="18"/>
                      <w:szCs w:val="18"/>
                    </w:rPr>
                  </w:pPr>
                  <w:r>
                    <w:rPr>
                      <w:b/>
                      <w:sz w:val="18"/>
                      <w:szCs w:val="18"/>
                    </w:rPr>
                    <w:t>建筑物外噪声声压级/dB(A)</w:t>
                  </w:r>
                </w:p>
              </w:tc>
            </w:tr>
            <w:tr w14:paraId="5567001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379" w:type="dxa"/>
                  <w:vMerge w:val="continue"/>
                  <w:tcMar>
                    <w:top w:w="0" w:type="dxa"/>
                    <w:left w:w="0" w:type="dxa"/>
                    <w:bottom w:w="0" w:type="dxa"/>
                    <w:right w:w="0" w:type="dxa"/>
                  </w:tcMar>
                  <w:vAlign w:val="center"/>
                </w:tcPr>
                <w:p w14:paraId="73633F10">
                  <w:pPr>
                    <w:adjustRightInd w:val="0"/>
                    <w:snapToGrid w:val="0"/>
                    <w:jc w:val="center"/>
                    <w:rPr>
                      <w:sz w:val="18"/>
                      <w:szCs w:val="18"/>
                    </w:rPr>
                  </w:pPr>
                </w:p>
              </w:tc>
              <w:tc>
                <w:tcPr>
                  <w:tcW w:w="267" w:type="dxa"/>
                  <w:vMerge w:val="continue"/>
                  <w:tcMar>
                    <w:top w:w="0" w:type="dxa"/>
                    <w:left w:w="0" w:type="dxa"/>
                    <w:bottom w:w="0" w:type="dxa"/>
                    <w:right w:w="0" w:type="dxa"/>
                  </w:tcMar>
                  <w:vAlign w:val="center"/>
                </w:tcPr>
                <w:p w14:paraId="4C3132FD">
                  <w:pPr>
                    <w:adjustRightInd w:val="0"/>
                    <w:snapToGrid w:val="0"/>
                    <w:jc w:val="center"/>
                    <w:rPr>
                      <w:sz w:val="18"/>
                      <w:szCs w:val="18"/>
                    </w:rPr>
                  </w:pPr>
                </w:p>
              </w:tc>
              <w:tc>
                <w:tcPr>
                  <w:tcW w:w="550" w:type="dxa"/>
                  <w:vMerge w:val="continue"/>
                  <w:tcMar>
                    <w:top w:w="0" w:type="dxa"/>
                    <w:left w:w="0" w:type="dxa"/>
                    <w:bottom w:w="0" w:type="dxa"/>
                    <w:right w:w="0" w:type="dxa"/>
                  </w:tcMar>
                  <w:vAlign w:val="center"/>
                </w:tcPr>
                <w:p w14:paraId="4FF1B3D6">
                  <w:pPr>
                    <w:adjustRightInd w:val="0"/>
                    <w:snapToGrid w:val="0"/>
                    <w:jc w:val="center"/>
                    <w:rPr>
                      <w:sz w:val="18"/>
                      <w:szCs w:val="18"/>
                    </w:rPr>
                  </w:pPr>
                </w:p>
              </w:tc>
              <w:tc>
                <w:tcPr>
                  <w:tcW w:w="437" w:type="dxa"/>
                  <w:tcMar>
                    <w:top w:w="0" w:type="dxa"/>
                    <w:left w:w="0" w:type="dxa"/>
                    <w:bottom w:w="0" w:type="dxa"/>
                    <w:right w:w="0" w:type="dxa"/>
                  </w:tcMar>
                  <w:vAlign w:val="center"/>
                </w:tcPr>
                <w:p w14:paraId="3B106419">
                  <w:pPr>
                    <w:adjustRightInd w:val="0"/>
                    <w:snapToGrid w:val="0"/>
                    <w:jc w:val="center"/>
                    <w:rPr>
                      <w:sz w:val="18"/>
                      <w:szCs w:val="18"/>
                    </w:rPr>
                  </w:pPr>
                  <w:r>
                    <w:rPr>
                      <w:sz w:val="18"/>
                      <w:szCs w:val="18"/>
                    </w:rPr>
                    <w:t>声功率级/dB(A)</w:t>
                  </w:r>
                </w:p>
              </w:tc>
              <w:tc>
                <w:tcPr>
                  <w:tcW w:w="381" w:type="dxa"/>
                  <w:vMerge w:val="continue"/>
                  <w:tcMar>
                    <w:top w:w="0" w:type="dxa"/>
                    <w:left w:w="0" w:type="dxa"/>
                    <w:bottom w:w="0" w:type="dxa"/>
                    <w:right w:w="0" w:type="dxa"/>
                  </w:tcMar>
                  <w:vAlign w:val="center"/>
                </w:tcPr>
                <w:p w14:paraId="54D7B766">
                  <w:pPr>
                    <w:adjustRightInd w:val="0"/>
                    <w:snapToGrid w:val="0"/>
                    <w:jc w:val="center"/>
                    <w:rPr>
                      <w:sz w:val="18"/>
                      <w:szCs w:val="18"/>
                    </w:rPr>
                  </w:pPr>
                </w:p>
              </w:tc>
              <w:tc>
                <w:tcPr>
                  <w:tcW w:w="360" w:type="dxa"/>
                  <w:tcMar>
                    <w:top w:w="0" w:type="dxa"/>
                    <w:left w:w="0" w:type="dxa"/>
                    <w:bottom w:w="0" w:type="dxa"/>
                    <w:right w:w="0" w:type="dxa"/>
                  </w:tcMar>
                  <w:vAlign w:val="center"/>
                </w:tcPr>
                <w:p w14:paraId="3D2933BA">
                  <w:pPr>
                    <w:adjustRightInd w:val="0"/>
                    <w:snapToGrid w:val="0"/>
                    <w:jc w:val="center"/>
                    <w:rPr>
                      <w:sz w:val="18"/>
                      <w:szCs w:val="18"/>
                    </w:rPr>
                  </w:pPr>
                  <w:r>
                    <w:rPr>
                      <w:rFonts w:hint="eastAsia"/>
                      <w:sz w:val="18"/>
                      <w:szCs w:val="18"/>
                    </w:rPr>
                    <w:t>对照点</w:t>
                  </w:r>
                </w:p>
              </w:tc>
              <w:tc>
                <w:tcPr>
                  <w:tcW w:w="265" w:type="dxa"/>
                  <w:tcMar>
                    <w:top w:w="0" w:type="dxa"/>
                    <w:left w:w="0" w:type="dxa"/>
                    <w:bottom w:w="0" w:type="dxa"/>
                    <w:right w:w="0" w:type="dxa"/>
                  </w:tcMar>
                  <w:vAlign w:val="center"/>
                </w:tcPr>
                <w:p w14:paraId="50F0C894">
                  <w:pPr>
                    <w:adjustRightInd w:val="0"/>
                    <w:snapToGrid w:val="0"/>
                    <w:jc w:val="center"/>
                    <w:rPr>
                      <w:sz w:val="18"/>
                      <w:szCs w:val="18"/>
                    </w:rPr>
                  </w:pPr>
                  <w:r>
                    <w:rPr>
                      <w:sz w:val="18"/>
                      <w:szCs w:val="18"/>
                    </w:rPr>
                    <w:t>X</w:t>
                  </w:r>
                </w:p>
              </w:tc>
              <w:tc>
                <w:tcPr>
                  <w:tcW w:w="207" w:type="dxa"/>
                  <w:tcMar>
                    <w:top w:w="0" w:type="dxa"/>
                    <w:left w:w="0" w:type="dxa"/>
                    <w:bottom w:w="0" w:type="dxa"/>
                    <w:right w:w="0" w:type="dxa"/>
                  </w:tcMar>
                  <w:vAlign w:val="center"/>
                </w:tcPr>
                <w:p w14:paraId="4474FBEC">
                  <w:pPr>
                    <w:adjustRightInd w:val="0"/>
                    <w:snapToGrid w:val="0"/>
                    <w:jc w:val="center"/>
                    <w:rPr>
                      <w:sz w:val="18"/>
                      <w:szCs w:val="18"/>
                    </w:rPr>
                  </w:pPr>
                  <w:r>
                    <w:rPr>
                      <w:sz w:val="18"/>
                      <w:szCs w:val="18"/>
                    </w:rPr>
                    <w:t>Y</w:t>
                  </w:r>
                </w:p>
              </w:tc>
              <w:tc>
                <w:tcPr>
                  <w:tcW w:w="220" w:type="dxa"/>
                  <w:tcMar>
                    <w:top w:w="0" w:type="dxa"/>
                    <w:left w:w="0" w:type="dxa"/>
                    <w:bottom w:w="0" w:type="dxa"/>
                    <w:right w:w="0" w:type="dxa"/>
                  </w:tcMar>
                  <w:vAlign w:val="center"/>
                </w:tcPr>
                <w:p w14:paraId="2F219D8F">
                  <w:pPr>
                    <w:adjustRightInd w:val="0"/>
                    <w:snapToGrid w:val="0"/>
                    <w:jc w:val="center"/>
                    <w:rPr>
                      <w:sz w:val="18"/>
                      <w:szCs w:val="18"/>
                    </w:rPr>
                  </w:pPr>
                  <w:r>
                    <w:rPr>
                      <w:sz w:val="18"/>
                      <w:szCs w:val="18"/>
                    </w:rPr>
                    <w:t>Z</w:t>
                  </w:r>
                </w:p>
              </w:tc>
              <w:tc>
                <w:tcPr>
                  <w:tcW w:w="300" w:type="dxa"/>
                  <w:tcMar>
                    <w:top w:w="0" w:type="dxa"/>
                    <w:left w:w="0" w:type="dxa"/>
                    <w:bottom w:w="0" w:type="dxa"/>
                    <w:right w:w="0" w:type="dxa"/>
                  </w:tcMar>
                  <w:vAlign w:val="center"/>
                </w:tcPr>
                <w:p w14:paraId="3AC70E0E">
                  <w:pPr>
                    <w:adjustRightInd w:val="0"/>
                    <w:snapToGrid w:val="0"/>
                    <w:jc w:val="center"/>
                    <w:rPr>
                      <w:sz w:val="18"/>
                      <w:szCs w:val="18"/>
                    </w:rPr>
                  </w:pPr>
                  <w:r>
                    <w:rPr>
                      <w:sz w:val="18"/>
                      <w:szCs w:val="18"/>
                    </w:rPr>
                    <w:t>东</w:t>
                  </w:r>
                </w:p>
              </w:tc>
              <w:tc>
                <w:tcPr>
                  <w:tcW w:w="288" w:type="dxa"/>
                  <w:tcMar>
                    <w:top w:w="0" w:type="dxa"/>
                    <w:left w:w="0" w:type="dxa"/>
                    <w:bottom w:w="0" w:type="dxa"/>
                    <w:right w:w="0" w:type="dxa"/>
                  </w:tcMar>
                  <w:vAlign w:val="center"/>
                </w:tcPr>
                <w:p w14:paraId="36B66E73">
                  <w:pPr>
                    <w:adjustRightInd w:val="0"/>
                    <w:snapToGrid w:val="0"/>
                    <w:jc w:val="center"/>
                    <w:rPr>
                      <w:sz w:val="18"/>
                      <w:szCs w:val="18"/>
                    </w:rPr>
                  </w:pPr>
                  <w:r>
                    <w:rPr>
                      <w:sz w:val="18"/>
                      <w:szCs w:val="18"/>
                    </w:rPr>
                    <w:t>南</w:t>
                  </w:r>
                </w:p>
              </w:tc>
              <w:tc>
                <w:tcPr>
                  <w:tcW w:w="265" w:type="dxa"/>
                  <w:tcMar>
                    <w:top w:w="0" w:type="dxa"/>
                    <w:left w:w="0" w:type="dxa"/>
                    <w:bottom w:w="0" w:type="dxa"/>
                    <w:right w:w="0" w:type="dxa"/>
                  </w:tcMar>
                  <w:vAlign w:val="center"/>
                </w:tcPr>
                <w:p w14:paraId="720FF355">
                  <w:pPr>
                    <w:adjustRightInd w:val="0"/>
                    <w:snapToGrid w:val="0"/>
                    <w:jc w:val="center"/>
                    <w:rPr>
                      <w:sz w:val="18"/>
                      <w:szCs w:val="18"/>
                    </w:rPr>
                  </w:pPr>
                  <w:r>
                    <w:rPr>
                      <w:sz w:val="18"/>
                      <w:szCs w:val="18"/>
                    </w:rPr>
                    <w:t>西</w:t>
                  </w:r>
                </w:p>
              </w:tc>
              <w:tc>
                <w:tcPr>
                  <w:tcW w:w="313" w:type="dxa"/>
                  <w:tcMar>
                    <w:top w:w="0" w:type="dxa"/>
                    <w:left w:w="0" w:type="dxa"/>
                    <w:bottom w:w="0" w:type="dxa"/>
                    <w:right w:w="0" w:type="dxa"/>
                  </w:tcMar>
                  <w:vAlign w:val="center"/>
                </w:tcPr>
                <w:p w14:paraId="5C9D23A3">
                  <w:pPr>
                    <w:adjustRightInd w:val="0"/>
                    <w:snapToGrid w:val="0"/>
                    <w:jc w:val="center"/>
                    <w:rPr>
                      <w:sz w:val="18"/>
                      <w:szCs w:val="18"/>
                    </w:rPr>
                  </w:pPr>
                  <w:r>
                    <w:rPr>
                      <w:sz w:val="18"/>
                      <w:szCs w:val="18"/>
                    </w:rPr>
                    <w:t>北</w:t>
                  </w:r>
                </w:p>
              </w:tc>
              <w:tc>
                <w:tcPr>
                  <w:tcW w:w="265" w:type="dxa"/>
                  <w:tcMar>
                    <w:top w:w="0" w:type="dxa"/>
                    <w:left w:w="0" w:type="dxa"/>
                    <w:bottom w:w="0" w:type="dxa"/>
                    <w:right w:w="0" w:type="dxa"/>
                  </w:tcMar>
                  <w:vAlign w:val="center"/>
                </w:tcPr>
                <w:p w14:paraId="31E0AB2F">
                  <w:pPr>
                    <w:adjustRightInd w:val="0"/>
                    <w:snapToGrid w:val="0"/>
                    <w:jc w:val="center"/>
                    <w:rPr>
                      <w:sz w:val="18"/>
                      <w:szCs w:val="18"/>
                    </w:rPr>
                  </w:pPr>
                  <w:r>
                    <w:rPr>
                      <w:sz w:val="18"/>
                      <w:szCs w:val="18"/>
                    </w:rPr>
                    <w:t>东</w:t>
                  </w:r>
                </w:p>
              </w:tc>
              <w:tc>
                <w:tcPr>
                  <w:tcW w:w="311" w:type="dxa"/>
                  <w:tcMar>
                    <w:top w:w="0" w:type="dxa"/>
                    <w:left w:w="0" w:type="dxa"/>
                    <w:bottom w:w="0" w:type="dxa"/>
                    <w:right w:w="0" w:type="dxa"/>
                  </w:tcMar>
                  <w:vAlign w:val="center"/>
                </w:tcPr>
                <w:p w14:paraId="6DBEAC87">
                  <w:pPr>
                    <w:adjustRightInd w:val="0"/>
                    <w:snapToGrid w:val="0"/>
                    <w:jc w:val="center"/>
                    <w:rPr>
                      <w:sz w:val="18"/>
                      <w:szCs w:val="18"/>
                    </w:rPr>
                  </w:pPr>
                  <w:r>
                    <w:rPr>
                      <w:sz w:val="18"/>
                      <w:szCs w:val="18"/>
                    </w:rPr>
                    <w:t>南</w:t>
                  </w:r>
                </w:p>
              </w:tc>
              <w:tc>
                <w:tcPr>
                  <w:tcW w:w="252" w:type="dxa"/>
                  <w:tcMar>
                    <w:top w:w="0" w:type="dxa"/>
                    <w:left w:w="0" w:type="dxa"/>
                    <w:bottom w:w="0" w:type="dxa"/>
                    <w:right w:w="0" w:type="dxa"/>
                  </w:tcMar>
                  <w:vAlign w:val="center"/>
                </w:tcPr>
                <w:p w14:paraId="69C7A408">
                  <w:pPr>
                    <w:adjustRightInd w:val="0"/>
                    <w:snapToGrid w:val="0"/>
                    <w:jc w:val="center"/>
                    <w:rPr>
                      <w:sz w:val="18"/>
                      <w:szCs w:val="18"/>
                    </w:rPr>
                  </w:pPr>
                  <w:r>
                    <w:rPr>
                      <w:sz w:val="18"/>
                      <w:szCs w:val="18"/>
                    </w:rPr>
                    <w:t>西</w:t>
                  </w:r>
                </w:p>
              </w:tc>
              <w:tc>
                <w:tcPr>
                  <w:tcW w:w="268" w:type="dxa"/>
                  <w:tcMar>
                    <w:top w:w="0" w:type="dxa"/>
                    <w:left w:w="0" w:type="dxa"/>
                    <w:bottom w:w="0" w:type="dxa"/>
                    <w:right w:w="0" w:type="dxa"/>
                  </w:tcMar>
                  <w:vAlign w:val="center"/>
                </w:tcPr>
                <w:p w14:paraId="29329D0A">
                  <w:pPr>
                    <w:adjustRightInd w:val="0"/>
                    <w:snapToGrid w:val="0"/>
                    <w:jc w:val="center"/>
                    <w:rPr>
                      <w:sz w:val="18"/>
                      <w:szCs w:val="18"/>
                    </w:rPr>
                  </w:pPr>
                  <w:r>
                    <w:rPr>
                      <w:sz w:val="18"/>
                      <w:szCs w:val="18"/>
                    </w:rPr>
                    <w:t>北</w:t>
                  </w:r>
                </w:p>
              </w:tc>
              <w:tc>
                <w:tcPr>
                  <w:tcW w:w="368" w:type="dxa"/>
                  <w:vMerge w:val="continue"/>
                  <w:tcMar>
                    <w:top w:w="0" w:type="dxa"/>
                    <w:left w:w="0" w:type="dxa"/>
                    <w:bottom w:w="0" w:type="dxa"/>
                    <w:right w:w="0" w:type="dxa"/>
                  </w:tcMar>
                  <w:vAlign w:val="center"/>
                </w:tcPr>
                <w:p w14:paraId="60A19C7A">
                  <w:pPr>
                    <w:adjustRightInd w:val="0"/>
                    <w:snapToGrid w:val="0"/>
                    <w:jc w:val="center"/>
                    <w:rPr>
                      <w:sz w:val="18"/>
                      <w:szCs w:val="18"/>
                    </w:rPr>
                  </w:pPr>
                </w:p>
              </w:tc>
              <w:tc>
                <w:tcPr>
                  <w:tcW w:w="300" w:type="dxa"/>
                  <w:tcMar>
                    <w:top w:w="0" w:type="dxa"/>
                    <w:left w:w="0" w:type="dxa"/>
                    <w:bottom w:w="0" w:type="dxa"/>
                    <w:right w:w="0" w:type="dxa"/>
                  </w:tcMar>
                  <w:vAlign w:val="center"/>
                </w:tcPr>
                <w:p w14:paraId="428C72DE">
                  <w:pPr>
                    <w:adjustRightInd w:val="0"/>
                    <w:snapToGrid w:val="0"/>
                    <w:jc w:val="center"/>
                    <w:rPr>
                      <w:sz w:val="18"/>
                      <w:szCs w:val="18"/>
                    </w:rPr>
                  </w:pPr>
                  <w:r>
                    <w:rPr>
                      <w:sz w:val="18"/>
                      <w:szCs w:val="18"/>
                    </w:rPr>
                    <w:t>东</w:t>
                  </w:r>
                </w:p>
              </w:tc>
              <w:tc>
                <w:tcPr>
                  <w:tcW w:w="239" w:type="dxa"/>
                  <w:tcMar>
                    <w:top w:w="0" w:type="dxa"/>
                    <w:left w:w="0" w:type="dxa"/>
                    <w:bottom w:w="0" w:type="dxa"/>
                    <w:right w:w="0" w:type="dxa"/>
                  </w:tcMar>
                  <w:vAlign w:val="center"/>
                </w:tcPr>
                <w:p w14:paraId="4E85BD46">
                  <w:pPr>
                    <w:adjustRightInd w:val="0"/>
                    <w:snapToGrid w:val="0"/>
                    <w:jc w:val="center"/>
                    <w:rPr>
                      <w:sz w:val="18"/>
                      <w:szCs w:val="18"/>
                    </w:rPr>
                  </w:pPr>
                  <w:r>
                    <w:rPr>
                      <w:sz w:val="18"/>
                      <w:szCs w:val="18"/>
                    </w:rPr>
                    <w:t>南</w:t>
                  </w:r>
                </w:p>
              </w:tc>
              <w:tc>
                <w:tcPr>
                  <w:tcW w:w="303" w:type="dxa"/>
                  <w:tcMar>
                    <w:top w:w="0" w:type="dxa"/>
                    <w:left w:w="0" w:type="dxa"/>
                    <w:bottom w:w="0" w:type="dxa"/>
                    <w:right w:w="0" w:type="dxa"/>
                  </w:tcMar>
                  <w:vAlign w:val="center"/>
                </w:tcPr>
                <w:p w14:paraId="534C4AE5">
                  <w:pPr>
                    <w:adjustRightInd w:val="0"/>
                    <w:snapToGrid w:val="0"/>
                    <w:jc w:val="center"/>
                    <w:rPr>
                      <w:sz w:val="18"/>
                      <w:szCs w:val="18"/>
                    </w:rPr>
                  </w:pPr>
                  <w:r>
                    <w:rPr>
                      <w:sz w:val="18"/>
                      <w:szCs w:val="18"/>
                    </w:rPr>
                    <w:t>西</w:t>
                  </w:r>
                </w:p>
              </w:tc>
              <w:tc>
                <w:tcPr>
                  <w:tcW w:w="313" w:type="dxa"/>
                  <w:tcMar>
                    <w:top w:w="0" w:type="dxa"/>
                    <w:left w:w="0" w:type="dxa"/>
                    <w:bottom w:w="0" w:type="dxa"/>
                    <w:right w:w="0" w:type="dxa"/>
                  </w:tcMar>
                  <w:vAlign w:val="center"/>
                </w:tcPr>
                <w:p w14:paraId="1A58DDC8">
                  <w:pPr>
                    <w:adjustRightInd w:val="0"/>
                    <w:snapToGrid w:val="0"/>
                    <w:jc w:val="center"/>
                    <w:rPr>
                      <w:sz w:val="18"/>
                      <w:szCs w:val="18"/>
                    </w:rPr>
                  </w:pPr>
                  <w:r>
                    <w:rPr>
                      <w:sz w:val="18"/>
                      <w:szCs w:val="18"/>
                    </w:rPr>
                    <w:t>北</w:t>
                  </w:r>
                </w:p>
              </w:tc>
              <w:tc>
                <w:tcPr>
                  <w:tcW w:w="308" w:type="dxa"/>
                  <w:tcMar>
                    <w:top w:w="0" w:type="dxa"/>
                    <w:left w:w="0" w:type="dxa"/>
                    <w:bottom w:w="0" w:type="dxa"/>
                    <w:right w:w="0" w:type="dxa"/>
                  </w:tcMar>
                  <w:vAlign w:val="center"/>
                </w:tcPr>
                <w:p w14:paraId="69677734">
                  <w:pPr>
                    <w:adjustRightInd w:val="0"/>
                    <w:snapToGrid w:val="0"/>
                    <w:jc w:val="center"/>
                    <w:rPr>
                      <w:sz w:val="18"/>
                      <w:szCs w:val="18"/>
                    </w:rPr>
                  </w:pPr>
                  <w:r>
                    <w:rPr>
                      <w:sz w:val="18"/>
                      <w:szCs w:val="18"/>
                    </w:rPr>
                    <w:t>东</w:t>
                  </w:r>
                </w:p>
              </w:tc>
              <w:tc>
                <w:tcPr>
                  <w:tcW w:w="307" w:type="dxa"/>
                  <w:tcMar>
                    <w:top w:w="0" w:type="dxa"/>
                    <w:left w:w="0" w:type="dxa"/>
                    <w:bottom w:w="0" w:type="dxa"/>
                    <w:right w:w="0" w:type="dxa"/>
                  </w:tcMar>
                  <w:vAlign w:val="center"/>
                </w:tcPr>
                <w:p w14:paraId="0532F768">
                  <w:pPr>
                    <w:adjustRightInd w:val="0"/>
                    <w:snapToGrid w:val="0"/>
                    <w:jc w:val="center"/>
                    <w:rPr>
                      <w:sz w:val="18"/>
                      <w:szCs w:val="18"/>
                    </w:rPr>
                  </w:pPr>
                  <w:r>
                    <w:rPr>
                      <w:sz w:val="18"/>
                      <w:szCs w:val="18"/>
                    </w:rPr>
                    <w:t>南</w:t>
                  </w:r>
                </w:p>
              </w:tc>
              <w:tc>
                <w:tcPr>
                  <w:tcW w:w="307" w:type="dxa"/>
                  <w:tcMar>
                    <w:top w:w="0" w:type="dxa"/>
                    <w:left w:w="0" w:type="dxa"/>
                    <w:bottom w:w="0" w:type="dxa"/>
                    <w:right w:w="0" w:type="dxa"/>
                  </w:tcMar>
                  <w:vAlign w:val="center"/>
                </w:tcPr>
                <w:p w14:paraId="6F7E3EDD">
                  <w:pPr>
                    <w:adjustRightInd w:val="0"/>
                    <w:snapToGrid w:val="0"/>
                    <w:jc w:val="center"/>
                    <w:rPr>
                      <w:sz w:val="18"/>
                      <w:szCs w:val="18"/>
                    </w:rPr>
                  </w:pPr>
                  <w:r>
                    <w:rPr>
                      <w:sz w:val="18"/>
                      <w:szCs w:val="18"/>
                    </w:rPr>
                    <w:t>西</w:t>
                  </w:r>
                </w:p>
              </w:tc>
              <w:tc>
                <w:tcPr>
                  <w:tcW w:w="307" w:type="dxa"/>
                  <w:tcMar>
                    <w:top w:w="0" w:type="dxa"/>
                    <w:left w:w="0" w:type="dxa"/>
                    <w:bottom w:w="0" w:type="dxa"/>
                    <w:right w:w="0" w:type="dxa"/>
                  </w:tcMar>
                  <w:vAlign w:val="center"/>
                </w:tcPr>
                <w:p w14:paraId="5B68EAB0">
                  <w:pPr>
                    <w:adjustRightInd w:val="0"/>
                    <w:snapToGrid w:val="0"/>
                    <w:jc w:val="center"/>
                    <w:rPr>
                      <w:sz w:val="18"/>
                      <w:szCs w:val="18"/>
                    </w:rPr>
                  </w:pPr>
                  <w:r>
                    <w:rPr>
                      <w:sz w:val="18"/>
                      <w:szCs w:val="18"/>
                    </w:rPr>
                    <w:t>北</w:t>
                  </w:r>
                </w:p>
              </w:tc>
              <w:tc>
                <w:tcPr>
                  <w:tcW w:w="197" w:type="dxa"/>
                  <w:tcMar>
                    <w:top w:w="0" w:type="dxa"/>
                    <w:left w:w="0" w:type="dxa"/>
                    <w:bottom w:w="0" w:type="dxa"/>
                    <w:right w:w="0" w:type="dxa"/>
                  </w:tcMar>
                  <w:vAlign w:val="center"/>
                </w:tcPr>
                <w:p w14:paraId="4D835F78">
                  <w:pPr>
                    <w:adjustRightInd w:val="0"/>
                    <w:snapToGrid w:val="0"/>
                    <w:jc w:val="center"/>
                    <w:rPr>
                      <w:sz w:val="18"/>
                      <w:szCs w:val="18"/>
                    </w:rPr>
                  </w:pPr>
                  <w:r>
                    <w:rPr>
                      <w:sz w:val="18"/>
                      <w:szCs w:val="18"/>
                    </w:rPr>
                    <w:t>建筑物外距离</w:t>
                  </w:r>
                </w:p>
              </w:tc>
            </w:tr>
            <w:tr w14:paraId="737933F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379" w:type="dxa"/>
                  <w:tcMar>
                    <w:top w:w="0" w:type="dxa"/>
                    <w:left w:w="0" w:type="dxa"/>
                    <w:bottom w:w="0" w:type="dxa"/>
                    <w:right w:w="0" w:type="dxa"/>
                  </w:tcMar>
                  <w:vAlign w:val="center"/>
                </w:tcPr>
                <w:p w14:paraId="7CF3F5F8">
                  <w:pPr>
                    <w:adjustRightInd w:val="0"/>
                    <w:snapToGrid w:val="0"/>
                    <w:jc w:val="center"/>
                    <w:rPr>
                      <w:sz w:val="18"/>
                      <w:szCs w:val="18"/>
                      <w:u w:val="none"/>
                    </w:rPr>
                  </w:pPr>
                  <w:r>
                    <w:rPr>
                      <w:sz w:val="18"/>
                      <w:szCs w:val="18"/>
                      <w:u w:val="none"/>
                    </w:rPr>
                    <w:t>1</w:t>
                  </w:r>
                </w:p>
              </w:tc>
              <w:tc>
                <w:tcPr>
                  <w:tcW w:w="267" w:type="dxa"/>
                  <w:vMerge w:val="restart"/>
                  <w:tcMar>
                    <w:top w:w="0" w:type="dxa"/>
                    <w:left w:w="0" w:type="dxa"/>
                    <w:bottom w:w="0" w:type="dxa"/>
                    <w:right w:w="0" w:type="dxa"/>
                  </w:tcMar>
                  <w:vAlign w:val="center"/>
                </w:tcPr>
                <w:p w14:paraId="6CDAC12F">
                  <w:pPr>
                    <w:adjustRightInd w:val="0"/>
                    <w:snapToGrid w:val="0"/>
                    <w:jc w:val="center"/>
                    <w:rPr>
                      <w:sz w:val="18"/>
                      <w:szCs w:val="18"/>
                      <w:u w:val="none"/>
                    </w:rPr>
                  </w:pPr>
                  <w:r>
                    <w:rPr>
                      <w:rFonts w:hint="eastAsia"/>
                      <w:sz w:val="18"/>
                      <w:szCs w:val="18"/>
                      <w:u w:val="none"/>
                    </w:rPr>
                    <w:t>车间</w:t>
                  </w:r>
                </w:p>
              </w:tc>
              <w:tc>
                <w:tcPr>
                  <w:tcW w:w="550" w:type="dxa"/>
                  <w:tcMar>
                    <w:top w:w="0" w:type="dxa"/>
                    <w:left w:w="0" w:type="dxa"/>
                    <w:bottom w:w="0" w:type="dxa"/>
                    <w:right w:w="0" w:type="dxa"/>
                  </w:tcMar>
                  <w:vAlign w:val="center"/>
                </w:tcPr>
                <w:p w14:paraId="2751B91B">
                  <w:pPr>
                    <w:widowControl/>
                    <w:jc w:val="center"/>
                    <w:textAlignment w:val="center"/>
                    <w:rPr>
                      <w:sz w:val="18"/>
                      <w:szCs w:val="18"/>
                      <w:u w:val="none"/>
                    </w:rPr>
                  </w:pPr>
                  <w:r>
                    <w:rPr>
                      <w:rFonts w:hint="eastAsia"/>
                      <w:sz w:val="18"/>
                      <w:szCs w:val="18"/>
                      <w:u w:val="none"/>
                    </w:rPr>
                    <w:t>焊机</w:t>
                  </w:r>
                </w:p>
              </w:tc>
              <w:tc>
                <w:tcPr>
                  <w:tcW w:w="437" w:type="dxa"/>
                  <w:tcMar>
                    <w:top w:w="0" w:type="dxa"/>
                    <w:left w:w="0" w:type="dxa"/>
                    <w:bottom w:w="0" w:type="dxa"/>
                    <w:right w:w="0" w:type="dxa"/>
                  </w:tcMar>
                  <w:vAlign w:val="center"/>
                </w:tcPr>
                <w:p w14:paraId="1BDF47CD">
                  <w:pPr>
                    <w:adjustRightInd w:val="0"/>
                    <w:snapToGrid w:val="0"/>
                    <w:jc w:val="center"/>
                    <w:rPr>
                      <w:sz w:val="18"/>
                      <w:szCs w:val="18"/>
                      <w:u w:val="none"/>
                    </w:rPr>
                  </w:pPr>
                  <w:r>
                    <w:rPr>
                      <w:sz w:val="18"/>
                      <w:szCs w:val="18"/>
                      <w:u w:val="none"/>
                    </w:rPr>
                    <w:t>80</w:t>
                  </w:r>
                </w:p>
              </w:tc>
              <w:tc>
                <w:tcPr>
                  <w:tcW w:w="381" w:type="dxa"/>
                  <w:vMerge w:val="restart"/>
                  <w:tcMar>
                    <w:top w:w="0" w:type="dxa"/>
                    <w:left w:w="0" w:type="dxa"/>
                    <w:bottom w:w="0" w:type="dxa"/>
                    <w:right w:w="0" w:type="dxa"/>
                  </w:tcMar>
                  <w:vAlign w:val="center"/>
                </w:tcPr>
                <w:p w14:paraId="73851A42">
                  <w:pPr>
                    <w:adjustRightInd w:val="0"/>
                    <w:snapToGrid w:val="0"/>
                    <w:jc w:val="center"/>
                    <w:rPr>
                      <w:sz w:val="18"/>
                      <w:szCs w:val="18"/>
                      <w:u w:val="none"/>
                    </w:rPr>
                  </w:pPr>
                  <w:r>
                    <w:rPr>
                      <w:sz w:val="18"/>
                      <w:szCs w:val="18"/>
                      <w:u w:val="none"/>
                    </w:rPr>
                    <w:t>基础减震、墙体阻隔</w:t>
                  </w:r>
                </w:p>
              </w:tc>
              <w:tc>
                <w:tcPr>
                  <w:tcW w:w="360" w:type="dxa"/>
                  <w:vMerge w:val="restart"/>
                  <w:tcMar>
                    <w:top w:w="0" w:type="dxa"/>
                    <w:left w:w="0" w:type="dxa"/>
                    <w:bottom w:w="0" w:type="dxa"/>
                    <w:right w:w="0" w:type="dxa"/>
                  </w:tcMar>
                  <w:vAlign w:val="center"/>
                </w:tcPr>
                <w:p w14:paraId="09217F09">
                  <w:pPr>
                    <w:adjustRightInd w:val="0"/>
                    <w:snapToGrid w:val="0"/>
                    <w:jc w:val="center"/>
                    <w:rPr>
                      <w:sz w:val="18"/>
                      <w:szCs w:val="18"/>
                      <w:u w:val="none"/>
                    </w:rPr>
                  </w:pPr>
                  <w:r>
                    <w:rPr>
                      <w:rFonts w:hint="eastAsia"/>
                      <w:sz w:val="18"/>
                      <w:szCs w:val="18"/>
                      <w:u w:val="none"/>
                    </w:rPr>
                    <w:t>厂区中心点位为原点</w:t>
                  </w:r>
                </w:p>
              </w:tc>
              <w:tc>
                <w:tcPr>
                  <w:tcW w:w="265" w:type="dxa"/>
                  <w:tcMar>
                    <w:top w:w="0" w:type="dxa"/>
                    <w:left w:w="0" w:type="dxa"/>
                    <w:bottom w:w="0" w:type="dxa"/>
                    <w:right w:w="0" w:type="dxa"/>
                  </w:tcMar>
                  <w:vAlign w:val="center"/>
                </w:tcPr>
                <w:p w14:paraId="0E96EE4A">
                  <w:pPr>
                    <w:adjustRightInd w:val="0"/>
                    <w:snapToGrid w:val="0"/>
                    <w:jc w:val="center"/>
                    <w:rPr>
                      <w:sz w:val="18"/>
                      <w:szCs w:val="18"/>
                      <w:u w:val="none"/>
                    </w:rPr>
                  </w:pPr>
                  <w:r>
                    <w:rPr>
                      <w:sz w:val="18"/>
                      <w:szCs w:val="18"/>
                      <w:u w:val="none"/>
                    </w:rPr>
                    <w:t>10.7</w:t>
                  </w:r>
                </w:p>
              </w:tc>
              <w:tc>
                <w:tcPr>
                  <w:tcW w:w="207" w:type="dxa"/>
                  <w:tcMar>
                    <w:top w:w="0" w:type="dxa"/>
                    <w:left w:w="0" w:type="dxa"/>
                    <w:bottom w:w="0" w:type="dxa"/>
                    <w:right w:w="0" w:type="dxa"/>
                  </w:tcMar>
                  <w:vAlign w:val="center"/>
                </w:tcPr>
                <w:p w14:paraId="394B1764">
                  <w:pPr>
                    <w:adjustRightInd w:val="0"/>
                    <w:snapToGrid w:val="0"/>
                    <w:jc w:val="center"/>
                    <w:rPr>
                      <w:sz w:val="18"/>
                      <w:szCs w:val="18"/>
                      <w:u w:val="none"/>
                    </w:rPr>
                  </w:pPr>
                  <w:r>
                    <w:rPr>
                      <w:sz w:val="18"/>
                      <w:szCs w:val="18"/>
                      <w:u w:val="none"/>
                    </w:rPr>
                    <w:t>0.3</w:t>
                  </w:r>
                </w:p>
              </w:tc>
              <w:tc>
                <w:tcPr>
                  <w:tcW w:w="220" w:type="dxa"/>
                  <w:tcMar>
                    <w:top w:w="0" w:type="dxa"/>
                    <w:left w:w="0" w:type="dxa"/>
                    <w:bottom w:w="0" w:type="dxa"/>
                    <w:right w:w="0" w:type="dxa"/>
                  </w:tcMar>
                  <w:vAlign w:val="center"/>
                </w:tcPr>
                <w:p w14:paraId="38552CDD">
                  <w:pPr>
                    <w:adjustRightInd w:val="0"/>
                    <w:snapToGrid w:val="0"/>
                    <w:jc w:val="center"/>
                    <w:rPr>
                      <w:sz w:val="18"/>
                      <w:szCs w:val="18"/>
                      <w:u w:val="none"/>
                    </w:rPr>
                  </w:pPr>
                  <w:r>
                    <w:rPr>
                      <w:rFonts w:hint="eastAsia"/>
                      <w:sz w:val="18"/>
                      <w:szCs w:val="18"/>
                      <w:u w:val="none"/>
                    </w:rPr>
                    <w:t>5</w:t>
                  </w:r>
                </w:p>
              </w:tc>
              <w:tc>
                <w:tcPr>
                  <w:tcW w:w="300" w:type="dxa"/>
                  <w:tcMar>
                    <w:top w:w="0" w:type="dxa"/>
                    <w:left w:w="0" w:type="dxa"/>
                    <w:bottom w:w="0" w:type="dxa"/>
                    <w:right w:w="0" w:type="dxa"/>
                  </w:tcMar>
                  <w:vAlign w:val="center"/>
                </w:tcPr>
                <w:p w14:paraId="52DD631B">
                  <w:pPr>
                    <w:adjustRightInd w:val="0"/>
                    <w:snapToGrid w:val="0"/>
                    <w:jc w:val="center"/>
                    <w:rPr>
                      <w:sz w:val="18"/>
                      <w:szCs w:val="18"/>
                      <w:u w:val="none"/>
                    </w:rPr>
                  </w:pPr>
                  <w:r>
                    <w:rPr>
                      <w:sz w:val="18"/>
                      <w:szCs w:val="18"/>
                      <w:u w:val="none"/>
                    </w:rPr>
                    <w:t>30.2</w:t>
                  </w:r>
                </w:p>
              </w:tc>
              <w:tc>
                <w:tcPr>
                  <w:tcW w:w="288" w:type="dxa"/>
                  <w:tcMar>
                    <w:top w:w="0" w:type="dxa"/>
                    <w:left w:w="0" w:type="dxa"/>
                    <w:bottom w:w="0" w:type="dxa"/>
                    <w:right w:w="0" w:type="dxa"/>
                  </w:tcMar>
                  <w:vAlign w:val="center"/>
                </w:tcPr>
                <w:p w14:paraId="75CDE75A">
                  <w:pPr>
                    <w:adjustRightInd w:val="0"/>
                    <w:snapToGrid w:val="0"/>
                    <w:jc w:val="center"/>
                    <w:rPr>
                      <w:sz w:val="18"/>
                      <w:szCs w:val="18"/>
                      <w:u w:val="none"/>
                    </w:rPr>
                  </w:pPr>
                  <w:r>
                    <w:rPr>
                      <w:sz w:val="18"/>
                      <w:szCs w:val="18"/>
                      <w:u w:val="none"/>
                    </w:rPr>
                    <w:t>11.8</w:t>
                  </w:r>
                </w:p>
              </w:tc>
              <w:tc>
                <w:tcPr>
                  <w:tcW w:w="265" w:type="dxa"/>
                  <w:tcMar>
                    <w:top w:w="0" w:type="dxa"/>
                    <w:left w:w="0" w:type="dxa"/>
                    <w:bottom w:w="0" w:type="dxa"/>
                    <w:right w:w="0" w:type="dxa"/>
                  </w:tcMar>
                  <w:vAlign w:val="center"/>
                </w:tcPr>
                <w:p w14:paraId="048C830F">
                  <w:pPr>
                    <w:adjustRightInd w:val="0"/>
                    <w:snapToGrid w:val="0"/>
                    <w:jc w:val="center"/>
                    <w:rPr>
                      <w:sz w:val="18"/>
                      <w:szCs w:val="18"/>
                      <w:u w:val="none"/>
                    </w:rPr>
                  </w:pPr>
                  <w:r>
                    <w:rPr>
                      <w:sz w:val="18"/>
                      <w:szCs w:val="18"/>
                      <w:u w:val="none"/>
                    </w:rPr>
                    <w:t>53.5</w:t>
                  </w:r>
                </w:p>
              </w:tc>
              <w:tc>
                <w:tcPr>
                  <w:tcW w:w="313" w:type="dxa"/>
                  <w:tcMar>
                    <w:top w:w="0" w:type="dxa"/>
                    <w:left w:w="0" w:type="dxa"/>
                    <w:bottom w:w="0" w:type="dxa"/>
                    <w:right w:w="0" w:type="dxa"/>
                  </w:tcMar>
                  <w:vAlign w:val="center"/>
                </w:tcPr>
                <w:p w14:paraId="64BC0FCB">
                  <w:pPr>
                    <w:adjustRightInd w:val="0"/>
                    <w:snapToGrid w:val="0"/>
                    <w:jc w:val="center"/>
                    <w:rPr>
                      <w:sz w:val="18"/>
                      <w:szCs w:val="18"/>
                      <w:u w:val="none"/>
                    </w:rPr>
                  </w:pPr>
                  <w:r>
                    <w:rPr>
                      <w:sz w:val="18"/>
                      <w:szCs w:val="18"/>
                      <w:u w:val="none"/>
                    </w:rPr>
                    <w:t>9.3</w:t>
                  </w:r>
                </w:p>
              </w:tc>
              <w:tc>
                <w:tcPr>
                  <w:tcW w:w="265" w:type="dxa"/>
                  <w:tcMar>
                    <w:top w:w="0" w:type="dxa"/>
                    <w:left w:w="0" w:type="dxa"/>
                    <w:bottom w:w="0" w:type="dxa"/>
                    <w:right w:w="0" w:type="dxa"/>
                  </w:tcMar>
                  <w:vAlign w:val="center"/>
                </w:tcPr>
                <w:p w14:paraId="117D3D2F">
                  <w:pPr>
                    <w:adjustRightInd w:val="0"/>
                    <w:snapToGrid w:val="0"/>
                    <w:jc w:val="center"/>
                    <w:rPr>
                      <w:sz w:val="18"/>
                      <w:szCs w:val="18"/>
                      <w:u w:val="none"/>
                    </w:rPr>
                  </w:pPr>
                  <w:r>
                    <w:rPr>
                      <w:sz w:val="18"/>
                      <w:szCs w:val="18"/>
                      <w:u w:val="none"/>
                    </w:rPr>
                    <w:t>61.8</w:t>
                  </w:r>
                </w:p>
              </w:tc>
              <w:tc>
                <w:tcPr>
                  <w:tcW w:w="311" w:type="dxa"/>
                  <w:tcMar>
                    <w:top w:w="0" w:type="dxa"/>
                    <w:left w:w="0" w:type="dxa"/>
                    <w:bottom w:w="0" w:type="dxa"/>
                    <w:right w:w="0" w:type="dxa"/>
                  </w:tcMar>
                  <w:vAlign w:val="center"/>
                </w:tcPr>
                <w:p w14:paraId="1A52549F">
                  <w:pPr>
                    <w:adjustRightInd w:val="0"/>
                    <w:snapToGrid w:val="0"/>
                    <w:jc w:val="center"/>
                    <w:rPr>
                      <w:sz w:val="18"/>
                      <w:szCs w:val="18"/>
                      <w:u w:val="none"/>
                    </w:rPr>
                  </w:pPr>
                  <w:r>
                    <w:rPr>
                      <w:sz w:val="18"/>
                      <w:szCs w:val="18"/>
                      <w:u w:val="none"/>
                    </w:rPr>
                    <w:t>61.9</w:t>
                  </w:r>
                </w:p>
              </w:tc>
              <w:tc>
                <w:tcPr>
                  <w:tcW w:w="252" w:type="dxa"/>
                  <w:tcMar>
                    <w:top w:w="0" w:type="dxa"/>
                    <w:left w:w="0" w:type="dxa"/>
                    <w:bottom w:w="0" w:type="dxa"/>
                    <w:right w:w="0" w:type="dxa"/>
                  </w:tcMar>
                  <w:vAlign w:val="center"/>
                </w:tcPr>
                <w:p w14:paraId="6981A5C9">
                  <w:pPr>
                    <w:adjustRightInd w:val="0"/>
                    <w:snapToGrid w:val="0"/>
                    <w:jc w:val="center"/>
                    <w:rPr>
                      <w:sz w:val="18"/>
                      <w:szCs w:val="18"/>
                      <w:u w:val="none"/>
                    </w:rPr>
                  </w:pPr>
                  <w:r>
                    <w:rPr>
                      <w:sz w:val="18"/>
                      <w:szCs w:val="18"/>
                      <w:u w:val="none"/>
                    </w:rPr>
                    <w:t>61.7</w:t>
                  </w:r>
                </w:p>
              </w:tc>
              <w:tc>
                <w:tcPr>
                  <w:tcW w:w="268" w:type="dxa"/>
                  <w:tcMar>
                    <w:top w:w="0" w:type="dxa"/>
                    <w:left w:w="0" w:type="dxa"/>
                    <w:bottom w:w="0" w:type="dxa"/>
                    <w:right w:w="0" w:type="dxa"/>
                  </w:tcMar>
                  <w:vAlign w:val="center"/>
                </w:tcPr>
                <w:p w14:paraId="503EFC77">
                  <w:pPr>
                    <w:adjustRightInd w:val="0"/>
                    <w:snapToGrid w:val="0"/>
                    <w:jc w:val="center"/>
                    <w:rPr>
                      <w:sz w:val="18"/>
                      <w:szCs w:val="18"/>
                      <w:u w:val="none"/>
                    </w:rPr>
                  </w:pPr>
                  <w:r>
                    <w:rPr>
                      <w:sz w:val="18"/>
                      <w:szCs w:val="18"/>
                      <w:u w:val="none"/>
                    </w:rPr>
                    <w:t>62.0</w:t>
                  </w:r>
                </w:p>
              </w:tc>
              <w:tc>
                <w:tcPr>
                  <w:tcW w:w="368" w:type="dxa"/>
                  <w:tcMar>
                    <w:top w:w="0" w:type="dxa"/>
                    <w:left w:w="0" w:type="dxa"/>
                    <w:bottom w:w="0" w:type="dxa"/>
                    <w:right w:w="0" w:type="dxa"/>
                  </w:tcMar>
                  <w:vAlign w:val="center"/>
                </w:tcPr>
                <w:p w14:paraId="69956455">
                  <w:pPr>
                    <w:adjustRightInd w:val="0"/>
                    <w:snapToGrid w:val="0"/>
                    <w:jc w:val="center"/>
                    <w:rPr>
                      <w:sz w:val="18"/>
                      <w:szCs w:val="18"/>
                      <w:u w:val="none"/>
                    </w:rPr>
                  </w:pPr>
                  <w:r>
                    <w:rPr>
                      <w:sz w:val="18"/>
                      <w:szCs w:val="18"/>
                      <w:u w:val="none"/>
                    </w:rPr>
                    <w:t>8</w:t>
                  </w:r>
                </w:p>
              </w:tc>
              <w:tc>
                <w:tcPr>
                  <w:tcW w:w="300" w:type="dxa"/>
                  <w:tcMar>
                    <w:top w:w="0" w:type="dxa"/>
                    <w:left w:w="0" w:type="dxa"/>
                    <w:bottom w:w="0" w:type="dxa"/>
                    <w:right w:w="0" w:type="dxa"/>
                  </w:tcMar>
                  <w:vAlign w:val="center"/>
                </w:tcPr>
                <w:p w14:paraId="13469F7C">
                  <w:pPr>
                    <w:adjustRightInd w:val="0"/>
                    <w:snapToGrid w:val="0"/>
                    <w:jc w:val="center"/>
                    <w:rPr>
                      <w:sz w:val="18"/>
                      <w:szCs w:val="18"/>
                      <w:u w:val="none"/>
                    </w:rPr>
                  </w:pPr>
                  <w:r>
                    <w:rPr>
                      <w:rFonts w:hint="eastAsia"/>
                      <w:sz w:val="18"/>
                      <w:szCs w:val="18"/>
                      <w:u w:val="none"/>
                    </w:rPr>
                    <w:t>15.0</w:t>
                  </w:r>
                </w:p>
              </w:tc>
              <w:tc>
                <w:tcPr>
                  <w:tcW w:w="239" w:type="dxa"/>
                  <w:tcMar>
                    <w:top w:w="0" w:type="dxa"/>
                    <w:left w:w="0" w:type="dxa"/>
                    <w:bottom w:w="0" w:type="dxa"/>
                    <w:right w:w="0" w:type="dxa"/>
                  </w:tcMar>
                  <w:vAlign w:val="center"/>
                </w:tcPr>
                <w:p w14:paraId="08818E07">
                  <w:pPr>
                    <w:adjustRightInd w:val="0"/>
                    <w:snapToGrid w:val="0"/>
                    <w:jc w:val="center"/>
                    <w:rPr>
                      <w:sz w:val="18"/>
                      <w:szCs w:val="18"/>
                      <w:u w:val="none"/>
                    </w:rPr>
                  </w:pPr>
                  <w:r>
                    <w:rPr>
                      <w:rFonts w:hint="eastAsia"/>
                      <w:sz w:val="18"/>
                      <w:szCs w:val="18"/>
                      <w:u w:val="none"/>
                    </w:rPr>
                    <w:t>15.0</w:t>
                  </w:r>
                </w:p>
              </w:tc>
              <w:tc>
                <w:tcPr>
                  <w:tcW w:w="303" w:type="dxa"/>
                  <w:tcMar>
                    <w:top w:w="0" w:type="dxa"/>
                    <w:left w:w="0" w:type="dxa"/>
                    <w:bottom w:w="0" w:type="dxa"/>
                    <w:right w:w="0" w:type="dxa"/>
                  </w:tcMar>
                  <w:vAlign w:val="center"/>
                </w:tcPr>
                <w:p w14:paraId="4DA4B44B">
                  <w:pPr>
                    <w:adjustRightInd w:val="0"/>
                    <w:snapToGrid w:val="0"/>
                    <w:jc w:val="center"/>
                    <w:rPr>
                      <w:sz w:val="18"/>
                      <w:szCs w:val="18"/>
                      <w:u w:val="none"/>
                    </w:rPr>
                  </w:pPr>
                  <w:r>
                    <w:rPr>
                      <w:rFonts w:hint="eastAsia"/>
                      <w:sz w:val="18"/>
                      <w:szCs w:val="18"/>
                      <w:u w:val="none"/>
                    </w:rPr>
                    <w:t>15.0</w:t>
                  </w:r>
                </w:p>
              </w:tc>
              <w:tc>
                <w:tcPr>
                  <w:tcW w:w="313" w:type="dxa"/>
                  <w:tcMar>
                    <w:top w:w="0" w:type="dxa"/>
                    <w:left w:w="0" w:type="dxa"/>
                    <w:bottom w:w="0" w:type="dxa"/>
                    <w:right w:w="0" w:type="dxa"/>
                  </w:tcMar>
                  <w:vAlign w:val="center"/>
                </w:tcPr>
                <w:p w14:paraId="0D521E3A">
                  <w:pPr>
                    <w:adjustRightInd w:val="0"/>
                    <w:snapToGrid w:val="0"/>
                    <w:jc w:val="center"/>
                    <w:rPr>
                      <w:sz w:val="18"/>
                      <w:szCs w:val="18"/>
                      <w:u w:val="none"/>
                    </w:rPr>
                  </w:pPr>
                  <w:r>
                    <w:rPr>
                      <w:rFonts w:hint="eastAsia"/>
                      <w:sz w:val="18"/>
                      <w:szCs w:val="18"/>
                      <w:u w:val="none"/>
                    </w:rPr>
                    <w:t>15.0</w:t>
                  </w:r>
                </w:p>
              </w:tc>
              <w:tc>
                <w:tcPr>
                  <w:tcW w:w="308" w:type="dxa"/>
                  <w:tcMar>
                    <w:top w:w="0" w:type="dxa"/>
                    <w:left w:w="0" w:type="dxa"/>
                    <w:bottom w:w="0" w:type="dxa"/>
                    <w:right w:w="0" w:type="dxa"/>
                  </w:tcMar>
                  <w:vAlign w:val="center"/>
                </w:tcPr>
                <w:p w14:paraId="63C99C40">
                  <w:pPr>
                    <w:adjustRightInd w:val="0"/>
                    <w:snapToGrid w:val="0"/>
                    <w:jc w:val="center"/>
                    <w:rPr>
                      <w:sz w:val="18"/>
                      <w:szCs w:val="18"/>
                      <w:u w:val="none"/>
                    </w:rPr>
                  </w:pPr>
                  <w:r>
                    <w:rPr>
                      <w:sz w:val="18"/>
                      <w:szCs w:val="18"/>
                      <w:u w:val="none"/>
                    </w:rPr>
                    <w:t>35.8</w:t>
                  </w:r>
                </w:p>
              </w:tc>
              <w:tc>
                <w:tcPr>
                  <w:tcW w:w="307" w:type="dxa"/>
                  <w:tcMar>
                    <w:top w:w="0" w:type="dxa"/>
                    <w:left w:w="0" w:type="dxa"/>
                    <w:bottom w:w="0" w:type="dxa"/>
                    <w:right w:w="0" w:type="dxa"/>
                  </w:tcMar>
                  <w:vAlign w:val="center"/>
                </w:tcPr>
                <w:p w14:paraId="3FE679E0">
                  <w:pPr>
                    <w:adjustRightInd w:val="0"/>
                    <w:snapToGrid w:val="0"/>
                    <w:jc w:val="center"/>
                    <w:rPr>
                      <w:sz w:val="18"/>
                      <w:szCs w:val="18"/>
                      <w:u w:val="none"/>
                    </w:rPr>
                  </w:pPr>
                  <w:r>
                    <w:rPr>
                      <w:sz w:val="18"/>
                      <w:szCs w:val="18"/>
                      <w:u w:val="none"/>
                    </w:rPr>
                    <w:t>35.9</w:t>
                  </w:r>
                </w:p>
              </w:tc>
              <w:tc>
                <w:tcPr>
                  <w:tcW w:w="307" w:type="dxa"/>
                  <w:tcMar>
                    <w:top w:w="0" w:type="dxa"/>
                    <w:left w:w="0" w:type="dxa"/>
                    <w:bottom w:w="0" w:type="dxa"/>
                    <w:right w:w="0" w:type="dxa"/>
                  </w:tcMar>
                  <w:vAlign w:val="center"/>
                </w:tcPr>
                <w:p w14:paraId="430E9425">
                  <w:pPr>
                    <w:adjustRightInd w:val="0"/>
                    <w:snapToGrid w:val="0"/>
                    <w:jc w:val="center"/>
                    <w:rPr>
                      <w:sz w:val="18"/>
                      <w:szCs w:val="18"/>
                      <w:u w:val="none"/>
                    </w:rPr>
                  </w:pPr>
                  <w:r>
                    <w:rPr>
                      <w:sz w:val="18"/>
                      <w:szCs w:val="18"/>
                      <w:u w:val="none"/>
                    </w:rPr>
                    <w:t>35.7</w:t>
                  </w:r>
                </w:p>
              </w:tc>
              <w:tc>
                <w:tcPr>
                  <w:tcW w:w="307" w:type="dxa"/>
                  <w:tcMar>
                    <w:top w:w="0" w:type="dxa"/>
                    <w:left w:w="0" w:type="dxa"/>
                    <w:bottom w:w="0" w:type="dxa"/>
                    <w:right w:w="0" w:type="dxa"/>
                  </w:tcMar>
                  <w:vAlign w:val="center"/>
                </w:tcPr>
                <w:p w14:paraId="2DE17613">
                  <w:pPr>
                    <w:adjustRightInd w:val="0"/>
                    <w:snapToGrid w:val="0"/>
                    <w:jc w:val="center"/>
                    <w:rPr>
                      <w:sz w:val="18"/>
                      <w:szCs w:val="18"/>
                      <w:u w:val="none"/>
                    </w:rPr>
                  </w:pPr>
                  <w:r>
                    <w:rPr>
                      <w:sz w:val="18"/>
                      <w:szCs w:val="18"/>
                      <w:u w:val="none"/>
                    </w:rPr>
                    <w:t>36.0</w:t>
                  </w:r>
                </w:p>
              </w:tc>
              <w:tc>
                <w:tcPr>
                  <w:tcW w:w="197" w:type="dxa"/>
                  <w:tcMar>
                    <w:top w:w="0" w:type="dxa"/>
                    <w:left w:w="0" w:type="dxa"/>
                    <w:bottom w:w="0" w:type="dxa"/>
                    <w:right w:w="0" w:type="dxa"/>
                  </w:tcMar>
                  <w:vAlign w:val="center"/>
                </w:tcPr>
                <w:p w14:paraId="6C9ABB86">
                  <w:pPr>
                    <w:adjustRightInd w:val="0"/>
                    <w:snapToGrid w:val="0"/>
                    <w:jc w:val="center"/>
                    <w:rPr>
                      <w:sz w:val="18"/>
                      <w:szCs w:val="18"/>
                      <w:u w:val="none"/>
                    </w:rPr>
                  </w:pPr>
                  <w:r>
                    <w:rPr>
                      <w:sz w:val="18"/>
                      <w:szCs w:val="18"/>
                      <w:u w:val="none"/>
                    </w:rPr>
                    <w:t>1</w:t>
                  </w:r>
                </w:p>
              </w:tc>
            </w:tr>
            <w:tr w14:paraId="5A19FD9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379" w:type="dxa"/>
                  <w:tcMar>
                    <w:top w:w="0" w:type="dxa"/>
                    <w:left w:w="0" w:type="dxa"/>
                    <w:bottom w:w="0" w:type="dxa"/>
                    <w:right w:w="0" w:type="dxa"/>
                  </w:tcMar>
                  <w:vAlign w:val="center"/>
                </w:tcPr>
                <w:p w14:paraId="760C4A66">
                  <w:pPr>
                    <w:adjustRightInd w:val="0"/>
                    <w:snapToGrid w:val="0"/>
                    <w:jc w:val="center"/>
                    <w:rPr>
                      <w:sz w:val="18"/>
                      <w:szCs w:val="18"/>
                      <w:u w:val="none"/>
                    </w:rPr>
                  </w:pPr>
                  <w:r>
                    <w:rPr>
                      <w:sz w:val="18"/>
                      <w:szCs w:val="18"/>
                      <w:u w:val="none"/>
                    </w:rPr>
                    <w:t>2</w:t>
                  </w:r>
                </w:p>
              </w:tc>
              <w:tc>
                <w:tcPr>
                  <w:tcW w:w="267" w:type="dxa"/>
                  <w:vMerge w:val="continue"/>
                  <w:tcMar>
                    <w:top w:w="0" w:type="dxa"/>
                    <w:left w:w="0" w:type="dxa"/>
                    <w:bottom w:w="0" w:type="dxa"/>
                    <w:right w:w="0" w:type="dxa"/>
                  </w:tcMar>
                  <w:vAlign w:val="center"/>
                </w:tcPr>
                <w:p w14:paraId="707B318C">
                  <w:pPr>
                    <w:adjustRightInd w:val="0"/>
                    <w:snapToGrid w:val="0"/>
                    <w:jc w:val="center"/>
                    <w:rPr>
                      <w:sz w:val="18"/>
                      <w:szCs w:val="18"/>
                      <w:u w:val="none"/>
                    </w:rPr>
                  </w:pPr>
                </w:p>
              </w:tc>
              <w:tc>
                <w:tcPr>
                  <w:tcW w:w="550" w:type="dxa"/>
                  <w:tcMar>
                    <w:top w:w="0" w:type="dxa"/>
                    <w:left w:w="0" w:type="dxa"/>
                    <w:bottom w:w="0" w:type="dxa"/>
                    <w:right w:w="0" w:type="dxa"/>
                  </w:tcMar>
                  <w:vAlign w:val="center"/>
                </w:tcPr>
                <w:p w14:paraId="1CCDA359">
                  <w:pPr>
                    <w:widowControl/>
                    <w:jc w:val="center"/>
                    <w:textAlignment w:val="center"/>
                    <w:rPr>
                      <w:sz w:val="18"/>
                      <w:szCs w:val="18"/>
                      <w:u w:val="none"/>
                    </w:rPr>
                  </w:pPr>
                  <w:r>
                    <w:rPr>
                      <w:rFonts w:hint="eastAsia"/>
                      <w:sz w:val="18"/>
                      <w:szCs w:val="18"/>
                      <w:u w:val="none"/>
                    </w:rPr>
                    <w:t>冲床</w:t>
                  </w:r>
                </w:p>
              </w:tc>
              <w:tc>
                <w:tcPr>
                  <w:tcW w:w="437" w:type="dxa"/>
                  <w:tcMar>
                    <w:top w:w="0" w:type="dxa"/>
                    <w:left w:w="0" w:type="dxa"/>
                    <w:bottom w:w="0" w:type="dxa"/>
                    <w:right w:w="0" w:type="dxa"/>
                  </w:tcMar>
                  <w:vAlign w:val="center"/>
                </w:tcPr>
                <w:p w14:paraId="574DBF35">
                  <w:pPr>
                    <w:adjustRightInd w:val="0"/>
                    <w:snapToGrid w:val="0"/>
                    <w:jc w:val="center"/>
                    <w:rPr>
                      <w:sz w:val="18"/>
                      <w:szCs w:val="18"/>
                      <w:u w:val="none"/>
                    </w:rPr>
                  </w:pPr>
                  <w:r>
                    <w:rPr>
                      <w:rFonts w:hint="eastAsia"/>
                      <w:sz w:val="18"/>
                      <w:szCs w:val="18"/>
                      <w:u w:val="none"/>
                    </w:rPr>
                    <w:t>90</w:t>
                  </w:r>
                </w:p>
              </w:tc>
              <w:tc>
                <w:tcPr>
                  <w:tcW w:w="381" w:type="dxa"/>
                  <w:vMerge w:val="continue"/>
                  <w:tcMar>
                    <w:top w:w="0" w:type="dxa"/>
                    <w:left w:w="0" w:type="dxa"/>
                    <w:bottom w:w="0" w:type="dxa"/>
                    <w:right w:w="0" w:type="dxa"/>
                  </w:tcMar>
                  <w:vAlign w:val="center"/>
                </w:tcPr>
                <w:p w14:paraId="63F838EB">
                  <w:pPr>
                    <w:adjustRightInd w:val="0"/>
                    <w:snapToGrid w:val="0"/>
                    <w:jc w:val="center"/>
                    <w:rPr>
                      <w:sz w:val="18"/>
                      <w:szCs w:val="18"/>
                      <w:u w:val="none"/>
                    </w:rPr>
                  </w:pPr>
                </w:p>
              </w:tc>
              <w:tc>
                <w:tcPr>
                  <w:tcW w:w="360" w:type="dxa"/>
                  <w:vMerge w:val="continue"/>
                  <w:tcMar>
                    <w:top w:w="0" w:type="dxa"/>
                    <w:left w:w="0" w:type="dxa"/>
                    <w:bottom w:w="0" w:type="dxa"/>
                    <w:right w:w="0" w:type="dxa"/>
                  </w:tcMar>
                  <w:vAlign w:val="center"/>
                </w:tcPr>
                <w:p w14:paraId="4D37E8D5">
                  <w:pPr>
                    <w:adjustRightInd w:val="0"/>
                    <w:snapToGrid w:val="0"/>
                    <w:jc w:val="center"/>
                    <w:rPr>
                      <w:sz w:val="18"/>
                      <w:szCs w:val="18"/>
                      <w:u w:val="none"/>
                    </w:rPr>
                  </w:pPr>
                </w:p>
              </w:tc>
              <w:tc>
                <w:tcPr>
                  <w:tcW w:w="265" w:type="dxa"/>
                  <w:tcMar>
                    <w:top w:w="0" w:type="dxa"/>
                    <w:left w:w="0" w:type="dxa"/>
                    <w:bottom w:w="0" w:type="dxa"/>
                    <w:right w:w="0" w:type="dxa"/>
                  </w:tcMar>
                  <w:vAlign w:val="center"/>
                </w:tcPr>
                <w:p w14:paraId="469443C1">
                  <w:pPr>
                    <w:adjustRightInd w:val="0"/>
                    <w:snapToGrid w:val="0"/>
                    <w:jc w:val="center"/>
                    <w:rPr>
                      <w:sz w:val="18"/>
                      <w:szCs w:val="18"/>
                      <w:u w:val="none"/>
                    </w:rPr>
                  </w:pPr>
                  <w:r>
                    <w:rPr>
                      <w:sz w:val="18"/>
                      <w:szCs w:val="18"/>
                      <w:u w:val="none"/>
                    </w:rPr>
                    <w:t>-13.3</w:t>
                  </w:r>
                </w:p>
              </w:tc>
              <w:tc>
                <w:tcPr>
                  <w:tcW w:w="207" w:type="dxa"/>
                  <w:tcMar>
                    <w:top w:w="0" w:type="dxa"/>
                    <w:left w:w="0" w:type="dxa"/>
                    <w:bottom w:w="0" w:type="dxa"/>
                    <w:right w:w="0" w:type="dxa"/>
                  </w:tcMar>
                  <w:vAlign w:val="center"/>
                </w:tcPr>
                <w:p w14:paraId="703A0BD9">
                  <w:pPr>
                    <w:adjustRightInd w:val="0"/>
                    <w:snapToGrid w:val="0"/>
                    <w:jc w:val="center"/>
                    <w:rPr>
                      <w:sz w:val="18"/>
                      <w:szCs w:val="18"/>
                      <w:u w:val="none"/>
                    </w:rPr>
                  </w:pPr>
                  <w:r>
                    <w:rPr>
                      <w:sz w:val="18"/>
                      <w:szCs w:val="18"/>
                      <w:u w:val="none"/>
                    </w:rPr>
                    <w:t>4</w:t>
                  </w:r>
                </w:p>
              </w:tc>
              <w:tc>
                <w:tcPr>
                  <w:tcW w:w="220" w:type="dxa"/>
                  <w:tcMar>
                    <w:top w:w="0" w:type="dxa"/>
                    <w:left w:w="0" w:type="dxa"/>
                    <w:bottom w:w="0" w:type="dxa"/>
                    <w:right w:w="0" w:type="dxa"/>
                  </w:tcMar>
                  <w:vAlign w:val="center"/>
                </w:tcPr>
                <w:p w14:paraId="453322DC">
                  <w:pPr>
                    <w:adjustRightInd w:val="0"/>
                    <w:snapToGrid w:val="0"/>
                    <w:jc w:val="center"/>
                    <w:rPr>
                      <w:sz w:val="18"/>
                      <w:szCs w:val="18"/>
                      <w:u w:val="none"/>
                    </w:rPr>
                  </w:pPr>
                  <w:r>
                    <w:rPr>
                      <w:rFonts w:hint="eastAsia"/>
                      <w:sz w:val="18"/>
                      <w:szCs w:val="18"/>
                      <w:u w:val="none"/>
                    </w:rPr>
                    <w:t>3</w:t>
                  </w:r>
                </w:p>
              </w:tc>
              <w:tc>
                <w:tcPr>
                  <w:tcW w:w="300" w:type="dxa"/>
                  <w:tcMar>
                    <w:top w:w="0" w:type="dxa"/>
                    <w:left w:w="0" w:type="dxa"/>
                    <w:bottom w:w="0" w:type="dxa"/>
                    <w:right w:w="0" w:type="dxa"/>
                  </w:tcMar>
                  <w:vAlign w:val="center"/>
                </w:tcPr>
                <w:p w14:paraId="11E2D637">
                  <w:pPr>
                    <w:adjustRightInd w:val="0"/>
                    <w:snapToGrid w:val="0"/>
                    <w:jc w:val="center"/>
                    <w:rPr>
                      <w:sz w:val="18"/>
                      <w:szCs w:val="18"/>
                      <w:u w:val="none"/>
                    </w:rPr>
                  </w:pPr>
                  <w:r>
                    <w:rPr>
                      <w:sz w:val="18"/>
                      <w:szCs w:val="18"/>
                      <w:u w:val="none"/>
                    </w:rPr>
                    <w:t>53.8</w:t>
                  </w:r>
                </w:p>
              </w:tc>
              <w:tc>
                <w:tcPr>
                  <w:tcW w:w="288" w:type="dxa"/>
                  <w:tcMar>
                    <w:top w:w="0" w:type="dxa"/>
                    <w:left w:w="0" w:type="dxa"/>
                    <w:bottom w:w="0" w:type="dxa"/>
                    <w:right w:w="0" w:type="dxa"/>
                  </w:tcMar>
                  <w:vAlign w:val="center"/>
                </w:tcPr>
                <w:p w14:paraId="44FB0096">
                  <w:pPr>
                    <w:adjustRightInd w:val="0"/>
                    <w:snapToGrid w:val="0"/>
                    <w:jc w:val="center"/>
                    <w:rPr>
                      <w:sz w:val="18"/>
                      <w:szCs w:val="18"/>
                      <w:u w:val="none"/>
                    </w:rPr>
                  </w:pPr>
                  <w:r>
                    <w:rPr>
                      <w:sz w:val="18"/>
                      <w:szCs w:val="18"/>
                      <w:u w:val="none"/>
                    </w:rPr>
                    <w:t>13.6</w:t>
                  </w:r>
                </w:p>
              </w:tc>
              <w:tc>
                <w:tcPr>
                  <w:tcW w:w="265" w:type="dxa"/>
                  <w:tcMar>
                    <w:top w:w="0" w:type="dxa"/>
                    <w:left w:w="0" w:type="dxa"/>
                    <w:bottom w:w="0" w:type="dxa"/>
                    <w:right w:w="0" w:type="dxa"/>
                  </w:tcMar>
                  <w:vAlign w:val="center"/>
                </w:tcPr>
                <w:p w14:paraId="244E055D">
                  <w:pPr>
                    <w:adjustRightInd w:val="0"/>
                    <w:snapToGrid w:val="0"/>
                    <w:jc w:val="center"/>
                    <w:rPr>
                      <w:sz w:val="18"/>
                      <w:szCs w:val="18"/>
                      <w:u w:val="none"/>
                    </w:rPr>
                  </w:pPr>
                  <w:r>
                    <w:rPr>
                      <w:sz w:val="18"/>
                      <w:szCs w:val="18"/>
                      <w:u w:val="none"/>
                    </w:rPr>
                    <w:t>29.3</w:t>
                  </w:r>
                </w:p>
              </w:tc>
              <w:tc>
                <w:tcPr>
                  <w:tcW w:w="313" w:type="dxa"/>
                  <w:tcMar>
                    <w:top w:w="0" w:type="dxa"/>
                    <w:left w:w="0" w:type="dxa"/>
                    <w:bottom w:w="0" w:type="dxa"/>
                    <w:right w:w="0" w:type="dxa"/>
                  </w:tcMar>
                  <w:vAlign w:val="center"/>
                </w:tcPr>
                <w:p w14:paraId="3B7CE9AA">
                  <w:pPr>
                    <w:adjustRightInd w:val="0"/>
                    <w:snapToGrid w:val="0"/>
                    <w:jc w:val="center"/>
                    <w:rPr>
                      <w:sz w:val="18"/>
                      <w:szCs w:val="18"/>
                      <w:u w:val="none"/>
                    </w:rPr>
                  </w:pPr>
                  <w:r>
                    <w:rPr>
                      <w:sz w:val="18"/>
                      <w:szCs w:val="18"/>
                      <w:u w:val="none"/>
                    </w:rPr>
                    <w:t>7.2</w:t>
                  </w:r>
                </w:p>
              </w:tc>
              <w:tc>
                <w:tcPr>
                  <w:tcW w:w="265" w:type="dxa"/>
                  <w:tcMar>
                    <w:top w:w="0" w:type="dxa"/>
                    <w:left w:w="0" w:type="dxa"/>
                    <w:bottom w:w="0" w:type="dxa"/>
                    <w:right w:w="0" w:type="dxa"/>
                  </w:tcMar>
                  <w:vAlign w:val="center"/>
                </w:tcPr>
                <w:p w14:paraId="6EF13C64">
                  <w:pPr>
                    <w:adjustRightInd w:val="0"/>
                    <w:snapToGrid w:val="0"/>
                    <w:jc w:val="center"/>
                    <w:rPr>
                      <w:sz w:val="18"/>
                      <w:szCs w:val="18"/>
                      <w:u w:val="none"/>
                    </w:rPr>
                  </w:pPr>
                  <w:r>
                    <w:rPr>
                      <w:sz w:val="18"/>
                      <w:szCs w:val="18"/>
                      <w:u w:val="none"/>
                    </w:rPr>
                    <w:t>59.7</w:t>
                  </w:r>
                </w:p>
              </w:tc>
              <w:tc>
                <w:tcPr>
                  <w:tcW w:w="311" w:type="dxa"/>
                  <w:tcMar>
                    <w:top w:w="0" w:type="dxa"/>
                    <w:left w:w="0" w:type="dxa"/>
                    <w:bottom w:w="0" w:type="dxa"/>
                    <w:right w:w="0" w:type="dxa"/>
                  </w:tcMar>
                  <w:vAlign w:val="center"/>
                </w:tcPr>
                <w:p w14:paraId="4DDE9F55">
                  <w:pPr>
                    <w:adjustRightInd w:val="0"/>
                    <w:snapToGrid w:val="0"/>
                    <w:jc w:val="center"/>
                    <w:rPr>
                      <w:sz w:val="18"/>
                      <w:szCs w:val="18"/>
                      <w:u w:val="none"/>
                    </w:rPr>
                  </w:pPr>
                  <w:r>
                    <w:rPr>
                      <w:sz w:val="18"/>
                      <w:szCs w:val="18"/>
                      <w:u w:val="none"/>
                    </w:rPr>
                    <w:t>59.8</w:t>
                  </w:r>
                </w:p>
              </w:tc>
              <w:tc>
                <w:tcPr>
                  <w:tcW w:w="252" w:type="dxa"/>
                  <w:tcMar>
                    <w:top w:w="0" w:type="dxa"/>
                    <w:left w:w="0" w:type="dxa"/>
                    <w:bottom w:w="0" w:type="dxa"/>
                    <w:right w:w="0" w:type="dxa"/>
                  </w:tcMar>
                  <w:vAlign w:val="center"/>
                </w:tcPr>
                <w:p w14:paraId="287E3672">
                  <w:pPr>
                    <w:adjustRightInd w:val="0"/>
                    <w:snapToGrid w:val="0"/>
                    <w:jc w:val="center"/>
                    <w:rPr>
                      <w:sz w:val="18"/>
                      <w:szCs w:val="18"/>
                      <w:u w:val="none"/>
                    </w:rPr>
                  </w:pPr>
                  <w:r>
                    <w:rPr>
                      <w:sz w:val="18"/>
                      <w:szCs w:val="18"/>
                      <w:u w:val="none"/>
                    </w:rPr>
                    <w:t>59.8</w:t>
                  </w:r>
                </w:p>
              </w:tc>
              <w:tc>
                <w:tcPr>
                  <w:tcW w:w="268" w:type="dxa"/>
                  <w:tcMar>
                    <w:top w:w="0" w:type="dxa"/>
                    <w:left w:w="0" w:type="dxa"/>
                    <w:bottom w:w="0" w:type="dxa"/>
                    <w:right w:w="0" w:type="dxa"/>
                  </w:tcMar>
                  <w:vAlign w:val="center"/>
                </w:tcPr>
                <w:p w14:paraId="2265376E">
                  <w:pPr>
                    <w:adjustRightInd w:val="0"/>
                    <w:snapToGrid w:val="0"/>
                    <w:jc w:val="center"/>
                    <w:rPr>
                      <w:sz w:val="18"/>
                      <w:szCs w:val="18"/>
                      <w:u w:val="none"/>
                    </w:rPr>
                  </w:pPr>
                  <w:r>
                    <w:rPr>
                      <w:sz w:val="18"/>
                      <w:szCs w:val="18"/>
                      <w:u w:val="none"/>
                    </w:rPr>
                    <w:t>60.2</w:t>
                  </w:r>
                </w:p>
              </w:tc>
              <w:tc>
                <w:tcPr>
                  <w:tcW w:w="368" w:type="dxa"/>
                  <w:tcMar>
                    <w:top w:w="0" w:type="dxa"/>
                    <w:left w:w="0" w:type="dxa"/>
                    <w:bottom w:w="0" w:type="dxa"/>
                    <w:right w:w="0" w:type="dxa"/>
                  </w:tcMar>
                  <w:vAlign w:val="center"/>
                </w:tcPr>
                <w:p w14:paraId="60610356">
                  <w:pPr>
                    <w:adjustRightInd w:val="0"/>
                    <w:snapToGrid w:val="0"/>
                    <w:jc w:val="center"/>
                    <w:rPr>
                      <w:sz w:val="18"/>
                      <w:szCs w:val="18"/>
                      <w:u w:val="none"/>
                    </w:rPr>
                  </w:pPr>
                  <w:r>
                    <w:rPr>
                      <w:rFonts w:hint="eastAsia"/>
                      <w:sz w:val="18"/>
                      <w:szCs w:val="18"/>
                      <w:u w:val="none"/>
                    </w:rPr>
                    <w:t>8</w:t>
                  </w:r>
                </w:p>
              </w:tc>
              <w:tc>
                <w:tcPr>
                  <w:tcW w:w="300" w:type="dxa"/>
                  <w:tcMar>
                    <w:top w:w="0" w:type="dxa"/>
                    <w:left w:w="0" w:type="dxa"/>
                    <w:bottom w:w="0" w:type="dxa"/>
                    <w:right w:w="0" w:type="dxa"/>
                  </w:tcMar>
                  <w:vAlign w:val="center"/>
                </w:tcPr>
                <w:p w14:paraId="7E072991">
                  <w:pPr>
                    <w:adjustRightInd w:val="0"/>
                    <w:snapToGrid w:val="0"/>
                    <w:jc w:val="center"/>
                    <w:rPr>
                      <w:sz w:val="18"/>
                      <w:szCs w:val="18"/>
                      <w:u w:val="none"/>
                    </w:rPr>
                  </w:pPr>
                  <w:r>
                    <w:rPr>
                      <w:rFonts w:hint="eastAsia"/>
                      <w:sz w:val="18"/>
                      <w:szCs w:val="18"/>
                      <w:u w:val="none"/>
                    </w:rPr>
                    <w:t>15.0</w:t>
                  </w:r>
                </w:p>
              </w:tc>
              <w:tc>
                <w:tcPr>
                  <w:tcW w:w="239" w:type="dxa"/>
                  <w:tcMar>
                    <w:top w:w="0" w:type="dxa"/>
                    <w:left w:w="0" w:type="dxa"/>
                    <w:bottom w:w="0" w:type="dxa"/>
                    <w:right w:w="0" w:type="dxa"/>
                  </w:tcMar>
                  <w:vAlign w:val="center"/>
                </w:tcPr>
                <w:p w14:paraId="4208290E">
                  <w:pPr>
                    <w:adjustRightInd w:val="0"/>
                    <w:snapToGrid w:val="0"/>
                    <w:jc w:val="center"/>
                    <w:rPr>
                      <w:sz w:val="18"/>
                      <w:szCs w:val="18"/>
                      <w:u w:val="none"/>
                    </w:rPr>
                  </w:pPr>
                  <w:r>
                    <w:rPr>
                      <w:rFonts w:hint="eastAsia"/>
                      <w:sz w:val="18"/>
                      <w:szCs w:val="18"/>
                      <w:u w:val="none"/>
                    </w:rPr>
                    <w:t>15.0</w:t>
                  </w:r>
                </w:p>
              </w:tc>
              <w:tc>
                <w:tcPr>
                  <w:tcW w:w="303" w:type="dxa"/>
                  <w:tcMar>
                    <w:top w:w="0" w:type="dxa"/>
                    <w:left w:w="0" w:type="dxa"/>
                    <w:bottom w:w="0" w:type="dxa"/>
                    <w:right w:w="0" w:type="dxa"/>
                  </w:tcMar>
                  <w:vAlign w:val="center"/>
                </w:tcPr>
                <w:p w14:paraId="0B5E7CBC">
                  <w:pPr>
                    <w:adjustRightInd w:val="0"/>
                    <w:snapToGrid w:val="0"/>
                    <w:jc w:val="center"/>
                    <w:rPr>
                      <w:sz w:val="18"/>
                      <w:szCs w:val="18"/>
                      <w:u w:val="none"/>
                    </w:rPr>
                  </w:pPr>
                  <w:r>
                    <w:rPr>
                      <w:rFonts w:hint="eastAsia"/>
                      <w:sz w:val="18"/>
                      <w:szCs w:val="18"/>
                      <w:u w:val="none"/>
                    </w:rPr>
                    <w:t>15.0</w:t>
                  </w:r>
                </w:p>
              </w:tc>
              <w:tc>
                <w:tcPr>
                  <w:tcW w:w="313" w:type="dxa"/>
                  <w:tcMar>
                    <w:top w:w="0" w:type="dxa"/>
                    <w:left w:w="0" w:type="dxa"/>
                    <w:bottom w:w="0" w:type="dxa"/>
                    <w:right w:w="0" w:type="dxa"/>
                  </w:tcMar>
                  <w:vAlign w:val="center"/>
                </w:tcPr>
                <w:p w14:paraId="2FF6C600">
                  <w:pPr>
                    <w:adjustRightInd w:val="0"/>
                    <w:snapToGrid w:val="0"/>
                    <w:jc w:val="center"/>
                    <w:rPr>
                      <w:sz w:val="18"/>
                      <w:szCs w:val="18"/>
                      <w:u w:val="none"/>
                    </w:rPr>
                  </w:pPr>
                  <w:r>
                    <w:rPr>
                      <w:rFonts w:hint="eastAsia"/>
                      <w:sz w:val="18"/>
                      <w:szCs w:val="18"/>
                      <w:u w:val="none"/>
                    </w:rPr>
                    <w:t>15.0</w:t>
                  </w:r>
                </w:p>
              </w:tc>
              <w:tc>
                <w:tcPr>
                  <w:tcW w:w="308" w:type="dxa"/>
                  <w:tcMar>
                    <w:top w:w="0" w:type="dxa"/>
                    <w:left w:w="0" w:type="dxa"/>
                    <w:bottom w:w="0" w:type="dxa"/>
                    <w:right w:w="0" w:type="dxa"/>
                  </w:tcMar>
                  <w:vAlign w:val="center"/>
                </w:tcPr>
                <w:p w14:paraId="038DB50B">
                  <w:pPr>
                    <w:adjustRightInd w:val="0"/>
                    <w:snapToGrid w:val="0"/>
                    <w:jc w:val="center"/>
                    <w:rPr>
                      <w:sz w:val="18"/>
                      <w:szCs w:val="18"/>
                      <w:u w:val="none"/>
                    </w:rPr>
                  </w:pPr>
                  <w:r>
                    <w:rPr>
                      <w:sz w:val="18"/>
                      <w:szCs w:val="18"/>
                      <w:u w:val="none"/>
                    </w:rPr>
                    <w:t>33.7</w:t>
                  </w:r>
                </w:p>
              </w:tc>
              <w:tc>
                <w:tcPr>
                  <w:tcW w:w="307" w:type="dxa"/>
                  <w:tcMar>
                    <w:top w:w="0" w:type="dxa"/>
                    <w:left w:w="0" w:type="dxa"/>
                    <w:bottom w:w="0" w:type="dxa"/>
                    <w:right w:w="0" w:type="dxa"/>
                  </w:tcMar>
                  <w:vAlign w:val="center"/>
                </w:tcPr>
                <w:p w14:paraId="10969B6A">
                  <w:pPr>
                    <w:adjustRightInd w:val="0"/>
                    <w:snapToGrid w:val="0"/>
                    <w:jc w:val="center"/>
                    <w:rPr>
                      <w:sz w:val="18"/>
                      <w:szCs w:val="18"/>
                      <w:u w:val="none"/>
                    </w:rPr>
                  </w:pPr>
                  <w:r>
                    <w:rPr>
                      <w:sz w:val="18"/>
                      <w:szCs w:val="18"/>
                      <w:u w:val="none"/>
                    </w:rPr>
                    <w:t>33.8</w:t>
                  </w:r>
                </w:p>
              </w:tc>
              <w:tc>
                <w:tcPr>
                  <w:tcW w:w="307" w:type="dxa"/>
                  <w:tcMar>
                    <w:top w:w="0" w:type="dxa"/>
                    <w:left w:w="0" w:type="dxa"/>
                    <w:bottom w:w="0" w:type="dxa"/>
                    <w:right w:w="0" w:type="dxa"/>
                  </w:tcMar>
                  <w:vAlign w:val="center"/>
                </w:tcPr>
                <w:p w14:paraId="14A8E74C">
                  <w:pPr>
                    <w:adjustRightInd w:val="0"/>
                    <w:snapToGrid w:val="0"/>
                    <w:jc w:val="center"/>
                    <w:rPr>
                      <w:sz w:val="18"/>
                      <w:szCs w:val="18"/>
                      <w:u w:val="none"/>
                    </w:rPr>
                  </w:pPr>
                  <w:r>
                    <w:rPr>
                      <w:sz w:val="18"/>
                      <w:szCs w:val="18"/>
                      <w:u w:val="none"/>
                    </w:rPr>
                    <w:t>33.8</w:t>
                  </w:r>
                </w:p>
              </w:tc>
              <w:tc>
                <w:tcPr>
                  <w:tcW w:w="307" w:type="dxa"/>
                  <w:tcMar>
                    <w:top w:w="0" w:type="dxa"/>
                    <w:left w:w="0" w:type="dxa"/>
                    <w:bottom w:w="0" w:type="dxa"/>
                    <w:right w:w="0" w:type="dxa"/>
                  </w:tcMar>
                  <w:vAlign w:val="center"/>
                </w:tcPr>
                <w:p w14:paraId="0F6534DB">
                  <w:pPr>
                    <w:adjustRightInd w:val="0"/>
                    <w:snapToGrid w:val="0"/>
                    <w:jc w:val="center"/>
                    <w:rPr>
                      <w:sz w:val="18"/>
                      <w:szCs w:val="18"/>
                      <w:u w:val="none"/>
                    </w:rPr>
                  </w:pPr>
                  <w:r>
                    <w:rPr>
                      <w:sz w:val="18"/>
                      <w:szCs w:val="18"/>
                      <w:u w:val="none"/>
                    </w:rPr>
                    <w:t>34.2</w:t>
                  </w:r>
                </w:p>
              </w:tc>
              <w:tc>
                <w:tcPr>
                  <w:tcW w:w="197" w:type="dxa"/>
                  <w:tcMar>
                    <w:top w:w="0" w:type="dxa"/>
                    <w:left w:w="0" w:type="dxa"/>
                    <w:bottom w:w="0" w:type="dxa"/>
                    <w:right w:w="0" w:type="dxa"/>
                  </w:tcMar>
                  <w:vAlign w:val="center"/>
                </w:tcPr>
                <w:p w14:paraId="03102F15">
                  <w:pPr>
                    <w:adjustRightInd w:val="0"/>
                    <w:snapToGrid w:val="0"/>
                    <w:jc w:val="center"/>
                    <w:rPr>
                      <w:sz w:val="18"/>
                      <w:szCs w:val="18"/>
                      <w:u w:val="none"/>
                    </w:rPr>
                  </w:pPr>
                  <w:r>
                    <w:rPr>
                      <w:sz w:val="18"/>
                      <w:szCs w:val="18"/>
                      <w:u w:val="none"/>
                    </w:rPr>
                    <w:t>1</w:t>
                  </w:r>
                </w:p>
              </w:tc>
            </w:tr>
            <w:tr w14:paraId="0DDDB89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379" w:type="dxa"/>
                  <w:tcMar>
                    <w:top w:w="0" w:type="dxa"/>
                    <w:left w:w="0" w:type="dxa"/>
                    <w:bottom w:w="0" w:type="dxa"/>
                    <w:right w:w="0" w:type="dxa"/>
                  </w:tcMar>
                  <w:vAlign w:val="center"/>
                </w:tcPr>
                <w:p w14:paraId="1A351733">
                  <w:pPr>
                    <w:adjustRightInd w:val="0"/>
                    <w:snapToGrid w:val="0"/>
                    <w:jc w:val="center"/>
                    <w:rPr>
                      <w:sz w:val="18"/>
                      <w:szCs w:val="18"/>
                      <w:u w:val="none"/>
                    </w:rPr>
                  </w:pPr>
                  <w:r>
                    <w:rPr>
                      <w:sz w:val="18"/>
                      <w:szCs w:val="18"/>
                      <w:u w:val="none"/>
                    </w:rPr>
                    <w:t>3</w:t>
                  </w:r>
                </w:p>
              </w:tc>
              <w:tc>
                <w:tcPr>
                  <w:tcW w:w="267" w:type="dxa"/>
                  <w:vMerge w:val="continue"/>
                  <w:tcMar>
                    <w:top w:w="0" w:type="dxa"/>
                    <w:left w:w="0" w:type="dxa"/>
                    <w:bottom w:w="0" w:type="dxa"/>
                    <w:right w:w="0" w:type="dxa"/>
                  </w:tcMar>
                  <w:vAlign w:val="center"/>
                </w:tcPr>
                <w:p w14:paraId="39A626F7">
                  <w:pPr>
                    <w:adjustRightInd w:val="0"/>
                    <w:snapToGrid w:val="0"/>
                    <w:jc w:val="center"/>
                    <w:rPr>
                      <w:sz w:val="18"/>
                      <w:szCs w:val="18"/>
                      <w:u w:val="none"/>
                    </w:rPr>
                  </w:pPr>
                </w:p>
              </w:tc>
              <w:tc>
                <w:tcPr>
                  <w:tcW w:w="550" w:type="dxa"/>
                  <w:tcMar>
                    <w:top w:w="0" w:type="dxa"/>
                    <w:left w:w="0" w:type="dxa"/>
                    <w:bottom w:w="0" w:type="dxa"/>
                    <w:right w:w="0" w:type="dxa"/>
                  </w:tcMar>
                  <w:vAlign w:val="center"/>
                </w:tcPr>
                <w:p w14:paraId="5FD209D4">
                  <w:pPr>
                    <w:widowControl/>
                    <w:jc w:val="center"/>
                    <w:textAlignment w:val="center"/>
                    <w:rPr>
                      <w:sz w:val="18"/>
                      <w:szCs w:val="18"/>
                      <w:u w:val="none"/>
                    </w:rPr>
                  </w:pPr>
                  <w:r>
                    <w:rPr>
                      <w:rFonts w:hint="eastAsia"/>
                      <w:sz w:val="18"/>
                      <w:szCs w:val="18"/>
                      <w:u w:val="none"/>
                    </w:rPr>
                    <w:t>车床</w:t>
                  </w:r>
                </w:p>
              </w:tc>
              <w:tc>
                <w:tcPr>
                  <w:tcW w:w="437" w:type="dxa"/>
                  <w:tcMar>
                    <w:top w:w="0" w:type="dxa"/>
                    <w:left w:w="0" w:type="dxa"/>
                    <w:bottom w:w="0" w:type="dxa"/>
                    <w:right w:w="0" w:type="dxa"/>
                  </w:tcMar>
                  <w:vAlign w:val="center"/>
                </w:tcPr>
                <w:p w14:paraId="30145883">
                  <w:pPr>
                    <w:adjustRightInd w:val="0"/>
                    <w:snapToGrid w:val="0"/>
                    <w:jc w:val="center"/>
                    <w:rPr>
                      <w:rFonts w:hint="default" w:eastAsia="宋体"/>
                      <w:sz w:val="18"/>
                      <w:szCs w:val="18"/>
                      <w:u w:val="none"/>
                      <w:lang w:val="en-US" w:eastAsia="zh-CN"/>
                    </w:rPr>
                  </w:pPr>
                  <w:r>
                    <w:rPr>
                      <w:rFonts w:hint="eastAsia"/>
                      <w:sz w:val="18"/>
                      <w:szCs w:val="18"/>
                      <w:u w:val="none"/>
                      <w:lang w:val="en-US" w:eastAsia="zh-CN"/>
                    </w:rPr>
                    <w:t>80</w:t>
                  </w:r>
                </w:p>
              </w:tc>
              <w:tc>
                <w:tcPr>
                  <w:tcW w:w="381" w:type="dxa"/>
                  <w:vMerge w:val="continue"/>
                  <w:tcMar>
                    <w:top w:w="0" w:type="dxa"/>
                    <w:left w:w="0" w:type="dxa"/>
                    <w:bottom w:w="0" w:type="dxa"/>
                    <w:right w:w="0" w:type="dxa"/>
                  </w:tcMar>
                  <w:vAlign w:val="center"/>
                </w:tcPr>
                <w:p w14:paraId="1868E84F">
                  <w:pPr>
                    <w:adjustRightInd w:val="0"/>
                    <w:snapToGrid w:val="0"/>
                    <w:jc w:val="center"/>
                    <w:rPr>
                      <w:sz w:val="18"/>
                      <w:szCs w:val="18"/>
                      <w:u w:val="none"/>
                    </w:rPr>
                  </w:pPr>
                </w:p>
              </w:tc>
              <w:tc>
                <w:tcPr>
                  <w:tcW w:w="360" w:type="dxa"/>
                  <w:vMerge w:val="continue"/>
                  <w:tcMar>
                    <w:top w:w="0" w:type="dxa"/>
                    <w:left w:w="0" w:type="dxa"/>
                    <w:bottom w:w="0" w:type="dxa"/>
                    <w:right w:w="0" w:type="dxa"/>
                  </w:tcMar>
                  <w:vAlign w:val="center"/>
                </w:tcPr>
                <w:p w14:paraId="63D835F6">
                  <w:pPr>
                    <w:adjustRightInd w:val="0"/>
                    <w:snapToGrid w:val="0"/>
                    <w:jc w:val="center"/>
                    <w:rPr>
                      <w:sz w:val="18"/>
                      <w:szCs w:val="18"/>
                      <w:u w:val="none"/>
                    </w:rPr>
                  </w:pPr>
                </w:p>
              </w:tc>
              <w:tc>
                <w:tcPr>
                  <w:tcW w:w="265" w:type="dxa"/>
                  <w:tcMar>
                    <w:top w:w="0" w:type="dxa"/>
                    <w:left w:w="0" w:type="dxa"/>
                    <w:bottom w:w="0" w:type="dxa"/>
                    <w:right w:w="0" w:type="dxa"/>
                  </w:tcMar>
                  <w:vAlign w:val="center"/>
                </w:tcPr>
                <w:p w14:paraId="43EA3EF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sz w:val="18"/>
                      <w:szCs w:val="18"/>
                      <w:u w:val="none"/>
                    </w:rPr>
                  </w:pPr>
                  <w:r>
                    <w:rPr>
                      <w:rFonts w:hint="default" w:ascii="Times New Roman" w:hAnsi="Times New Roman" w:eastAsia="宋体" w:cs="Times New Roman"/>
                      <w:sz w:val="18"/>
                      <w:szCs w:val="18"/>
                      <w:u w:val="none"/>
                    </w:rPr>
                    <w:t>-33.1</w:t>
                  </w:r>
                </w:p>
              </w:tc>
              <w:tc>
                <w:tcPr>
                  <w:tcW w:w="207" w:type="dxa"/>
                  <w:tcMar>
                    <w:top w:w="0" w:type="dxa"/>
                    <w:left w:w="0" w:type="dxa"/>
                    <w:bottom w:w="0" w:type="dxa"/>
                    <w:right w:w="0" w:type="dxa"/>
                  </w:tcMar>
                  <w:vAlign w:val="center"/>
                </w:tcPr>
                <w:p w14:paraId="57C7A87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sz w:val="18"/>
                      <w:szCs w:val="18"/>
                      <w:u w:val="none"/>
                    </w:rPr>
                  </w:pPr>
                  <w:r>
                    <w:rPr>
                      <w:rFonts w:hint="default" w:ascii="Times New Roman" w:hAnsi="Times New Roman" w:eastAsia="宋体" w:cs="Times New Roman"/>
                      <w:sz w:val="18"/>
                      <w:szCs w:val="18"/>
                      <w:u w:val="none"/>
                    </w:rPr>
                    <w:t>-0.3</w:t>
                  </w:r>
                </w:p>
              </w:tc>
              <w:tc>
                <w:tcPr>
                  <w:tcW w:w="220" w:type="dxa"/>
                  <w:tcMar>
                    <w:top w:w="0" w:type="dxa"/>
                    <w:left w:w="0" w:type="dxa"/>
                    <w:bottom w:w="0" w:type="dxa"/>
                    <w:right w:w="0" w:type="dxa"/>
                  </w:tcMar>
                  <w:vAlign w:val="center"/>
                </w:tcPr>
                <w:p w14:paraId="10D793D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sz w:val="18"/>
                      <w:szCs w:val="18"/>
                      <w:u w:val="none"/>
                    </w:rPr>
                  </w:pPr>
                  <w:r>
                    <w:rPr>
                      <w:rFonts w:hint="eastAsia" w:ascii="Times New Roman" w:hAnsi="Times New Roman" w:eastAsia="宋体" w:cs="Times New Roman"/>
                      <w:sz w:val="18"/>
                      <w:szCs w:val="18"/>
                      <w:u w:val="none"/>
                      <w:lang w:val="en-US" w:eastAsia="zh-CN"/>
                    </w:rPr>
                    <w:t>4</w:t>
                  </w:r>
                </w:p>
              </w:tc>
              <w:tc>
                <w:tcPr>
                  <w:tcW w:w="300" w:type="dxa"/>
                  <w:tcMar>
                    <w:top w:w="0" w:type="dxa"/>
                    <w:left w:w="0" w:type="dxa"/>
                    <w:bottom w:w="0" w:type="dxa"/>
                    <w:right w:w="0" w:type="dxa"/>
                  </w:tcMar>
                  <w:vAlign w:val="center"/>
                </w:tcPr>
                <w:p w14:paraId="6660B2C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sz w:val="18"/>
                      <w:szCs w:val="18"/>
                      <w:u w:val="none"/>
                    </w:rPr>
                  </w:pPr>
                  <w:r>
                    <w:rPr>
                      <w:rFonts w:hint="default" w:ascii="Times New Roman" w:hAnsi="Times New Roman" w:eastAsia="宋体" w:cs="Times New Roman"/>
                      <w:sz w:val="18"/>
                      <w:szCs w:val="18"/>
                      <w:u w:val="none"/>
                    </w:rPr>
                    <w:t>73.8</w:t>
                  </w:r>
                </w:p>
              </w:tc>
              <w:tc>
                <w:tcPr>
                  <w:tcW w:w="288" w:type="dxa"/>
                  <w:tcMar>
                    <w:top w:w="0" w:type="dxa"/>
                    <w:left w:w="0" w:type="dxa"/>
                    <w:bottom w:w="0" w:type="dxa"/>
                    <w:right w:w="0" w:type="dxa"/>
                  </w:tcMar>
                  <w:vAlign w:val="center"/>
                </w:tcPr>
                <w:p w14:paraId="6190FEC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sz w:val="18"/>
                      <w:szCs w:val="18"/>
                      <w:u w:val="none"/>
                    </w:rPr>
                  </w:pPr>
                  <w:r>
                    <w:rPr>
                      <w:rFonts w:hint="default" w:ascii="Times New Roman" w:hAnsi="Times New Roman" w:eastAsia="宋体" w:cs="Times New Roman"/>
                      <w:sz w:val="18"/>
                      <w:szCs w:val="18"/>
                      <w:u w:val="none"/>
                    </w:rPr>
                    <w:t>7.7</w:t>
                  </w:r>
                </w:p>
              </w:tc>
              <w:tc>
                <w:tcPr>
                  <w:tcW w:w="265" w:type="dxa"/>
                  <w:tcMar>
                    <w:top w:w="0" w:type="dxa"/>
                    <w:left w:w="0" w:type="dxa"/>
                    <w:bottom w:w="0" w:type="dxa"/>
                    <w:right w:w="0" w:type="dxa"/>
                  </w:tcMar>
                  <w:vAlign w:val="center"/>
                </w:tcPr>
                <w:p w14:paraId="614F219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sz w:val="18"/>
                      <w:szCs w:val="18"/>
                      <w:u w:val="none"/>
                    </w:rPr>
                  </w:pPr>
                  <w:r>
                    <w:rPr>
                      <w:rFonts w:hint="default" w:ascii="Times New Roman" w:hAnsi="Times New Roman" w:eastAsia="宋体" w:cs="Times New Roman"/>
                      <w:sz w:val="18"/>
                      <w:szCs w:val="18"/>
                      <w:u w:val="none"/>
                    </w:rPr>
                    <w:t>9.7</w:t>
                  </w:r>
                </w:p>
              </w:tc>
              <w:tc>
                <w:tcPr>
                  <w:tcW w:w="313" w:type="dxa"/>
                  <w:tcMar>
                    <w:top w:w="0" w:type="dxa"/>
                    <w:left w:w="0" w:type="dxa"/>
                    <w:bottom w:w="0" w:type="dxa"/>
                    <w:right w:w="0" w:type="dxa"/>
                  </w:tcMar>
                  <w:vAlign w:val="center"/>
                </w:tcPr>
                <w:p w14:paraId="341EB12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sz w:val="18"/>
                      <w:szCs w:val="18"/>
                      <w:u w:val="none"/>
                    </w:rPr>
                  </w:pPr>
                  <w:r>
                    <w:rPr>
                      <w:rFonts w:hint="default" w:ascii="Times New Roman" w:hAnsi="Times New Roman" w:eastAsia="宋体" w:cs="Times New Roman"/>
                      <w:sz w:val="18"/>
                      <w:szCs w:val="18"/>
                      <w:u w:val="none"/>
                    </w:rPr>
                    <w:t>12.8</w:t>
                  </w:r>
                </w:p>
              </w:tc>
              <w:tc>
                <w:tcPr>
                  <w:tcW w:w="265" w:type="dxa"/>
                  <w:tcMar>
                    <w:top w:w="0" w:type="dxa"/>
                    <w:left w:w="0" w:type="dxa"/>
                    <w:bottom w:w="0" w:type="dxa"/>
                    <w:right w:w="0" w:type="dxa"/>
                  </w:tcMar>
                  <w:vAlign w:val="center"/>
                </w:tcPr>
                <w:p w14:paraId="4401613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sz w:val="18"/>
                      <w:szCs w:val="18"/>
                      <w:u w:val="none"/>
                    </w:rPr>
                  </w:pPr>
                  <w:r>
                    <w:rPr>
                      <w:rFonts w:hint="default" w:ascii="Times New Roman" w:hAnsi="Times New Roman" w:eastAsia="宋体" w:cs="Times New Roman"/>
                      <w:sz w:val="18"/>
                      <w:szCs w:val="18"/>
                      <w:u w:val="none"/>
                    </w:rPr>
                    <w:t>59.7</w:t>
                  </w:r>
                </w:p>
              </w:tc>
              <w:tc>
                <w:tcPr>
                  <w:tcW w:w="311" w:type="dxa"/>
                  <w:tcMar>
                    <w:top w:w="0" w:type="dxa"/>
                    <w:left w:w="0" w:type="dxa"/>
                    <w:bottom w:w="0" w:type="dxa"/>
                    <w:right w:w="0" w:type="dxa"/>
                  </w:tcMar>
                  <w:vAlign w:val="center"/>
                </w:tcPr>
                <w:p w14:paraId="310C62E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sz w:val="18"/>
                      <w:szCs w:val="18"/>
                      <w:u w:val="none"/>
                    </w:rPr>
                  </w:pPr>
                  <w:r>
                    <w:rPr>
                      <w:rFonts w:hint="default" w:ascii="Times New Roman" w:hAnsi="Times New Roman" w:eastAsia="宋体" w:cs="Times New Roman"/>
                      <w:sz w:val="18"/>
                      <w:szCs w:val="18"/>
                      <w:u w:val="none"/>
                    </w:rPr>
                    <w:t>60.1</w:t>
                  </w:r>
                </w:p>
              </w:tc>
              <w:tc>
                <w:tcPr>
                  <w:tcW w:w="252" w:type="dxa"/>
                  <w:tcMar>
                    <w:top w:w="0" w:type="dxa"/>
                    <w:left w:w="0" w:type="dxa"/>
                    <w:bottom w:w="0" w:type="dxa"/>
                    <w:right w:w="0" w:type="dxa"/>
                  </w:tcMar>
                  <w:vAlign w:val="center"/>
                </w:tcPr>
                <w:p w14:paraId="1D921CA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sz w:val="18"/>
                      <w:szCs w:val="18"/>
                      <w:u w:val="none"/>
                    </w:rPr>
                  </w:pPr>
                  <w:r>
                    <w:rPr>
                      <w:rFonts w:hint="default" w:ascii="Times New Roman" w:hAnsi="Times New Roman" w:eastAsia="宋体" w:cs="Times New Roman"/>
                      <w:sz w:val="18"/>
                      <w:szCs w:val="18"/>
                      <w:u w:val="none"/>
                    </w:rPr>
                    <w:t>60.0</w:t>
                  </w:r>
                </w:p>
              </w:tc>
              <w:tc>
                <w:tcPr>
                  <w:tcW w:w="268" w:type="dxa"/>
                  <w:tcMar>
                    <w:top w:w="0" w:type="dxa"/>
                    <w:left w:w="0" w:type="dxa"/>
                    <w:bottom w:w="0" w:type="dxa"/>
                    <w:right w:w="0" w:type="dxa"/>
                  </w:tcMar>
                  <w:vAlign w:val="center"/>
                </w:tcPr>
                <w:p w14:paraId="316C3F4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sz w:val="18"/>
                      <w:szCs w:val="18"/>
                      <w:u w:val="none"/>
                    </w:rPr>
                  </w:pPr>
                  <w:r>
                    <w:rPr>
                      <w:rFonts w:hint="default" w:ascii="Times New Roman" w:hAnsi="Times New Roman" w:eastAsia="宋体" w:cs="Times New Roman"/>
                      <w:sz w:val="18"/>
                      <w:szCs w:val="18"/>
                      <w:u w:val="none"/>
                    </w:rPr>
                    <w:t>59.9</w:t>
                  </w:r>
                </w:p>
              </w:tc>
              <w:tc>
                <w:tcPr>
                  <w:tcW w:w="368" w:type="dxa"/>
                  <w:tcMar>
                    <w:top w:w="0" w:type="dxa"/>
                    <w:left w:w="0" w:type="dxa"/>
                    <w:bottom w:w="0" w:type="dxa"/>
                    <w:right w:w="0" w:type="dxa"/>
                  </w:tcMar>
                  <w:vAlign w:val="center"/>
                </w:tcPr>
                <w:p w14:paraId="62B0EE1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sz w:val="18"/>
                      <w:szCs w:val="18"/>
                      <w:u w:val="none"/>
                    </w:rPr>
                  </w:pPr>
                  <w:r>
                    <w:rPr>
                      <w:rFonts w:hint="default" w:ascii="Times New Roman" w:hAnsi="Times New Roman" w:eastAsia="宋体" w:cs="Times New Roman"/>
                      <w:sz w:val="18"/>
                      <w:szCs w:val="18"/>
                      <w:u w:val="none"/>
                    </w:rPr>
                    <w:t>8</w:t>
                  </w:r>
                </w:p>
              </w:tc>
              <w:tc>
                <w:tcPr>
                  <w:tcW w:w="300" w:type="dxa"/>
                  <w:tcMar>
                    <w:top w:w="0" w:type="dxa"/>
                    <w:left w:w="0" w:type="dxa"/>
                    <w:bottom w:w="0" w:type="dxa"/>
                    <w:right w:w="0" w:type="dxa"/>
                  </w:tcMar>
                  <w:vAlign w:val="center"/>
                </w:tcPr>
                <w:p w14:paraId="069E827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sz w:val="18"/>
                      <w:szCs w:val="18"/>
                      <w:u w:val="none"/>
                    </w:rPr>
                  </w:pPr>
                  <w:r>
                    <w:rPr>
                      <w:rFonts w:hint="eastAsia" w:ascii="Times New Roman" w:hAnsi="Times New Roman" w:eastAsia="宋体" w:cs="Times New Roman"/>
                      <w:sz w:val="18"/>
                      <w:szCs w:val="18"/>
                      <w:u w:val="none"/>
                      <w:lang w:val="en-US" w:eastAsia="zh-CN"/>
                    </w:rPr>
                    <w:t>15.0</w:t>
                  </w:r>
                </w:p>
              </w:tc>
              <w:tc>
                <w:tcPr>
                  <w:tcW w:w="239" w:type="dxa"/>
                  <w:tcMar>
                    <w:top w:w="0" w:type="dxa"/>
                    <w:left w:w="0" w:type="dxa"/>
                    <w:bottom w:w="0" w:type="dxa"/>
                    <w:right w:w="0" w:type="dxa"/>
                  </w:tcMar>
                  <w:vAlign w:val="center"/>
                </w:tcPr>
                <w:p w14:paraId="694341B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sz w:val="18"/>
                      <w:szCs w:val="18"/>
                      <w:u w:val="none"/>
                    </w:rPr>
                  </w:pPr>
                  <w:r>
                    <w:rPr>
                      <w:rFonts w:hint="eastAsia" w:ascii="Times New Roman" w:hAnsi="Times New Roman" w:eastAsia="宋体" w:cs="Times New Roman"/>
                      <w:sz w:val="18"/>
                      <w:szCs w:val="18"/>
                      <w:u w:val="none"/>
                      <w:lang w:val="en-US" w:eastAsia="zh-CN"/>
                    </w:rPr>
                    <w:t>15.0</w:t>
                  </w:r>
                </w:p>
              </w:tc>
              <w:tc>
                <w:tcPr>
                  <w:tcW w:w="303" w:type="dxa"/>
                  <w:tcMar>
                    <w:top w:w="0" w:type="dxa"/>
                    <w:left w:w="0" w:type="dxa"/>
                    <w:bottom w:w="0" w:type="dxa"/>
                    <w:right w:w="0" w:type="dxa"/>
                  </w:tcMar>
                  <w:vAlign w:val="center"/>
                </w:tcPr>
                <w:p w14:paraId="7DB80F5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sz w:val="18"/>
                      <w:szCs w:val="18"/>
                      <w:u w:val="none"/>
                    </w:rPr>
                  </w:pPr>
                  <w:r>
                    <w:rPr>
                      <w:rFonts w:hint="eastAsia" w:ascii="Times New Roman" w:hAnsi="Times New Roman" w:eastAsia="宋体" w:cs="Times New Roman"/>
                      <w:sz w:val="18"/>
                      <w:szCs w:val="18"/>
                      <w:u w:val="none"/>
                      <w:lang w:val="en-US" w:eastAsia="zh-CN"/>
                    </w:rPr>
                    <w:t>15.0</w:t>
                  </w:r>
                </w:p>
              </w:tc>
              <w:tc>
                <w:tcPr>
                  <w:tcW w:w="313" w:type="dxa"/>
                  <w:tcMar>
                    <w:top w:w="0" w:type="dxa"/>
                    <w:left w:w="0" w:type="dxa"/>
                    <w:bottom w:w="0" w:type="dxa"/>
                    <w:right w:w="0" w:type="dxa"/>
                  </w:tcMar>
                  <w:vAlign w:val="center"/>
                </w:tcPr>
                <w:p w14:paraId="2AB37AF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sz w:val="18"/>
                      <w:szCs w:val="18"/>
                      <w:u w:val="none"/>
                    </w:rPr>
                  </w:pPr>
                  <w:r>
                    <w:rPr>
                      <w:rFonts w:hint="eastAsia" w:ascii="Times New Roman" w:hAnsi="Times New Roman" w:eastAsia="宋体" w:cs="Times New Roman"/>
                      <w:sz w:val="18"/>
                      <w:szCs w:val="18"/>
                      <w:u w:val="none"/>
                      <w:lang w:val="en-US" w:eastAsia="zh-CN"/>
                    </w:rPr>
                    <w:t>15.0</w:t>
                  </w:r>
                </w:p>
              </w:tc>
              <w:tc>
                <w:tcPr>
                  <w:tcW w:w="308" w:type="dxa"/>
                  <w:tcMar>
                    <w:top w:w="0" w:type="dxa"/>
                    <w:left w:w="0" w:type="dxa"/>
                    <w:bottom w:w="0" w:type="dxa"/>
                    <w:right w:w="0" w:type="dxa"/>
                  </w:tcMar>
                  <w:vAlign w:val="center"/>
                </w:tcPr>
                <w:p w14:paraId="2168201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sz w:val="18"/>
                      <w:szCs w:val="18"/>
                      <w:u w:val="none"/>
                    </w:rPr>
                  </w:pPr>
                  <w:r>
                    <w:rPr>
                      <w:rFonts w:hint="default" w:ascii="Times New Roman" w:hAnsi="Times New Roman" w:eastAsia="宋体" w:cs="Times New Roman"/>
                      <w:sz w:val="18"/>
                      <w:szCs w:val="18"/>
                      <w:u w:val="none"/>
                    </w:rPr>
                    <w:t>33.7</w:t>
                  </w:r>
                </w:p>
              </w:tc>
              <w:tc>
                <w:tcPr>
                  <w:tcW w:w="307" w:type="dxa"/>
                  <w:tcMar>
                    <w:top w:w="0" w:type="dxa"/>
                    <w:left w:w="0" w:type="dxa"/>
                    <w:bottom w:w="0" w:type="dxa"/>
                    <w:right w:w="0" w:type="dxa"/>
                  </w:tcMar>
                  <w:vAlign w:val="center"/>
                </w:tcPr>
                <w:p w14:paraId="2E87CC9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sz w:val="18"/>
                      <w:szCs w:val="18"/>
                      <w:u w:val="none"/>
                    </w:rPr>
                  </w:pPr>
                  <w:r>
                    <w:rPr>
                      <w:rFonts w:hint="default" w:ascii="Times New Roman" w:hAnsi="Times New Roman" w:eastAsia="宋体" w:cs="Times New Roman"/>
                      <w:sz w:val="18"/>
                      <w:szCs w:val="18"/>
                      <w:u w:val="none"/>
                    </w:rPr>
                    <w:t>34.1</w:t>
                  </w:r>
                </w:p>
              </w:tc>
              <w:tc>
                <w:tcPr>
                  <w:tcW w:w="307" w:type="dxa"/>
                  <w:tcMar>
                    <w:top w:w="0" w:type="dxa"/>
                    <w:left w:w="0" w:type="dxa"/>
                    <w:bottom w:w="0" w:type="dxa"/>
                    <w:right w:w="0" w:type="dxa"/>
                  </w:tcMar>
                  <w:vAlign w:val="center"/>
                </w:tcPr>
                <w:p w14:paraId="6204D3E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sz w:val="18"/>
                      <w:szCs w:val="18"/>
                      <w:u w:val="none"/>
                    </w:rPr>
                  </w:pPr>
                  <w:r>
                    <w:rPr>
                      <w:rFonts w:hint="default" w:ascii="Times New Roman" w:hAnsi="Times New Roman" w:eastAsia="宋体" w:cs="Times New Roman"/>
                      <w:sz w:val="18"/>
                      <w:szCs w:val="18"/>
                      <w:u w:val="none"/>
                    </w:rPr>
                    <w:t>34.0</w:t>
                  </w:r>
                </w:p>
              </w:tc>
              <w:tc>
                <w:tcPr>
                  <w:tcW w:w="307" w:type="dxa"/>
                  <w:tcMar>
                    <w:top w:w="0" w:type="dxa"/>
                    <w:left w:w="0" w:type="dxa"/>
                    <w:bottom w:w="0" w:type="dxa"/>
                    <w:right w:w="0" w:type="dxa"/>
                  </w:tcMar>
                  <w:vAlign w:val="center"/>
                </w:tcPr>
                <w:p w14:paraId="768FA9A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sz w:val="18"/>
                      <w:szCs w:val="18"/>
                      <w:u w:val="none"/>
                    </w:rPr>
                  </w:pPr>
                  <w:r>
                    <w:rPr>
                      <w:rFonts w:hint="default" w:ascii="Times New Roman" w:hAnsi="Times New Roman" w:eastAsia="宋体" w:cs="Times New Roman"/>
                      <w:sz w:val="18"/>
                      <w:szCs w:val="18"/>
                      <w:u w:val="none"/>
                    </w:rPr>
                    <w:t>33.9</w:t>
                  </w:r>
                </w:p>
              </w:tc>
              <w:tc>
                <w:tcPr>
                  <w:tcW w:w="197" w:type="dxa"/>
                  <w:tcMar>
                    <w:top w:w="0" w:type="dxa"/>
                    <w:left w:w="0" w:type="dxa"/>
                    <w:bottom w:w="0" w:type="dxa"/>
                    <w:right w:w="0" w:type="dxa"/>
                  </w:tcMar>
                  <w:vAlign w:val="center"/>
                </w:tcPr>
                <w:p w14:paraId="7A77060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sz w:val="18"/>
                      <w:szCs w:val="18"/>
                      <w:u w:val="none"/>
                    </w:rPr>
                  </w:pPr>
                  <w:r>
                    <w:rPr>
                      <w:rFonts w:hint="default" w:ascii="Times New Roman" w:hAnsi="Times New Roman" w:eastAsia="宋体" w:cs="Times New Roman"/>
                      <w:sz w:val="18"/>
                      <w:szCs w:val="18"/>
                      <w:u w:val="none"/>
                    </w:rPr>
                    <w:t>1</w:t>
                  </w:r>
                </w:p>
              </w:tc>
            </w:tr>
            <w:tr w14:paraId="708C04D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379" w:type="dxa"/>
                  <w:tcMar>
                    <w:top w:w="0" w:type="dxa"/>
                    <w:left w:w="0" w:type="dxa"/>
                    <w:bottom w:w="0" w:type="dxa"/>
                    <w:right w:w="0" w:type="dxa"/>
                  </w:tcMar>
                  <w:vAlign w:val="center"/>
                </w:tcPr>
                <w:p w14:paraId="0F4649EF">
                  <w:pPr>
                    <w:adjustRightInd w:val="0"/>
                    <w:snapToGrid w:val="0"/>
                    <w:jc w:val="center"/>
                    <w:rPr>
                      <w:sz w:val="18"/>
                      <w:szCs w:val="18"/>
                      <w:u w:val="none"/>
                    </w:rPr>
                  </w:pPr>
                  <w:r>
                    <w:rPr>
                      <w:sz w:val="18"/>
                      <w:szCs w:val="18"/>
                      <w:u w:val="none"/>
                    </w:rPr>
                    <w:t>4</w:t>
                  </w:r>
                </w:p>
              </w:tc>
              <w:tc>
                <w:tcPr>
                  <w:tcW w:w="267" w:type="dxa"/>
                  <w:vMerge w:val="continue"/>
                  <w:tcMar>
                    <w:top w:w="0" w:type="dxa"/>
                    <w:left w:w="0" w:type="dxa"/>
                    <w:bottom w:w="0" w:type="dxa"/>
                    <w:right w:w="0" w:type="dxa"/>
                  </w:tcMar>
                  <w:vAlign w:val="center"/>
                </w:tcPr>
                <w:p w14:paraId="0233F187">
                  <w:pPr>
                    <w:adjustRightInd w:val="0"/>
                    <w:snapToGrid w:val="0"/>
                    <w:jc w:val="center"/>
                    <w:rPr>
                      <w:sz w:val="18"/>
                      <w:szCs w:val="18"/>
                      <w:u w:val="none"/>
                    </w:rPr>
                  </w:pPr>
                </w:p>
              </w:tc>
              <w:tc>
                <w:tcPr>
                  <w:tcW w:w="550" w:type="dxa"/>
                  <w:tcMar>
                    <w:top w:w="0" w:type="dxa"/>
                    <w:left w:w="0" w:type="dxa"/>
                    <w:bottom w:w="0" w:type="dxa"/>
                    <w:right w:w="0" w:type="dxa"/>
                  </w:tcMar>
                  <w:vAlign w:val="center"/>
                </w:tcPr>
                <w:p w14:paraId="0E2C206E">
                  <w:pPr>
                    <w:widowControl/>
                    <w:jc w:val="center"/>
                    <w:textAlignment w:val="center"/>
                    <w:rPr>
                      <w:sz w:val="18"/>
                      <w:szCs w:val="18"/>
                      <w:u w:val="none"/>
                    </w:rPr>
                  </w:pPr>
                  <w:r>
                    <w:rPr>
                      <w:rFonts w:hint="eastAsia"/>
                      <w:sz w:val="18"/>
                      <w:szCs w:val="18"/>
                      <w:u w:val="none"/>
                    </w:rPr>
                    <w:t>注塑机</w:t>
                  </w:r>
                </w:p>
              </w:tc>
              <w:tc>
                <w:tcPr>
                  <w:tcW w:w="437" w:type="dxa"/>
                  <w:tcMar>
                    <w:top w:w="0" w:type="dxa"/>
                    <w:left w:w="0" w:type="dxa"/>
                    <w:bottom w:w="0" w:type="dxa"/>
                    <w:right w:w="0" w:type="dxa"/>
                  </w:tcMar>
                  <w:vAlign w:val="center"/>
                </w:tcPr>
                <w:p w14:paraId="61FE7C42">
                  <w:pPr>
                    <w:adjustRightInd w:val="0"/>
                    <w:snapToGrid w:val="0"/>
                    <w:jc w:val="center"/>
                    <w:rPr>
                      <w:sz w:val="18"/>
                      <w:szCs w:val="18"/>
                      <w:u w:val="none"/>
                    </w:rPr>
                  </w:pPr>
                  <w:r>
                    <w:rPr>
                      <w:sz w:val="18"/>
                      <w:szCs w:val="18"/>
                      <w:u w:val="none"/>
                    </w:rPr>
                    <w:t>80</w:t>
                  </w:r>
                </w:p>
              </w:tc>
              <w:tc>
                <w:tcPr>
                  <w:tcW w:w="381" w:type="dxa"/>
                  <w:vMerge w:val="continue"/>
                  <w:tcMar>
                    <w:top w:w="0" w:type="dxa"/>
                    <w:left w:w="0" w:type="dxa"/>
                    <w:bottom w:w="0" w:type="dxa"/>
                    <w:right w:w="0" w:type="dxa"/>
                  </w:tcMar>
                  <w:vAlign w:val="center"/>
                </w:tcPr>
                <w:p w14:paraId="15F1C3A4">
                  <w:pPr>
                    <w:adjustRightInd w:val="0"/>
                    <w:snapToGrid w:val="0"/>
                    <w:jc w:val="center"/>
                    <w:rPr>
                      <w:sz w:val="18"/>
                      <w:szCs w:val="18"/>
                      <w:u w:val="none"/>
                    </w:rPr>
                  </w:pPr>
                </w:p>
              </w:tc>
              <w:tc>
                <w:tcPr>
                  <w:tcW w:w="360" w:type="dxa"/>
                  <w:vMerge w:val="continue"/>
                  <w:tcMar>
                    <w:top w:w="0" w:type="dxa"/>
                    <w:left w:w="0" w:type="dxa"/>
                    <w:bottom w:w="0" w:type="dxa"/>
                    <w:right w:w="0" w:type="dxa"/>
                  </w:tcMar>
                  <w:vAlign w:val="center"/>
                </w:tcPr>
                <w:p w14:paraId="7BEA6820">
                  <w:pPr>
                    <w:adjustRightInd w:val="0"/>
                    <w:snapToGrid w:val="0"/>
                    <w:jc w:val="center"/>
                    <w:rPr>
                      <w:sz w:val="18"/>
                      <w:szCs w:val="18"/>
                      <w:u w:val="none"/>
                    </w:rPr>
                  </w:pPr>
                </w:p>
              </w:tc>
              <w:tc>
                <w:tcPr>
                  <w:tcW w:w="265" w:type="dxa"/>
                  <w:tcMar>
                    <w:top w:w="0" w:type="dxa"/>
                    <w:left w:w="0" w:type="dxa"/>
                    <w:bottom w:w="0" w:type="dxa"/>
                    <w:right w:w="0" w:type="dxa"/>
                  </w:tcMar>
                  <w:vAlign w:val="center"/>
                </w:tcPr>
                <w:p w14:paraId="3B29EC14">
                  <w:pPr>
                    <w:adjustRightInd w:val="0"/>
                    <w:snapToGrid w:val="0"/>
                    <w:jc w:val="center"/>
                    <w:rPr>
                      <w:sz w:val="18"/>
                      <w:szCs w:val="18"/>
                      <w:u w:val="none"/>
                    </w:rPr>
                  </w:pPr>
                  <w:r>
                    <w:rPr>
                      <w:sz w:val="18"/>
                      <w:szCs w:val="18"/>
                      <w:u w:val="none"/>
                    </w:rPr>
                    <w:t>9.1</w:t>
                  </w:r>
                </w:p>
              </w:tc>
              <w:tc>
                <w:tcPr>
                  <w:tcW w:w="207" w:type="dxa"/>
                  <w:tcMar>
                    <w:top w:w="0" w:type="dxa"/>
                    <w:left w:w="0" w:type="dxa"/>
                    <w:bottom w:w="0" w:type="dxa"/>
                    <w:right w:w="0" w:type="dxa"/>
                  </w:tcMar>
                  <w:vAlign w:val="center"/>
                </w:tcPr>
                <w:p w14:paraId="5D460733">
                  <w:pPr>
                    <w:adjustRightInd w:val="0"/>
                    <w:snapToGrid w:val="0"/>
                    <w:jc w:val="center"/>
                    <w:rPr>
                      <w:sz w:val="18"/>
                      <w:szCs w:val="18"/>
                      <w:u w:val="none"/>
                    </w:rPr>
                  </w:pPr>
                  <w:r>
                    <w:rPr>
                      <w:sz w:val="18"/>
                      <w:szCs w:val="18"/>
                      <w:u w:val="none"/>
                    </w:rPr>
                    <w:t>4</w:t>
                  </w:r>
                </w:p>
              </w:tc>
              <w:tc>
                <w:tcPr>
                  <w:tcW w:w="220" w:type="dxa"/>
                  <w:tcMar>
                    <w:top w:w="0" w:type="dxa"/>
                    <w:left w:w="0" w:type="dxa"/>
                    <w:bottom w:w="0" w:type="dxa"/>
                    <w:right w:w="0" w:type="dxa"/>
                  </w:tcMar>
                  <w:vAlign w:val="center"/>
                </w:tcPr>
                <w:p w14:paraId="08240659">
                  <w:pPr>
                    <w:adjustRightInd w:val="0"/>
                    <w:snapToGrid w:val="0"/>
                    <w:jc w:val="center"/>
                    <w:rPr>
                      <w:sz w:val="18"/>
                      <w:szCs w:val="18"/>
                      <w:u w:val="none"/>
                    </w:rPr>
                  </w:pPr>
                  <w:r>
                    <w:rPr>
                      <w:rFonts w:hint="eastAsia"/>
                      <w:sz w:val="18"/>
                      <w:szCs w:val="18"/>
                      <w:u w:val="none"/>
                    </w:rPr>
                    <w:t>3</w:t>
                  </w:r>
                </w:p>
              </w:tc>
              <w:tc>
                <w:tcPr>
                  <w:tcW w:w="300" w:type="dxa"/>
                  <w:tcMar>
                    <w:top w:w="0" w:type="dxa"/>
                    <w:left w:w="0" w:type="dxa"/>
                    <w:bottom w:w="0" w:type="dxa"/>
                    <w:right w:w="0" w:type="dxa"/>
                  </w:tcMar>
                  <w:vAlign w:val="center"/>
                </w:tcPr>
                <w:p w14:paraId="281FF4B1">
                  <w:pPr>
                    <w:adjustRightInd w:val="0"/>
                    <w:snapToGrid w:val="0"/>
                    <w:jc w:val="center"/>
                    <w:rPr>
                      <w:sz w:val="18"/>
                      <w:szCs w:val="18"/>
                      <w:u w:val="none"/>
                    </w:rPr>
                  </w:pPr>
                  <w:r>
                    <w:rPr>
                      <w:sz w:val="18"/>
                      <w:szCs w:val="18"/>
                      <w:u w:val="none"/>
                    </w:rPr>
                    <w:t>31.5</w:t>
                  </w:r>
                </w:p>
              </w:tc>
              <w:tc>
                <w:tcPr>
                  <w:tcW w:w="288" w:type="dxa"/>
                  <w:tcMar>
                    <w:top w:w="0" w:type="dxa"/>
                    <w:left w:w="0" w:type="dxa"/>
                    <w:bottom w:w="0" w:type="dxa"/>
                    <w:right w:w="0" w:type="dxa"/>
                  </w:tcMar>
                  <w:vAlign w:val="center"/>
                </w:tcPr>
                <w:p w14:paraId="1958D516">
                  <w:pPr>
                    <w:adjustRightInd w:val="0"/>
                    <w:snapToGrid w:val="0"/>
                    <w:jc w:val="center"/>
                    <w:rPr>
                      <w:sz w:val="18"/>
                      <w:szCs w:val="18"/>
                      <w:u w:val="none"/>
                    </w:rPr>
                  </w:pPr>
                  <w:r>
                    <w:rPr>
                      <w:sz w:val="18"/>
                      <w:szCs w:val="18"/>
                      <w:u w:val="none"/>
                    </w:rPr>
                    <w:t>15.4</w:t>
                  </w:r>
                </w:p>
              </w:tc>
              <w:tc>
                <w:tcPr>
                  <w:tcW w:w="265" w:type="dxa"/>
                  <w:tcMar>
                    <w:top w:w="0" w:type="dxa"/>
                    <w:left w:w="0" w:type="dxa"/>
                    <w:bottom w:w="0" w:type="dxa"/>
                    <w:right w:w="0" w:type="dxa"/>
                  </w:tcMar>
                  <w:vAlign w:val="center"/>
                </w:tcPr>
                <w:p w14:paraId="7244D0B2">
                  <w:pPr>
                    <w:adjustRightInd w:val="0"/>
                    <w:snapToGrid w:val="0"/>
                    <w:jc w:val="center"/>
                    <w:rPr>
                      <w:sz w:val="18"/>
                      <w:szCs w:val="18"/>
                      <w:u w:val="none"/>
                    </w:rPr>
                  </w:pPr>
                  <w:r>
                    <w:rPr>
                      <w:sz w:val="18"/>
                      <w:szCs w:val="18"/>
                      <w:u w:val="none"/>
                    </w:rPr>
                    <w:t>51.7</w:t>
                  </w:r>
                </w:p>
              </w:tc>
              <w:tc>
                <w:tcPr>
                  <w:tcW w:w="313" w:type="dxa"/>
                  <w:tcMar>
                    <w:top w:w="0" w:type="dxa"/>
                    <w:left w:w="0" w:type="dxa"/>
                    <w:bottom w:w="0" w:type="dxa"/>
                    <w:right w:w="0" w:type="dxa"/>
                  </w:tcMar>
                  <w:vAlign w:val="center"/>
                </w:tcPr>
                <w:p w14:paraId="31D5ACA4">
                  <w:pPr>
                    <w:adjustRightInd w:val="0"/>
                    <w:snapToGrid w:val="0"/>
                    <w:jc w:val="center"/>
                    <w:rPr>
                      <w:sz w:val="18"/>
                      <w:szCs w:val="18"/>
                      <w:u w:val="none"/>
                    </w:rPr>
                  </w:pPr>
                  <w:r>
                    <w:rPr>
                      <w:sz w:val="18"/>
                      <w:szCs w:val="18"/>
                      <w:u w:val="none"/>
                    </w:rPr>
                    <w:t>5.7</w:t>
                  </w:r>
                </w:p>
              </w:tc>
              <w:tc>
                <w:tcPr>
                  <w:tcW w:w="265" w:type="dxa"/>
                  <w:tcMar>
                    <w:top w:w="0" w:type="dxa"/>
                    <w:left w:w="0" w:type="dxa"/>
                    <w:bottom w:w="0" w:type="dxa"/>
                    <w:right w:w="0" w:type="dxa"/>
                  </w:tcMar>
                  <w:vAlign w:val="center"/>
                </w:tcPr>
                <w:p w14:paraId="6DBC0D22">
                  <w:pPr>
                    <w:adjustRightInd w:val="0"/>
                    <w:snapToGrid w:val="0"/>
                    <w:jc w:val="center"/>
                    <w:rPr>
                      <w:sz w:val="18"/>
                      <w:szCs w:val="18"/>
                      <w:u w:val="none"/>
                    </w:rPr>
                  </w:pPr>
                  <w:r>
                    <w:rPr>
                      <w:sz w:val="18"/>
                      <w:szCs w:val="18"/>
                      <w:u w:val="none"/>
                    </w:rPr>
                    <w:t>61.7</w:t>
                  </w:r>
                </w:p>
              </w:tc>
              <w:tc>
                <w:tcPr>
                  <w:tcW w:w="311" w:type="dxa"/>
                  <w:tcMar>
                    <w:top w:w="0" w:type="dxa"/>
                    <w:left w:w="0" w:type="dxa"/>
                    <w:bottom w:w="0" w:type="dxa"/>
                    <w:right w:w="0" w:type="dxa"/>
                  </w:tcMar>
                  <w:vAlign w:val="center"/>
                </w:tcPr>
                <w:p w14:paraId="4271ACD8">
                  <w:pPr>
                    <w:adjustRightInd w:val="0"/>
                    <w:snapToGrid w:val="0"/>
                    <w:jc w:val="center"/>
                    <w:rPr>
                      <w:sz w:val="18"/>
                      <w:szCs w:val="18"/>
                      <w:u w:val="none"/>
                    </w:rPr>
                  </w:pPr>
                  <w:r>
                    <w:rPr>
                      <w:sz w:val="18"/>
                      <w:szCs w:val="18"/>
                      <w:u w:val="none"/>
                    </w:rPr>
                    <w:t>61.8</w:t>
                  </w:r>
                </w:p>
              </w:tc>
              <w:tc>
                <w:tcPr>
                  <w:tcW w:w="252" w:type="dxa"/>
                  <w:tcMar>
                    <w:top w:w="0" w:type="dxa"/>
                    <w:left w:w="0" w:type="dxa"/>
                    <w:bottom w:w="0" w:type="dxa"/>
                    <w:right w:w="0" w:type="dxa"/>
                  </w:tcMar>
                  <w:vAlign w:val="center"/>
                </w:tcPr>
                <w:p w14:paraId="2C47FE32">
                  <w:pPr>
                    <w:adjustRightInd w:val="0"/>
                    <w:snapToGrid w:val="0"/>
                    <w:jc w:val="center"/>
                    <w:rPr>
                      <w:sz w:val="18"/>
                      <w:szCs w:val="18"/>
                      <w:u w:val="none"/>
                    </w:rPr>
                  </w:pPr>
                  <w:r>
                    <w:rPr>
                      <w:sz w:val="18"/>
                      <w:szCs w:val="18"/>
                      <w:u w:val="none"/>
                    </w:rPr>
                    <w:t>61.7</w:t>
                  </w:r>
                </w:p>
              </w:tc>
              <w:tc>
                <w:tcPr>
                  <w:tcW w:w="268" w:type="dxa"/>
                  <w:tcMar>
                    <w:top w:w="0" w:type="dxa"/>
                    <w:left w:w="0" w:type="dxa"/>
                    <w:bottom w:w="0" w:type="dxa"/>
                    <w:right w:w="0" w:type="dxa"/>
                  </w:tcMar>
                  <w:vAlign w:val="center"/>
                </w:tcPr>
                <w:p w14:paraId="019D7A43">
                  <w:pPr>
                    <w:adjustRightInd w:val="0"/>
                    <w:snapToGrid w:val="0"/>
                    <w:jc w:val="center"/>
                    <w:rPr>
                      <w:sz w:val="18"/>
                      <w:szCs w:val="18"/>
                      <w:u w:val="none"/>
                    </w:rPr>
                  </w:pPr>
                  <w:r>
                    <w:rPr>
                      <w:sz w:val="18"/>
                      <w:szCs w:val="18"/>
                      <w:u w:val="none"/>
                    </w:rPr>
                    <w:t>62.4</w:t>
                  </w:r>
                </w:p>
              </w:tc>
              <w:tc>
                <w:tcPr>
                  <w:tcW w:w="368" w:type="dxa"/>
                  <w:tcMar>
                    <w:top w:w="0" w:type="dxa"/>
                    <w:left w:w="0" w:type="dxa"/>
                    <w:bottom w:w="0" w:type="dxa"/>
                    <w:right w:w="0" w:type="dxa"/>
                  </w:tcMar>
                  <w:vAlign w:val="center"/>
                </w:tcPr>
                <w:p w14:paraId="4A4FE7BC">
                  <w:pPr>
                    <w:adjustRightInd w:val="0"/>
                    <w:snapToGrid w:val="0"/>
                    <w:jc w:val="center"/>
                    <w:rPr>
                      <w:sz w:val="18"/>
                      <w:szCs w:val="18"/>
                      <w:u w:val="none"/>
                    </w:rPr>
                  </w:pPr>
                  <w:r>
                    <w:rPr>
                      <w:rFonts w:hint="eastAsia"/>
                      <w:sz w:val="18"/>
                      <w:szCs w:val="18"/>
                      <w:u w:val="none"/>
                    </w:rPr>
                    <w:t>8</w:t>
                  </w:r>
                </w:p>
              </w:tc>
              <w:tc>
                <w:tcPr>
                  <w:tcW w:w="300" w:type="dxa"/>
                  <w:tcMar>
                    <w:top w:w="0" w:type="dxa"/>
                    <w:left w:w="0" w:type="dxa"/>
                    <w:bottom w:w="0" w:type="dxa"/>
                    <w:right w:w="0" w:type="dxa"/>
                  </w:tcMar>
                  <w:vAlign w:val="center"/>
                </w:tcPr>
                <w:p w14:paraId="4DBA2E09">
                  <w:pPr>
                    <w:adjustRightInd w:val="0"/>
                    <w:snapToGrid w:val="0"/>
                    <w:jc w:val="center"/>
                    <w:rPr>
                      <w:sz w:val="18"/>
                      <w:szCs w:val="18"/>
                      <w:u w:val="none"/>
                    </w:rPr>
                  </w:pPr>
                  <w:r>
                    <w:rPr>
                      <w:rFonts w:hint="eastAsia"/>
                      <w:sz w:val="18"/>
                      <w:szCs w:val="18"/>
                      <w:u w:val="none"/>
                    </w:rPr>
                    <w:t>15.0</w:t>
                  </w:r>
                </w:p>
              </w:tc>
              <w:tc>
                <w:tcPr>
                  <w:tcW w:w="239" w:type="dxa"/>
                  <w:tcMar>
                    <w:top w:w="0" w:type="dxa"/>
                    <w:left w:w="0" w:type="dxa"/>
                    <w:bottom w:w="0" w:type="dxa"/>
                    <w:right w:w="0" w:type="dxa"/>
                  </w:tcMar>
                  <w:vAlign w:val="center"/>
                </w:tcPr>
                <w:p w14:paraId="3256F883">
                  <w:pPr>
                    <w:adjustRightInd w:val="0"/>
                    <w:snapToGrid w:val="0"/>
                    <w:jc w:val="center"/>
                    <w:rPr>
                      <w:sz w:val="18"/>
                      <w:szCs w:val="18"/>
                      <w:u w:val="none"/>
                    </w:rPr>
                  </w:pPr>
                  <w:r>
                    <w:rPr>
                      <w:rFonts w:hint="eastAsia"/>
                      <w:sz w:val="18"/>
                      <w:szCs w:val="18"/>
                      <w:u w:val="none"/>
                    </w:rPr>
                    <w:t>15.0</w:t>
                  </w:r>
                </w:p>
              </w:tc>
              <w:tc>
                <w:tcPr>
                  <w:tcW w:w="303" w:type="dxa"/>
                  <w:tcMar>
                    <w:top w:w="0" w:type="dxa"/>
                    <w:left w:w="0" w:type="dxa"/>
                    <w:bottom w:w="0" w:type="dxa"/>
                    <w:right w:w="0" w:type="dxa"/>
                  </w:tcMar>
                  <w:vAlign w:val="center"/>
                </w:tcPr>
                <w:p w14:paraId="5387DFA1">
                  <w:pPr>
                    <w:adjustRightInd w:val="0"/>
                    <w:snapToGrid w:val="0"/>
                    <w:jc w:val="center"/>
                    <w:rPr>
                      <w:sz w:val="18"/>
                      <w:szCs w:val="18"/>
                      <w:u w:val="none"/>
                    </w:rPr>
                  </w:pPr>
                  <w:r>
                    <w:rPr>
                      <w:rFonts w:hint="eastAsia"/>
                      <w:sz w:val="18"/>
                      <w:szCs w:val="18"/>
                      <w:u w:val="none"/>
                    </w:rPr>
                    <w:t>15.0</w:t>
                  </w:r>
                </w:p>
              </w:tc>
              <w:tc>
                <w:tcPr>
                  <w:tcW w:w="313" w:type="dxa"/>
                  <w:tcMar>
                    <w:top w:w="0" w:type="dxa"/>
                    <w:left w:w="0" w:type="dxa"/>
                    <w:bottom w:w="0" w:type="dxa"/>
                    <w:right w:w="0" w:type="dxa"/>
                  </w:tcMar>
                  <w:vAlign w:val="center"/>
                </w:tcPr>
                <w:p w14:paraId="7EA41430">
                  <w:pPr>
                    <w:adjustRightInd w:val="0"/>
                    <w:snapToGrid w:val="0"/>
                    <w:jc w:val="center"/>
                    <w:rPr>
                      <w:sz w:val="18"/>
                      <w:szCs w:val="18"/>
                      <w:u w:val="none"/>
                    </w:rPr>
                  </w:pPr>
                  <w:r>
                    <w:rPr>
                      <w:rFonts w:hint="eastAsia"/>
                      <w:sz w:val="18"/>
                      <w:szCs w:val="18"/>
                      <w:u w:val="none"/>
                    </w:rPr>
                    <w:t>15.0</w:t>
                  </w:r>
                </w:p>
              </w:tc>
              <w:tc>
                <w:tcPr>
                  <w:tcW w:w="308" w:type="dxa"/>
                  <w:tcMar>
                    <w:top w:w="0" w:type="dxa"/>
                    <w:left w:w="0" w:type="dxa"/>
                    <w:bottom w:w="0" w:type="dxa"/>
                    <w:right w:w="0" w:type="dxa"/>
                  </w:tcMar>
                  <w:vAlign w:val="center"/>
                </w:tcPr>
                <w:p w14:paraId="0ACCBA43">
                  <w:pPr>
                    <w:adjustRightInd w:val="0"/>
                    <w:snapToGrid w:val="0"/>
                    <w:jc w:val="center"/>
                    <w:rPr>
                      <w:sz w:val="18"/>
                      <w:szCs w:val="18"/>
                      <w:u w:val="none"/>
                    </w:rPr>
                  </w:pPr>
                  <w:r>
                    <w:rPr>
                      <w:sz w:val="18"/>
                      <w:szCs w:val="18"/>
                      <w:u w:val="none"/>
                    </w:rPr>
                    <w:t>35.7</w:t>
                  </w:r>
                </w:p>
              </w:tc>
              <w:tc>
                <w:tcPr>
                  <w:tcW w:w="307" w:type="dxa"/>
                  <w:tcMar>
                    <w:top w:w="0" w:type="dxa"/>
                    <w:left w:w="0" w:type="dxa"/>
                    <w:bottom w:w="0" w:type="dxa"/>
                    <w:right w:w="0" w:type="dxa"/>
                  </w:tcMar>
                  <w:vAlign w:val="center"/>
                </w:tcPr>
                <w:p w14:paraId="31FEA774">
                  <w:pPr>
                    <w:adjustRightInd w:val="0"/>
                    <w:snapToGrid w:val="0"/>
                    <w:jc w:val="center"/>
                    <w:rPr>
                      <w:sz w:val="18"/>
                      <w:szCs w:val="18"/>
                      <w:u w:val="none"/>
                    </w:rPr>
                  </w:pPr>
                  <w:r>
                    <w:rPr>
                      <w:sz w:val="18"/>
                      <w:szCs w:val="18"/>
                      <w:u w:val="none"/>
                    </w:rPr>
                    <w:t>35.8</w:t>
                  </w:r>
                </w:p>
              </w:tc>
              <w:tc>
                <w:tcPr>
                  <w:tcW w:w="307" w:type="dxa"/>
                  <w:tcMar>
                    <w:top w:w="0" w:type="dxa"/>
                    <w:left w:w="0" w:type="dxa"/>
                    <w:bottom w:w="0" w:type="dxa"/>
                    <w:right w:w="0" w:type="dxa"/>
                  </w:tcMar>
                  <w:vAlign w:val="center"/>
                </w:tcPr>
                <w:p w14:paraId="50530FF9">
                  <w:pPr>
                    <w:adjustRightInd w:val="0"/>
                    <w:snapToGrid w:val="0"/>
                    <w:jc w:val="center"/>
                    <w:rPr>
                      <w:sz w:val="18"/>
                      <w:szCs w:val="18"/>
                      <w:u w:val="none"/>
                    </w:rPr>
                  </w:pPr>
                  <w:r>
                    <w:rPr>
                      <w:sz w:val="18"/>
                      <w:szCs w:val="18"/>
                      <w:u w:val="none"/>
                    </w:rPr>
                    <w:t>35.7</w:t>
                  </w:r>
                </w:p>
              </w:tc>
              <w:tc>
                <w:tcPr>
                  <w:tcW w:w="307" w:type="dxa"/>
                  <w:tcMar>
                    <w:top w:w="0" w:type="dxa"/>
                    <w:left w:w="0" w:type="dxa"/>
                    <w:bottom w:w="0" w:type="dxa"/>
                    <w:right w:w="0" w:type="dxa"/>
                  </w:tcMar>
                  <w:vAlign w:val="center"/>
                </w:tcPr>
                <w:p w14:paraId="238DA1BF">
                  <w:pPr>
                    <w:adjustRightInd w:val="0"/>
                    <w:snapToGrid w:val="0"/>
                    <w:jc w:val="center"/>
                    <w:rPr>
                      <w:sz w:val="18"/>
                      <w:szCs w:val="18"/>
                      <w:u w:val="none"/>
                    </w:rPr>
                  </w:pPr>
                  <w:r>
                    <w:rPr>
                      <w:sz w:val="18"/>
                      <w:szCs w:val="18"/>
                      <w:u w:val="none"/>
                    </w:rPr>
                    <w:t>36.4</w:t>
                  </w:r>
                </w:p>
              </w:tc>
              <w:tc>
                <w:tcPr>
                  <w:tcW w:w="197" w:type="dxa"/>
                  <w:tcMar>
                    <w:top w:w="0" w:type="dxa"/>
                    <w:left w:w="0" w:type="dxa"/>
                    <w:bottom w:w="0" w:type="dxa"/>
                    <w:right w:w="0" w:type="dxa"/>
                  </w:tcMar>
                  <w:vAlign w:val="center"/>
                </w:tcPr>
                <w:p w14:paraId="51E3E1A9">
                  <w:pPr>
                    <w:adjustRightInd w:val="0"/>
                    <w:snapToGrid w:val="0"/>
                    <w:jc w:val="center"/>
                    <w:rPr>
                      <w:sz w:val="18"/>
                      <w:szCs w:val="18"/>
                      <w:u w:val="none"/>
                    </w:rPr>
                  </w:pPr>
                  <w:r>
                    <w:rPr>
                      <w:sz w:val="18"/>
                      <w:szCs w:val="18"/>
                      <w:u w:val="none"/>
                    </w:rPr>
                    <w:t>1</w:t>
                  </w:r>
                </w:p>
              </w:tc>
            </w:tr>
            <w:tr w14:paraId="4163C75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9" w:hRule="atLeast"/>
                <w:jc w:val="center"/>
              </w:trPr>
              <w:tc>
                <w:tcPr>
                  <w:tcW w:w="379" w:type="dxa"/>
                  <w:tcMar>
                    <w:top w:w="0" w:type="dxa"/>
                    <w:left w:w="0" w:type="dxa"/>
                    <w:bottom w:w="0" w:type="dxa"/>
                    <w:right w:w="0" w:type="dxa"/>
                  </w:tcMar>
                  <w:vAlign w:val="center"/>
                </w:tcPr>
                <w:p w14:paraId="71132D1B">
                  <w:pPr>
                    <w:adjustRightInd w:val="0"/>
                    <w:snapToGrid w:val="0"/>
                    <w:jc w:val="center"/>
                    <w:rPr>
                      <w:sz w:val="18"/>
                      <w:szCs w:val="18"/>
                      <w:u w:val="none"/>
                    </w:rPr>
                  </w:pPr>
                  <w:r>
                    <w:rPr>
                      <w:sz w:val="18"/>
                      <w:szCs w:val="18"/>
                      <w:u w:val="none"/>
                    </w:rPr>
                    <w:t>5</w:t>
                  </w:r>
                </w:p>
              </w:tc>
              <w:tc>
                <w:tcPr>
                  <w:tcW w:w="267" w:type="dxa"/>
                  <w:vMerge w:val="continue"/>
                  <w:tcMar>
                    <w:top w:w="0" w:type="dxa"/>
                    <w:left w:w="0" w:type="dxa"/>
                    <w:bottom w:w="0" w:type="dxa"/>
                    <w:right w:w="0" w:type="dxa"/>
                  </w:tcMar>
                  <w:vAlign w:val="center"/>
                </w:tcPr>
                <w:p w14:paraId="270B04A5">
                  <w:pPr>
                    <w:adjustRightInd w:val="0"/>
                    <w:snapToGrid w:val="0"/>
                    <w:jc w:val="center"/>
                    <w:rPr>
                      <w:sz w:val="18"/>
                      <w:szCs w:val="18"/>
                      <w:u w:val="none"/>
                    </w:rPr>
                  </w:pPr>
                </w:p>
              </w:tc>
              <w:tc>
                <w:tcPr>
                  <w:tcW w:w="550" w:type="dxa"/>
                  <w:tcMar>
                    <w:top w:w="0" w:type="dxa"/>
                    <w:left w:w="0" w:type="dxa"/>
                    <w:bottom w:w="0" w:type="dxa"/>
                    <w:right w:w="0" w:type="dxa"/>
                  </w:tcMar>
                  <w:vAlign w:val="center"/>
                </w:tcPr>
                <w:p w14:paraId="13C98B8A">
                  <w:pPr>
                    <w:widowControl/>
                    <w:jc w:val="center"/>
                    <w:textAlignment w:val="center"/>
                    <w:rPr>
                      <w:sz w:val="18"/>
                      <w:szCs w:val="18"/>
                      <w:u w:val="none"/>
                    </w:rPr>
                  </w:pPr>
                  <w:r>
                    <w:rPr>
                      <w:rFonts w:hint="eastAsia"/>
                      <w:sz w:val="18"/>
                      <w:szCs w:val="18"/>
                      <w:u w:val="none"/>
                    </w:rPr>
                    <w:t>压力机</w:t>
                  </w:r>
                </w:p>
              </w:tc>
              <w:tc>
                <w:tcPr>
                  <w:tcW w:w="437" w:type="dxa"/>
                  <w:tcMar>
                    <w:top w:w="0" w:type="dxa"/>
                    <w:left w:w="0" w:type="dxa"/>
                    <w:bottom w:w="0" w:type="dxa"/>
                    <w:right w:w="0" w:type="dxa"/>
                  </w:tcMar>
                  <w:vAlign w:val="center"/>
                </w:tcPr>
                <w:p w14:paraId="13834610">
                  <w:pPr>
                    <w:adjustRightInd w:val="0"/>
                    <w:snapToGrid w:val="0"/>
                    <w:jc w:val="center"/>
                    <w:rPr>
                      <w:sz w:val="18"/>
                      <w:szCs w:val="18"/>
                      <w:u w:val="none"/>
                    </w:rPr>
                  </w:pPr>
                  <w:r>
                    <w:rPr>
                      <w:sz w:val="18"/>
                      <w:szCs w:val="18"/>
                      <w:u w:val="none"/>
                    </w:rPr>
                    <w:t>85</w:t>
                  </w:r>
                </w:p>
              </w:tc>
              <w:tc>
                <w:tcPr>
                  <w:tcW w:w="381" w:type="dxa"/>
                  <w:vMerge w:val="continue"/>
                  <w:tcMar>
                    <w:top w:w="0" w:type="dxa"/>
                    <w:left w:w="0" w:type="dxa"/>
                    <w:bottom w:w="0" w:type="dxa"/>
                    <w:right w:w="0" w:type="dxa"/>
                  </w:tcMar>
                  <w:vAlign w:val="center"/>
                </w:tcPr>
                <w:p w14:paraId="321D3D07">
                  <w:pPr>
                    <w:adjustRightInd w:val="0"/>
                    <w:snapToGrid w:val="0"/>
                    <w:jc w:val="center"/>
                    <w:rPr>
                      <w:sz w:val="18"/>
                      <w:szCs w:val="18"/>
                      <w:u w:val="none"/>
                    </w:rPr>
                  </w:pPr>
                </w:p>
              </w:tc>
              <w:tc>
                <w:tcPr>
                  <w:tcW w:w="360" w:type="dxa"/>
                  <w:vMerge w:val="continue"/>
                  <w:tcMar>
                    <w:top w:w="0" w:type="dxa"/>
                    <w:left w:w="0" w:type="dxa"/>
                    <w:bottom w:w="0" w:type="dxa"/>
                    <w:right w:w="0" w:type="dxa"/>
                  </w:tcMar>
                  <w:vAlign w:val="center"/>
                </w:tcPr>
                <w:p w14:paraId="7AE9EC6D">
                  <w:pPr>
                    <w:adjustRightInd w:val="0"/>
                    <w:snapToGrid w:val="0"/>
                    <w:jc w:val="center"/>
                    <w:rPr>
                      <w:sz w:val="18"/>
                      <w:szCs w:val="18"/>
                      <w:u w:val="none"/>
                    </w:rPr>
                  </w:pPr>
                </w:p>
              </w:tc>
              <w:tc>
                <w:tcPr>
                  <w:tcW w:w="265" w:type="dxa"/>
                  <w:tcMar>
                    <w:top w:w="0" w:type="dxa"/>
                    <w:left w:w="0" w:type="dxa"/>
                    <w:bottom w:w="0" w:type="dxa"/>
                    <w:right w:w="0" w:type="dxa"/>
                  </w:tcMar>
                  <w:vAlign w:val="center"/>
                </w:tcPr>
                <w:p w14:paraId="2CE2D3F1">
                  <w:pPr>
                    <w:adjustRightInd w:val="0"/>
                    <w:snapToGrid w:val="0"/>
                    <w:jc w:val="center"/>
                    <w:rPr>
                      <w:sz w:val="18"/>
                      <w:szCs w:val="18"/>
                      <w:u w:val="none"/>
                    </w:rPr>
                  </w:pPr>
                  <w:r>
                    <w:rPr>
                      <w:sz w:val="18"/>
                      <w:szCs w:val="18"/>
                      <w:u w:val="none"/>
                    </w:rPr>
                    <w:t>23.5</w:t>
                  </w:r>
                </w:p>
              </w:tc>
              <w:tc>
                <w:tcPr>
                  <w:tcW w:w="207" w:type="dxa"/>
                  <w:tcMar>
                    <w:top w:w="0" w:type="dxa"/>
                    <w:left w:w="0" w:type="dxa"/>
                    <w:bottom w:w="0" w:type="dxa"/>
                    <w:right w:w="0" w:type="dxa"/>
                  </w:tcMar>
                  <w:vAlign w:val="center"/>
                </w:tcPr>
                <w:p w14:paraId="27F617B8">
                  <w:pPr>
                    <w:adjustRightInd w:val="0"/>
                    <w:snapToGrid w:val="0"/>
                    <w:jc w:val="center"/>
                    <w:rPr>
                      <w:sz w:val="18"/>
                      <w:szCs w:val="18"/>
                      <w:u w:val="none"/>
                    </w:rPr>
                  </w:pPr>
                  <w:r>
                    <w:rPr>
                      <w:sz w:val="18"/>
                      <w:szCs w:val="18"/>
                      <w:u w:val="none"/>
                    </w:rPr>
                    <w:t>1.9</w:t>
                  </w:r>
                </w:p>
              </w:tc>
              <w:tc>
                <w:tcPr>
                  <w:tcW w:w="220" w:type="dxa"/>
                  <w:tcMar>
                    <w:top w:w="0" w:type="dxa"/>
                    <w:left w:w="0" w:type="dxa"/>
                    <w:bottom w:w="0" w:type="dxa"/>
                    <w:right w:w="0" w:type="dxa"/>
                  </w:tcMar>
                  <w:vAlign w:val="center"/>
                </w:tcPr>
                <w:p w14:paraId="19C45F18">
                  <w:pPr>
                    <w:adjustRightInd w:val="0"/>
                    <w:snapToGrid w:val="0"/>
                    <w:jc w:val="center"/>
                    <w:rPr>
                      <w:sz w:val="18"/>
                      <w:szCs w:val="18"/>
                      <w:u w:val="none"/>
                    </w:rPr>
                  </w:pPr>
                  <w:r>
                    <w:rPr>
                      <w:rFonts w:hint="eastAsia"/>
                      <w:sz w:val="18"/>
                      <w:szCs w:val="18"/>
                      <w:u w:val="none"/>
                    </w:rPr>
                    <w:t>3</w:t>
                  </w:r>
                </w:p>
              </w:tc>
              <w:tc>
                <w:tcPr>
                  <w:tcW w:w="300" w:type="dxa"/>
                  <w:tcMar>
                    <w:top w:w="0" w:type="dxa"/>
                    <w:left w:w="0" w:type="dxa"/>
                    <w:bottom w:w="0" w:type="dxa"/>
                    <w:right w:w="0" w:type="dxa"/>
                  </w:tcMar>
                  <w:vAlign w:val="center"/>
                </w:tcPr>
                <w:p w14:paraId="5DCD9AC7">
                  <w:pPr>
                    <w:adjustRightInd w:val="0"/>
                    <w:snapToGrid w:val="0"/>
                    <w:jc w:val="center"/>
                    <w:rPr>
                      <w:sz w:val="18"/>
                      <w:szCs w:val="18"/>
                      <w:u w:val="none"/>
                    </w:rPr>
                  </w:pPr>
                  <w:r>
                    <w:rPr>
                      <w:sz w:val="18"/>
                      <w:szCs w:val="18"/>
                      <w:u w:val="none"/>
                    </w:rPr>
                    <w:t>17.3</w:t>
                  </w:r>
                </w:p>
              </w:tc>
              <w:tc>
                <w:tcPr>
                  <w:tcW w:w="288" w:type="dxa"/>
                  <w:tcMar>
                    <w:top w:w="0" w:type="dxa"/>
                    <w:left w:w="0" w:type="dxa"/>
                    <w:bottom w:w="0" w:type="dxa"/>
                    <w:right w:w="0" w:type="dxa"/>
                  </w:tcMar>
                  <w:vAlign w:val="center"/>
                </w:tcPr>
                <w:p w14:paraId="2CD02E65">
                  <w:pPr>
                    <w:adjustRightInd w:val="0"/>
                    <w:snapToGrid w:val="0"/>
                    <w:jc w:val="center"/>
                    <w:rPr>
                      <w:sz w:val="18"/>
                      <w:szCs w:val="18"/>
                      <w:u w:val="none"/>
                    </w:rPr>
                  </w:pPr>
                  <w:r>
                    <w:rPr>
                      <w:sz w:val="18"/>
                      <w:szCs w:val="18"/>
                      <w:u w:val="none"/>
                    </w:rPr>
                    <w:t>14.4</w:t>
                  </w:r>
                </w:p>
              </w:tc>
              <w:tc>
                <w:tcPr>
                  <w:tcW w:w="265" w:type="dxa"/>
                  <w:tcMar>
                    <w:top w:w="0" w:type="dxa"/>
                    <w:left w:w="0" w:type="dxa"/>
                    <w:bottom w:w="0" w:type="dxa"/>
                    <w:right w:w="0" w:type="dxa"/>
                  </w:tcMar>
                  <w:vAlign w:val="center"/>
                </w:tcPr>
                <w:p w14:paraId="05D7E701">
                  <w:pPr>
                    <w:adjustRightInd w:val="0"/>
                    <w:snapToGrid w:val="0"/>
                    <w:jc w:val="center"/>
                    <w:rPr>
                      <w:sz w:val="18"/>
                      <w:szCs w:val="18"/>
                      <w:u w:val="none"/>
                    </w:rPr>
                  </w:pPr>
                  <w:r>
                    <w:rPr>
                      <w:sz w:val="18"/>
                      <w:szCs w:val="18"/>
                      <w:u w:val="none"/>
                    </w:rPr>
                    <w:t>66.2</w:t>
                  </w:r>
                </w:p>
              </w:tc>
              <w:tc>
                <w:tcPr>
                  <w:tcW w:w="313" w:type="dxa"/>
                  <w:tcMar>
                    <w:top w:w="0" w:type="dxa"/>
                    <w:left w:w="0" w:type="dxa"/>
                    <w:bottom w:w="0" w:type="dxa"/>
                    <w:right w:w="0" w:type="dxa"/>
                  </w:tcMar>
                  <w:vAlign w:val="center"/>
                </w:tcPr>
                <w:p w14:paraId="77858968">
                  <w:pPr>
                    <w:adjustRightInd w:val="0"/>
                    <w:snapToGrid w:val="0"/>
                    <w:jc w:val="center"/>
                    <w:rPr>
                      <w:sz w:val="18"/>
                      <w:szCs w:val="18"/>
                      <w:u w:val="none"/>
                    </w:rPr>
                  </w:pPr>
                  <w:r>
                    <w:rPr>
                      <w:sz w:val="18"/>
                      <w:szCs w:val="18"/>
                      <w:u w:val="none"/>
                    </w:rPr>
                    <w:t>6.9</w:t>
                  </w:r>
                </w:p>
              </w:tc>
              <w:tc>
                <w:tcPr>
                  <w:tcW w:w="265" w:type="dxa"/>
                  <w:tcMar>
                    <w:top w:w="0" w:type="dxa"/>
                    <w:left w:w="0" w:type="dxa"/>
                    <w:bottom w:w="0" w:type="dxa"/>
                    <w:right w:w="0" w:type="dxa"/>
                  </w:tcMar>
                  <w:vAlign w:val="center"/>
                </w:tcPr>
                <w:p w14:paraId="79992DD6">
                  <w:pPr>
                    <w:adjustRightInd w:val="0"/>
                    <w:snapToGrid w:val="0"/>
                    <w:jc w:val="center"/>
                    <w:rPr>
                      <w:sz w:val="18"/>
                      <w:szCs w:val="18"/>
                      <w:u w:val="none"/>
                    </w:rPr>
                  </w:pPr>
                  <w:r>
                    <w:rPr>
                      <w:sz w:val="18"/>
                      <w:szCs w:val="18"/>
                      <w:u w:val="none"/>
                    </w:rPr>
                    <w:t>66.8</w:t>
                  </w:r>
                </w:p>
              </w:tc>
              <w:tc>
                <w:tcPr>
                  <w:tcW w:w="311" w:type="dxa"/>
                  <w:tcMar>
                    <w:top w:w="0" w:type="dxa"/>
                    <w:left w:w="0" w:type="dxa"/>
                    <w:bottom w:w="0" w:type="dxa"/>
                    <w:right w:w="0" w:type="dxa"/>
                  </w:tcMar>
                  <w:vAlign w:val="center"/>
                </w:tcPr>
                <w:p w14:paraId="6BE42BA1">
                  <w:pPr>
                    <w:adjustRightInd w:val="0"/>
                    <w:snapToGrid w:val="0"/>
                    <w:jc w:val="center"/>
                    <w:rPr>
                      <w:sz w:val="18"/>
                      <w:szCs w:val="18"/>
                      <w:u w:val="none"/>
                    </w:rPr>
                  </w:pPr>
                  <w:r>
                    <w:rPr>
                      <w:sz w:val="18"/>
                      <w:szCs w:val="18"/>
                      <w:u w:val="none"/>
                    </w:rPr>
                    <w:t>66.8</w:t>
                  </w:r>
                </w:p>
              </w:tc>
              <w:tc>
                <w:tcPr>
                  <w:tcW w:w="252" w:type="dxa"/>
                  <w:tcMar>
                    <w:top w:w="0" w:type="dxa"/>
                    <w:left w:w="0" w:type="dxa"/>
                    <w:bottom w:w="0" w:type="dxa"/>
                    <w:right w:w="0" w:type="dxa"/>
                  </w:tcMar>
                  <w:vAlign w:val="center"/>
                </w:tcPr>
                <w:p w14:paraId="03A9231D">
                  <w:pPr>
                    <w:adjustRightInd w:val="0"/>
                    <w:snapToGrid w:val="0"/>
                    <w:jc w:val="center"/>
                    <w:rPr>
                      <w:sz w:val="18"/>
                      <w:szCs w:val="18"/>
                      <w:u w:val="none"/>
                    </w:rPr>
                  </w:pPr>
                  <w:r>
                    <w:rPr>
                      <w:sz w:val="18"/>
                      <w:szCs w:val="18"/>
                      <w:u w:val="none"/>
                    </w:rPr>
                    <w:t>66.7</w:t>
                  </w:r>
                </w:p>
              </w:tc>
              <w:tc>
                <w:tcPr>
                  <w:tcW w:w="268" w:type="dxa"/>
                  <w:tcMar>
                    <w:top w:w="0" w:type="dxa"/>
                    <w:left w:w="0" w:type="dxa"/>
                    <w:bottom w:w="0" w:type="dxa"/>
                    <w:right w:w="0" w:type="dxa"/>
                  </w:tcMar>
                  <w:vAlign w:val="center"/>
                </w:tcPr>
                <w:p w14:paraId="4FC456AC">
                  <w:pPr>
                    <w:adjustRightInd w:val="0"/>
                    <w:snapToGrid w:val="0"/>
                    <w:jc w:val="center"/>
                    <w:rPr>
                      <w:sz w:val="18"/>
                      <w:szCs w:val="18"/>
                      <w:u w:val="none"/>
                    </w:rPr>
                  </w:pPr>
                  <w:r>
                    <w:rPr>
                      <w:sz w:val="18"/>
                      <w:szCs w:val="18"/>
                      <w:u w:val="none"/>
                    </w:rPr>
                    <w:t>67.2</w:t>
                  </w:r>
                </w:p>
              </w:tc>
              <w:tc>
                <w:tcPr>
                  <w:tcW w:w="368" w:type="dxa"/>
                  <w:tcMar>
                    <w:top w:w="0" w:type="dxa"/>
                    <w:left w:w="0" w:type="dxa"/>
                    <w:bottom w:w="0" w:type="dxa"/>
                    <w:right w:w="0" w:type="dxa"/>
                  </w:tcMar>
                  <w:vAlign w:val="center"/>
                </w:tcPr>
                <w:p w14:paraId="2DBBDE3B">
                  <w:pPr>
                    <w:adjustRightInd w:val="0"/>
                    <w:snapToGrid w:val="0"/>
                    <w:jc w:val="center"/>
                    <w:rPr>
                      <w:sz w:val="18"/>
                      <w:szCs w:val="18"/>
                      <w:u w:val="none"/>
                    </w:rPr>
                  </w:pPr>
                  <w:r>
                    <w:rPr>
                      <w:sz w:val="18"/>
                      <w:szCs w:val="18"/>
                      <w:u w:val="none"/>
                    </w:rPr>
                    <w:t>8</w:t>
                  </w:r>
                </w:p>
              </w:tc>
              <w:tc>
                <w:tcPr>
                  <w:tcW w:w="300" w:type="dxa"/>
                  <w:tcMar>
                    <w:top w:w="0" w:type="dxa"/>
                    <w:left w:w="0" w:type="dxa"/>
                    <w:bottom w:w="0" w:type="dxa"/>
                    <w:right w:w="0" w:type="dxa"/>
                  </w:tcMar>
                  <w:vAlign w:val="center"/>
                </w:tcPr>
                <w:p w14:paraId="5643B9F4">
                  <w:pPr>
                    <w:adjustRightInd w:val="0"/>
                    <w:snapToGrid w:val="0"/>
                    <w:jc w:val="center"/>
                    <w:rPr>
                      <w:sz w:val="18"/>
                      <w:szCs w:val="18"/>
                      <w:u w:val="none"/>
                    </w:rPr>
                  </w:pPr>
                  <w:r>
                    <w:rPr>
                      <w:rFonts w:hint="eastAsia"/>
                      <w:sz w:val="18"/>
                      <w:szCs w:val="18"/>
                      <w:u w:val="none"/>
                    </w:rPr>
                    <w:t>15.0</w:t>
                  </w:r>
                </w:p>
              </w:tc>
              <w:tc>
                <w:tcPr>
                  <w:tcW w:w="239" w:type="dxa"/>
                  <w:tcMar>
                    <w:top w:w="0" w:type="dxa"/>
                    <w:left w:w="0" w:type="dxa"/>
                    <w:bottom w:w="0" w:type="dxa"/>
                    <w:right w:w="0" w:type="dxa"/>
                  </w:tcMar>
                  <w:vAlign w:val="center"/>
                </w:tcPr>
                <w:p w14:paraId="5330E90E">
                  <w:pPr>
                    <w:adjustRightInd w:val="0"/>
                    <w:snapToGrid w:val="0"/>
                    <w:jc w:val="center"/>
                    <w:rPr>
                      <w:sz w:val="18"/>
                      <w:szCs w:val="18"/>
                      <w:u w:val="none"/>
                    </w:rPr>
                  </w:pPr>
                  <w:r>
                    <w:rPr>
                      <w:rFonts w:hint="eastAsia"/>
                      <w:sz w:val="18"/>
                      <w:szCs w:val="18"/>
                      <w:u w:val="none"/>
                    </w:rPr>
                    <w:t>15.0</w:t>
                  </w:r>
                </w:p>
              </w:tc>
              <w:tc>
                <w:tcPr>
                  <w:tcW w:w="303" w:type="dxa"/>
                  <w:tcMar>
                    <w:top w:w="0" w:type="dxa"/>
                    <w:left w:w="0" w:type="dxa"/>
                    <w:bottom w:w="0" w:type="dxa"/>
                    <w:right w:w="0" w:type="dxa"/>
                  </w:tcMar>
                  <w:vAlign w:val="center"/>
                </w:tcPr>
                <w:p w14:paraId="3A7BF120">
                  <w:pPr>
                    <w:adjustRightInd w:val="0"/>
                    <w:snapToGrid w:val="0"/>
                    <w:jc w:val="center"/>
                    <w:rPr>
                      <w:sz w:val="18"/>
                      <w:szCs w:val="18"/>
                      <w:u w:val="none"/>
                    </w:rPr>
                  </w:pPr>
                  <w:r>
                    <w:rPr>
                      <w:rFonts w:hint="eastAsia"/>
                      <w:sz w:val="18"/>
                      <w:szCs w:val="18"/>
                      <w:u w:val="none"/>
                    </w:rPr>
                    <w:t>15.0</w:t>
                  </w:r>
                </w:p>
              </w:tc>
              <w:tc>
                <w:tcPr>
                  <w:tcW w:w="313" w:type="dxa"/>
                  <w:tcMar>
                    <w:top w:w="0" w:type="dxa"/>
                    <w:left w:w="0" w:type="dxa"/>
                    <w:bottom w:w="0" w:type="dxa"/>
                    <w:right w:w="0" w:type="dxa"/>
                  </w:tcMar>
                  <w:vAlign w:val="center"/>
                </w:tcPr>
                <w:p w14:paraId="550A0CFE">
                  <w:pPr>
                    <w:adjustRightInd w:val="0"/>
                    <w:snapToGrid w:val="0"/>
                    <w:jc w:val="center"/>
                    <w:rPr>
                      <w:sz w:val="18"/>
                      <w:szCs w:val="18"/>
                      <w:u w:val="none"/>
                    </w:rPr>
                  </w:pPr>
                  <w:r>
                    <w:rPr>
                      <w:rFonts w:hint="eastAsia"/>
                      <w:sz w:val="18"/>
                      <w:szCs w:val="18"/>
                      <w:u w:val="none"/>
                    </w:rPr>
                    <w:t>15.0</w:t>
                  </w:r>
                </w:p>
              </w:tc>
              <w:tc>
                <w:tcPr>
                  <w:tcW w:w="308" w:type="dxa"/>
                  <w:tcMar>
                    <w:top w:w="0" w:type="dxa"/>
                    <w:left w:w="0" w:type="dxa"/>
                    <w:bottom w:w="0" w:type="dxa"/>
                    <w:right w:w="0" w:type="dxa"/>
                  </w:tcMar>
                  <w:vAlign w:val="center"/>
                </w:tcPr>
                <w:p w14:paraId="3A80CC09">
                  <w:pPr>
                    <w:adjustRightInd w:val="0"/>
                    <w:snapToGrid w:val="0"/>
                    <w:jc w:val="center"/>
                    <w:rPr>
                      <w:sz w:val="18"/>
                      <w:szCs w:val="18"/>
                      <w:u w:val="none"/>
                    </w:rPr>
                  </w:pPr>
                  <w:r>
                    <w:rPr>
                      <w:sz w:val="18"/>
                      <w:szCs w:val="18"/>
                      <w:u w:val="none"/>
                    </w:rPr>
                    <w:t>40.8</w:t>
                  </w:r>
                </w:p>
              </w:tc>
              <w:tc>
                <w:tcPr>
                  <w:tcW w:w="307" w:type="dxa"/>
                  <w:tcMar>
                    <w:top w:w="0" w:type="dxa"/>
                    <w:left w:w="0" w:type="dxa"/>
                    <w:bottom w:w="0" w:type="dxa"/>
                    <w:right w:w="0" w:type="dxa"/>
                  </w:tcMar>
                  <w:vAlign w:val="center"/>
                </w:tcPr>
                <w:p w14:paraId="2D94281D">
                  <w:pPr>
                    <w:adjustRightInd w:val="0"/>
                    <w:snapToGrid w:val="0"/>
                    <w:jc w:val="center"/>
                    <w:rPr>
                      <w:sz w:val="18"/>
                      <w:szCs w:val="18"/>
                      <w:u w:val="none"/>
                    </w:rPr>
                  </w:pPr>
                  <w:r>
                    <w:rPr>
                      <w:sz w:val="18"/>
                      <w:szCs w:val="18"/>
                      <w:u w:val="none"/>
                    </w:rPr>
                    <w:t>40.8</w:t>
                  </w:r>
                </w:p>
              </w:tc>
              <w:tc>
                <w:tcPr>
                  <w:tcW w:w="307" w:type="dxa"/>
                  <w:tcMar>
                    <w:top w:w="0" w:type="dxa"/>
                    <w:left w:w="0" w:type="dxa"/>
                    <w:bottom w:w="0" w:type="dxa"/>
                    <w:right w:w="0" w:type="dxa"/>
                  </w:tcMar>
                  <w:vAlign w:val="center"/>
                </w:tcPr>
                <w:p w14:paraId="300094BD">
                  <w:pPr>
                    <w:adjustRightInd w:val="0"/>
                    <w:snapToGrid w:val="0"/>
                    <w:jc w:val="center"/>
                    <w:rPr>
                      <w:sz w:val="18"/>
                      <w:szCs w:val="18"/>
                      <w:u w:val="none"/>
                    </w:rPr>
                  </w:pPr>
                  <w:r>
                    <w:rPr>
                      <w:sz w:val="18"/>
                      <w:szCs w:val="18"/>
                      <w:u w:val="none"/>
                    </w:rPr>
                    <w:t>40.7</w:t>
                  </w:r>
                </w:p>
              </w:tc>
              <w:tc>
                <w:tcPr>
                  <w:tcW w:w="307" w:type="dxa"/>
                  <w:tcMar>
                    <w:top w:w="0" w:type="dxa"/>
                    <w:left w:w="0" w:type="dxa"/>
                    <w:bottom w:w="0" w:type="dxa"/>
                    <w:right w:w="0" w:type="dxa"/>
                  </w:tcMar>
                  <w:vAlign w:val="center"/>
                </w:tcPr>
                <w:p w14:paraId="41BCD77B">
                  <w:pPr>
                    <w:adjustRightInd w:val="0"/>
                    <w:snapToGrid w:val="0"/>
                    <w:jc w:val="center"/>
                    <w:rPr>
                      <w:sz w:val="18"/>
                      <w:szCs w:val="18"/>
                      <w:u w:val="none"/>
                    </w:rPr>
                  </w:pPr>
                  <w:r>
                    <w:rPr>
                      <w:sz w:val="18"/>
                      <w:szCs w:val="18"/>
                      <w:u w:val="none"/>
                    </w:rPr>
                    <w:t>41.2</w:t>
                  </w:r>
                </w:p>
              </w:tc>
              <w:tc>
                <w:tcPr>
                  <w:tcW w:w="197" w:type="dxa"/>
                  <w:tcMar>
                    <w:top w:w="0" w:type="dxa"/>
                    <w:left w:w="0" w:type="dxa"/>
                    <w:bottom w:w="0" w:type="dxa"/>
                    <w:right w:w="0" w:type="dxa"/>
                  </w:tcMar>
                  <w:vAlign w:val="center"/>
                </w:tcPr>
                <w:p w14:paraId="4B568E50">
                  <w:pPr>
                    <w:adjustRightInd w:val="0"/>
                    <w:snapToGrid w:val="0"/>
                    <w:jc w:val="center"/>
                    <w:rPr>
                      <w:sz w:val="18"/>
                      <w:szCs w:val="18"/>
                      <w:u w:val="none"/>
                    </w:rPr>
                  </w:pPr>
                  <w:r>
                    <w:rPr>
                      <w:sz w:val="18"/>
                      <w:szCs w:val="18"/>
                      <w:u w:val="none"/>
                    </w:rPr>
                    <w:t>1</w:t>
                  </w:r>
                </w:p>
              </w:tc>
            </w:tr>
            <w:tr w14:paraId="43E62BE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379" w:type="dxa"/>
                  <w:tcMar>
                    <w:top w:w="0" w:type="dxa"/>
                    <w:left w:w="0" w:type="dxa"/>
                    <w:bottom w:w="0" w:type="dxa"/>
                    <w:right w:w="0" w:type="dxa"/>
                  </w:tcMar>
                  <w:vAlign w:val="center"/>
                </w:tcPr>
                <w:p w14:paraId="73EC830E">
                  <w:pPr>
                    <w:adjustRightInd w:val="0"/>
                    <w:snapToGrid w:val="0"/>
                    <w:jc w:val="center"/>
                    <w:rPr>
                      <w:sz w:val="18"/>
                      <w:szCs w:val="18"/>
                      <w:u w:val="none"/>
                    </w:rPr>
                  </w:pPr>
                  <w:r>
                    <w:rPr>
                      <w:sz w:val="18"/>
                      <w:szCs w:val="18"/>
                      <w:u w:val="none"/>
                    </w:rPr>
                    <w:t>6</w:t>
                  </w:r>
                </w:p>
              </w:tc>
              <w:tc>
                <w:tcPr>
                  <w:tcW w:w="267" w:type="dxa"/>
                  <w:vMerge w:val="continue"/>
                  <w:tcMar>
                    <w:top w:w="0" w:type="dxa"/>
                    <w:left w:w="0" w:type="dxa"/>
                    <w:bottom w:w="0" w:type="dxa"/>
                    <w:right w:w="0" w:type="dxa"/>
                  </w:tcMar>
                  <w:vAlign w:val="center"/>
                </w:tcPr>
                <w:p w14:paraId="42972BE3">
                  <w:pPr>
                    <w:adjustRightInd w:val="0"/>
                    <w:snapToGrid w:val="0"/>
                    <w:jc w:val="center"/>
                    <w:rPr>
                      <w:sz w:val="18"/>
                      <w:szCs w:val="18"/>
                      <w:u w:val="none"/>
                    </w:rPr>
                  </w:pPr>
                </w:p>
              </w:tc>
              <w:tc>
                <w:tcPr>
                  <w:tcW w:w="550" w:type="dxa"/>
                  <w:tcMar>
                    <w:top w:w="0" w:type="dxa"/>
                    <w:left w:w="0" w:type="dxa"/>
                    <w:bottom w:w="0" w:type="dxa"/>
                    <w:right w:w="0" w:type="dxa"/>
                  </w:tcMar>
                  <w:vAlign w:val="center"/>
                </w:tcPr>
                <w:p w14:paraId="31CC7FFC">
                  <w:pPr>
                    <w:widowControl/>
                    <w:jc w:val="center"/>
                    <w:textAlignment w:val="center"/>
                    <w:rPr>
                      <w:sz w:val="18"/>
                      <w:szCs w:val="18"/>
                      <w:u w:val="none"/>
                    </w:rPr>
                  </w:pPr>
                  <w:r>
                    <w:rPr>
                      <w:rFonts w:hint="eastAsia"/>
                      <w:sz w:val="18"/>
                      <w:szCs w:val="18"/>
                      <w:u w:val="none"/>
                    </w:rPr>
                    <w:t>剪板机</w:t>
                  </w:r>
                </w:p>
              </w:tc>
              <w:tc>
                <w:tcPr>
                  <w:tcW w:w="437" w:type="dxa"/>
                  <w:tcMar>
                    <w:top w:w="0" w:type="dxa"/>
                    <w:left w:w="0" w:type="dxa"/>
                    <w:bottom w:w="0" w:type="dxa"/>
                    <w:right w:w="0" w:type="dxa"/>
                  </w:tcMar>
                  <w:vAlign w:val="center"/>
                </w:tcPr>
                <w:p w14:paraId="2811E4FD">
                  <w:pPr>
                    <w:adjustRightInd w:val="0"/>
                    <w:snapToGrid w:val="0"/>
                    <w:jc w:val="center"/>
                    <w:rPr>
                      <w:sz w:val="18"/>
                      <w:szCs w:val="18"/>
                      <w:u w:val="none"/>
                    </w:rPr>
                  </w:pPr>
                  <w:r>
                    <w:rPr>
                      <w:sz w:val="18"/>
                      <w:szCs w:val="18"/>
                      <w:u w:val="none"/>
                    </w:rPr>
                    <w:t>90</w:t>
                  </w:r>
                </w:p>
              </w:tc>
              <w:tc>
                <w:tcPr>
                  <w:tcW w:w="381" w:type="dxa"/>
                  <w:vMerge w:val="continue"/>
                  <w:tcMar>
                    <w:top w:w="0" w:type="dxa"/>
                    <w:left w:w="0" w:type="dxa"/>
                    <w:bottom w:w="0" w:type="dxa"/>
                    <w:right w:w="0" w:type="dxa"/>
                  </w:tcMar>
                  <w:vAlign w:val="center"/>
                </w:tcPr>
                <w:p w14:paraId="61921BC7">
                  <w:pPr>
                    <w:adjustRightInd w:val="0"/>
                    <w:snapToGrid w:val="0"/>
                    <w:jc w:val="center"/>
                    <w:rPr>
                      <w:sz w:val="18"/>
                      <w:szCs w:val="18"/>
                      <w:u w:val="none"/>
                    </w:rPr>
                  </w:pPr>
                </w:p>
              </w:tc>
              <w:tc>
                <w:tcPr>
                  <w:tcW w:w="360" w:type="dxa"/>
                  <w:vMerge w:val="continue"/>
                  <w:tcMar>
                    <w:top w:w="0" w:type="dxa"/>
                    <w:left w:w="0" w:type="dxa"/>
                    <w:bottom w:w="0" w:type="dxa"/>
                    <w:right w:w="0" w:type="dxa"/>
                  </w:tcMar>
                  <w:vAlign w:val="center"/>
                </w:tcPr>
                <w:p w14:paraId="083248FB">
                  <w:pPr>
                    <w:adjustRightInd w:val="0"/>
                    <w:snapToGrid w:val="0"/>
                    <w:jc w:val="center"/>
                    <w:rPr>
                      <w:sz w:val="18"/>
                      <w:szCs w:val="18"/>
                      <w:u w:val="none"/>
                    </w:rPr>
                  </w:pPr>
                </w:p>
              </w:tc>
              <w:tc>
                <w:tcPr>
                  <w:tcW w:w="265" w:type="dxa"/>
                  <w:tcMar>
                    <w:top w:w="0" w:type="dxa"/>
                    <w:left w:w="0" w:type="dxa"/>
                    <w:bottom w:w="0" w:type="dxa"/>
                    <w:right w:w="0" w:type="dxa"/>
                  </w:tcMar>
                  <w:vAlign w:val="center"/>
                </w:tcPr>
                <w:p w14:paraId="36C87A20">
                  <w:pPr>
                    <w:adjustRightInd w:val="0"/>
                    <w:snapToGrid w:val="0"/>
                    <w:jc w:val="center"/>
                    <w:rPr>
                      <w:sz w:val="18"/>
                      <w:szCs w:val="18"/>
                      <w:u w:val="none"/>
                    </w:rPr>
                  </w:pPr>
                  <w:r>
                    <w:rPr>
                      <w:sz w:val="18"/>
                      <w:szCs w:val="18"/>
                      <w:u w:val="none"/>
                    </w:rPr>
                    <w:t>24</w:t>
                  </w:r>
                </w:p>
              </w:tc>
              <w:tc>
                <w:tcPr>
                  <w:tcW w:w="207" w:type="dxa"/>
                  <w:tcMar>
                    <w:top w:w="0" w:type="dxa"/>
                    <w:left w:w="0" w:type="dxa"/>
                    <w:bottom w:w="0" w:type="dxa"/>
                    <w:right w:w="0" w:type="dxa"/>
                  </w:tcMar>
                  <w:vAlign w:val="center"/>
                </w:tcPr>
                <w:p w14:paraId="592C60D0">
                  <w:pPr>
                    <w:adjustRightInd w:val="0"/>
                    <w:snapToGrid w:val="0"/>
                    <w:jc w:val="center"/>
                    <w:rPr>
                      <w:sz w:val="18"/>
                      <w:szCs w:val="18"/>
                      <w:u w:val="none"/>
                    </w:rPr>
                  </w:pPr>
                  <w:r>
                    <w:rPr>
                      <w:sz w:val="18"/>
                      <w:szCs w:val="18"/>
                      <w:u w:val="none"/>
                    </w:rPr>
                    <w:t>-6.1</w:t>
                  </w:r>
                </w:p>
              </w:tc>
              <w:tc>
                <w:tcPr>
                  <w:tcW w:w="220" w:type="dxa"/>
                  <w:tcMar>
                    <w:top w:w="0" w:type="dxa"/>
                    <w:left w:w="0" w:type="dxa"/>
                    <w:bottom w:w="0" w:type="dxa"/>
                    <w:right w:w="0" w:type="dxa"/>
                  </w:tcMar>
                  <w:vAlign w:val="center"/>
                </w:tcPr>
                <w:p w14:paraId="03963665">
                  <w:pPr>
                    <w:adjustRightInd w:val="0"/>
                    <w:snapToGrid w:val="0"/>
                    <w:jc w:val="center"/>
                    <w:rPr>
                      <w:sz w:val="18"/>
                      <w:szCs w:val="18"/>
                      <w:u w:val="none"/>
                    </w:rPr>
                  </w:pPr>
                  <w:r>
                    <w:rPr>
                      <w:rFonts w:hint="eastAsia"/>
                      <w:sz w:val="18"/>
                      <w:szCs w:val="18"/>
                      <w:u w:val="none"/>
                    </w:rPr>
                    <w:t>3</w:t>
                  </w:r>
                </w:p>
              </w:tc>
              <w:tc>
                <w:tcPr>
                  <w:tcW w:w="300" w:type="dxa"/>
                  <w:tcMar>
                    <w:top w:w="0" w:type="dxa"/>
                    <w:left w:w="0" w:type="dxa"/>
                    <w:bottom w:w="0" w:type="dxa"/>
                    <w:right w:w="0" w:type="dxa"/>
                  </w:tcMar>
                  <w:vAlign w:val="center"/>
                </w:tcPr>
                <w:p w14:paraId="17ECD711">
                  <w:pPr>
                    <w:adjustRightInd w:val="0"/>
                    <w:snapToGrid w:val="0"/>
                    <w:jc w:val="center"/>
                    <w:rPr>
                      <w:sz w:val="18"/>
                      <w:szCs w:val="18"/>
                      <w:u w:val="none"/>
                    </w:rPr>
                  </w:pPr>
                  <w:r>
                    <w:rPr>
                      <w:sz w:val="18"/>
                      <w:szCs w:val="18"/>
                      <w:u w:val="none"/>
                    </w:rPr>
                    <w:t>17.4</w:t>
                  </w:r>
                </w:p>
              </w:tc>
              <w:tc>
                <w:tcPr>
                  <w:tcW w:w="288" w:type="dxa"/>
                  <w:tcMar>
                    <w:top w:w="0" w:type="dxa"/>
                    <w:left w:w="0" w:type="dxa"/>
                    <w:bottom w:w="0" w:type="dxa"/>
                    <w:right w:w="0" w:type="dxa"/>
                  </w:tcMar>
                  <w:vAlign w:val="center"/>
                </w:tcPr>
                <w:p w14:paraId="1AAC81EC">
                  <w:pPr>
                    <w:adjustRightInd w:val="0"/>
                    <w:snapToGrid w:val="0"/>
                    <w:jc w:val="center"/>
                    <w:rPr>
                      <w:sz w:val="18"/>
                      <w:szCs w:val="18"/>
                      <w:u w:val="none"/>
                    </w:rPr>
                  </w:pPr>
                  <w:r>
                    <w:rPr>
                      <w:sz w:val="18"/>
                      <w:szCs w:val="18"/>
                      <w:u w:val="none"/>
                    </w:rPr>
                    <w:t>6.5</w:t>
                  </w:r>
                </w:p>
              </w:tc>
              <w:tc>
                <w:tcPr>
                  <w:tcW w:w="265" w:type="dxa"/>
                  <w:tcMar>
                    <w:top w:w="0" w:type="dxa"/>
                    <w:left w:w="0" w:type="dxa"/>
                    <w:bottom w:w="0" w:type="dxa"/>
                    <w:right w:w="0" w:type="dxa"/>
                  </w:tcMar>
                  <w:vAlign w:val="center"/>
                </w:tcPr>
                <w:p w14:paraId="089F7C0E">
                  <w:pPr>
                    <w:adjustRightInd w:val="0"/>
                    <w:snapToGrid w:val="0"/>
                    <w:jc w:val="center"/>
                    <w:rPr>
                      <w:sz w:val="18"/>
                      <w:szCs w:val="18"/>
                      <w:u w:val="none"/>
                    </w:rPr>
                  </w:pPr>
                  <w:r>
                    <w:rPr>
                      <w:sz w:val="18"/>
                      <w:szCs w:val="18"/>
                      <w:u w:val="none"/>
                    </w:rPr>
                    <w:t>67.1</w:t>
                  </w:r>
                </w:p>
              </w:tc>
              <w:tc>
                <w:tcPr>
                  <w:tcW w:w="313" w:type="dxa"/>
                  <w:tcMar>
                    <w:top w:w="0" w:type="dxa"/>
                    <w:left w:w="0" w:type="dxa"/>
                    <w:bottom w:w="0" w:type="dxa"/>
                    <w:right w:w="0" w:type="dxa"/>
                  </w:tcMar>
                  <w:vAlign w:val="center"/>
                </w:tcPr>
                <w:p w14:paraId="0C5BD9CC">
                  <w:pPr>
                    <w:adjustRightInd w:val="0"/>
                    <w:snapToGrid w:val="0"/>
                    <w:jc w:val="center"/>
                    <w:rPr>
                      <w:sz w:val="18"/>
                      <w:szCs w:val="18"/>
                      <w:u w:val="none"/>
                    </w:rPr>
                  </w:pPr>
                  <w:r>
                    <w:rPr>
                      <w:sz w:val="18"/>
                      <w:szCs w:val="18"/>
                      <w:u w:val="none"/>
                    </w:rPr>
                    <w:t>14.8</w:t>
                  </w:r>
                </w:p>
              </w:tc>
              <w:tc>
                <w:tcPr>
                  <w:tcW w:w="265" w:type="dxa"/>
                  <w:tcMar>
                    <w:top w:w="0" w:type="dxa"/>
                    <w:left w:w="0" w:type="dxa"/>
                    <w:bottom w:w="0" w:type="dxa"/>
                    <w:right w:w="0" w:type="dxa"/>
                  </w:tcMar>
                  <w:vAlign w:val="center"/>
                </w:tcPr>
                <w:p w14:paraId="30DF9222">
                  <w:pPr>
                    <w:adjustRightInd w:val="0"/>
                    <w:snapToGrid w:val="0"/>
                    <w:jc w:val="center"/>
                    <w:rPr>
                      <w:sz w:val="18"/>
                      <w:szCs w:val="18"/>
                      <w:u w:val="none"/>
                    </w:rPr>
                  </w:pPr>
                  <w:r>
                    <w:rPr>
                      <w:sz w:val="18"/>
                      <w:szCs w:val="18"/>
                      <w:u w:val="none"/>
                    </w:rPr>
                    <w:t>71.8</w:t>
                  </w:r>
                </w:p>
              </w:tc>
              <w:tc>
                <w:tcPr>
                  <w:tcW w:w="311" w:type="dxa"/>
                  <w:tcMar>
                    <w:top w:w="0" w:type="dxa"/>
                    <w:left w:w="0" w:type="dxa"/>
                    <w:bottom w:w="0" w:type="dxa"/>
                    <w:right w:w="0" w:type="dxa"/>
                  </w:tcMar>
                  <w:vAlign w:val="center"/>
                </w:tcPr>
                <w:p w14:paraId="5F781519">
                  <w:pPr>
                    <w:adjustRightInd w:val="0"/>
                    <w:snapToGrid w:val="0"/>
                    <w:jc w:val="center"/>
                    <w:rPr>
                      <w:sz w:val="18"/>
                      <w:szCs w:val="18"/>
                      <w:u w:val="none"/>
                    </w:rPr>
                  </w:pPr>
                  <w:r>
                    <w:rPr>
                      <w:sz w:val="18"/>
                      <w:szCs w:val="18"/>
                      <w:u w:val="none"/>
                    </w:rPr>
                    <w:t>72.2</w:t>
                  </w:r>
                </w:p>
              </w:tc>
              <w:tc>
                <w:tcPr>
                  <w:tcW w:w="252" w:type="dxa"/>
                  <w:tcMar>
                    <w:top w:w="0" w:type="dxa"/>
                    <w:left w:w="0" w:type="dxa"/>
                    <w:bottom w:w="0" w:type="dxa"/>
                    <w:right w:w="0" w:type="dxa"/>
                  </w:tcMar>
                  <w:vAlign w:val="center"/>
                </w:tcPr>
                <w:p w14:paraId="596BCFAE">
                  <w:pPr>
                    <w:adjustRightInd w:val="0"/>
                    <w:snapToGrid w:val="0"/>
                    <w:jc w:val="center"/>
                    <w:rPr>
                      <w:sz w:val="18"/>
                      <w:szCs w:val="18"/>
                      <w:u w:val="none"/>
                    </w:rPr>
                  </w:pPr>
                  <w:r>
                    <w:rPr>
                      <w:sz w:val="18"/>
                      <w:szCs w:val="18"/>
                      <w:u w:val="none"/>
                    </w:rPr>
                    <w:t>71.7</w:t>
                  </w:r>
                </w:p>
              </w:tc>
              <w:tc>
                <w:tcPr>
                  <w:tcW w:w="268" w:type="dxa"/>
                  <w:tcMar>
                    <w:top w:w="0" w:type="dxa"/>
                    <w:left w:w="0" w:type="dxa"/>
                    <w:bottom w:w="0" w:type="dxa"/>
                    <w:right w:w="0" w:type="dxa"/>
                  </w:tcMar>
                  <w:vAlign w:val="center"/>
                </w:tcPr>
                <w:p w14:paraId="6E39C54C">
                  <w:pPr>
                    <w:adjustRightInd w:val="0"/>
                    <w:snapToGrid w:val="0"/>
                    <w:jc w:val="center"/>
                    <w:rPr>
                      <w:sz w:val="18"/>
                      <w:szCs w:val="18"/>
                      <w:u w:val="none"/>
                    </w:rPr>
                  </w:pPr>
                  <w:r>
                    <w:rPr>
                      <w:sz w:val="18"/>
                      <w:szCs w:val="18"/>
                      <w:u w:val="none"/>
                    </w:rPr>
                    <w:t>71.8</w:t>
                  </w:r>
                </w:p>
              </w:tc>
              <w:tc>
                <w:tcPr>
                  <w:tcW w:w="368" w:type="dxa"/>
                  <w:tcMar>
                    <w:top w:w="0" w:type="dxa"/>
                    <w:left w:w="0" w:type="dxa"/>
                    <w:bottom w:w="0" w:type="dxa"/>
                    <w:right w:w="0" w:type="dxa"/>
                  </w:tcMar>
                  <w:vAlign w:val="center"/>
                </w:tcPr>
                <w:p w14:paraId="2D58F473">
                  <w:pPr>
                    <w:adjustRightInd w:val="0"/>
                    <w:snapToGrid w:val="0"/>
                    <w:jc w:val="center"/>
                    <w:rPr>
                      <w:sz w:val="18"/>
                      <w:szCs w:val="18"/>
                      <w:u w:val="none"/>
                    </w:rPr>
                  </w:pPr>
                  <w:r>
                    <w:rPr>
                      <w:rFonts w:hint="eastAsia"/>
                      <w:sz w:val="18"/>
                      <w:szCs w:val="18"/>
                      <w:u w:val="none"/>
                    </w:rPr>
                    <w:t>8</w:t>
                  </w:r>
                </w:p>
              </w:tc>
              <w:tc>
                <w:tcPr>
                  <w:tcW w:w="300" w:type="dxa"/>
                  <w:tcMar>
                    <w:top w:w="0" w:type="dxa"/>
                    <w:left w:w="0" w:type="dxa"/>
                    <w:bottom w:w="0" w:type="dxa"/>
                    <w:right w:w="0" w:type="dxa"/>
                  </w:tcMar>
                  <w:vAlign w:val="center"/>
                </w:tcPr>
                <w:p w14:paraId="76966BF9">
                  <w:pPr>
                    <w:adjustRightInd w:val="0"/>
                    <w:snapToGrid w:val="0"/>
                    <w:jc w:val="center"/>
                    <w:rPr>
                      <w:sz w:val="18"/>
                      <w:szCs w:val="18"/>
                      <w:u w:val="none"/>
                    </w:rPr>
                  </w:pPr>
                  <w:r>
                    <w:rPr>
                      <w:rFonts w:hint="eastAsia"/>
                      <w:sz w:val="18"/>
                      <w:szCs w:val="18"/>
                      <w:u w:val="none"/>
                    </w:rPr>
                    <w:t>15.0</w:t>
                  </w:r>
                </w:p>
              </w:tc>
              <w:tc>
                <w:tcPr>
                  <w:tcW w:w="239" w:type="dxa"/>
                  <w:tcMar>
                    <w:top w:w="0" w:type="dxa"/>
                    <w:left w:w="0" w:type="dxa"/>
                    <w:bottom w:w="0" w:type="dxa"/>
                    <w:right w:w="0" w:type="dxa"/>
                  </w:tcMar>
                  <w:vAlign w:val="center"/>
                </w:tcPr>
                <w:p w14:paraId="16C19111">
                  <w:pPr>
                    <w:adjustRightInd w:val="0"/>
                    <w:snapToGrid w:val="0"/>
                    <w:jc w:val="center"/>
                    <w:rPr>
                      <w:sz w:val="18"/>
                      <w:szCs w:val="18"/>
                      <w:u w:val="none"/>
                    </w:rPr>
                  </w:pPr>
                  <w:r>
                    <w:rPr>
                      <w:rFonts w:hint="eastAsia"/>
                      <w:sz w:val="18"/>
                      <w:szCs w:val="18"/>
                      <w:u w:val="none"/>
                    </w:rPr>
                    <w:t>15.0</w:t>
                  </w:r>
                </w:p>
              </w:tc>
              <w:tc>
                <w:tcPr>
                  <w:tcW w:w="303" w:type="dxa"/>
                  <w:tcMar>
                    <w:top w:w="0" w:type="dxa"/>
                    <w:left w:w="0" w:type="dxa"/>
                    <w:bottom w:w="0" w:type="dxa"/>
                    <w:right w:w="0" w:type="dxa"/>
                  </w:tcMar>
                  <w:vAlign w:val="center"/>
                </w:tcPr>
                <w:p w14:paraId="0AFC8CB8">
                  <w:pPr>
                    <w:adjustRightInd w:val="0"/>
                    <w:snapToGrid w:val="0"/>
                    <w:jc w:val="center"/>
                    <w:rPr>
                      <w:sz w:val="18"/>
                      <w:szCs w:val="18"/>
                      <w:u w:val="none"/>
                    </w:rPr>
                  </w:pPr>
                  <w:r>
                    <w:rPr>
                      <w:rFonts w:hint="eastAsia"/>
                      <w:sz w:val="18"/>
                      <w:szCs w:val="18"/>
                      <w:u w:val="none"/>
                    </w:rPr>
                    <w:t>15.0</w:t>
                  </w:r>
                </w:p>
              </w:tc>
              <w:tc>
                <w:tcPr>
                  <w:tcW w:w="313" w:type="dxa"/>
                  <w:tcMar>
                    <w:top w:w="0" w:type="dxa"/>
                    <w:left w:w="0" w:type="dxa"/>
                    <w:bottom w:w="0" w:type="dxa"/>
                    <w:right w:w="0" w:type="dxa"/>
                  </w:tcMar>
                  <w:vAlign w:val="center"/>
                </w:tcPr>
                <w:p w14:paraId="1672772E">
                  <w:pPr>
                    <w:adjustRightInd w:val="0"/>
                    <w:snapToGrid w:val="0"/>
                    <w:jc w:val="center"/>
                    <w:rPr>
                      <w:sz w:val="18"/>
                      <w:szCs w:val="18"/>
                      <w:u w:val="none"/>
                    </w:rPr>
                  </w:pPr>
                  <w:r>
                    <w:rPr>
                      <w:rFonts w:hint="eastAsia"/>
                      <w:sz w:val="18"/>
                      <w:szCs w:val="18"/>
                      <w:u w:val="none"/>
                    </w:rPr>
                    <w:t>15.0</w:t>
                  </w:r>
                </w:p>
              </w:tc>
              <w:tc>
                <w:tcPr>
                  <w:tcW w:w="308" w:type="dxa"/>
                  <w:tcMar>
                    <w:top w:w="0" w:type="dxa"/>
                    <w:left w:w="0" w:type="dxa"/>
                    <w:bottom w:w="0" w:type="dxa"/>
                    <w:right w:w="0" w:type="dxa"/>
                  </w:tcMar>
                  <w:vAlign w:val="center"/>
                </w:tcPr>
                <w:p w14:paraId="273C43DC">
                  <w:pPr>
                    <w:adjustRightInd w:val="0"/>
                    <w:snapToGrid w:val="0"/>
                    <w:jc w:val="center"/>
                    <w:rPr>
                      <w:sz w:val="18"/>
                      <w:szCs w:val="18"/>
                      <w:u w:val="none"/>
                    </w:rPr>
                  </w:pPr>
                  <w:r>
                    <w:rPr>
                      <w:sz w:val="18"/>
                      <w:szCs w:val="18"/>
                      <w:u w:val="none"/>
                    </w:rPr>
                    <w:t>45.8</w:t>
                  </w:r>
                </w:p>
              </w:tc>
              <w:tc>
                <w:tcPr>
                  <w:tcW w:w="307" w:type="dxa"/>
                  <w:tcMar>
                    <w:top w:w="0" w:type="dxa"/>
                    <w:left w:w="0" w:type="dxa"/>
                    <w:bottom w:w="0" w:type="dxa"/>
                    <w:right w:w="0" w:type="dxa"/>
                  </w:tcMar>
                  <w:vAlign w:val="center"/>
                </w:tcPr>
                <w:p w14:paraId="4D4B8B22">
                  <w:pPr>
                    <w:adjustRightInd w:val="0"/>
                    <w:snapToGrid w:val="0"/>
                    <w:jc w:val="center"/>
                    <w:rPr>
                      <w:sz w:val="18"/>
                      <w:szCs w:val="18"/>
                      <w:u w:val="none"/>
                    </w:rPr>
                  </w:pPr>
                  <w:r>
                    <w:rPr>
                      <w:sz w:val="18"/>
                      <w:szCs w:val="18"/>
                      <w:u w:val="none"/>
                    </w:rPr>
                    <w:t>46.2</w:t>
                  </w:r>
                </w:p>
              </w:tc>
              <w:tc>
                <w:tcPr>
                  <w:tcW w:w="307" w:type="dxa"/>
                  <w:tcMar>
                    <w:top w:w="0" w:type="dxa"/>
                    <w:left w:w="0" w:type="dxa"/>
                    <w:bottom w:w="0" w:type="dxa"/>
                    <w:right w:w="0" w:type="dxa"/>
                  </w:tcMar>
                  <w:vAlign w:val="center"/>
                </w:tcPr>
                <w:p w14:paraId="0E2C45B4">
                  <w:pPr>
                    <w:adjustRightInd w:val="0"/>
                    <w:snapToGrid w:val="0"/>
                    <w:jc w:val="center"/>
                    <w:rPr>
                      <w:sz w:val="18"/>
                      <w:szCs w:val="18"/>
                      <w:u w:val="none"/>
                    </w:rPr>
                  </w:pPr>
                  <w:r>
                    <w:rPr>
                      <w:sz w:val="18"/>
                      <w:szCs w:val="18"/>
                      <w:u w:val="none"/>
                    </w:rPr>
                    <w:t>45.7</w:t>
                  </w:r>
                </w:p>
              </w:tc>
              <w:tc>
                <w:tcPr>
                  <w:tcW w:w="307" w:type="dxa"/>
                  <w:tcMar>
                    <w:top w:w="0" w:type="dxa"/>
                    <w:left w:w="0" w:type="dxa"/>
                    <w:bottom w:w="0" w:type="dxa"/>
                    <w:right w:w="0" w:type="dxa"/>
                  </w:tcMar>
                  <w:vAlign w:val="center"/>
                </w:tcPr>
                <w:p w14:paraId="47E3206D">
                  <w:pPr>
                    <w:adjustRightInd w:val="0"/>
                    <w:snapToGrid w:val="0"/>
                    <w:jc w:val="center"/>
                    <w:rPr>
                      <w:sz w:val="18"/>
                      <w:szCs w:val="18"/>
                      <w:u w:val="none"/>
                    </w:rPr>
                  </w:pPr>
                  <w:r>
                    <w:rPr>
                      <w:sz w:val="18"/>
                      <w:szCs w:val="18"/>
                      <w:u w:val="none"/>
                    </w:rPr>
                    <w:t>45.8</w:t>
                  </w:r>
                </w:p>
              </w:tc>
              <w:tc>
                <w:tcPr>
                  <w:tcW w:w="197" w:type="dxa"/>
                  <w:tcMar>
                    <w:top w:w="0" w:type="dxa"/>
                    <w:left w:w="0" w:type="dxa"/>
                    <w:bottom w:w="0" w:type="dxa"/>
                    <w:right w:w="0" w:type="dxa"/>
                  </w:tcMar>
                  <w:vAlign w:val="center"/>
                </w:tcPr>
                <w:p w14:paraId="07399DDE">
                  <w:pPr>
                    <w:adjustRightInd w:val="0"/>
                    <w:snapToGrid w:val="0"/>
                    <w:jc w:val="center"/>
                    <w:rPr>
                      <w:sz w:val="18"/>
                      <w:szCs w:val="18"/>
                      <w:u w:val="none"/>
                    </w:rPr>
                  </w:pPr>
                  <w:r>
                    <w:rPr>
                      <w:sz w:val="18"/>
                      <w:szCs w:val="18"/>
                      <w:u w:val="none"/>
                    </w:rPr>
                    <w:t>1</w:t>
                  </w:r>
                </w:p>
              </w:tc>
            </w:tr>
            <w:tr w14:paraId="40DCB37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379" w:type="dxa"/>
                  <w:tcMar>
                    <w:top w:w="0" w:type="dxa"/>
                    <w:left w:w="0" w:type="dxa"/>
                    <w:bottom w:w="0" w:type="dxa"/>
                    <w:right w:w="0" w:type="dxa"/>
                  </w:tcMar>
                  <w:vAlign w:val="center"/>
                </w:tcPr>
                <w:p w14:paraId="34CFFD19">
                  <w:pPr>
                    <w:adjustRightInd w:val="0"/>
                    <w:snapToGrid w:val="0"/>
                    <w:jc w:val="center"/>
                    <w:rPr>
                      <w:sz w:val="18"/>
                      <w:szCs w:val="18"/>
                      <w:u w:val="none"/>
                    </w:rPr>
                  </w:pPr>
                  <w:r>
                    <w:rPr>
                      <w:rFonts w:hint="eastAsia"/>
                      <w:sz w:val="18"/>
                      <w:szCs w:val="18"/>
                      <w:u w:val="none"/>
                    </w:rPr>
                    <w:t>7</w:t>
                  </w:r>
                </w:p>
              </w:tc>
              <w:tc>
                <w:tcPr>
                  <w:tcW w:w="267" w:type="dxa"/>
                  <w:vMerge w:val="continue"/>
                  <w:tcMar>
                    <w:top w:w="0" w:type="dxa"/>
                    <w:left w:w="0" w:type="dxa"/>
                    <w:bottom w:w="0" w:type="dxa"/>
                    <w:right w:w="0" w:type="dxa"/>
                  </w:tcMar>
                  <w:vAlign w:val="center"/>
                </w:tcPr>
                <w:p w14:paraId="5AB9BFC1">
                  <w:pPr>
                    <w:adjustRightInd w:val="0"/>
                    <w:snapToGrid w:val="0"/>
                    <w:jc w:val="center"/>
                    <w:rPr>
                      <w:sz w:val="18"/>
                      <w:szCs w:val="18"/>
                      <w:u w:val="none"/>
                    </w:rPr>
                  </w:pPr>
                </w:p>
              </w:tc>
              <w:tc>
                <w:tcPr>
                  <w:tcW w:w="550" w:type="dxa"/>
                  <w:tcMar>
                    <w:top w:w="0" w:type="dxa"/>
                    <w:left w:w="0" w:type="dxa"/>
                    <w:bottom w:w="0" w:type="dxa"/>
                    <w:right w:w="0" w:type="dxa"/>
                  </w:tcMar>
                  <w:vAlign w:val="center"/>
                </w:tcPr>
                <w:p w14:paraId="5E0D7058">
                  <w:pPr>
                    <w:widowControl/>
                    <w:jc w:val="center"/>
                    <w:textAlignment w:val="center"/>
                    <w:rPr>
                      <w:sz w:val="18"/>
                      <w:szCs w:val="18"/>
                      <w:u w:val="none"/>
                    </w:rPr>
                  </w:pPr>
                  <w:r>
                    <w:rPr>
                      <w:rFonts w:hint="eastAsia"/>
                      <w:sz w:val="18"/>
                      <w:szCs w:val="18"/>
                      <w:u w:val="none"/>
                    </w:rPr>
                    <w:t>卷圆机</w:t>
                  </w:r>
                </w:p>
              </w:tc>
              <w:tc>
                <w:tcPr>
                  <w:tcW w:w="437" w:type="dxa"/>
                  <w:tcMar>
                    <w:top w:w="0" w:type="dxa"/>
                    <w:left w:w="0" w:type="dxa"/>
                    <w:bottom w:w="0" w:type="dxa"/>
                    <w:right w:w="0" w:type="dxa"/>
                  </w:tcMar>
                  <w:vAlign w:val="center"/>
                </w:tcPr>
                <w:p w14:paraId="6BA411E5">
                  <w:pPr>
                    <w:adjustRightInd w:val="0"/>
                    <w:snapToGrid w:val="0"/>
                    <w:jc w:val="center"/>
                    <w:rPr>
                      <w:sz w:val="18"/>
                      <w:szCs w:val="18"/>
                      <w:u w:val="none"/>
                    </w:rPr>
                  </w:pPr>
                  <w:r>
                    <w:rPr>
                      <w:sz w:val="18"/>
                      <w:szCs w:val="18"/>
                      <w:u w:val="none"/>
                    </w:rPr>
                    <w:t>80</w:t>
                  </w:r>
                </w:p>
              </w:tc>
              <w:tc>
                <w:tcPr>
                  <w:tcW w:w="381" w:type="dxa"/>
                  <w:vMerge w:val="continue"/>
                  <w:tcMar>
                    <w:top w:w="0" w:type="dxa"/>
                    <w:left w:w="0" w:type="dxa"/>
                    <w:bottom w:w="0" w:type="dxa"/>
                    <w:right w:w="0" w:type="dxa"/>
                  </w:tcMar>
                  <w:vAlign w:val="center"/>
                </w:tcPr>
                <w:p w14:paraId="1FB65186">
                  <w:pPr>
                    <w:adjustRightInd w:val="0"/>
                    <w:snapToGrid w:val="0"/>
                    <w:jc w:val="center"/>
                    <w:rPr>
                      <w:sz w:val="18"/>
                      <w:szCs w:val="18"/>
                      <w:u w:val="none"/>
                    </w:rPr>
                  </w:pPr>
                </w:p>
              </w:tc>
              <w:tc>
                <w:tcPr>
                  <w:tcW w:w="360" w:type="dxa"/>
                  <w:vMerge w:val="continue"/>
                  <w:tcMar>
                    <w:top w:w="0" w:type="dxa"/>
                    <w:left w:w="0" w:type="dxa"/>
                    <w:bottom w:w="0" w:type="dxa"/>
                    <w:right w:w="0" w:type="dxa"/>
                  </w:tcMar>
                  <w:vAlign w:val="center"/>
                </w:tcPr>
                <w:p w14:paraId="32B74551">
                  <w:pPr>
                    <w:adjustRightInd w:val="0"/>
                    <w:snapToGrid w:val="0"/>
                    <w:jc w:val="center"/>
                    <w:rPr>
                      <w:sz w:val="18"/>
                      <w:szCs w:val="18"/>
                      <w:u w:val="none"/>
                    </w:rPr>
                  </w:pPr>
                </w:p>
              </w:tc>
              <w:tc>
                <w:tcPr>
                  <w:tcW w:w="265" w:type="dxa"/>
                  <w:tcMar>
                    <w:top w:w="0" w:type="dxa"/>
                    <w:left w:w="0" w:type="dxa"/>
                    <w:bottom w:w="0" w:type="dxa"/>
                    <w:right w:w="0" w:type="dxa"/>
                  </w:tcMar>
                  <w:vAlign w:val="center"/>
                </w:tcPr>
                <w:p w14:paraId="087A8B5A">
                  <w:pPr>
                    <w:adjustRightInd w:val="0"/>
                    <w:snapToGrid w:val="0"/>
                    <w:jc w:val="center"/>
                    <w:rPr>
                      <w:sz w:val="18"/>
                      <w:szCs w:val="18"/>
                      <w:u w:val="none"/>
                    </w:rPr>
                  </w:pPr>
                  <w:r>
                    <w:rPr>
                      <w:sz w:val="18"/>
                      <w:szCs w:val="18"/>
                      <w:u w:val="none"/>
                    </w:rPr>
                    <w:t>-26.1</w:t>
                  </w:r>
                </w:p>
              </w:tc>
              <w:tc>
                <w:tcPr>
                  <w:tcW w:w="207" w:type="dxa"/>
                  <w:tcMar>
                    <w:top w:w="0" w:type="dxa"/>
                    <w:left w:w="0" w:type="dxa"/>
                    <w:bottom w:w="0" w:type="dxa"/>
                    <w:right w:w="0" w:type="dxa"/>
                  </w:tcMar>
                  <w:vAlign w:val="center"/>
                </w:tcPr>
                <w:p w14:paraId="2361A233">
                  <w:pPr>
                    <w:adjustRightInd w:val="0"/>
                    <w:snapToGrid w:val="0"/>
                    <w:jc w:val="center"/>
                    <w:rPr>
                      <w:sz w:val="18"/>
                      <w:szCs w:val="18"/>
                      <w:u w:val="none"/>
                    </w:rPr>
                  </w:pPr>
                  <w:r>
                    <w:rPr>
                      <w:sz w:val="18"/>
                      <w:szCs w:val="18"/>
                      <w:u w:val="none"/>
                    </w:rPr>
                    <w:t>0.3</w:t>
                  </w:r>
                </w:p>
              </w:tc>
              <w:tc>
                <w:tcPr>
                  <w:tcW w:w="220" w:type="dxa"/>
                  <w:tcMar>
                    <w:top w:w="0" w:type="dxa"/>
                    <w:left w:w="0" w:type="dxa"/>
                    <w:bottom w:w="0" w:type="dxa"/>
                    <w:right w:w="0" w:type="dxa"/>
                  </w:tcMar>
                  <w:vAlign w:val="center"/>
                </w:tcPr>
                <w:p w14:paraId="0B19375A">
                  <w:pPr>
                    <w:adjustRightInd w:val="0"/>
                    <w:snapToGrid w:val="0"/>
                    <w:jc w:val="center"/>
                    <w:rPr>
                      <w:sz w:val="18"/>
                      <w:szCs w:val="18"/>
                      <w:u w:val="none"/>
                    </w:rPr>
                  </w:pPr>
                  <w:r>
                    <w:rPr>
                      <w:rFonts w:hint="eastAsia"/>
                      <w:sz w:val="18"/>
                      <w:szCs w:val="18"/>
                      <w:u w:val="none"/>
                    </w:rPr>
                    <w:t>3</w:t>
                  </w:r>
                </w:p>
              </w:tc>
              <w:tc>
                <w:tcPr>
                  <w:tcW w:w="300" w:type="dxa"/>
                  <w:tcMar>
                    <w:top w:w="0" w:type="dxa"/>
                    <w:left w:w="0" w:type="dxa"/>
                    <w:bottom w:w="0" w:type="dxa"/>
                    <w:right w:w="0" w:type="dxa"/>
                  </w:tcMar>
                  <w:vAlign w:val="center"/>
                </w:tcPr>
                <w:p w14:paraId="33CD723A">
                  <w:pPr>
                    <w:adjustRightInd w:val="0"/>
                    <w:snapToGrid w:val="0"/>
                    <w:jc w:val="center"/>
                    <w:rPr>
                      <w:sz w:val="18"/>
                      <w:szCs w:val="18"/>
                      <w:u w:val="none"/>
                    </w:rPr>
                  </w:pPr>
                  <w:r>
                    <w:rPr>
                      <w:sz w:val="18"/>
                      <w:szCs w:val="18"/>
                      <w:u w:val="none"/>
                    </w:rPr>
                    <w:t>66.8</w:t>
                  </w:r>
                </w:p>
              </w:tc>
              <w:tc>
                <w:tcPr>
                  <w:tcW w:w="288" w:type="dxa"/>
                  <w:tcMar>
                    <w:top w:w="0" w:type="dxa"/>
                    <w:left w:w="0" w:type="dxa"/>
                    <w:bottom w:w="0" w:type="dxa"/>
                    <w:right w:w="0" w:type="dxa"/>
                  </w:tcMar>
                  <w:vAlign w:val="center"/>
                </w:tcPr>
                <w:p w14:paraId="601DE779">
                  <w:pPr>
                    <w:adjustRightInd w:val="0"/>
                    <w:snapToGrid w:val="0"/>
                    <w:jc w:val="center"/>
                    <w:rPr>
                      <w:sz w:val="18"/>
                      <w:szCs w:val="18"/>
                      <w:u w:val="none"/>
                    </w:rPr>
                  </w:pPr>
                  <w:r>
                    <w:rPr>
                      <w:sz w:val="18"/>
                      <w:szCs w:val="18"/>
                      <w:u w:val="none"/>
                    </w:rPr>
                    <w:t>8.9</w:t>
                  </w:r>
                </w:p>
              </w:tc>
              <w:tc>
                <w:tcPr>
                  <w:tcW w:w="265" w:type="dxa"/>
                  <w:tcMar>
                    <w:top w:w="0" w:type="dxa"/>
                    <w:left w:w="0" w:type="dxa"/>
                    <w:bottom w:w="0" w:type="dxa"/>
                    <w:right w:w="0" w:type="dxa"/>
                  </w:tcMar>
                  <w:vAlign w:val="center"/>
                </w:tcPr>
                <w:p w14:paraId="09D1985D">
                  <w:pPr>
                    <w:adjustRightInd w:val="0"/>
                    <w:snapToGrid w:val="0"/>
                    <w:jc w:val="center"/>
                    <w:rPr>
                      <w:sz w:val="18"/>
                      <w:szCs w:val="18"/>
                      <w:u w:val="none"/>
                    </w:rPr>
                  </w:pPr>
                  <w:r>
                    <w:rPr>
                      <w:sz w:val="18"/>
                      <w:szCs w:val="18"/>
                      <w:u w:val="none"/>
                    </w:rPr>
                    <w:t>16.7</w:t>
                  </w:r>
                </w:p>
              </w:tc>
              <w:tc>
                <w:tcPr>
                  <w:tcW w:w="313" w:type="dxa"/>
                  <w:tcMar>
                    <w:top w:w="0" w:type="dxa"/>
                    <w:left w:w="0" w:type="dxa"/>
                    <w:bottom w:w="0" w:type="dxa"/>
                    <w:right w:w="0" w:type="dxa"/>
                  </w:tcMar>
                  <w:vAlign w:val="center"/>
                </w:tcPr>
                <w:p w14:paraId="492A7DF1">
                  <w:pPr>
                    <w:adjustRightInd w:val="0"/>
                    <w:snapToGrid w:val="0"/>
                    <w:jc w:val="center"/>
                    <w:rPr>
                      <w:sz w:val="18"/>
                      <w:szCs w:val="18"/>
                      <w:u w:val="none"/>
                    </w:rPr>
                  </w:pPr>
                  <w:r>
                    <w:rPr>
                      <w:sz w:val="18"/>
                      <w:szCs w:val="18"/>
                      <w:u w:val="none"/>
                    </w:rPr>
                    <w:t>11.7</w:t>
                  </w:r>
                </w:p>
              </w:tc>
              <w:tc>
                <w:tcPr>
                  <w:tcW w:w="265" w:type="dxa"/>
                  <w:tcMar>
                    <w:top w:w="0" w:type="dxa"/>
                    <w:left w:w="0" w:type="dxa"/>
                    <w:bottom w:w="0" w:type="dxa"/>
                    <w:right w:w="0" w:type="dxa"/>
                  </w:tcMar>
                  <w:vAlign w:val="center"/>
                </w:tcPr>
                <w:p w14:paraId="1988560F">
                  <w:pPr>
                    <w:adjustRightInd w:val="0"/>
                    <w:snapToGrid w:val="0"/>
                    <w:jc w:val="center"/>
                    <w:rPr>
                      <w:sz w:val="18"/>
                      <w:szCs w:val="18"/>
                      <w:u w:val="none"/>
                    </w:rPr>
                  </w:pPr>
                  <w:r>
                    <w:rPr>
                      <w:sz w:val="18"/>
                      <w:szCs w:val="18"/>
                      <w:u w:val="none"/>
                    </w:rPr>
                    <w:t>61.7</w:t>
                  </w:r>
                </w:p>
              </w:tc>
              <w:tc>
                <w:tcPr>
                  <w:tcW w:w="311" w:type="dxa"/>
                  <w:tcMar>
                    <w:top w:w="0" w:type="dxa"/>
                    <w:left w:w="0" w:type="dxa"/>
                    <w:bottom w:w="0" w:type="dxa"/>
                    <w:right w:w="0" w:type="dxa"/>
                  </w:tcMar>
                  <w:vAlign w:val="center"/>
                </w:tcPr>
                <w:p w14:paraId="6B01C9C2">
                  <w:pPr>
                    <w:adjustRightInd w:val="0"/>
                    <w:snapToGrid w:val="0"/>
                    <w:jc w:val="center"/>
                    <w:rPr>
                      <w:sz w:val="18"/>
                      <w:szCs w:val="18"/>
                      <w:u w:val="none"/>
                    </w:rPr>
                  </w:pPr>
                  <w:r>
                    <w:rPr>
                      <w:sz w:val="18"/>
                      <w:szCs w:val="18"/>
                      <w:u w:val="none"/>
                    </w:rPr>
                    <w:t>62.0</w:t>
                  </w:r>
                </w:p>
              </w:tc>
              <w:tc>
                <w:tcPr>
                  <w:tcW w:w="252" w:type="dxa"/>
                  <w:tcMar>
                    <w:top w:w="0" w:type="dxa"/>
                    <w:left w:w="0" w:type="dxa"/>
                    <w:bottom w:w="0" w:type="dxa"/>
                    <w:right w:w="0" w:type="dxa"/>
                  </w:tcMar>
                  <w:vAlign w:val="center"/>
                </w:tcPr>
                <w:p w14:paraId="60A8208E">
                  <w:pPr>
                    <w:adjustRightInd w:val="0"/>
                    <w:snapToGrid w:val="0"/>
                    <w:jc w:val="center"/>
                    <w:rPr>
                      <w:sz w:val="18"/>
                      <w:szCs w:val="18"/>
                      <w:u w:val="none"/>
                    </w:rPr>
                  </w:pPr>
                  <w:r>
                    <w:rPr>
                      <w:sz w:val="18"/>
                      <w:szCs w:val="18"/>
                      <w:u w:val="none"/>
                    </w:rPr>
                    <w:t>61.8</w:t>
                  </w:r>
                </w:p>
              </w:tc>
              <w:tc>
                <w:tcPr>
                  <w:tcW w:w="268" w:type="dxa"/>
                  <w:tcMar>
                    <w:top w:w="0" w:type="dxa"/>
                    <w:left w:w="0" w:type="dxa"/>
                    <w:bottom w:w="0" w:type="dxa"/>
                    <w:right w:w="0" w:type="dxa"/>
                  </w:tcMar>
                  <w:vAlign w:val="center"/>
                </w:tcPr>
                <w:p w14:paraId="1A8C7852">
                  <w:pPr>
                    <w:adjustRightInd w:val="0"/>
                    <w:snapToGrid w:val="0"/>
                    <w:jc w:val="center"/>
                    <w:rPr>
                      <w:sz w:val="18"/>
                      <w:szCs w:val="18"/>
                      <w:u w:val="none"/>
                    </w:rPr>
                  </w:pPr>
                  <w:r>
                    <w:rPr>
                      <w:sz w:val="18"/>
                      <w:szCs w:val="18"/>
                      <w:u w:val="none"/>
                    </w:rPr>
                    <w:t>61.9</w:t>
                  </w:r>
                </w:p>
              </w:tc>
              <w:tc>
                <w:tcPr>
                  <w:tcW w:w="368" w:type="dxa"/>
                  <w:tcMar>
                    <w:top w:w="0" w:type="dxa"/>
                    <w:left w:w="0" w:type="dxa"/>
                    <w:bottom w:w="0" w:type="dxa"/>
                    <w:right w:w="0" w:type="dxa"/>
                  </w:tcMar>
                  <w:vAlign w:val="center"/>
                </w:tcPr>
                <w:p w14:paraId="73D963C3">
                  <w:pPr>
                    <w:adjustRightInd w:val="0"/>
                    <w:snapToGrid w:val="0"/>
                    <w:jc w:val="center"/>
                    <w:rPr>
                      <w:sz w:val="18"/>
                      <w:szCs w:val="18"/>
                      <w:u w:val="none"/>
                    </w:rPr>
                  </w:pPr>
                  <w:r>
                    <w:rPr>
                      <w:rFonts w:hint="eastAsia"/>
                      <w:sz w:val="18"/>
                      <w:szCs w:val="18"/>
                      <w:u w:val="none"/>
                    </w:rPr>
                    <w:t>8</w:t>
                  </w:r>
                </w:p>
              </w:tc>
              <w:tc>
                <w:tcPr>
                  <w:tcW w:w="300" w:type="dxa"/>
                  <w:tcMar>
                    <w:top w:w="0" w:type="dxa"/>
                    <w:left w:w="0" w:type="dxa"/>
                    <w:bottom w:w="0" w:type="dxa"/>
                    <w:right w:w="0" w:type="dxa"/>
                  </w:tcMar>
                  <w:vAlign w:val="center"/>
                </w:tcPr>
                <w:p w14:paraId="4D04E742">
                  <w:pPr>
                    <w:adjustRightInd w:val="0"/>
                    <w:snapToGrid w:val="0"/>
                    <w:jc w:val="center"/>
                    <w:rPr>
                      <w:sz w:val="18"/>
                      <w:szCs w:val="18"/>
                      <w:u w:val="none"/>
                    </w:rPr>
                  </w:pPr>
                  <w:r>
                    <w:rPr>
                      <w:rFonts w:hint="eastAsia"/>
                      <w:sz w:val="18"/>
                      <w:szCs w:val="18"/>
                      <w:u w:val="none"/>
                    </w:rPr>
                    <w:t>15.0</w:t>
                  </w:r>
                </w:p>
              </w:tc>
              <w:tc>
                <w:tcPr>
                  <w:tcW w:w="239" w:type="dxa"/>
                  <w:tcMar>
                    <w:top w:w="0" w:type="dxa"/>
                    <w:left w:w="0" w:type="dxa"/>
                    <w:bottom w:w="0" w:type="dxa"/>
                    <w:right w:w="0" w:type="dxa"/>
                  </w:tcMar>
                  <w:vAlign w:val="center"/>
                </w:tcPr>
                <w:p w14:paraId="30D0EC43">
                  <w:pPr>
                    <w:adjustRightInd w:val="0"/>
                    <w:snapToGrid w:val="0"/>
                    <w:jc w:val="center"/>
                    <w:rPr>
                      <w:sz w:val="18"/>
                      <w:szCs w:val="18"/>
                      <w:u w:val="none"/>
                    </w:rPr>
                  </w:pPr>
                  <w:r>
                    <w:rPr>
                      <w:rFonts w:hint="eastAsia"/>
                      <w:sz w:val="18"/>
                      <w:szCs w:val="18"/>
                      <w:u w:val="none"/>
                    </w:rPr>
                    <w:t>15.0</w:t>
                  </w:r>
                </w:p>
              </w:tc>
              <w:tc>
                <w:tcPr>
                  <w:tcW w:w="303" w:type="dxa"/>
                  <w:tcMar>
                    <w:top w:w="0" w:type="dxa"/>
                    <w:left w:w="0" w:type="dxa"/>
                    <w:bottom w:w="0" w:type="dxa"/>
                    <w:right w:w="0" w:type="dxa"/>
                  </w:tcMar>
                  <w:vAlign w:val="center"/>
                </w:tcPr>
                <w:p w14:paraId="3DBCE861">
                  <w:pPr>
                    <w:adjustRightInd w:val="0"/>
                    <w:snapToGrid w:val="0"/>
                    <w:jc w:val="center"/>
                    <w:rPr>
                      <w:sz w:val="18"/>
                      <w:szCs w:val="18"/>
                      <w:u w:val="none"/>
                    </w:rPr>
                  </w:pPr>
                  <w:r>
                    <w:rPr>
                      <w:rFonts w:hint="eastAsia"/>
                      <w:sz w:val="18"/>
                      <w:szCs w:val="18"/>
                      <w:u w:val="none"/>
                    </w:rPr>
                    <w:t>15.0</w:t>
                  </w:r>
                </w:p>
              </w:tc>
              <w:tc>
                <w:tcPr>
                  <w:tcW w:w="313" w:type="dxa"/>
                  <w:tcMar>
                    <w:top w:w="0" w:type="dxa"/>
                    <w:left w:w="0" w:type="dxa"/>
                    <w:bottom w:w="0" w:type="dxa"/>
                    <w:right w:w="0" w:type="dxa"/>
                  </w:tcMar>
                  <w:vAlign w:val="center"/>
                </w:tcPr>
                <w:p w14:paraId="0E21976B">
                  <w:pPr>
                    <w:adjustRightInd w:val="0"/>
                    <w:snapToGrid w:val="0"/>
                    <w:jc w:val="center"/>
                    <w:rPr>
                      <w:sz w:val="18"/>
                      <w:szCs w:val="18"/>
                      <w:u w:val="none"/>
                    </w:rPr>
                  </w:pPr>
                  <w:r>
                    <w:rPr>
                      <w:rFonts w:hint="eastAsia"/>
                      <w:sz w:val="18"/>
                      <w:szCs w:val="18"/>
                      <w:u w:val="none"/>
                    </w:rPr>
                    <w:t>15.0</w:t>
                  </w:r>
                </w:p>
              </w:tc>
              <w:tc>
                <w:tcPr>
                  <w:tcW w:w="308" w:type="dxa"/>
                  <w:tcMar>
                    <w:top w:w="0" w:type="dxa"/>
                    <w:left w:w="0" w:type="dxa"/>
                    <w:bottom w:w="0" w:type="dxa"/>
                    <w:right w:w="0" w:type="dxa"/>
                  </w:tcMar>
                  <w:vAlign w:val="center"/>
                </w:tcPr>
                <w:p w14:paraId="6749467F">
                  <w:pPr>
                    <w:adjustRightInd w:val="0"/>
                    <w:snapToGrid w:val="0"/>
                    <w:jc w:val="center"/>
                    <w:rPr>
                      <w:sz w:val="18"/>
                      <w:szCs w:val="18"/>
                      <w:u w:val="none"/>
                    </w:rPr>
                  </w:pPr>
                  <w:r>
                    <w:rPr>
                      <w:sz w:val="18"/>
                      <w:szCs w:val="18"/>
                      <w:u w:val="none"/>
                    </w:rPr>
                    <w:t>35.7</w:t>
                  </w:r>
                </w:p>
              </w:tc>
              <w:tc>
                <w:tcPr>
                  <w:tcW w:w="307" w:type="dxa"/>
                  <w:tcMar>
                    <w:top w:w="0" w:type="dxa"/>
                    <w:left w:w="0" w:type="dxa"/>
                    <w:bottom w:w="0" w:type="dxa"/>
                    <w:right w:w="0" w:type="dxa"/>
                  </w:tcMar>
                  <w:vAlign w:val="center"/>
                </w:tcPr>
                <w:p w14:paraId="7F5E3500">
                  <w:pPr>
                    <w:adjustRightInd w:val="0"/>
                    <w:snapToGrid w:val="0"/>
                    <w:jc w:val="center"/>
                    <w:rPr>
                      <w:sz w:val="18"/>
                      <w:szCs w:val="18"/>
                      <w:u w:val="none"/>
                    </w:rPr>
                  </w:pPr>
                  <w:r>
                    <w:rPr>
                      <w:sz w:val="18"/>
                      <w:szCs w:val="18"/>
                      <w:u w:val="none"/>
                    </w:rPr>
                    <w:t>36.0</w:t>
                  </w:r>
                </w:p>
              </w:tc>
              <w:tc>
                <w:tcPr>
                  <w:tcW w:w="307" w:type="dxa"/>
                  <w:tcMar>
                    <w:top w:w="0" w:type="dxa"/>
                    <w:left w:w="0" w:type="dxa"/>
                    <w:bottom w:w="0" w:type="dxa"/>
                    <w:right w:w="0" w:type="dxa"/>
                  </w:tcMar>
                  <w:vAlign w:val="center"/>
                </w:tcPr>
                <w:p w14:paraId="6624769C">
                  <w:pPr>
                    <w:adjustRightInd w:val="0"/>
                    <w:snapToGrid w:val="0"/>
                    <w:jc w:val="center"/>
                    <w:rPr>
                      <w:sz w:val="18"/>
                      <w:szCs w:val="18"/>
                      <w:u w:val="none"/>
                    </w:rPr>
                  </w:pPr>
                  <w:r>
                    <w:rPr>
                      <w:sz w:val="18"/>
                      <w:szCs w:val="18"/>
                      <w:u w:val="none"/>
                    </w:rPr>
                    <w:t>35.8</w:t>
                  </w:r>
                </w:p>
              </w:tc>
              <w:tc>
                <w:tcPr>
                  <w:tcW w:w="307" w:type="dxa"/>
                  <w:tcMar>
                    <w:top w:w="0" w:type="dxa"/>
                    <w:left w:w="0" w:type="dxa"/>
                    <w:bottom w:w="0" w:type="dxa"/>
                    <w:right w:w="0" w:type="dxa"/>
                  </w:tcMar>
                  <w:vAlign w:val="center"/>
                </w:tcPr>
                <w:p w14:paraId="06CBF34B">
                  <w:pPr>
                    <w:adjustRightInd w:val="0"/>
                    <w:snapToGrid w:val="0"/>
                    <w:jc w:val="center"/>
                    <w:rPr>
                      <w:sz w:val="18"/>
                      <w:szCs w:val="18"/>
                      <w:u w:val="none"/>
                    </w:rPr>
                  </w:pPr>
                  <w:r>
                    <w:rPr>
                      <w:sz w:val="18"/>
                      <w:szCs w:val="18"/>
                      <w:u w:val="none"/>
                    </w:rPr>
                    <w:t>35.9</w:t>
                  </w:r>
                </w:p>
              </w:tc>
              <w:tc>
                <w:tcPr>
                  <w:tcW w:w="197" w:type="dxa"/>
                  <w:tcMar>
                    <w:top w:w="0" w:type="dxa"/>
                    <w:left w:w="0" w:type="dxa"/>
                    <w:bottom w:w="0" w:type="dxa"/>
                    <w:right w:w="0" w:type="dxa"/>
                  </w:tcMar>
                  <w:vAlign w:val="center"/>
                </w:tcPr>
                <w:p w14:paraId="6B5BE37E">
                  <w:pPr>
                    <w:adjustRightInd w:val="0"/>
                    <w:snapToGrid w:val="0"/>
                    <w:jc w:val="center"/>
                    <w:rPr>
                      <w:sz w:val="18"/>
                      <w:szCs w:val="18"/>
                      <w:u w:val="none"/>
                    </w:rPr>
                  </w:pPr>
                  <w:r>
                    <w:rPr>
                      <w:rFonts w:hint="eastAsia"/>
                      <w:sz w:val="18"/>
                      <w:szCs w:val="18"/>
                      <w:u w:val="none"/>
                    </w:rPr>
                    <w:t>1</w:t>
                  </w:r>
                </w:p>
              </w:tc>
            </w:tr>
            <w:tr w14:paraId="4F51A58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379" w:type="dxa"/>
                  <w:tcMar>
                    <w:top w:w="0" w:type="dxa"/>
                    <w:left w:w="0" w:type="dxa"/>
                    <w:bottom w:w="0" w:type="dxa"/>
                    <w:right w:w="0" w:type="dxa"/>
                  </w:tcMar>
                  <w:vAlign w:val="center"/>
                </w:tcPr>
                <w:p w14:paraId="3C4CB1AE">
                  <w:pPr>
                    <w:adjustRightInd w:val="0"/>
                    <w:snapToGrid w:val="0"/>
                    <w:jc w:val="center"/>
                    <w:rPr>
                      <w:sz w:val="18"/>
                      <w:szCs w:val="18"/>
                      <w:u w:val="none"/>
                    </w:rPr>
                  </w:pPr>
                  <w:r>
                    <w:rPr>
                      <w:rFonts w:hint="eastAsia"/>
                      <w:sz w:val="18"/>
                      <w:szCs w:val="18"/>
                      <w:u w:val="none"/>
                    </w:rPr>
                    <w:t>8</w:t>
                  </w:r>
                </w:p>
              </w:tc>
              <w:tc>
                <w:tcPr>
                  <w:tcW w:w="267" w:type="dxa"/>
                  <w:vMerge w:val="continue"/>
                  <w:tcMar>
                    <w:top w:w="0" w:type="dxa"/>
                    <w:left w:w="0" w:type="dxa"/>
                    <w:bottom w:w="0" w:type="dxa"/>
                    <w:right w:w="0" w:type="dxa"/>
                  </w:tcMar>
                  <w:vAlign w:val="center"/>
                </w:tcPr>
                <w:p w14:paraId="1ADAE67F">
                  <w:pPr>
                    <w:adjustRightInd w:val="0"/>
                    <w:snapToGrid w:val="0"/>
                    <w:jc w:val="center"/>
                    <w:rPr>
                      <w:sz w:val="18"/>
                      <w:szCs w:val="18"/>
                      <w:u w:val="none"/>
                    </w:rPr>
                  </w:pPr>
                </w:p>
              </w:tc>
              <w:tc>
                <w:tcPr>
                  <w:tcW w:w="550" w:type="dxa"/>
                  <w:tcMar>
                    <w:top w:w="0" w:type="dxa"/>
                    <w:left w:w="0" w:type="dxa"/>
                    <w:bottom w:w="0" w:type="dxa"/>
                    <w:right w:w="0" w:type="dxa"/>
                  </w:tcMar>
                  <w:vAlign w:val="center"/>
                </w:tcPr>
                <w:p w14:paraId="717E866A">
                  <w:pPr>
                    <w:widowControl/>
                    <w:jc w:val="center"/>
                    <w:textAlignment w:val="center"/>
                    <w:rPr>
                      <w:sz w:val="18"/>
                      <w:szCs w:val="18"/>
                      <w:u w:val="none"/>
                    </w:rPr>
                  </w:pPr>
                  <w:r>
                    <w:rPr>
                      <w:rFonts w:hint="eastAsia"/>
                      <w:sz w:val="18"/>
                      <w:szCs w:val="18"/>
                      <w:u w:val="none"/>
                    </w:rPr>
                    <w:t>烘干机</w:t>
                  </w:r>
                </w:p>
              </w:tc>
              <w:tc>
                <w:tcPr>
                  <w:tcW w:w="437" w:type="dxa"/>
                  <w:tcMar>
                    <w:top w:w="0" w:type="dxa"/>
                    <w:left w:w="0" w:type="dxa"/>
                    <w:bottom w:w="0" w:type="dxa"/>
                    <w:right w:w="0" w:type="dxa"/>
                  </w:tcMar>
                  <w:vAlign w:val="center"/>
                </w:tcPr>
                <w:p w14:paraId="450DBB94">
                  <w:pPr>
                    <w:adjustRightInd w:val="0"/>
                    <w:snapToGrid w:val="0"/>
                    <w:jc w:val="center"/>
                    <w:rPr>
                      <w:sz w:val="18"/>
                      <w:szCs w:val="18"/>
                      <w:u w:val="none"/>
                    </w:rPr>
                  </w:pPr>
                  <w:r>
                    <w:rPr>
                      <w:sz w:val="18"/>
                      <w:szCs w:val="18"/>
                      <w:u w:val="none"/>
                    </w:rPr>
                    <w:t>80</w:t>
                  </w:r>
                </w:p>
              </w:tc>
              <w:tc>
                <w:tcPr>
                  <w:tcW w:w="381" w:type="dxa"/>
                  <w:vMerge w:val="continue"/>
                  <w:tcMar>
                    <w:top w:w="0" w:type="dxa"/>
                    <w:left w:w="0" w:type="dxa"/>
                    <w:bottom w:w="0" w:type="dxa"/>
                    <w:right w:w="0" w:type="dxa"/>
                  </w:tcMar>
                  <w:vAlign w:val="center"/>
                </w:tcPr>
                <w:p w14:paraId="5981B5ED">
                  <w:pPr>
                    <w:adjustRightInd w:val="0"/>
                    <w:snapToGrid w:val="0"/>
                    <w:jc w:val="center"/>
                    <w:rPr>
                      <w:sz w:val="18"/>
                      <w:szCs w:val="18"/>
                      <w:u w:val="none"/>
                    </w:rPr>
                  </w:pPr>
                </w:p>
              </w:tc>
              <w:tc>
                <w:tcPr>
                  <w:tcW w:w="360" w:type="dxa"/>
                  <w:vMerge w:val="continue"/>
                  <w:tcMar>
                    <w:top w:w="0" w:type="dxa"/>
                    <w:left w:w="0" w:type="dxa"/>
                    <w:bottom w:w="0" w:type="dxa"/>
                    <w:right w:w="0" w:type="dxa"/>
                  </w:tcMar>
                  <w:vAlign w:val="center"/>
                </w:tcPr>
                <w:p w14:paraId="018493D9">
                  <w:pPr>
                    <w:adjustRightInd w:val="0"/>
                    <w:snapToGrid w:val="0"/>
                    <w:jc w:val="center"/>
                    <w:rPr>
                      <w:sz w:val="18"/>
                      <w:szCs w:val="18"/>
                      <w:u w:val="none"/>
                    </w:rPr>
                  </w:pPr>
                </w:p>
              </w:tc>
              <w:tc>
                <w:tcPr>
                  <w:tcW w:w="265" w:type="dxa"/>
                  <w:tcMar>
                    <w:top w:w="0" w:type="dxa"/>
                    <w:left w:w="0" w:type="dxa"/>
                    <w:bottom w:w="0" w:type="dxa"/>
                    <w:right w:w="0" w:type="dxa"/>
                  </w:tcMar>
                  <w:vAlign w:val="center"/>
                </w:tcPr>
                <w:p w14:paraId="4C808D52">
                  <w:pPr>
                    <w:adjustRightInd w:val="0"/>
                    <w:snapToGrid w:val="0"/>
                    <w:jc w:val="center"/>
                    <w:rPr>
                      <w:sz w:val="18"/>
                      <w:szCs w:val="18"/>
                      <w:u w:val="none"/>
                    </w:rPr>
                  </w:pPr>
                  <w:r>
                    <w:rPr>
                      <w:sz w:val="18"/>
                      <w:szCs w:val="18"/>
                      <w:u w:val="none"/>
                    </w:rPr>
                    <w:t>-24</w:t>
                  </w:r>
                </w:p>
              </w:tc>
              <w:tc>
                <w:tcPr>
                  <w:tcW w:w="207" w:type="dxa"/>
                  <w:tcMar>
                    <w:top w:w="0" w:type="dxa"/>
                    <w:left w:w="0" w:type="dxa"/>
                    <w:bottom w:w="0" w:type="dxa"/>
                    <w:right w:w="0" w:type="dxa"/>
                  </w:tcMar>
                  <w:vAlign w:val="center"/>
                </w:tcPr>
                <w:p w14:paraId="6E7A7F5A">
                  <w:pPr>
                    <w:adjustRightInd w:val="0"/>
                    <w:snapToGrid w:val="0"/>
                    <w:jc w:val="center"/>
                    <w:rPr>
                      <w:sz w:val="18"/>
                      <w:szCs w:val="18"/>
                      <w:u w:val="none"/>
                    </w:rPr>
                  </w:pPr>
                  <w:r>
                    <w:rPr>
                      <w:sz w:val="18"/>
                      <w:szCs w:val="18"/>
                      <w:u w:val="none"/>
                    </w:rPr>
                    <w:t>-5.1</w:t>
                  </w:r>
                </w:p>
              </w:tc>
              <w:tc>
                <w:tcPr>
                  <w:tcW w:w="220" w:type="dxa"/>
                  <w:tcMar>
                    <w:top w:w="0" w:type="dxa"/>
                    <w:left w:w="0" w:type="dxa"/>
                    <w:bottom w:w="0" w:type="dxa"/>
                    <w:right w:w="0" w:type="dxa"/>
                  </w:tcMar>
                  <w:vAlign w:val="center"/>
                </w:tcPr>
                <w:p w14:paraId="0F7D1FBE">
                  <w:pPr>
                    <w:adjustRightInd w:val="0"/>
                    <w:snapToGrid w:val="0"/>
                    <w:jc w:val="center"/>
                    <w:rPr>
                      <w:sz w:val="18"/>
                      <w:szCs w:val="18"/>
                      <w:u w:val="none"/>
                    </w:rPr>
                  </w:pPr>
                  <w:r>
                    <w:rPr>
                      <w:rFonts w:hint="eastAsia"/>
                      <w:sz w:val="18"/>
                      <w:szCs w:val="18"/>
                      <w:u w:val="none"/>
                    </w:rPr>
                    <w:t>3</w:t>
                  </w:r>
                </w:p>
              </w:tc>
              <w:tc>
                <w:tcPr>
                  <w:tcW w:w="300" w:type="dxa"/>
                  <w:tcMar>
                    <w:top w:w="0" w:type="dxa"/>
                    <w:left w:w="0" w:type="dxa"/>
                    <w:bottom w:w="0" w:type="dxa"/>
                    <w:right w:w="0" w:type="dxa"/>
                  </w:tcMar>
                  <w:vAlign w:val="center"/>
                </w:tcPr>
                <w:p w14:paraId="097F0259">
                  <w:pPr>
                    <w:adjustRightInd w:val="0"/>
                    <w:snapToGrid w:val="0"/>
                    <w:jc w:val="center"/>
                    <w:rPr>
                      <w:sz w:val="18"/>
                      <w:szCs w:val="18"/>
                      <w:u w:val="none"/>
                    </w:rPr>
                  </w:pPr>
                  <w:r>
                    <w:rPr>
                      <w:sz w:val="18"/>
                      <w:szCs w:val="18"/>
                      <w:u w:val="none"/>
                    </w:rPr>
                    <w:t>65.1</w:t>
                  </w:r>
                </w:p>
              </w:tc>
              <w:tc>
                <w:tcPr>
                  <w:tcW w:w="288" w:type="dxa"/>
                  <w:tcMar>
                    <w:top w:w="0" w:type="dxa"/>
                    <w:left w:w="0" w:type="dxa"/>
                    <w:bottom w:w="0" w:type="dxa"/>
                    <w:right w:w="0" w:type="dxa"/>
                  </w:tcMar>
                  <w:vAlign w:val="center"/>
                </w:tcPr>
                <w:p w14:paraId="0D9E8E64">
                  <w:pPr>
                    <w:adjustRightInd w:val="0"/>
                    <w:snapToGrid w:val="0"/>
                    <w:jc w:val="center"/>
                    <w:rPr>
                      <w:sz w:val="18"/>
                      <w:szCs w:val="18"/>
                      <w:u w:val="none"/>
                    </w:rPr>
                  </w:pPr>
                  <w:r>
                    <w:rPr>
                      <w:sz w:val="18"/>
                      <w:szCs w:val="18"/>
                      <w:u w:val="none"/>
                    </w:rPr>
                    <w:t>3.6</w:t>
                  </w:r>
                </w:p>
              </w:tc>
              <w:tc>
                <w:tcPr>
                  <w:tcW w:w="265" w:type="dxa"/>
                  <w:tcMar>
                    <w:top w:w="0" w:type="dxa"/>
                    <w:left w:w="0" w:type="dxa"/>
                    <w:bottom w:w="0" w:type="dxa"/>
                    <w:right w:w="0" w:type="dxa"/>
                  </w:tcMar>
                  <w:vAlign w:val="center"/>
                </w:tcPr>
                <w:p w14:paraId="2B96D084">
                  <w:pPr>
                    <w:adjustRightInd w:val="0"/>
                    <w:snapToGrid w:val="0"/>
                    <w:jc w:val="center"/>
                    <w:rPr>
                      <w:sz w:val="18"/>
                      <w:szCs w:val="18"/>
                      <w:u w:val="none"/>
                    </w:rPr>
                  </w:pPr>
                  <w:r>
                    <w:rPr>
                      <w:sz w:val="18"/>
                      <w:szCs w:val="18"/>
                      <w:u w:val="none"/>
                    </w:rPr>
                    <w:t>19.1</w:t>
                  </w:r>
                </w:p>
              </w:tc>
              <w:tc>
                <w:tcPr>
                  <w:tcW w:w="313" w:type="dxa"/>
                  <w:tcMar>
                    <w:top w:w="0" w:type="dxa"/>
                    <w:left w:w="0" w:type="dxa"/>
                    <w:bottom w:w="0" w:type="dxa"/>
                    <w:right w:w="0" w:type="dxa"/>
                  </w:tcMar>
                  <w:vAlign w:val="center"/>
                </w:tcPr>
                <w:p w14:paraId="139F2821">
                  <w:pPr>
                    <w:adjustRightInd w:val="0"/>
                    <w:snapToGrid w:val="0"/>
                    <w:jc w:val="center"/>
                    <w:rPr>
                      <w:sz w:val="18"/>
                      <w:szCs w:val="18"/>
                      <w:u w:val="none"/>
                    </w:rPr>
                  </w:pPr>
                  <w:r>
                    <w:rPr>
                      <w:sz w:val="18"/>
                      <w:szCs w:val="18"/>
                      <w:u w:val="none"/>
                    </w:rPr>
                    <w:t>17.0</w:t>
                  </w:r>
                </w:p>
              </w:tc>
              <w:tc>
                <w:tcPr>
                  <w:tcW w:w="265" w:type="dxa"/>
                  <w:tcMar>
                    <w:top w:w="0" w:type="dxa"/>
                    <w:left w:w="0" w:type="dxa"/>
                    <w:bottom w:w="0" w:type="dxa"/>
                    <w:right w:w="0" w:type="dxa"/>
                  </w:tcMar>
                  <w:vAlign w:val="center"/>
                </w:tcPr>
                <w:p w14:paraId="6DB459F2">
                  <w:pPr>
                    <w:adjustRightInd w:val="0"/>
                    <w:snapToGrid w:val="0"/>
                    <w:jc w:val="center"/>
                    <w:rPr>
                      <w:sz w:val="18"/>
                      <w:szCs w:val="18"/>
                      <w:u w:val="none"/>
                    </w:rPr>
                  </w:pPr>
                  <w:r>
                    <w:rPr>
                      <w:sz w:val="18"/>
                      <w:szCs w:val="18"/>
                      <w:u w:val="none"/>
                    </w:rPr>
                    <w:t>61.7</w:t>
                  </w:r>
                </w:p>
              </w:tc>
              <w:tc>
                <w:tcPr>
                  <w:tcW w:w="311" w:type="dxa"/>
                  <w:tcMar>
                    <w:top w:w="0" w:type="dxa"/>
                    <w:left w:w="0" w:type="dxa"/>
                    <w:bottom w:w="0" w:type="dxa"/>
                    <w:right w:w="0" w:type="dxa"/>
                  </w:tcMar>
                  <w:vAlign w:val="center"/>
                </w:tcPr>
                <w:p w14:paraId="2B95C83F">
                  <w:pPr>
                    <w:adjustRightInd w:val="0"/>
                    <w:snapToGrid w:val="0"/>
                    <w:jc w:val="center"/>
                    <w:rPr>
                      <w:sz w:val="18"/>
                      <w:szCs w:val="18"/>
                      <w:u w:val="none"/>
                    </w:rPr>
                  </w:pPr>
                  <w:r>
                    <w:rPr>
                      <w:sz w:val="18"/>
                      <w:szCs w:val="18"/>
                      <w:u w:val="none"/>
                    </w:rPr>
                    <w:t>63.2</w:t>
                  </w:r>
                </w:p>
              </w:tc>
              <w:tc>
                <w:tcPr>
                  <w:tcW w:w="252" w:type="dxa"/>
                  <w:tcMar>
                    <w:top w:w="0" w:type="dxa"/>
                    <w:left w:w="0" w:type="dxa"/>
                    <w:bottom w:w="0" w:type="dxa"/>
                    <w:right w:w="0" w:type="dxa"/>
                  </w:tcMar>
                  <w:vAlign w:val="center"/>
                </w:tcPr>
                <w:p w14:paraId="7CEA1EE3">
                  <w:pPr>
                    <w:adjustRightInd w:val="0"/>
                    <w:snapToGrid w:val="0"/>
                    <w:jc w:val="center"/>
                    <w:rPr>
                      <w:sz w:val="18"/>
                      <w:szCs w:val="18"/>
                      <w:u w:val="none"/>
                    </w:rPr>
                  </w:pPr>
                  <w:r>
                    <w:rPr>
                      <w:sz w:val="18"/>
                      <w:szCs w:val="18"/>
                      <w:u w:val="none"/>
                    </w:rPr>
                    <w:t>61.8</w:t>
                  </w:r>
                </w:p>
              </w:tc>
              <w:tc>
                <w:tcPr>
                  <w:tcW w:w="268" w:type="dxa"/>
                  <w:tcMar>
                    <w:top w:w="0" w:type="dxa"/>
                    <w:left w:w="0" w:type="dxa"/>
                    <w:bottom w:w="0" w:type="dxa"/>
                    <w:right w:w="0" w:type="dxa"/>
                  </w:tcMar>
                  <w:vAlign w:val="center"/>
                </w:tcPr>
                <w:p w14:paraId="1C7691DD">
                  <w:pPr>
                    <w:adjustRightInd w:val="0"/>
                    <w:snapToGrid w:val="0"/>
                    <w:jc w:val="center"/>
                    <w:rPr>
                      <w:sz w:val="18"/>
                      <w:szCs w:val="18"/>
                      <w:u w:val="none"/>
                    </w:rPr>
                  </w:pPr>
                  <w:r>
                    <w:rPr>
                      <w:sz w:val="18"/>
                      <w:szCs w:val="18"/>
                      <w:u w:val="none"/>
                    </w:rPr>
                    <w:t>61.8</w:t>
                  </w:r>
                </w:p>
              </w:tc>
              <w:tc>
                <w:tcPr>
                  <w:tcW w:w="368" w:type="dxa"/>
                  <w:tcMar>
                    <w:top w:w="0" w:type="dxa"/>
                    <w:left w:w="0" w:type="dxa"/>
                    <w:bottom w:w="0" w:type="dxa"/>
                    <w:right w:w="0" w:type="dxa"/>
                  </w:tcMar>
                  <w:vAlign w:val="center"/>
                </w:tcPr>
                <w:p w14:paraId="5853A6A8">
                  <w:pPr>
                    <w:adjustRightInd w:val="0"/>
                    <w:snapToGrid w:val="0"/>
                    <w:jc w:val="center"/>
                    <w:rPr>
                      <w:sz w:val="18"/>
                      <w:szCs w:val="18"/>
                      <w:u w:val="none"/>
                    </w:rPr>
                  </w:pPr>
                  <w:r>
                    <w:rPr>
                      <w:rFonts w:hint="eastAsia"/>
                      <w:sz w:val="18"/>
                      <w:szCs w:val="18"/>
                      <w:u w:val="none"/>
                    </w:rPr>
                    <w:t>8</w:t>
                  </w:r>
                </w:p>
              </w:tc>
              <w:tc>
                <w:tcPr>
                  <w:tcW w:w="300" w:type="dxa"/>
                  <w:tcMar>
                    <w:top w:w="0" w:type="dxa"/>
                    <w:left w:w="0" w:type="dxa"/>
                    <w:bottom w:w="0" w:type="dxa"/>
                    <w:right w:w="0" w:type="dxa"/>
                  </w:tcMar>
                  <w:vAlign w:val="center"/>
                </w:tcPr>
                <w:p w14:paraId="43A4E220">
                  <w:pPr>
                    <w:adjustRightInd w:val="0"/>
                    <w:snapToGrid w:val="0"/>
                    <w:jc w:val="center"/>
                    <w:rPr>
                      <w:sz w:val="18"/>
                      <w:szCs w:val="18"/>
                      <w:u w:val="none"/>
                    </w:rPr>
                  </w:pPr>
                  <w:r>
                    <w:rPr>
                      <w:rFonts w:hint="eastAsia"/>
                      <w:sz w:val="18"/>
                      <w:szCs w:val="18"/>
                      <w:u w:val="none"/>
                    </w:rPr>
                    <w:t>15.0</w:t>
                  </w:r>
                </w:p>
              </w:tc>
              <w:tc>
                <w:tcPr>
                  <w:tcW w:w="239" w:type="dxa"/>
                  <w:tcMar>
                    <w:top w:w="0" w:type="dxa"/>
                    <w:left w:w="0" w:type="dxa"/>
                    <w:bottom w:w="0" w:type="dxa"/>
                    <w:right w:w="0" w:type="dxa"/>
                  </w:tcMar>
                  <w:vAlign w:val="center"/>
                </w:tcPr>
                <w:p w14:paraId="482DFD12">
                  <w:pPr>
                    <w:adjustRightInd w:val="0"/>
                    <w:snapToGrid w:val="0"/>
                    <w:jc w:val="center"/>
                    <w:rPr>
                      <w:sz w:val="18"/>
                      <w:szCs w:val="18"/>
                      <w:u w:val="none"/>
                    </w:rPr>
                  </w:pPr>
                  <w:r>
                    <w:rPr>
                      <w:rFonts w:hint="eastAsia"/>
                      <w:sz w:val="18"/>
                      <w:szCs w:val="18"/>
                      <w:u w:val="none"/>
                    </w:rPr>
                    <w:t>15.0</w:t>
                  </w:r>
                </w:p>
              </w:tc>
              <w:tc>
                <w:tcPr>
                  <w:tcW w:w="303" w:type="dxa"/>
                  <w:tcMar>
                    <w:top w:w="0" w:type="dxa"/>
                    <w:left w:w="0" w:type="dxa"/>
                    <w:bottom w:w="0" w:type="dxa"/>
                    <w:right w:w="0" w:type="dxa"/>
                  </w:tcMar>
                  <w:vAlign w:val="center"/>
                </w:tcPr>
                <w:p w14:paraId="477F57B6">
                  <w:pPr>
                    <w:adjustRightInd w:val="0"/>
                    <w:snapToGrid w:val="0"/>
                    <w:jc w:val="center"/>
                    <w:rPr>
                      <w:sz w:val="18"/>
                      <w:szCs w:val="18"/>
                      <w:u w:val="none"/>
                    </w:rPr>
                  </w:pPr>
                  <w:r>
                    <w:rPr>
                      <w:rFonts w:hint="eastAsia"/>
                      <w:sz w:val="18"/>
                      <w:szCs w:val="18"/>
                      <w:u w:val="none"/>
                    </w:rPr>
                    <w:t>15.0</w:t>
                  </w:r>
                </w:p>
              </w:tc>
              <w:tc>
                <w:tcPr>
                  <w:tcW w:w="313" w:type="dxa"/>
                  <w:tcMar>
                    <w:top w:w="0" w:type="dxa"/>
                    <w:left w:w="0" w:type="dxa"/>
                    <w:bottom w:w="0" w:type="dxa"/>
                    <w:right w:w="0" w:type="dxa"/>
                  </w:tcMar>
                  <w:vAlign w:val="center"/>
                </w:tcPr>
                <w:p w14:paraId="145A9B56">
                  <w:pPr>
                    <w:adjustRightInd w:val="0"/>
                    <w:snapToGrid w:val="0"/>
                    <w:jc w:val="center"/>
                    <w:rPr>
                      <w:sz w:val="18"/>
                      <w:szCs w:val="18"/>
                      <w:u w:val="none"/>
                    </w:rPr>
                  </w:pPr>
                  <w:r>
                    <w:rPr>
                      <w:rFonts w:hint="eastAsia"/>
                      <w:sz w:val="18"/>
                      <w:szCs w:val="18"/>
                      <w:u w:val="none"/>
                    </w:rPr>
                    <w:t>15.0</w:t>
                  </w:r>
                </w:p>
              </w:tc>
              <w:tc>
                <w:tcPr>
                  <w:tcW w:w="308" w:type="dxa"/>
                  <w:tcMar>
                    <w:top w:w="0" w:type="dxa"/>
                    <w:left w:w="0" w:type="dxa"/>
                    <w:bottom w:w="0" w:type="dxa"/>
                    <w:right w:w="0" w:type="dxa"/>
                  </w:tcMar>
                  <w:vAlign w:val="center"/>
                </w:tcPr>
                <w:p w14:paraId="5F6CE338">
                  <w:pPr>
                    <w:adjustRightInd w:val="0"/>
                    <w:snapToGrid w:val="0"/>
                    <w:jc w:val="center"/>
                    <w:rPr>
                      <w:sz w:val="18"/>
                      <w:szCs w:val="18"/>
                      <w:u w:val="none"/>
                    </w:rPr>
                  </w:pPr>
                  <w:r>
                    <w:rPr>
                      <w:sz w:val="18"/>
                      <w:szCs w:val="18"/>
                      <w:u w:val="none"/>
                    </w:rPr>
                    <w:t>35.7</w:t>
                  </w:r>
                </w:p>
              </w:tc>
              <w:tc>
                <w:tcPr>
                  <w:tcW w:w="307" w:type="dxa"/>
                  <w:tcMar>
                    <w:top w:w="0" w:type="dxa"/>
                    <w:left w:w="0" w:type="dxa"/>
                    <w:bottom w:w="0" w:type="dxa"/>
                    <w:right w:w="0" w:type="dxa"/>
                  </w:tcMar>
                  <w:vAlign w:val="center"/>
                </w:tcPr>
                <w:p w14:paraId="73277CE7">
                  <w:pPr>
                    <w:adjustRightInd w:val="0"/>
                    <w:snapToGrid w:val="0"/>
                    <w:jc w:val="center"/>
                    <w:rPr>
                      <w:sz w:val="18"/>
                      <w:szCs w:val="18"/>
                      <w:u w:val="none"/>
                    </w:rPr>
                  </w:pPr>
                  <w:r>
                    <w:rPr>
                      <w:sz w:val="18"/>
                      <w:szCs w:val="18"/>
                      <w:u w:val="none"/>
                    </w:rPr>
                    <w:t>37.2</w:t>
                  </w:r>
                </w:p>
              </w:tc>
              <w:tc>
                <w:tcPr>
                  <w:tcW w:w="307" w:type="dxa"/>
                  <w:tcMar>
                    <w:top w:w="0" w:type="dxa"/>
                    <w:left w:w="0" w:type="dxa"/>
                    <w:bottom w:w="0" w:type="dxa"/>
                    <w:right w:w="0" w:type="dxa"/>
                  </w:tcMar>
                  <w:vAlign w:val="center"/>
                </w:tcPr>
                <w:p w14:paraId="010D8DF5">
                  <w:pPr>
                    <w:adjustRightInd w:val="0"/>
                    <w:snapToGrid w:val="0"/>
                    <w:jc w:val="center"/>
                    <w:rPr>
                      <w:sz w:val="18"/>
                      <w:szCs w:val="18"/>
                      <w:u w:val="none"/>
                    </w:rPr>
                  </w:pPr>
                  <w:r>
                    <w:rPr>
                      <w:sz w:val="18"/>
                      <w:szCs w:val="18"/>
                      <w:u w:val="none"/>
                    </w:rPr>
                    <w:t>35.8</w:t>
                  </w:r>
                </w:p>
              </w:tc>
              <w:tc>
                <w:tcPr>
                  <w:tcW w:w="307" w:type="dxa"/>
                  <w:tcMar>
                    <w:top w:w="0" w:type="dxa"/>
                    <w:left w:w="0" w:type="dxa"/>
                    <w:bottom w:w="0" w:type="dxa"/>
                    <w:right w:w="0" w:type="dxa"/>
                  </w:tcMar>
                  <w:vAlign w:val="center"/>
                </w:tcPr>
                <w:p w14:paraId="16771EF3">
                  <w:pPr>
                    <w:adjustRightInd w:val="0"/>
                    <w:snapToGrid w:val="0"/>
                    <w:jc w:val="center"/>
                    <w:rPr>
                      <w:sz w:val="18"/>
                      <w:szCs w:val="18"/>
                      <w:u w:val="none"/>
                    </w:rPr>
                  </w:pPr>
                  <w:r>
                    <w:rPr>
                      <w:sz w:val="18"/>
                      <w:szCs w:val="18"/>
                      <w:u w:val="none"/>
                    </w:rPr>
                    <w:t>35.8</w:t>
                  </w:r>
                </w:p>
              </w:tc>
              <w:tc>
                <w:tcPr>
                  <w:tcW w:w="197" w:type="dxa"/>
                  <w:tcMar>
                    <w:top w:w="0" w:type="dxa"/>
                    <w:left w:w="0" w:type="dxa"/>
                    <w:bottom w:w="0" w:type="dxa"/>
                    <w:right w:w="0" w:type="dxa"/>
                  </w:tcMar>
                  <w:vAlign w:val="center"/>
                </w:tcPr>
                <w:p w14:paraId="30DD0913">
                  <w:pPr>
                    <w:adjustRightInd w:val="0"/>
                    <w:snapToGrid w:val="0"/>
                    <w:jc w:val="center"/>
                    <w:rPr>
                      <w:sz w:val="18"/>
                      <w:szCs w:val="18"/>
                      <w:u w:val="none"/>
                    </w:rPr>
                  </w:pPr>
                  <w:r>
                    <w:rPr>
                      <w:rFonts w:hint="eastAsia"/>
                      <w:sz w:val="18"/>
                      <w:szCs w:val="18"/>
                      <w:u w:val="none"/>
                    </w:rPr>
                    <w:t>1</w:t>
                  </w:r>
                </w:p>
              </w:tc>
            </w:tr>
            <w:tr w14:paraId="6CB0E30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379" w:type="dxa"/>
                  <w:tcMar>
                    <w:top w:w="0" w:type="dxa"/>
                    <w:left w:w="0" w:type="dxa"/>
                    <w:bottom w:w="0" w:type="dxa"/>
                    <w:right w:w="0" w:type="dxa"/>
                  </w:tcMar>
                  <w:vAlign w:val="center"/>
                </w:tcPr>
                <w:p w14:paraId="780D30C9">
                  <w:pPr>
                    <w:adjustRightInd w:val="0"/>
                    <w:snapToGrid w:val="0"/>
                    <w:jc w:val="center"/>
                    <w:rPr>
                      <w:rFonts w:hint="eastAsia" w:eastAsia="宋体"/>
                      <w:sz w:val="18"/>
                      <w:szCs w:val="18"/>
                      <w:u w:val="none"/>
                      <w:lang w:val="en-US" w:eastAsia="zh-CN"/>
                    </w:rPr>
                  </w:pPr>
                  <w:r>
                    <w:rPr>
                      <w:rFonts w:hint="eastAsia"/>
                      <w:sz w:val="18"/>
                      <w:szCs w:val="18"/>
                      <w:u w:val="none"/>
                      <w:lang w:val="en-US" w:eastAsia="zh-CN"/>
                    </w:rPr>
                    <w:t>9</w:t>
                  </w:r>
                </w:p>
              </w:tc>
              <w:tc>
                <w:tcPr>
                  <w:tcW w:w="267" w:type="dxa"/>
                  <w:vMerge w:val="continue"/>
                  <w:tcMar>
                    <w:top w:w="0" w:type="dxa"/>
                    <w:left w:w="0" w:type="dxa"/>
                    <w:bottom w:w="0" w:type="dxa"/>
                    <w:right w:w="0" w:type="dxa"/>
                  </w:tcMar>
                  <w:vAlign w:val="center"/>
                </w:tcPr>
                <w:p w14:paraId="02861BF3">
                  <w:pPr>
                    <w:adjustRightInd w:val="0"/>
                    <w:snapToGrid w:val="0"/>
                    <w:jc w:val="center"/>
                    <w:rPr>
                      <w:sz w:val="18"/>
                      <w:szCs w:val="18"/>
                      <w:u w:val="none"/>
                    </w:rPr>
                  </w:pPr>
                </w:p>
              </w:tc>
              <w:tc>
                <w:tcPr>
                  <w:tcW w:w="550" w:type="dxa"/>
                  <w:tcMar>
                    <w:top w:w="0" w:type="dxa"/>
                    <w:left w:w="0" w:type="dxa"/>
                    <w:bottom w:w="0" w:type="dxa"/>
                    <w:right w:w="0" w:type="dxa"/>
                  </w:tcMar>
                  <w:vAlign w:val="center"/>
                </w:tcPr>
                <w:p w14:paraId="07071213">
                  <w:pPr>
                    <w:widowControl/>
                    <w:jc w:val="center"/>
                    <w:textAlignment w:val="center"/>
                    <w:rPr>
                      <w:rFonts w:hint="eastAsia" w:eastAsia="宋体"/>
                      <w:sz w:val="18"/>
                      <w:szCs w:val="18"/>
                      <w:u w:val="none"/>
                      <w:lang w:val="en-US" w:eastAsia="zh-CN"/>
                    </w:rPr>
                  </w:pPr>
                  <w:r>
                    <w:rPr>
                      <w:rFonts w:hint="eastAsia"/>
                      <w:sz w:val="18"/>
                      <w:szCs w:val="18"/>
                      <w:u w:val="none"/>
                      <w:lang w:val="en-US" w:eastAsia="zh-CN"/>
                    </w:rPr>
                    <w:t>混料机</w:t>
                  </w:r>
                </w:p>
              </w:tc>
              <w:tc>
                <w:tcPr>
                  <w:tcW w:w="437" w:type="dxa"/>
                  <w:tcMar>
                    <w:top w:w="0" w:type="dxa"/>
                    <w:left w:w="0" w:type="dxa"/>
                    <w:bottom w:w="0" w:type="dxa"/>
                    <w:right w:w="0" w:type="dxa"/>
                  </w:tcMar>
                  <w:vAlign w:val="center"/>
                </w:tcPr>
                <w:p w14:paraId="263D0C91">
                  <w:pPr>
                    <w:adjustRightInd w:val="0"/>
                    <w:snapToGrid w:val="0"/>
                    <w:jc w:val="center"/>
                    <w:rPr>
                      <w:rFonts w:hint="default" w:eastAsia="宋体"/>
                      <w:sz w:val="18"/>
                      <w:szCs w:val="18"/>
                      <w:u w:val="none"/>
                      <w:lang w:val="en-US" w:eastAsia="zh-CN"/>
                    </w:rPr>
                  </w:pPr>
                  <w:r>
                    <w:rPr>
                      <w:rFonts w:hint="eastAsia"/>
                      <w:sz w:val="18"/>
                      <w:szCs w:val="18"/>
                      <w:u w:val="none"/>
                      <w:lang w:val="en-US" w:eastAsia="zh-CN"/>
                    </w:rPr>
                    <w:t>80</w:t>
                  </w:r>
                </w:p>
              </w:tc>
              <w:tc>
                <w:tcPr>
                  <w:tcW w:w="381" w:type="dxa"/>
                  <w:vMerge w:val="continue"/>
                  <w:tcMar>
                    <w:top w:w="0" w:type="dxa"/>
                    <w:left w:w="0" w:type="dxa"/>
                    <w:bottom w:w="0" w:type="dxa"/>
                    <w:right w:w="0" w:type="dxa"/>
                  </w:tcMar>
                  <w:vAlign w:val="center"/>
                </w:tcPr>
                <w:p w14:paraId="13C2B935">
                  <w:pPr>
                    <w:adjustRightInd w:val="0"/>
                    <w:snapToGrid w:val="0"/>
                    <w:jc w:val="center"/>
                    <w:rPr>
                      <w:sz w:val="18"/>
                      <w:szCs w:val="18"/>
                      <w:u w:val="none"/>
                    </w:rPr>
                  </w:pPr>
                </w:p>
              </w:tc>
              <w:tc>
                <w:tcPr>
                  <w:tcW w:w="360" w:type="dxa"/>
                  <w:vMerge w:val="continue"/>
                  <w:tcMar>
                    <w:top w:w="0" w:type="dxa"/>
                    <w:left w:w="0" w:type="dxa"/>
                    <w:bottom w:w="0" w:type="dxa"/>
                    <w:right w:w="0" w:type="dxa"/>
                  </w:tcMar>
                  <w:vAlign w:val="center"/>
                </w:tcPr>
                <w:p w14:paraId="04CC3A91">
                  <w:pPr>
                    <w:adjustRightInd w:val="0"/>
                    <w:snapToGrid w:val="0"/>
                    <w:jc w:val="center"/>
                    <w:rPr>
                      <w:sz w:val="18"/>
                      <w:szCs w:val="18"/>
                      <w:u w:val="none"/>
                    </w:rPr>
                  </w:pPr>
                </w:p>
              </w:tc>
              <w:tc>
                <w:tcPr>
                  <w:tcW w:w="265" w:type="dxa"/>
                  <w:tcMar>
                    <w:top w:w="0" w:type="dxa"/>
                    <w:left w:w="0" w:type="dxa"/>
                    <w:bottom w:w="0" w:type="dxa"/>
                    <w:right w:w="0" w:type="dxa"/>
                  </w:tcMar>
                  <w:vAlign w:val="center"/>
                </w:tcPr>
                <w:p w14:paraId="5BDE3AA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sz w:val="18"/>
                      <w:szCs w:val="18"/>
                      <w:u w:val="none"/>
                    </w:rPr>
                  </w:pPr>
                  <w:r>
                    <w:rPr>
                      <w:rFonts w:hint="default" w:ascii="Times New Roman" w:hAnsi="Times New Roman" w:eastAsia="宋体" w:cs="Times New Roman"/>
                      <w:sz w:val="18"/>
                      <w:szCs w:val="18"/>
                      <w:u w:val="none"/>
                    </w:rPr>
                    <w:t>-19.7</w:t>
                  </w:r>
                </w:p>
              </w:tc>
              <w:tc>
                <w:tcPr>
                  <w:tcW w:w="207" w:type="dxa"/>
                  <w:tcMar>
                    <w:top w:w="0" w:type="dxa"/>
                    <w:left w:w="0" w:type="dxa"/>
                    <w:bottom w:w="0" w:type="dxa"/>
                    <w:right w:w="0" w:type="dxa"/>
                  </w:tcMar>
                  <w:vAlign w:val="center"/>
                </w:tcPr>
                <w:p w14:paraId="7355311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sz w:val="18"/>
                      <w:szCs w:val="18"/>
                      <w:u w:val="none"/>
                    </w:rPr>
                  </w:pPr>
                  <w:r>
                    <w:rPr>
                      <w:rFonts w:hint="default" w:ascii="Times New Roman" w:hAnsi="Times New Roman" w:eastAsia="宋体" w:cs="Times New Roman"/>
                      <w:sz w:val="18"/>
                      <w:szCs w:val="18"/>
                      <w:u w:val="none"/>
                    </w:rPr>
                    <w:t>6.7</w:t>
                  </w:r>
                </w:p>
              </w:tc>
              <w:tc>
                <w:tcPr>
                  <w:tcW w:w="220" w:type="dxa"/>
                  <w:tcMar>
                    <w:top w:w="0" w:type="dxa"/>
                    <w:left w:w="0" w:type="dxa"/>
                    <w:bottom w:w="0" w:type="dxa"/>
                    <w:right w:w="0" w:type="dxa"/>
                  </w:tcMar>
                  <w:vAlign w:val="center"/>
                </w:tcPr>
                <w:p w14:paraId="072C92B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sz w:val="18"/>
                      <w:szCs w:val="18"/>
                      <w:u w:val="none"/>
                    </w:rPr>
                  </w:pPr>
                  <w:r>
                    <w:rPr>
                      <w:rFonts w:hint="eastAsia" w:ascii="Times New Roman" w:hAnsi="Times New Roman" w:eastAsia="宋体" w:cs="Times New Roman"/>
                      <w:sz w:val="18"/>
                      <w:szCs w:val="18"/>
                      <w:u w:val="none"/>
                      <w:lang w:val="en-US" w:eastAsia="zh-CN"/>
                    </w:rPr>
                    <w:t>4</w:t>
                  </w:r>
                </w:p>
              </w:tc>
              <w:tc>
                <w:tcPr>
                  <w:tcW w:w="300" w:type="dxa"/>
                  <w:tcMar>
                    <w:top w:w="0" w:type="dxa"/>
                    <w:left w:w="0" w:type="dxa"/>
                    <w:bottom w:w="0" w:type="dxa"/>
                    <w:right w:w="0" w:type="dxa"/>
                  </w:tcMar>
                  <w:vAlign w:val="center"/>
                </w:tcPr>
                <w:p w14:paraId="3EBC0D1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sz w:val="18"/>
                      <w:szCs w:val="18"/>
                      <w:u w:val="none"/>
                    </w:rPr>
                  </w:pPr>
                  <w:r>
                    <w:rPr>
                      <w:rFonts w:hint="default" w:ascii="Times New Roman" w:hAnsi="Times New Roman" w:eastAsia="宋体" w:cs="Times New Roman"/>
                      <w:sz w:val="18"/>
                      <w:szCs w:val="18"/>
                      <w:u w:val="none"/>
                    </w:rPr>
                    <w:t>60.0</w:t>
                  </w:r>
                </w:p>
              </w:tc>
              <w:tc>
                <w:tcPr>
                  <w:tcW w:w="288" w:type="dxa"/>
                  <w:tcMar>
                    <w:top w:w="0" w:type="dxa"/>
                    <w:left w:w="0" w:type="dxa"/>
                    <w:bottom w:w="0" w:type="dxa"/>
                    <w:right w:w="0" w:type="dxa"/>
                  </w:tcMar>
                  <w:vAlign w:val="center"/>
                </w:tcPr>
                <w:p w14:paraId="1E4CD44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sz w:val="18"/>
                      <w:szCs w:val="18"/>
                      <w:u w:val="none"/>
                    </w:rPr>
                  </w:pPr>
                  <w:r>
                    <w:rPr>
                      <w:rFonts w:hint="default" w:ascii="Times New Roman" w:hAnsi="Times New Roman" w:eastAsia="宋体" w:cs="Times New Roman"/>
                      <w:sz w:val="18"/>
                      <w:szCs w:val="18"/>
                      <w:u w:val="none"/>
                    </w:rPr>
                    <w:t>15.7</w:t>
                  </w:r>
                </w:p>
              </w:tc>
              <w:tc>
                <w:tcPr>
                  <w:tcW w:w="265" w:type="dxa"/>
                  <w:tcMar>
                    <w:top w:w="0" w:type="dxa"/>
                    <w:left w:w="0" w:type="dxa"/>
                    <w:bottom w:w="0" w:type="dxa"/>
                    <w:right w:w="0" w:type="dxa"/>
                  </w:tcMar>
                  <w:vAlign w:val="center"/>
                </w:tcPr>
                <w:p w14:paraId="0FB63E1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sz w:val="18"/>
                      <w:szCs w:val="18"/>
                      <w:u w:val="none"/>
                    </w:rPr>
                  </w:pPr>
                  <w:r>
                    <w:rPr>
                      <w:rFonts w:hint="default" w:ascii="Times New Roman" w:hAnsi="Times New Roman" w:eastAsia="宋体" w:cs="Times New Roman"/>
                      <w:sz w:val="18"/>
                      <w:szCs w:val="18"/>
                      <w:u w:val="none"/>
                    </w:rPr>
                    <w:t>22.7</w:t>
                  </w:r>
                </w:p>
              </w:tc>
              <w:tc>
                <w:tcPr>
                  <w:tcW w:w="313" w:type="dxa"/>
                  <w:tcMar>
                    <w:top w:w="0" w:type="dxa"/>
                    <w:left w:w="0" w:type="dxa"/>
                    <w:bottom w:w="0" w:type="dxa"/>
                    <w:right w:w="0" w:type="dxa"/>
                  </w:tcMar>
                  <w:vAlign w:val="center"/>
                </w:tcPr>
                <w:p w14:paraId="62D5544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sz w:val="18"/>
                      <w:szCs w:val="18"/>
                      <w:u w:val="none"/>
                    </w:rPr>
                  </w:pPr>
                  <w:r>
                    <w:rPr>
                      <w:rFonts w:hint="default" w:ascii="Times New Roman" w:hAnsi="Times New Roman" w:eastAsia="宋体" w:cs="Times New Roman"/>
                      <w:sz w:val="18"/>
                      <w:szCs w:val="18"/>
                      <w:u w:val="none"/>
                    </w:rPr>
                    <w:t>4.9</w:t>
                  </w:r>
                </w:p>
              </w:tc>
              <w:tc>
                <w:tcPr>
                  <w:tcW w:w="265" w:type="dxa"/>
                  <w:tcMar>
                    <w:top w:w="0" w:type="dxa"/>
                    <w:left w:w="0" w:type="dxa"/>
                    <w:bottom w:w="0" w:type="dxa"/>
                    <w:right w:w="0" w:type="dxa"/>
                  </w:tcMar>
                  <w:vAlign w:val="center"/>
                </w:tcPr>
                <w:p w14:paraId="6C040B3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sz w:val="18"/>
                      <w:szCs w:val="18"/>
                      <w:u w:val="none"/>
                    </w:rPr>
                  </w:pPr>
                  <w:r>
                    <w:rPr>
                      <w:rFonts w:hint="default" w:ascii="Times New Roman" w:hAnsi="Times New Roman" w:eastAsia="宋体" w:cs="Times New Roman"/>
                      <w:sz w:val="18"/>
                      <w:szCs w:val="18"/>
                      <w:u w:val="none"/>
                    </w:rPr>
                    <w:t>56.7</w:t>
                  </w:r>
                </w:p>
              </w:tc>
              <w:tc>
                <w:tcPr>
                  <w:tcW w:w="311" w:type="dxa"/>
                  <w:tcMar>
                    <w:top w:w="0" w:type="dxa"/>
                    <w:left w:w="0" w:type="dxa"/>
                    <w:bottom w:w="0" w:type="dxa"/>
                    <w:right w:w="0" w:type="dxa"/>
                  </w:tcMar>
                  <w:vAlign w:val="center"/>
                </w:tcPr>
                <w:p w14:paraId="3B21BBD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sz w:val="18"/>
                      <w:szCs w:val="18"/>
                      <w:u w:val="none"/>
                    </w:rPr>
                  </w:pPr>
                  <w:r>
                    <w:rPr>
                      <w:rFonts w:hint="default" w:ascii="Times New Roman" w:hAnsi="Times New Roman" w:eastAsia="宋体" w:cs="Times New Roman"/>
                      <w:sz w:val="18"/>
                      <w:szCs w:val="18"/>
                      <w:u w:val="none"/>
                    </w:rPr>
                    <w:t>56.8</w:t>
                  </w:r>
                </w:p>
              </w:tc>
              <w:tc>
                <w:tcPr>
                  <w:tcW w:w="252" w:type="dxa"/>
                  <w:tcMar>
                    <w:top w:w="0" w:type="dxa"/>
                    <w:left w:w="0" w:type="dxa"/>
                    <w:bottom w:w="0" w:type="dxa"/>
                    <w:right w:w="0" w:type="dxa"/>
                  </w:tcMar>
                  <w:vAlign w:val="center"/>
                </w:tcPr>
                <w:p w14:paraId="33DFEEF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sz w:val="18"/>
                      <w:szCs w:val="18"/>
                      <w:u w:val="none"/>
                    </w:rPr>
                  </w:pPr>
                  <w:r>
                    <w:rPr>
                      <w:rFonts w:hint="default" w:ascii="Times New Roman" w:hAnsi="Times New Roman" w:eastAsia="宋体" w:cs="Times New Roman"/>
                      <w:sz w:val="18"/>
                      <w:szCs w:val="18"/>
                      <w:u w:val="none"/>
                    </w:rPr>
                    <w:t>56.8</w:t>
                  </w:r>
                </w:p>
              </w:tc>
              <w:tc>
                <w:tcPr>
                  <w:tcW w:w="268" w:type="dxa"/>
                  <w:tcMar>
                    <w:top w:w="0" w:type="dxa"/>
                    <w:left w:w="0" w:type="dxa"/>
                    <w:bottom w:w="0" w:type="dxa"/>
                    <w:right w:w="0" w:type="dxa"/>
                  </w:tcMar>
                  <w:vAlign w:val="center"/>
                </w:tcPr>
                <w:p w14:paraId="14C8B66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sz w:val="18"/>
                      <w:szCs w:val="18"/>
                      <w:u w:val="none"/>
                    </w:rPr>
                  </w:pPr>
                  <w:r>
                    <w:rPr>
                      <w:rFonts w:hint="default" w:ascii="Times New Roman" w:hAnsi="Times New Roman" w:eastAsia="宋体" w:cs="Times New Roman"/>
                      <w:sz w:val="18"/>
                      <w:szCs w:val="18"/>
                      <w:u w:val="none"/>
                    </w:rPr>
                    <w:t>57.6</w:t>
                  </w:r>
                </w:p>
              </w:tc>
              <w:tc>
                <w:tcPr>
                  <w:tcW w:w="368" w:type="dxa"/>
                  <w:tcMar>
                    <w:top w:w="0" w:type="dxa"/>
                    <w:left w:w="0" w:type="dxa"/>
                    <w:bottom w:w="0" w:type="dxa"/>
                    <w:right w:w="0" w:type="dxa"/>
                  </w:tcMar>
                  <w:vAlign w:val="center"/>
                </w:tcPr>
                <w:p w14:paraId="2C80998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sz w:val="18"/>
                      <w:szCs w:val="18"/>
                      <w:u w:val="none"/>
                    </w:rPr>
                  </w:pPr>
                  <w:r>
                    <w:rPr>
                      <w:rFonts w:hint="default" w:ascii="Times New Roman" w:hAnsi="Times New Roman" w:eastAsia="宋体" w:cs="Times New Roman"/>
                      <w:sz w:val="18"/>
                      <w:szCs w:val="18"/>
                      <w:u w:val="none"/>
                    </w:rPr>
                    <w:t>8</w:t>
                  </w:r>
                </w:p>
              </w:tc>
              <w:tc>
                <w:tcPr>
                  <w:tcW w:w="300" w:type="dxa"/>
                  <w:tcMar>
                    <w:top w:w="0" w:type="dxa"/>
                    <w:left w:w="0" w:type="dxa"/>
                    <w:bottom w:w="0" w:type="dxa"/>
                    <w:right w:w="0" w:type="dxa"/>
                  </w:tcMar>
                  <w:vAlign w:val="center"/>
                </w:tcPr>
                <w:p w14:paraId="364D04A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sz w:val="18"/>
                      <w:szCs w:val="18"/>
                      <w:u w:val="none"/>
                    </w:rPr>
                  </w:pPr>
                  <w:r>
                    <w:rPr>
                      <w:rFonts w:hint="eastAsia" w:ascii="Times New Roman" w:hAnsi="Times New Roman" w:eastAsia="宋体" w:cs="Times New Roman"/>
                      <w:sz w:val="18"/>
                      <w:szCs w:val="18"/>
                      <w:u w:val="none"/>
                      <w:lang w:val="en-US" w:eastAsia="zh-CN"/>
                    </w:rPr>
                    <w:t>15.0</w:t>
                  </w:r>
                </w:p>
              </w:tc>
              <w:tc>
                <w:tcPr>
                  <w:tcW w:w="239" w:type="dxa"/>
                  <w:tcMar>
                    <w:top w:w="0" w:type="dxa"/>
                    <w:left w:w="0" w:type="dxa"/>
                    <w:bottom w:w="0" w:type="dxa"/>
                    <w:right w:w="0" w:type="dxa"/>
                  </w:tcMar>
                  <w:vAlign w:val="center"/>
                </w:tcPr>
                <w:p w14:paraId="47C0301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sz w:val="18"/>
                      <w:szCs w:val="18"/>
                      <w:u w:val="none"/>
                    </w:rPr>
                  </w:pPr>
                  <w:r>
                    <w:rPr>
                      <w:rFonts w:hint="eastAsia" w:ascii="Times New Roman" w:hAnsi="Times New Roman" w:eastAsia="宋体" w:cs="Times New Roman"/>
                      <w:sz w:val="18"/>
                      <w:szCs w:val="18"/>
                      <w:u w:val="none"/>
                      <w:lang w:val="en-US" w:eastAsia="zh-CN"/>
                    </w:rPr>
                    <w:t>15.0</w:t>
                  </w:r>
                </w:p>
              </w:tc>
              <w:tc>
                <w:tcPr>
                  <w:tcW w:w="303" w:type="dxa"/>
                  <w:tcMar>
                    <w:top w:w="0" w:type="dxa"/>
                    <w:left w:w="0" w:type="dxa"/>
                    <w:bottom w:w="0" w:type="dxa"/>
                    <w:right w:w="0" w:type="dxa"/>
                  </w:tcMar>
                  <w:vAlign w:val="center"/>
                </w:tcPr>
                <w:p w14:paraId="0483BEB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sz w:val="18"/>
                      <w:szCs w:val="18"/>
                      <w:u w:val="none"/>
                    </w:rPr>
                  </w:pPr>
                  <w:r>
                    <w:rPr>
                      <w:rFonts w:hint="eastAsia" w:ascii="Times New Roman" w:hAnsi="Times New Roman" w:eastAsia="宋体" w:cs="Times New Roman"/>
                      <w:sz w:val="18"/>
                      <w:szCs w:val="18"/>
                      <w:u w:val="none"/>
                      <w:lang w:val="en-US" w:eastAsia="zh-CN"/>
                    </w:rPr>
                    <w:t>15.0</w:t>
                  </w:r>
                </w:p>
              </w:tc>
              <w:tc>
                <w:tcPr>
                  <w:tcW w:w="313" w:type="dxa"/>
                  <w:tcMar>
                    <w:top w:w="0" w:type="dxa"/>
                    <w:left w:w="0" w:type="dxa"/>
                    <w:bottom w:w="0" w:type="dxa"/>
                    <w:right w:w="0" w:type="dxa"/>
                  </w:tcMar>
                  <w:vAlign w:val="center"/>
                </w:tcPr>
                <w:p w14:paraId="6C799A4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sz w:val="18"/>
                      <w:szCs w:val="18"/>
                      <w:u w:val="none"/>
                    </w:rPr>
                  </w:pPr>
                  <w:r>
                    <w:rPr>
                      <w:rFonts w:hint="eastAsia" w:ascii="Times New Roman" w:hAnsi="Times New Roman" w:eastAsia="宋体" w:cs="Times New Roman"/>
                      <w:sz w:val="18"/>
                      <w:szCs w:val="18"/>
                      <w:u w:val="none"/>
                      <w:lang w:val="en-US" w:eastAsia="zh-CN"/>
                    </w:rPr>
                    <w:t>15.0</w:t>
                  </w:r>
                </w:p>
              </w:tc>
              <w:tc>
                <w:tcPr>
                  <w:tcW w:w="308" w:type="dxa"/>
                  <w:tcMar>
                    <w:top w:w="0" w:type="dxa"/>
                    <w:left w:w="0" w:type="dxa"/>
                    <w:bottom w:w="0" w:type="dxa"/>
                    <w:right w:w="0" w:type="dxa"/>
                  </w:tcMar>
                  <w:vAlign w:val="center"/>
                </w:tcPr>
                <w:p w14:paraId="5619484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sz w:val="18"/>
                      <w:szCs w:val="18"/>
                      <w:u w:val="none"/>
                    </w:rPr>
                  </w:pPr>
                  <w:r>
                    <w:rPr>
                      <w:rFonts w:hint="default" w:ascii="Times New Roman" w:hAnsi="Times New Roman" w:eastAsia="宋体" w:cs="Times New Roman"/>
                      <w:sz w:val="18"/>
                      <w:szCs w:val="18"/>
                      <w:u w:val="none"/>
                    </w:rPr>
                    <w:t>30.7</w:t>
                  </w:r>
                </w:p>
              </w:tc>
              <w:tc>
                <w:tcPr>
                  <w:tcW w:w="307" w:type="dxa"/>
                  <w:tcMar>
                    <w:top w:w="0" w:type="dxa"/>
                    <w:left w:w="0" w:type="dxa"/>
                    <w:bottom w:w="0" w:type="dxa"/>
                    <w:right w:w="0" w:type="dxa"/>
                  </w:tcMar>
                  <w:vAlign w:val="center"/>
                </w:tcPr>
                <w:p w14:paraId="0867949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sz w:val="18"/>
                      <w:szCs w:val="18"/>
                      <w:u w:val="none"/>
                    </w:rPr>
                  </w:pPr>
                  <w:r>
                    <w:rPr>
                      <w:rFonts w:hint="default" w:ascii="Times New Roman" w:hAnsi="Times New Roman" w:eastAsia="宋体" w:cs="Times New Roman"/>
                      <w:sz w:val="18"/>
                      <w:szCs w:val="18"/>
                      <w:u w:val="none"/>
                    </w:rPr>
                    <w:t>30.8</w:t>
                  </w:r>
                </w:p>
              </w:tc>
              <w:tc>
                <w:tcPr>
                  <w:tcW w:w="307" w:type="dxa"/>
                  <w:tcMar>
                    <w:top w:w="0" w:type="dxa"/>
                    <w:left w:w="0" w:type="dxa"/>
                    <w:bottom w:w="0" w:type="dxa"/>
                    <w:right w:w="0" w:type="dxa"/>
                  </w:tcMar>
                  <w:vAlign w:val="center"/>
                </w:tcPr>
                <w:p w14:paraId="197182E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sz w:val="18"/>
                      <w:szCs w:val="18"/>
                      <w:u w:val="none"/>
                    </w:rPr>
                  </w:pPr>
                  <w:r>
                    <w:rPr>
                      <w:rFonts w:hint="default" w:ascii="Times New Roman" w:hAnsi="Times New Roman" w:eastAsia="宋体" w:cs="Times New Roman"/>
                      <w:sz w:val="18"/>
                      <w:szCs w:val="18"/>
                      <w:u w:val="none"/>
                    </w:rPr>
                    <w:t>30.8</w:t>
                  </w:r>
                </w:p>
              </w:tc>
              <w:tc>
                <w:tcPr>
                  <w:tcW w:w="307" w:type="dxa"/>
                  <w:tcMar>
                    <w:top w:w="0" w:type="dxa"/>
                    <w:left w:w="0" w:type="dxa"/>
                    <w:bottom w:w="0" w:type="dxa"/>
                    <w:right w:w="0" w:type="dxa"/>
                  </w:tcMar>
                  <w:vAlign w:val="center"/>
                </w:tcPr>
                <w:p w14:paraId="797BF3C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sz w:val="18"/>
                      <w:szCs w:val="18"/>
                      <w:u w:val="none"/>
                    </w:rPr>
                  </w:pPr>
                  <w:r>
                    <w:rPr>
                      <w:rFonts w:hint="default" w:ascii="Times New Roman" w:hAnsi="Times New Roman" w:eastAsia="宋体" w:cs="Times New Roman"/>
                      <w:sz w:val="18"/>
                      <w:szCs w:val="18"/>
                      <w:u w:val="none"/>
                    </w:rPr>
                    <w:t>31.6</w:t>
                  </w:r>
                </w:p>
              </w:tc>
              <w:tc>
                <w:tcPr>
                  <w:tcW w:w="197" w:type="dxa"/>
                  <w:tcMar>
                    <w:top w:w="0" w:type="dxa"/>
                    <w:left w:w="0" w:type="dxa"/>
                    <w:bottom w:w="0" w:type="dxa"/>
                    <w:right w:w="0" w:type="dxa"/>
                  </w:tcMar>
                  <w:vAlign w:val="center"/>
                </w:tcPr>
                <w:p w14:paraId="2C02CD6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sz w:val="18"/>
                      <w:szCs w:val="18"/>
                      <w:u w:val="none"/>
                    </w:rPr>
                  </w:pPr>
                  <w:r>
                    <w:rPr>
                      <w:rFonts w:hint="default" w:ascii="Times New Roman" w:hAnsi="Times New Roman" w:eastAsia="宋体" w:cs="Times New Roman"/>
                      <w:sz w:val="18"/>
                      <w:szCs w:val="18"/>
                      <w:u w:val="none"/>
                    </w:rPr>
                    <w:t>1</w:t>
                  </w:r>
                </w:p>
              </w:tc>
            </w:tr>
            <w:tr w14:paraId="6FFF11C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379" w:type="dxa"/>
                  <w:tcMar>
                    <w:top w:w="0" w:type="dxa"/>
                    <w:left w:w="0" w:type="dxa"/>
                    <w:bottom w:w="0" w:type="dxa"/>
                    <w:right w:w="0" w:type="dxa"/>
                  </w:tcMar>
                  <w:vAlign w:val="center"/>
                </w:tcPr>
                <w:p w14:paraId="16EEC26E">
                  <w:pPr>
                    <w:adjustRightInd w:val="0"/>
                    <w:snapToGrid w:val="0"/>
                    <w:jc w:val="center"/>
                    <w:rPr>
                      <w:rFonts w:hint="default" w:eastAsia="宋体"/>
                      <w:sz w:val="18"/>
                      <w:szCs w:val="18"/>
                      <w:u w:val="none"/>
                      <w:lang w:val="en-US" w:eastAsia="zh-CN"/>
                    </w:rPr>
                  </w:pPr>
                  <w:r>
                    <w:rPr>
                      <w:rFonts w:hint="eastAsia"/>
                      <w:sz w:val="18"/>
                      <w:szCs w:val="18"/>
                      <w:u w:val="none"/>
                      <w:lang w:val="en-US" w:eastAsia="zh-CN"/>
                    </w:rPr>
                    <w:t>10</w:t>
                  </w:r>
                </w:p>
              </w:tc>
              <w:tc>
                <w:tcPr>
                  <w:tcW w:w="267" w:type="dxa"/>
                  <w:vMerge w:val="continue"/>
                  <w:tcMar>
                    <w:top w:w="0" w:type="dxa"/>
                    <w:left w:w="0" w:type="dxa"/>
                    <w:bottom w:w="0" w:type="dxa"/>
                    <w:right w:w="0" w:type="dxa"/>
                  </w:tcMar>
                  <w:vAlign w:val="center"/>
                </w:tcPr>
                <w:p w14:paraId="6B400316">
                  <w:pPr>
                    <w:adjustRightInd w:val="0"/>
                    <w:snapToGrid w:val="0"/>
                    <w:jc w:val="center"/>
                    <w:rPr>
                      <w:sz w:val="18"/>
                      <w:szCs w:val="18"/>
                      <w:u w:val="none"/>
                    </w:rPr>
                  </w:pPr>
                </w:p>
              </w:tc>
              <w:tc>
                <w:tcPr>
                  <w:tcW w:w="550" w:type="dxa"/>
                  <w:tcMar>
                    <w:top w:w="0" w:type="dxa"/>
                    <w:left w:w="0" w:type="dxa"/>
                    <w:bottom w:w="0" w:type="dxa"/>
                    <w:right w:w="0" w:type="dxa"/>
                  </w:tcMar>
                  <w:vAlign w:val="center"/>
                </w:tcPr>
                <w:p w14:paraId="1E20833E">
                  <w:pPr>
                    <w:widowControl/>
                    <w:jc w:val="center"/>
                    <w:textAlignment w:val="center"/>
                    <w:rPr>
                      <w:rFonts w:hint="default" w:eastAsia="宋体"/>
                      <w:sz w:val="18"/>
                      <w:szCs w:val="18"/>
                      <w:u w:val="none"/>
                      <w:lang w:val="en-US" w:eastAsia="zh-CN"/>
                    </w:rPr>
                  </w:pPr>
                  <w:r>
                    <w:rPr>
                      <w:rFonts w:hint="eastAsia"/>
                      <w:sz w:val="18"/>
                      <w:szCs w:val="18"/>
                      <w:u w:val="none"/>
                      <w:lang w:val="en-US" w:eastAsia="zh-CN"/>
                    </w:rPr>
                    <w:t>磨床</w:t>
                  </w:r>
                </w:p>
              </w:tc>
              <w:tc>
                <w:tcPr>
                  <w:tcW w:w="437" w:type="dxa"/>
                  <w:tcMar>
                    <w:top w:w="0" w:type="dxa"/>
                    <w:left w:w="0" w:type="dxa"/>
                    <w:bottom w:w="0" w:type="dxa"/>
                    <w:right w:w="0" w:type="dxa"/>
                  </w:tcMar>
                  <w:vAlign w:val="center"/>
                </w:tcPr>
                <w:p w14:paraId="6D79034C">
                  <w:pPr>
                    <w:adjustRightInd w:val="0"/>
                    <w:snapToGrid w:val="0"/>
                    <w:jc w:val="center"/>
                    <w:rPr>
                      <w:rFonts w:hint="default" w:eastAsia="宋体"/>
                      <w:sz w:val="18"/>
                      <w:szCs w:val="18"/>
                      <w:u w:val="none"/>
                      <w:lang w:val="en-US" w:eastAsia="zh-CN"/>
                    </w:rPr>
                  </w:pPr>
                  <w:r>
                    <w:rPr>
                      <w:rFonts w:hint="eastAsia"/>
                      <w:sz w:val="18"/>
                      <w:szCs w:val="18"/>
                      <w:u w:val="none"/>
                      <w:lang w:val="en-US" w:eastAsia="zh-CN"/>
                    </w:rPr>
                    <w:t>75</w:t>
                  </w:r>
                </w:p>
              </w:tc>
              <w:tc>
                <w:tcPr>
                  <w:tcW w:w="381" w:type="dxa"/>
                  <w:vMerge w:val="continue"/>
                  <w:tcMar>
                    <w:top w:w="0" w:type="dxa"/>
                    <w:left w:w="0" w:type="dxa"/>
                    <w:bottom w:w="0" w:type="dxa"/>
                    <w:right w:w="0" w:type="dxa"/>
                  </w:tcMar>
                  <w:vAlign w:val="center"/>
                </w:tcPr>
                <w:p w14:paraId="36921A24">
                  <w:pPr>
                    <w:adjustRightInd w:val="0"/>
                    <w:snapToGrid w:val="0"/>
                    <w:jc w:val="center"/>
                    <w:rPr>
                      <w:sz w:val="18"/>
                      <w:szCs w:val="18"/>
                      <w:u w:val="none"/>
                    </w:rPr>
                  </w:pPr>
                </w:p>
              </w:tc>
              <w:tc>
                <w:tcPr>
                  <w:tcW w:w="360" w:type="dxa"/>
                  <w:vMerge w:val="continue"/>
                  <w:tcMar>
                    <w:top w:w="0" w:type="dxa"/>
                    <w:left w:w="0" w:type="dxa"/>
                    <w:bottom w:w="0" w:type="dxa"/>
                    <w:right w:w="0" w:type="dxa"/>
                  </w:tcMar>
                  <w:vAlign w:val="center"/>
                </w:tcPr>
                <w:p w14:paraId="06D3DFA0">
                  <w:pPr>
                    <w:adjustRightInd w:val="0"/>
                    <w:snapToGrid w:val="0"/>
                    <w:jc w:val="center"/>
                    <w:rPr>
                      <w:sz w:val="18"/>
                      <w:szCs w:val="18"/>
                      <w:u w:val="none"/>
                    </w:rPr>
                  </w:pPr>
                </w:p>
              </w:tc>
              <w:tc>
                <w:tcPr>
                  <w:tcW w:w="265" w:type="dxa"/>
                  <w:tcMar>
                    <w:top w:w="0" w:type="dxa"/>
                    <w:left w:w="0" w:type="dxa"/>
                    <w:bottom w:w="0" w:type="dxa"/>
                    <w:right w:w="0" w:type="dxa"/>
                  </w:tcMar>
                  <w:vAlign w:val="center"/>
                </w:tcPr>
                <w:p w14:paraId="22EE69E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sz w:val="18"/>
                      <w:szCs w:val="18"/>
                      <w:u w:val="none"/>
                    </w:rPr>
                  </w:pPr>
                  <w:r>
                    <w:rPr>
                      <w:rFonts w:hint="default" w:ascii="Times New Roman" w:hAnsi="Times New Roman" w:eastAsia="宋体" w:cs="Times New Roman"/>
                      <w:sz w:val="18"/>
                      <w:szCs w:val="18"/>
                      <w:u w:val="none"/>
                    </w:rPr>
                    <w:t>-11.2</w:t>
                  </w:r>
                </w:p>
              </w:tc>
              <w:tc>
                <w:tcPr>
                  <w:tcW w:w="207" w:type="dxa"/>
                  <w:tcMar>
                    <w:top w:w="0" w:type="dxa"/>
                    <w:left w:w="0" w:type="dxa"/>
                    <w:bottom w:w="0" w:type="dxa"/>
                    <w:right w:w="0" w:type="dxa"/>
                  </w:tcMar>
                  <w:vAlign w:val="center"/>
                </w:tcPr>
                <w:p w14:paraId="737C56B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sz w:val="18"/>
                      <w:szCs w:val="18"/>
                      <w:u w:val="none"/>
                    </w:rPr>
                  </w:pPr>
                  <w:r>
                    <w:rPr>
                      <w:rFonts w:hint="default" w:ascii="Times New Roman" w:hAnsi="Times New Roman" w:eastAsia="宋体" w:cs="Times New Roman"/>
                      <w:sz w:val="18"/>
                      <w:szCs w:val="18"/>
                      <w:u w:val="none"/>
                    </w:rPr>
                    <w:t>-2.9</w:t>
                  </w:r>
                </w:p>
              </w:tc>
              <w:tc>
                <w:tcPr>
                  <w:tcW w:w="220" w:type="dxa"/>
                  <w:tcMar>
                    <w:top w:w="0" w:type="dxa"/>
                    <w:left w:w="0" w:type="dxa"/>
                    <w:bottom w:w="0" w:type="dxa"/>
                    <w:right w:w="0" w:type="dxa"/>
                  </w:tcMar>
                  <w:vAlign w:val="center"/>
                </w:tcPr>
                <w:p w14:paraId="28E5FB5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sz w:val="18"/>
                      <w:szCs w:val="18"/>
                      <w:u w:val="none"/>
                    </w:rPr>
                  </w:pPr>
                  <w:r>
                    <w:rPr>
                      <w:rFonts w:hint="eastAsia" w:ascii="Times New Roman" w:hAnsi="Times New Roman" w:eastAsia="宋体" w:cs="Times New Roman"/>
                      <w:sz w:val="18"/>
                      <w:szCs w:val="18"/>
                      <w:u w:val="none"/>
                      <w:lang w:val="en-US" w:eastAsia="zh-CN"/>
                    </w:rPr>
                    <w:t>3</w:t>
                  </w:r>
                </w:p>
              </w:tc>
              <w:tc>
                <w:tcPr>
                  <w:tcW w:w="300" w:type="dxa"/>
                  <w:tcMar>
                    <w:top w:w="0" w:type="dxa"/>
                    <w:left w:w="0" w:type="dxa"/>
                    <w:bottom w:w="0" w:type="dxa"/>
                    <w:right w:w="0" w:type="dxa"/>
                  </w:tcMar>
                  <w:vAlign w:val="center"/>
                </w:tcPr>
                <w:p w14:paraId="27A843B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sz w:val="18"/>
                      <w:szCs w:val="18"/>
                      <w:u w:val="none"/>
                    </w:rPr>
                  </w:pPr>
                  <w:r>
                    <w:rPr>
                      <w:rFonts w:hint="default" w:ascii="Times New Roman" w:hAnsi="Times New Roman" w:eastAsia="宋体" w:cs="Times New Roman"/>
                      <w:sz w:val="18"/>
                      <w:szCs w:val="18"/>
                      <w:u w:val="none"/>
                    </w:rPr>
                    <w:t>52.2</w:t>
                  </w:r>
                </w:p>
              </w:tc>
              <w:tc>
                <w:tcPr>
                  <w:tcW w:w="288" w:type="dxa"/>
                  <w:tcMar>
                    <w:top w:w="0" w:type="dxa"/>
                    <w:left w:w="0" w:type="dxa"/>
                    <w:bottom w:w="0" w:type="dxa"/>
                    <w:right w:w="0" w:type="dxa"/>
                  </w:tcMar>
                  <w:vAlign w:val="center"/>
                </w:tcPr>
                <w:p w14:paraId="4130FF9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sz w:val="18"/>
                      <w:szCs w:val="18"/>
                      <w:u w:val="none"/>
                    </w:rPr>
                  </w:pPr>
                  <w:r>
                    <w:rPr>
                      <w:rFonts w:hint="default" w:ascii="Times New Roman" w:hAnsi="Times New Roman" w:eastAsia="宋体" w:cs="Times New Roman"/>
                      <w:sz w:val="18"/>
                      <w:szCs w:val="18"/>
                      <w:u w:val="none"/>
                    </w:rPr>
                    <w:t>6.9</w:t>
                  </w:r>
                </w:p>
              </w:tc>
              <w:tc>
                <w:tcPr>
                  <w:tcW w:w="265" w:type="dxa"/>
                  <w:tcMar>
                    <w:top w:w="0" w:type="dxa"/>
                    <w:left w:w="0" w:type="dxa"/>
                    <w:bottom w:w="0" w:type="dxa"/>
                    <w:right w:w="0" w:type="dxa"/>
                  </w:tcMar>
                  <w:vAlign w:val="center"/>
                </w:tcPr>
                <w:p w14:paraId="7944430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sz w:val="18"/>
                      <w:szCs w:val="18"/>
                      <w:u w:val="none"/>
                    </w:rPr>
                  </w:pPr>
                  <w:r>
                    <w:rPr>
                      <w:rFonts w:hint="default" w:ascii="Times New Roman" w:hAnsi="Times New Roman" w:eastAsia="宋体" w:cs="Times New Roman"/>
                      <w:sz w:val="18"/>
                      <w:szCs w:val="18"/>
                      <w:u w:val="none"/>
                    </w:rPr>
                    <w:t>31.8</w:t>
                  </w:r>
                </w:p>
              </w:tc>
              <w:tc>
                <w:tcPr>
                  <w:tcW w:w="313" w:type="dxa"/>
                  <w:tcMar>
                    <w:top w:w="0" w:type="dxa"/>
                    <w:left w:w="0" w:type="dxa"/>
                    <w:bottom w:w="0" w:type="dxa"/>
                    <w:right w:w="0" w:type="dxa"/>
                  </w:tcMar>
                  <w:vAlign w:val="center"/>
                </w:tcPr>
                <w:p w14:paraId="5098381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sz w:val="18"/>
                      <w:szCs w:val="18"/>
                      <w:u w:val="none"/>
                    </w:rPr>
                  </w:pPr>
                  <w:r>
                    <w:rPr>
                      <w:rFonts w:hint="default" w:ascii="Times New Roman" w:hAnsi="Times New Roman" w:eastAsia="宋体" w:cs="Times New Roman"/>
                      <w:sz w:val="18"/>
                      <w:szCs w:val="18"/>
                      <w:u w:val="none"/>
                    </w:rPr>
                    <w:t>13.9</w:t>
                  </w:r>
                </w:p>
              </w:tc>
              <w:tc>
                <w:tcPr>
                  <w:tcW w:w="265" w:type="dxa"/>
                  <w:tcMar>
                    <w:top w:w="0" w:type="dxa"/>
                    <w:left w:w="0" w:type="dxa"/>
                    <w:bottom w:w="0" w:type="dxa"/>
                    <w:right w:w="0" w:type="dxa"/>
                  </w:tcMar>
                  <w:vAlign w:val="center"/>
                </w:tcPr>
                <w:p w14:paraId="7D6C67D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sz w:val="18"/>
                      <w:szCs w:val="18"/>
                      <w:u w:val="none"/>
                    </w:rPr>
                  </w:pPr>
                  <w:r>
                    <w:rPr>
                      <w:rFonts w:hint="default" w:ascii="Times New Roman" w:hAnsi="Times New Roman" w:eastAsia="宋体" w:cs="Times New Roman"/>
                      <w:sz w:val="18"/>
                      <w:szCs w:val="18"/>
                      <w:u w:val="none"/>
                    </w:rPr>
                    <w:t>56.7</w:t>
                  </w:r>
                </w:p>
              </w:tc>
              <w:tc>
                <w:tcPr>
                  <w:tcW w:w="311" w:type="dxa"/>
                  <w:tcMar>
                    <w:top w:w="0" w:type="dxa"/>
                    <w:left w:w="0" w:type="dxa"/>
                    <w:bottom w:w="0" w:type="dxa"/>
                    <w:right w:w="0" w:type="dxa"/>
                  </w:tcMar>
                  <w:vAlign w:val="center"/>
                </w:tcPr>
                <w:p w14:paraId="1DA258C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sz w:val="18"/>
                      <w:szCs w:val="18"/>
                      <w:u w:val="none"/>
                    </w:rPr>
                  </w:pPr>
                  <w:r>
                    <w:rPr>
                      <w:rFonts w:hint="default" w:ascii="Times New Roman" w:hAnsi="Times New Roman" w:eastAsia="宋体" w:cs="Times New Roman"/>
                      <w:sz w:val="18"/>
                      <w:szCs w:val="18"/>
                      <w:u w:val="none"/>
                    </w:rPr>
                    <w:t>57.2</w:t>
                  </w:r>
                </w:p>
              </w:tc>
              <w:tc>
                <w:tcPr>
                  <w:tcW w:w="252" w:type="dxa"/>
                  <w:tcMar>
                    <w:top w:w="0" w:type="dxa"/>
                    <w:left w:w="0" w:type="dxa"/>
                    <w:bottom w:w="0" w:type="dxa"/>
                    <w:right w:w="0" w:type="dxa"/>
                  </w:tcMar>
                  <w:vAlign w:val="center"/>
                </w:tcPr>
                <w:p w14:paraId="7CB94B5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sz w:val="18"/>
                      <w:szCs w:val="18"/>
                      <w:u w:val="none"/>
                    </w:rPr>
                  </w:pPr>
                  <w:r>
                    <w:rPr>
                      <w:rFonts w:hint="default" w:ascii="Times New Roman" w:hAnsi="Times New Roman" w:eastAsia="宋体" w:cs="Times New Roman"/>
                      <w:sz w:val="18"/>
                      <w:szCs w:val="18"/>
                      <w:u w:val="none"/>
                    </w:rPr>
                    <w:t>56.7</w:t>
                  </w:r>
                </w:p>
              </w:tc>
              <w:tc>
                <w:tcPr>
                  <w:tcW w:w="268" w:type="dxa"/>
                  <w:tcMar>
                    <w:top w:w="0" w:type="dxa"/>
                    <w:left w:w="0" w:type="dxa"/>
                    <w:bottom w:w="0" w:type="dxa"/>
                    <w:right w:w="0" w:type="dxa"/>
                  </w:tcMar>
                  <w:vAlign w:val="center"/>
                </w:tcPr>
                <w:p w14:paraId="4A57282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sz w:val="18"/>
                      <w:szCs w:val="18"/>
                      <w:u w:val="none"/>
                    </w:rPr>
                  </w:pPr>
                  <w:r>
                    <w:rPr>
                      <w:rFonts w:hint="default" w:ascii="Times New Roman" w:hAnsi="Times New Roman" w:eastAsia="宋体" w:cs="Times New Roman"/>
                      <w:sz w:val="18"/>
                      <w:szCs w:val="18"/>
                      <w:u w:val="none"/>
                    </w:rPr>
                    <w:t>56.8</w:t>
                  </w:r>
                </w:p>
              </w:tc>
              <w:tc>
                <w:tcPr>
                  <w:tcW w:w="368" w:type="dxa"/>
                  <w:tcMar>
                    <w:top w:w="0" w:type="dxa"/>
                    <w:left w:w="0" w:type="dxa"/>
                    <w:bottom w:w="0" w:type="dxa"/>
                    <w:right w:w="0" w:type="dxa"/>
                  </w:tcMar>
                  <w:vAlign w:val="center"/>
                </w:tcPr>
                <w:p w14:paraId="55AB132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sz w:val="18"/>
                      <w:szCs w:val="18"/>
                      <w:u w:val="none"/>
                    </w:rPr>
                  </w:pPr>
                  <w:r>
                    <w:rPr>
                      <w:rFonts w:hint="default" w:ascii="Times New Roman" w:hAnsi="Times New Roman" w:eastAsia="宋体" w:cs="Times New Roman"/>
                      <w:sz w:val="18"/>
                      <w:szCs w:val="18"/>
                      <w:u w:val="none"/>
                    </w:rPr>
                    <w:t>8</w:t>
                  </w:r>
                </w:p>
              </w:tc>
              <w:tc>
                <w:tcPr>
                  <w:tcW w:w="300" w:type="dxa"/>
                  <w:tcMar>
                    <w:top w:w="0" w:type="dxa"/>
                    <w:left w:w="0" w:type="dxa"/>
                    <w:bottom w:w="0" w:type="dxa"/>
                    <w:right w:w="0" w:type="dxa"/>
                  </w:tcMar>
                  <w:vAlign w:val="center"/>
                </w:tcPr>
                <w:p w14:paraId="2DFF479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sz w:val="18"/>
                      <w:szCs w:val="18"/>
                      <w:u w:val="none"/>
                    </w:rPr>
                  </w:pPr>
                  <w:r>
                    <w:rPr>
                      <w:rFonts w:hint="eastAsia" w:ascii="Times New Roman" w:hAnsi="Times New Roman" w:eastAsia="宋体" w:cs="Times New Roman"/>
                      <w:sz w:val="18"/>
                      <w:szCs w:val="18"/>
                      <w:u w:val="none"/>
                      <w:lang w:val="en-US" w:eastAsia="zh-CN"/>
                    </w:rPr>
                    <w:t>15.0</w:t>
                  </w:r>
                </w:p>
              </w:tc>
              <w:tc>
                <w:tcPr>
                  <w:tcW w:w="239" w:type="dxa"/>
                  <w:tcMar>
                    <w:top w:w="0" w:type="dxa"/>
                    <w:left w:w="0" w:type="dxa"/>
                    <w:bottom w:w="0" w:type="dxa"/>
                    <w:right w:w="0" w:type="dxa"/>
                  </w:tcMar>
                  <w:vAlign w:val="center"/>
                </w:tcPr>
                <w:p w14:paraId="3014FC5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sz w:val="18"/>
                      <w:szCs w:val="18"/>
                      <w:u w:val="none"/>
                    </w:rPr>
                  </w:pPr>
                  <w:r>
                    <w:rPr>
                      <w:rFonts w:hint="eastAsia" w:ascii="Times New Roman" w:hAnsi="Times New Roman" w:eastAsia="宋体" w:cs="Times New Roman"/>
                      <w:sz w:val="18"/>
                      <w:szCs w:val="18"/>
                      <w:u w:val="none"/>
                      <w:lang w:val="en-US" w:eastAsia="zh-CN"/>
                    </w:rPr>
                    <w:t>15.0</w:t>
                  </w:r>
                </w:p>
              </w:tc>
              <w:tc>
                <w:tcPr>
                  <w:tcW w:w="303" w:type="dxa"/>
                  <w:tcMar>
                    <w:top w:w="0" w:type="dxa"/>
                    <w:left w:w="0" w:type="dxa"/>
                    <w:bottom w:w="0" w:type="dxa"/>
                    <w:right w:w="0" w:type="dxa"/>
                  </w:tcMar>
                  <w:vAlign w:val="center"/>
                </w:tcPr>
                <w:p w14:paraId="56D9859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sz w:val="18"/>
                      <w:szCs w:val="18"/>
                      <w:u w:val="none"/>
                    </w:rPr>
                  </w:pPr>
                  <w:r>
                    <w:rPr>
                      <w:rFonts w:hint="eastAsia" w:ascii="Times New Roman" w:hAnsi="Times New Roman" w:eastAsia="宋体" w:cs="Times New Roman"/>
                      <w:sz w:val="18"/>
                      <w:szCs w:val="18"/>
                      <w:u w:val="none"/>
                      <w:lang w:val="en-US" w:eastAsia="zh-CN"/>
                    </w:rPr>
                    <w:t>15.0</w:t>
                  </w:r>
                </w:p>
              </w:tc>
              <w:tc>
                <w:tcPr>
                  <w:tcW w:w="313" w:type="dxa"/>
                  <w:tcMar>
                    <w:top w:w="0" w:type="dxa"/>
                    <w:left w:w="0" w:type="dxa"/>
                    <w:bottom w:w="0" w:type="dxa"/>
                    <w:right w:w="0" w:type="dxa"/>
                  </w:tcMar>
                  <w:vAlign w:val="center"/>
                </w:tcPr>
                <w:p w14:paraId="6D7C6A9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sz w:val="18"/>
                      <w:szCs w:val="18"/>
                      <w:u w:val="none"/>
                    </w:rPr>
                  </w:pPr>
                  <w:r>
                    <w:rPr>
                      <w:rFonts w:hint="eastAsia" w:ascii="Times New Roman" w:hAnsi="Times New Roman" w:eastAsia="宋体" w:cs="Times New Roman"/>
                      <w:sz w:val="18"/>
                      <w:szCs w:val="18"/>
                      <w:u w:val="none"/>
                      <w:lang w:val="en-US" w:eastAsia="zh-CN"/>
                    </w:rPr>
                    <w:t>15.0</w:t>
                  </w:r>
                </w:p>
              </w:tc>
              <w:tc>
                <w:tcPr>
                  <w:tcW w:w="308" w:type="dxa"/>
                  <w:tcMar>
                    <w:top w:w="0" w:type="dxa"/>
                    <w:left w:w="0" w:type="dxa"/>
                    <w:bottom w:w="0" w:type="dxa"/>
                    <w:right w:w="0" w:type="dxa"/>
                  </w:tcMar>
                  <w:vAlign w:val="center"/>
                </w:tcPr>
                <w:p w14:paraId="7A16D37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sz w:val="18"/>
                      <w:szCs w:val="18"/>
                      <w:u w:val="none"/>
                    </w:rPr>
                  </w:pPr>
                  <w:r>
                    <w:rPr>
                      <w:rFonts w:hint="default" w:ascii="Times New Roman" w:hAnsi="Times New Roman" w:eastAsia="宋体" w:cs="Times New Roman"/>
                      <w:sz w:val="18"/>
                      <w:szCs w:val="18"/>
                      <w:u w:val="none"/>
                    </w:rPr>
                    <w:t>30.7</w:t>
                  </w:r>
                </w:p>
              </w:tc>
              <w:tc>
                <w:tcPr>
                  <w:tcW w:w="307" w:type="dxa"/>
                  <w:tcMar>
                    <w:top w:w="0" w:type="dxa"/>
                    <w:left w:w="0" w:type="dxa"/>
                    <w:bottom w:w="0" w:type="dxa"/>
                    <w:right w:w="0" w:type="dxa"/>
                  </w:tcMar>
                  <w:vAlign w:val="center"/>
                </w:tcPr>
                <w:p w14:paraId="7A356F9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sz w:val="18"/>
                      <w:szCs w:val="18"/>
                      <w:u w:val="none"/>
                    </w:rPr>
                  </w:pPr>
                  <w:r>
                    <w:rPr>
                      <w:rFonts w:hint="default" w:ascii="Times New Roman" w:hAnsi="Times New Roman" w:eastAsia="宋体" w:cs="Times New Roman"/>
                      <w:sz w:val="18"/>
                      <w:szCs w:val="18"/>
                      <w:u w:val="none"/>
                    </w:rPr>
                    <w:t>31.2</w:t>
                  </w:r>
                </w:p>
              </w:tc>
              <w:tc>
                <w:tcPr>
                  <w:tcW w:w="307" w:type="dxa"/>
                  <w:tcMar>
                    <w:top w:w="0" w:type="dxa"/>
                    <w:left w:w="0" w:type="dxa"/>
                    <w:bottom w:w="0" w:type="dxa"/>
                    <w:right w:w="0" w:type="dxa"/>
                  </w:tcMar>
                  <w:vAlign w:val="center"/>
                </w:tcPr>
                <w:p w14:paraId="576B26F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sz w:val="18"/>
                      <w:szCs w:val="18"/>
                      <w:u w:val="none"/>
                    </w:rPr>
                  </w:pPr>
                  <w:r>
                    <w:rPr>
                      <w:rFonts w:hint="default" w:ascii="Times New Roman" w:hAnsi="Times New Roman" w:eastAsia="宋体" w:cs="Times New Roman"/>
                      <w:sz w:val="18"/>
                      <w:szCs w:val="18"/>
                      <w:u w:val="none"/>
                    </w:rPr>
                    <w:t>30.7</w:t>
                  </w:r>
                </w:p>
              </w:tc>
              <w:tc>
                <w:tcPr>
                  <w:tcW w:w="307" w:type="dxa"/>
                  <w:tcMar>
                    <w:top w:w="0" w:type="dxa"/>
                    <w:left w:w="0" w:type="dxa"/>
                    <w:bottom w:w="0" w:type="dxa"/>
                    <w:right w:w="0" w:type="dxa"/>
                  </w:tcMar>
                  <w:vAlign w:val="center"/>
                </w:tcPr>
                <w:p w14:paraId="27E19A8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sz w:val="18"/>
                      <w:szCs w:val="18"/>
                      <w:u w:val="none"/>
                    </w:rPr>
                  </w:pPr>
                  <w:r>
                    <w:rPr>
                      <w:rFonts w:hint="default" w:ascii="Times New Roman" w:hAnsi="Times New Roman" w:eastAsia="宋体" w:cs="Times New Roman"/>
                      <w:sz w:val="18"/>
                      <w:szCs w:val="18"/>
                      <w:u w:val="none"/>
                    </w:rPr>
                    <w:t>30.8</w:t>
                  </w:r>
                </w:p>
              </w:tc>
              <w:tc>
                <w:tcPr>
                  <w:tcW w:w="197" w:type="dxa"/>
                  <w:tcMar>
                    <w:top w:w="0" w:type="dxa"/>
                    <w:left w:w="0" w:type="dxa"/>
                    <w:bottom w:w="0" w:type="dxa"/>
                    <w:right w:w="0" w:type="dxa"/>
                  </w:tcMar>
                  <w:vAlign w:val="center"/>
                </w:tcPr>
                <w:p w14:paraId="2608169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sz w:val="18"/>
                      <w:szCs w:val="18"/>
                      <w:u w:val="none"/>
                    </w:rPr>
                  </w:pPr>
                  <w:r>
                    <w:rPr>
                      <w:rFonts w:hint="default" w:ascii="Times New Roman" w:hAnsi="Times New Roman" w:eastAsia="宋体" w:cs="Times New Roman"/>
                      <w:sz w:val="18"/>
                      <w:szCs w:val="18"/>
                      <w:u w:val="none"/>
                    </w:rPr>
                    <w:t>1</w:t>
                  </w:r>
                </w:p>
              </w:tc>
            </w:tr>
          </w:tbl>
          <w:p w14:paraId="7BF8AFD1">
            <w:pPr>
              <w:tabs>
                <w:tab w:val="left" w:pos="1280"/>
              </w:tabs>
              <w:adjustRightInd w:val="0"/>
              <w:snapToGrid w:val="0"/>
              <w:jc w:val="center"/>
              <w:textAlignment w:val="baseline"/>
              <w:rPr>
                <w:b/>
                <w:bCs/>
                <w:sz w:val="24"/>
              </w:rPr>
            </w:pPr>
            <w:r>
              <w:rPr>
                <w:rFonts w:hint="eastAsia"/>
                <w:b/>
                <w:bCs/>
                <w:sz w:val="24"/>
              </w:rPr>
              <w:t>表 4-14 营运期室外噪声源强一览表</w:t>
            </w:r>
          </w:p>
          <w:tbl>
            <w:tblPr>
              <w:tblStyle w:val="37"/>
              <w:tblW w:w="8274"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60"/>
              <w:gridCol w:w="1005"/>
              <w:gridCol w:w="884"/>
              <w:gridCol w:w="927"/>
              <w:gridCol w:w="927"/>
              <w:gridCol w:w="743"/>
              <w:gridCol w:w="1113"/>
              <w:gridCol w:w="1024"/>
              <w:gridCol w:w="891"/>
            </w:tblGrid>
            <w:tr w14:paraId="48D0428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60" w:type="dxa"/>
                  <w:vMerge w:val="restart"/>
                  <w:vAlign w:val="center"/>
                </w:tcPr>
                <w:p w14:paraId="30D03A35">
                  <w:pPr>
                    <w:jc w:val="center"/>
                    <w:rPr>
                      <w:sz w:val="18"/>
                      <w:szCs w:val="18"/>
                    </w:rPr>
                  </w:pPr>
                  <w:r>
                    <w:rPr>
                      <w:rFonts w:hint="eastAsia"/>
                      <w:sz w:val="18"/>
                      <w:szCs w:val="18"/>
                    </w:rPr>
                    <w:t>序号</w:t>
                  </w:r>
                </w:p>
              </w:tc>
              <w:tc>
                <w:tcPr>
                  <w:tcW w:w="1005" w:type="dxa"/>
                  <w:vMerge w:val="restart"/>
                  <w:vAlign w:val="center"/>
                </w:tcPr>
                <w:p w14:paraId="4598EC10">
                  <w:pPr>
                    <w:jc w:val="center"/>
                    <w:rPr>
                      <w:sz w:val="18"/>
                      <w:szCs w:val="18"/>
                    </w:rPr>
                  </w:pPr>
                  <w:r>
                    <w:rPr>
                      <w:rFonts w:hint="eastAsia"/>
                      <w:sz w:val="18"/>
                      <w:szCs w:val="18"/>
                    </w:rPr>
                    <w:t>声源名称</w:t>
                  </w:r>
                </w:p>
              </w:tc>
              <w:tc>
                <w:tcPr>
                  <w:tcW w:w="884" w:type="dxa"/>
                  <w:vMerge w:val="restart"/>
                  <w:vAlign w:val="center"/>
                </w:tcPr>
                <w:p w14:paraId="23E7E452">
                  <w:pPr>
                    <w:jc w:val="center"/>
                    <w:rPr>
                      <w:sz w:val="18"/>
                      <w:szCs w:val="18"/>
                    </w:rPr>
                  </w:pPr>
                  <w:r>
                    <w:rPr>
                      <w:rFonts w:hint="eastAsia"/>
                      <w:sz w:val="18"/>
                      <w:szCs w:val="18"/>
                    </w:rPr>
                    <w:t>型号</w:t>
                  </w:r>
                </w:p>
              </w:tc>
              <w:tc>
                <w:tcPr>
                  <w:tcW w:w="2597" w:type="dxa"/>
                  <w:gridSpan w:val="3"/>
                  <w:vAlign w:val="center"/>
                </w:tcPr>
                <w:p w14:paraId="770C81E9">
                  <w:pPr>
                    <w:jc w:val="center"/>
                    <w:rPr>
                      <w:sz w:val="18"/>
                      <w:szCs w:val="18"/>
                    </w:rPr>
                  </w:pPr>
                  <w:r>
                    <w:rPr>
                      <w:rFonts w:hint="eastAsia"/>
                      <w:sz w:val="18"/>
                      <w:szCs w:val="18"/>
                    </w:rPr>
                    <w:t>空间相对位置/m</w:t>
                  </w:r>
                </w:p>
              </w:tc>
              <w:tc>
                <w:tcPr>
                  <w:tcW w:w="1113" w:type="dxa"/>
                  <w:vAlign w:val="center"/>
                </w:tcPr>
                <w:p w14:paraId="05ABB1B0">
                  <w:pPr>
                    <w:jc w:val="center"/>
                    <w:rPr>
                      <w:sz w:val="18"/>
                      <w:szCs w:val="18"/>
                    </w:rPr>
                  </w:pPr>
                  <w:r>
                    <w:rPr>
                      <w:rFonts w:hint="eastAsia"/>
                      <w:sz w:val="18"/>
                      <w:szCs w:val="18"/>
                    </w:rPr>
                    <w:t>声源源强</w:t>
                  </w:r>
                </w:p>
              </w:tc>
              <w:tc>
                <w:tcPr>
                  <w:tcW w:w="1024" w:type="dxa"/>
                  <w:vMerge w:val="restart"/>
                  <w:vAlign w:val="center"/>
                </w:tcPr>
                <w:p w14:paraId="40525A2C">
                  <w:pPr>
                    <w:jc w:val="center"/>
                    <w:rPr>
                      <w:sz w:val="18"/>
                      <w:szCs w:val="18"/>
                    </w:rPr>
                  </w:pPr>
                  <w:r>
                    <w:rPr>
                      <w:rFonts w:hint="eastAsia"/>
                      <w:sz w:val="18"/>
                      <w:szCs w:val="18"/>
                    </w:rPr>
                    <w:t>声源控制措施</w:t>
                  </w:r>
                </w:p>
              </w:tc>
              <w:tc>
                <w:tcPr>
                  <w:tcW w:w="891" w:type="dxa"/>
                  <w:vMerge w:val="restart"/>
                  <w:vAlign w:val="center"/>
                </w:tcPr>
                <w:p w14:paraId="47F4E8BB">
                  <w:pPr>
                    <w:jc w:val="center"/>
                    <w:rPr>
                      <w:sz w:val="18"/>
                      <w:szCs w:val="18"/>
                    </w:rPr>
                  </w:pPr>
                  <w:r>
                    <w:rPr>
                      <w:rFonts w:hint="eastAsia"/>
                      <w:sz w:val="18"/>
                      <w:szCs w:val="18"/>
                    </w:rPr>
                    <w:t>运行时段</w:t>
                  </w:r>
                </w:p>
              </w:tc>
            </w:tr>
            <w:tr w14:paraId="6AB5EC1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60" w:type="dxa"/>
                  <w:vMerge w:val="continue"/>
                </w:tcPr>
                <w:p w14:paraId="328A62E8"/>
              </w:tc>
              <w:tc>
                <w:tcPr>
                  <w:tcW w:w="1005" w:type="dxa"/>
                  <w:vMerge w:val="continue"/>
                </w:tcPr>
                <w:p w14:paraId="5C21E840"/>
              </w:tc>
              <w:tc>
                <w:tcPr>
                  <w:tcW w:w="884" w:type="dxa"/>
                  <w:vMerge w:val="continue"/>
                </w:tcPr>
                <w:p w14:paraId="493355C3"/>
              </w:tc>
              <w:tc>
                <w:tcPr>
                  <w:tcW w:w="927" w:type="dxa"/>
                </w:tcPr>
                <w:p w14:paraId="09BB0D0F">
                  <w:pPr>
                    <w:jc w:val="center"/>
                  </w:pPr>
                  <w:r>
                    <w:rPr>
                      <w:rFonts w:hint="eastAsia"/>
                    </w:rPr>
                    <w:t>X</w:t>
                  </w:r>
                </w:p>
              </w:tc>
              <w:tc>
                <w:tcPr>
                  <w:tcW w:w="927" w:type="dxa"/>
                </w:tcPr>
                <w:p w14:paraId="71C96691">
                  <w:pPr>
                    <w:jc w:val="center"/>
                  </w:pPr>
                  <w:r>
                    <w:rPr>
                      <w:rFonts w:hint="eastAsia"/>
                    </w:rPr>
                    <w:t>Y</w:t>
                  </w:r>
                </w:p>
              </w:tc>
              <w:tc>
                <w:tcPr>
                  <w:tcW w:w="743" w:type="dxa"/>
                </w:tcPr>
                <w:p w14:paraId="54DC0236">
                  <w:pPr>
                    <w:jc w:val="center"/>
                  </w:pPr>
                  <w:r>
                    <w:rPr>
                      <w:rFonts w:hint="eastAsia"/>
                    </w:rPr>
                    <w:t>Z</w:t>
                  </w:r>
                </w:p>
              </w:tc>
              <w:tc>
                <w:tcPr>
                  <w:tcW w:w="1113" w:type="dxa"/>
                </w:tcPr>
                <w:p w14:paraId="7951E8C6">
                  <w:pPr>
                    <w:jc w:val="center"/>
                  </w:pPr>
                  <w:r>
                    <w:rPr>
                      <w:bCs/>
                      <w:szCs w:val="21"/>
                    </w:rPr>
                    <w:t>dB(A)</w:t>
                  </w:r>
                </w:p>
              </w:tc>
              <w:tc>
                <w:tcPr>
                  <w:tcW w:w="1024" w:type="dxa"/>
                  <w:vMerge w:val="continue"/>
                </w:tcPr>
                <w:p w14:paraId="17E4B232">
                  <w:pPr>
                    <w:widowControl/>
                    <w:jc w:val="center"/>
                  </w:pPr>
                </w:p>
              </w:tc>
              <w:tc>
                <w:tcPr>
                  <w:tcW w:w="891" w:type="dxa"/>
                  <w:vMerge w:val="continue"/>
                </w:tcPr>
                <w:p w14:paraId="1A66F1C4">
                  <w:pPr>
                    <w:jc w:val="center"/>
                  </w:pPr>
                </w:p>
              </w:tc>
            </w:tr>
            <w:tr w14:paraId="50C0F07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60" w:type="dxa"/>
                </w:tcPr>
                <w:p w14:paraId="058FCCD9">
                  <w:pPr>
                    <w:jc w:val="center"/>
                    <w:rPr>
                      <w:sz w:val="18"/>
                      <w:szCs w:val="18"/>
                    </w:rPr>
                  </w:pPr>
                  <w:r>
                    <w:rPr>
                      <w:rFonts w:hint="eastAsia"/>
                      <w:sz w:val="18"/>
                      <w:szCs w:val="18"/>
                    </w:rPr>
                    <w:t>1</w:t>
                  </w:r>
                </w:p>
              </w:tc>
              <w:tc>
                <w:tcPr>
                  <w:tcW w:w="1005" w:type="dxa"/>
                </w:tcPr>
                <w:p w14:paraId="11513D38">
                  <w:pPr>
                    <w:jc w:val="center"/>
                    <w:rPr>
                      <w:sz w:val="18"/>
                      <w:szCs w:val="18"/>
                    </w:rPr>
                  </w:pPr>
                  <w:r>
                    <w:rPr>
                      <w:rFonts w:hint="eastAsia"/>
                      <w:sz w:val="18"/>
                      <w:szCs w:val="18"/>
                    </w:rPr>
                    <w:t>风机</w:t>
                  </w:r>
                </w:p>
              </w:tc>
              <w:tc>
                <w:tcPr>
                  <w:tcW w:w="884" w:type="dxa"/>
                </w:tcPr>
                <w:p w14:paraId="6ABE8D95">
                  <w:pPr>
                    <w:jc w:val="center"/>
                    <w:rPr>
                      <w:sz w:val="18"/>
                      <w:szCs w:val="18"/>
                    </w:rPr>
                  </w:pPr>
                  <w:r>
                    <w:rPr>
                      <w:rFonts w:hint="eastAsia"/>
                      <w:sz w:val="18"/>
                      <w:szCs w:val="18"/>
                    </w:rPr>
                    <w:t>/</w:t>
                  </w:r>
                </w:p>
              </w:tc>
              <w:tc>
                <w:tcPr>
                  <w:tcW w:w="927" w:type="dxa"/>
                </w:tcPr>
                <w:p w14:paraId="76289BC9">
                  <w:pPr>
                    <w:jc w:val="center"/>
                    <w:rPr>
                      <w:sz w:val="18"/>
                      <w:szCs w:val="18"/>
                    </w:rPr>
                  </w:pPr>
                  <w:r>
                    <w:rPr>
                      <w:rFonts w:hint="eastAsia"/>
                      <w:sz w:val="18"/>
                      <w:szCs w:val="18"/>
                    </w:rPr>
                    <w:t>120</w:t>
                  </w:r>
                </w:p>
              </w:tc>
              <w:tc>
                <w:tcPr>
                  <w:tcW w:w="927" w:type="dxa"/>
                </w:tcPr>
                <w:p w14:paraId="5C04CEF0">
                  <w:pPr>
                    <w:jc w:val="center"/>
                    <w:rPr>
                      <w:sz w:val="18"/>
                      <w:szCs w:val="18"/>
                    </w:rPr>
                  </w:pPr>
                  <w:r>
                    <w:rPr>
                      <w:rFonts w:hint="eastAsia"/>
                      <w:sz w:val="18"/>
                      <w:szCs w:val="18"/>
                    </w:rPr>
                    <w:t>110</w:t>
                  </w:r>
                </w:p>
              </w:tc>
              <w:tc>
                <w:tcPr>
                  <w:tcW w:w="743" w:type="dxa"/>
                </w:tcPr>
                <w:p w14:paraId="54E84CF1">
                  <w:pPr>
                    <w:jc w:val="center"/>
                    <w:rPr>
                      <w:sz w:val="18"/>
                      <w:szCs w:val="18"/>
                    </w:rPr>
                  </w:pPr>
                  <w:r>
                    <w:rPr>
                      <w:rFonts w:hint="eastAsia"/>
                      <w:sz w:val="18"/>
                      <w:szCs w:val="18"/>
                    </w:rPr>
                    <w:t>115</w:t>
                  </w:r>
                </w:p>
              </w:tc>
              <w:tc>
                <w:tcPr>
                  <w:tcW w:w="1113" w:type="dxa"/>
                </w:tcPr>
                <w:p w14:paraId="4EDC4B50">
                  <w:pPr>
                    <w:jc w:val="center"/>
                    <w:rPr>
                      <w:sz w:val="18"/>
                      <w:szCs w:val="18"/>
                    </w:rPr>
                  </w:pPr>
                  <w:r>
                    <w:rPr>
                      <w:rFonts w:hint="eastAsia"/>
                      <w:sz w:val="18"/>
                      <w:szCs w:val="18"/>
                    </w:rPr>
                    <w:t>85</w:t>
                  </w:r>
                </w:p>
              </w:tc>
              <w:tc>
                <w:tcPr>
                  <w:tcW w:w="1024" w:type="dxa"/>
                </w:tcPr>
                <w:p w14:paraId="42E73EAE">
                  <w:pPr>
                    <w:jc w:val="center"/>
                    <w:rPr>
                      <w:sz w:val="18"/>
                      <w:szCs w:val="18"/>
                    </w:rPr>
                  </w:pPr>
                  <w:r>
                    <w:rPr>
                      <w:rFonts w:hint="eastAsia" w:ascii="宋体" w:hAnsi="宋体" w:cs="宋体"/>
                      <w:kern w:val="0"/>
                      <w:sz w:val="20"/>
                      <w:szCs w:val="20"/>
                    </w:rPr>
                    <w:t>基础减震</w:t>
                  </w:r>
                </w:p>
              </w:tc>
              <w:tc>
                <w:tcPr>
                  <w:tcW w:w="891" w:type="dxa"/>
                </w:tcPr>
                <w:p w14:paraId="192BCB78">
                  <w:pPr>
                    <w:jc w:val="center"/>
                    <w:rPr>
                      <w:sz w:val="18"/>
                      <w:szCs w:val="18"/>
                    </w:rPr>
                  </w:pPr>
                  <w:r>
                    <w:rPr>
                      <w:rFonts w:hint="eastAsia"/>
                      <w:sz w:val="18"/>
                      <w:szCs w:val="18"/>
                    </w:rPr>
                    <w:t>8h</w:t>
                  </w:r>
                </w:p>
              </w:tc>
            </w:tr>
          </w:tbl>
          <w:p w14:paraId="68DB0F05">
            <w:pPr>
              <w:tabs>
                <w:tab w:val="left" w:pos="1280"/>
              </w:tabs>
              <w:adjustRightInd w:val="0"/>
              <w:snapToGrid w:val="0"/>
              <w:spacing w:line="360" w:lineRule="auto"/>
              <w:ind w:firstLine="480" w:firstLineChars="200"/>
              <w:textAlignment w:val="baseline"/>
              <w:rPr>
                <w:color w:val="000000"/>
                <w:sz w:val="24"/>
              </w:rPr>
            </w:pPr>
            <w:r>
              <w:rPr>
                <w:color w:val="000000"/>
                <w:sz w:val="24"/>
              </w:rPr>
              <w:t xml:space="preserve">2、噪声预测 </w:t>
            </w:r>
          </w:p>
          <w:p w14:paraId="6EE4EA90">
            <w:pPr>
              <w:tabs>
                <w:tab w:val="left" w:pos="1280"/>
              </w:tabs>
              <w:adjustRightInd w:val="0"/>
              <w:snapToGrid w:val="0"/>
              <w:spacing w:line="360" w:lineRule="auto"/>
              <w:ind w:firstLine="480" w:firstLineChars="200"/>
              <w:textAlignment w:val="baseline"/>
              <w:rPr>
                <w:color w:val="000000"/>
                <w:sz w:val="24"/>
              </w:rPr>
            </w:pPr>
            <w:r>
              <w:rPr>
                <w:color w:val="000000"/>
                <w:sz w:val="24"/>
              </w:rPr>
              <w:t>为了预测项目建成后对附近敏感点的噪声影响程度，根据本项目噪声源的特点和简化预测过程，本次评价采用《环境影响评价技术导则 声环境》（HJ2.4-2021）附录中工业噪声预测计算模式中室内声源等效室外声源声功率级计算方法及点声源预测模式。具体如下：设靠近开口处(或窗户)室内、室外某倍频带的声压级分别为 Lp1 和 Lp2。若声源所在室内声场为近似扩散声场，则室外的倍频带声压级可按公式(1)近似求出：</w:t>
            </w:r>
          </w:p>
          <w:p w14:paraId="38A1156D">
            <w:pPr>
              <w:tabs>
                <w:tab w:val="left" w:pos="1280"/>
              </w:tabs>
              <w:adjustRightInd w:val="0"/>
              <w:snapToGrid w:val="0"/>
              <w:spacing w:line="360" w:lineRule="auto"/>
              <w:ind w:firstLine="480" w:firstLineChars="200"/>
              <w:jc w:val="center"/>
              <w:textAlignment w:val="baseline"/>
              <w:rPr>
                <w:color w:val="000000"/>
                <w:sz w:val="24"/>
              </w:rPr>
            </w:pPr>
            <w:r>
              <w:rPr>
                <w:color w:val="000000"/>
                <w:sz w:val="24"/>
              </w:rPr>
              <w:drawing>
                <wp:inline distT="0" distB="0" distL="114300" distR="114300">
                  <wp:extent cx="2038350" cy="419100"/>
                  <wp:effectExtent l="0" t="0" r="0" b="0"/>
                  <wp:docPr id="5" name="图片 2" descr="微信截图_20230704152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descr="微信截图_20230704152253"/>
                          <pic:cNvPicPr>
                            <a:picLocks noChangeAspect="1"/>
                          </pic:cNvPicPr>
                        </pic:nvPicPr>
                        <pic:blipFill>
                          <a:blip r:embed="rId28" cstate="print"/>
                          <a:stretch>
                            <a:fillRect/>
                          </a:stretch>
                        </pic:blipFill>
                        <pic:spPr>
                          <a:xfrm>
                            <a:off x="0" y="0"/>
                            <a:ext cx="2038350" cy="419100"/>
                          </a:xfrm>
                          <a:prstGeom prst="rect">
                            <a:avLst/>
                          </a:prstGeom>
                          <a:noFill/>
                          <a:ln>
                            <a:noFill/>
                          </a:ln>
                        </pic:spPr>
                      </pic:pic>
                    </a:graphicData>
                  </a:graphic>
                </wp:inline>
              </w:drawing>
            </w:r>
          </w:p>
          <w:p w14:paraId="1269E4F6">
            <w:pPr>
              <w:tabs>
                <w:tab w:val="left" w:pos="1280"/>
              </w:tabs>
              <w:adjustRightInd w:val="0"/>
              <w:snapToGrid w:val="0"/>
              <w:spacing w:line="360" w:lineRule="auto"/>
              <w:ind w:firstLine="480" w:firstLineChars="200"/>
              <w:textAlignment w:val="baseline"/>
              <w:rPr>
                <w:color w:val="000000"/>
                <w:sz w:val="24"/>
              </w:rPr>
            </w:pPr>
            <w:r>
              <w:rPr>
                <w:color w:val="000000"/>
                <w:sz w:val="24"/>
              </w:rPr>
              <w:t>式中：TL——隔墙(或窗户)倍频带的隔声量，dB（A）。</w:t>
            </w:r>
          </w:p>
          <w:p w14:paraId="0C33B880">
            <w:pPr>
              <w:tabs>
                <w:tab w:val="left" w:pos="1280"/>
              </w:tabs>
              <w:adjustRightInd w:val="0"/>
              <w:snapToGrid w:val="0"/>
              <w:spacing w:line="360" w:lineRule="auto"/>
              <w:ind w:firstLine="480" w:firstLineChars="200"/>
              <w:textAlignment w:val="baseline"/>
              <w:rPr>
                <w:color w:val="000000"/>
                <w:sz w:val="24"/>
              </w:rPr>
            </w:pPr>
            <w:r>
              <w:rPr>
                <w:color w:val="000000"/>
                <w:sz w:val="24"/>
              </w:rPr>
              <w:t>室内声源靠近围护结构处产生的倍频带声压级Lp1可按公式(2)计算得出</w:t>
            </w:r>
          </w:p>
          <w:p w14:paraId="7D5C7883">
            <w:pPr>
              <w:tabs>
                <w:tab w:val="left" w:pos="1280"/>
              </w:tabs>
              <w:adjustRightInd w:val="0"/>
              <w:snapToGrid w:val="0"/>
              <w:spacing w:line="360" w:lineRule="auto"/>
              <w:ind w:firstLine="480" w:firstLineChars="200"/>
              <w:jc w:val="center"/>
              <w:textAlignment w:val="baseline"/>
              <w:rPr>
                <w:color w:val="000000"/>
                <w:sz w:val="24"/>
              </w:rPr>
            </w:pPr>
            <w:r>
              <w:rPr>
                <w:color w:val="000000"/>
                <w:sz w:val="24"/>
              </w:rPr>
              <w:drawing>
                <wp:inline distT="0" distB="0" distL="114300" distR="114300">
                  <wp:extent cx="2638425" cy="445770"/>
                  <wp:effectExtent l="0" t="0" r="9525" b="11430"/>
                  <wp:docPr id="6" name="图片 3" descr="微信截图_20230704152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descr="微信截图_20230704152303"/>
                          <pic:cNvPicPr>
                            <a:picLocks noChangeAspect="1"/>
                          </pic:cNvPicPr>
                        </pic:nvPicPr>
                        <pic:blipFill>
                          <a:blip r:embed="rId29" cstate="print"/>
                          <a:srcRect b="11697"/>
                          <a:stretch>
                            <a:fillRect/>
                          </a:stretch>
                        </pic:blipFill>
                        <pic:spPr>
                          <a:xfrm>
                            <a:off x="0" y="0"/>
                            <a:ext cx="2638425" cy="445770"/>
                          </a:xfrm>
                          <a:prstGeom prst="rect">
                            <a:avLst/>
                          </a:prstGeom>
                          <a:noFill/>
                          <a:ln>
                            <a:noFill/>
                          </a:ln>
                        </pic:spPr>
                      </pic:pic>
                    </a:graphicData>
                  </a:graphic>
                </wp:inline>
              </w:drawing>
            </w:r>
          </w:p>
          <w:p w14:paraId="6428CB04">
            <w:pPr>
              <w:tabs>
                <w:tab w:val="left" w:pos="1280"/>
              </w:tabs>
              <w:adjustRightInd w:val="0"/>
              <w:snapToGrid w:val="0"/>
              <w:spacing w:line="360" w:lineRule="auto"/>
              <w:ind w:firstLine="480" w:firstLineChars="200"/>
              <w:textAlignment w:val="baseline"/>
              <w:rPr>
                <w:color w:val="000000"/>
                <w:sz w:val="24"/>
              </w:rPr>
            </w:pPr>
            <w:r>
              <w:rPr>
                <w:color w:val="000000"/>
                <w:sz w:val="24"/>
              </w:rPr>
              <w:t>式中：Q—指向性因数；通常对无指向性声源，当声源放在房间中心时，Q=1；当放在一面墙的中心时，Q=2；当放在两面墙夹角处时，Q=4；当放在三面墙夹角处时，Q=8。</w:t>
            </w:r>
          </w:p>
          <w:p w14:paraId="52B8AC0C">
            <w:pPr>
              <w:tabs>
                <w:tab w:val="left" w:pos="1280"/>
              </w:tabs>
              <w:adjustRightInd w:val="0"/>
              <w:snapToGrid w:val="0"/>
              <w:spacing w:line="360" w:lineRule="auto"/>
              <w:ind w:firstLine="480" w:firstLineChars="200"/>
              <w:textAlignment w:val="baseline"/>
              <w:rPr>
                <w:color w:val="000000"/>
                <w:sz w:val="24"/>
              </w:rPr>
            </w:pPr>
            <w:r>
              <w:rPr>
                <w:color w:val="000000"/>
                <w:sz w:val="24"/>
              </w:rPr>
              <w:t>R—房间常数；R=Sα/(1−α)，S为房间内表面面积，m</w:t>
            </w:r>
            <w:r>
              <w:rPr>
                <w:color w:val="000000"/>
                <w:sz w:val="24"/>
                <w:vertAlign w:val="superscript"/>
              </w:rPr>
              <w:t>2</w:t>
            </w:r>
            <w:r>
              <w:rPr>
                <w:color w:val="000000"/>
                <w:sz w:val="24"/>
              </w:rPr>
              <w:t xml:space="preserve"> ；α为平均吸声系数；本项目α取 0.1。</w:t>
            </w:r>
          </w:p>
          <w:p w14:paraId="3F49F309">
            <w:pPr>
              <w:tabs>
                <w:tab w:val="left" w:pos="1280"/>
              </w:tabs>
              <w:adjustRightInd w:val="0"/>
              <w:snapToGrid w:val="0"/>
              <w:spacing w:line="360" w:lineRule="auto"/>
              <w:ind w:firstLine="480" w:firstLineChars="200"/>
              <w:textAlignment w:val="baseline"/>
              <w:rPr>
                <w:color w:val="000000"/>
                <w:sz w:val="24"/>
              </w:rPr>
            </w:pPr>
            <w:r>
              <w:rPr>
                <w:color w:val="000000"/>
                <w:sz w:val="24"/>
              </w:rPr>
              <w:t>r—声源到靠近围护结构某点处的距离，m。</w:t>
            </w:r>
          </w:p>
          <w:p w14:paraId="4B0DDF82">
            <w:pPr>
              <w:tabs>
                <w:tab w:val="left" w:pos="1280"/>
              </w:tabs>
              <w:adjustRightInd w:val="0"/>
              <w:snapToGrid w:val="0"/>
              <w:spacing w:line="360" w:lineRule="auto"/>
              <w:ind w:firstLine="480" w:firstLineChars="200"/>
              <w:textAlignment w:val="baseline"/>
              <w:rPr>
                <w:color w:val="000000"/>
                <w:sz w:val="24"/>
              </w:rPr>
            </w:pPr>
            <w:r>
              <w:rPr>
                <w:color w:val="000000"/>
                <w:sz w:val="24"/>
              </w:rPr>
              <w:t>按公式(3)计算出所有室内声源在围护结构处产生的 i 倍频带叠加声压级：</w:t>
            </w:r>
          </w:p>
          <w:p w14:paraId="4FAC24FB">
            <w:pPr>
              <w:tabs>
                <w:tab w:val="left" w:pos="1280"/>
              </w:tabs>
              <w:adjustRightInd w:val="0"/>
              <w:snapToGrid w:val="0"/>
              <w:spacing w:line="360" w:lineRule="auto"/>
              <w:ind w:firstLine="480" w:firstLineChars="200"/>
              <w:jc w:val="center"/>
              <w:textAlignment w:val="baseline"/>
              <w:rPr>
                <w:color w:val="000000"/>
                <w:sz w:val="24"/>
              </w:rPr>
            </w:pPr>
            <w:r>
              <w:rPr>
                <w:color w:val="000000"/>
                <w:sz w:val="24"/>
              </w:rPr>
              <w:drawing>
                <wp:inline distT="0" distB="0" distL="114300" distR="114300">
                  <wp:extent cx="2381250" cy="476250"/>
                  <wp:effectExtent l="0" t="0" r="0" b="0"/>
                  <wp:docPr id="7" name="图片 4" descr="微信截图_20230704152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descr="微信截图_20230704152314"/>
                          <pic:cNvPicPr>
                            <a:picLocks noChangeAspect="1"/>
                          </pic:cNvPicPr>
                        </pic:nvPicPr>
                        <pic:blipFill>
                          <a:blip r:embed="rId30" cstate="print"/>
                          <a:stretch>
                            <a:fillRect/>
                          </a:stretch>
                        </pic:blipFill>
                        <pic:spPr>
                          <a:xfrm>
                            <a:off x="0" y="0"/>
                            <a:ext cx="2381250" cy="476250"/>
                          </a:xfrm>
                          <a:prstGeom prst="rect">
                            <a:avLst/>
                          </a:prstGeom>
                          <a:noFill/>
                          <a:ln>
                            <a:noFill/>
                          </a:ln>
                        </pic:spPr>
                      </pic:pic>
                    </a:graphicData>
                  </a:graphic>
                </wp:inline>
              </w:drawing>
            </w:r>
          </w:p>
          <w:p w14:paraId="29DD8BB7">
            <w:pPr>
              <w:tabs>
                <w:tab w:val="left" w:pos="1280"/>
              </w:tabs>
              <w:adjustRightInd w:val="0"/>
              <w:snapToGrid w:val="0"/>
              <w:spacing w:line="360" w:lineRule="auto"/>
              <w:ind w:firstLine="480" w:firstLineChars="200"/>
              <w:textAlignment w:val="baseline"/>
              <w:rPr>
                <w:color w:val="000000"/>
                <w:sz w:val="24"/>
              </w:rPr>
            </w:pPr>
            <w:r>
              <w:rPr>
                <w:color w:val="000000"/>
                <w:sz w:val="24"/>
              </w:rPr>
              <w:t>式中：L p1i (T)—靠近围护结构处室内 N 个声源 i 倍频带的叠加声压级，Db(A)；</w:t>
            </w:r>
          </w:p>
          <w:p w14:paraId="5D3CF25F">
            <w:pPr>
              <w:tabs>
                <w:tab w:val="left" w:pos="1280"/>
              </w:tabs>
              <w:adjustRightInd w:val="0"/>
              <w:snapToGrid w:val="0"/>
              <w:spacing w:line="360" w:lineRule="auto"/>
              <w:ind w:firstLine="480" w:firstLineChars="200"/>
              <w:textAlignment w:val="baseline"/>
              <w:rPr>
                <w:color w:val="000000"/>
                <w:sz w:val="24"/>
              </w:rPr>
            </w:pPr>
            <w:r>
              <w:rPr>
                <w:color w:val="000000"/>
                <w:sz w:val="24"/>
              </w:rPr>
              <w:t>Lp1i —室内j声源i倍频带的声压级，dB(A)；</w:t>
            </w:r>
          </w:p>
          <w:p w14:paraId="17F3935B">
            <w:pPr>
              <w:tabs>
                <w:tab w:val="left" w:pos="1280"/>
              </w:tabs>
              <w:adjustRightInd w:val="0"/>
              <w:snapToGrid w:val="0"/>
              <w:spacing w:line="360" w:lineRule="auto"/>
              <w:ind w:firstLine="480" w:firstLineChars="200"/>
              <w:textAlignment w:val="baseline"/>
              <w:rPr>
                <w:color w:val="000000"/>
                <w:sz w:val="24"/>
              </w:rPr>
            </w:pPr>
            <w:r>
              <w:rPr>
                <w:color w:val="000000"/>
                <w:sz w:val="24"/>
              </w:rPr>
              <w:t>N—室内声源总数。</w:t>
            </w:r>
          </w:p>
          <w:p w14:paraId="1C35D034">
            <w:pPr>
              <w:tabs>
                <w:tab w:val="left" w:pos="1280"/>
              </w:tabs>
              <w:adjustRightInd w:val="0"/>
              <w:snapToGrid w:val="0"/>
              <w:spacing w:line="360" w:lineRule="auto"/>
              <w:ind w:firstLine="480" w:firstLineChars="200"/>
              <w:textAlignment w:val="baseline"/>
              <w:rPr>
                <w:color w:val="000000"/>
                <w:sz w:val="24"/>
              </w:rPr>
            </w:pPr>
            <w:r>
              <w:rPr>
                <w:color w:val="000000"/>
                <w:sz w:val="24"/>
              </w:rPr>
              <w:t>在室内近似为扩散声场时，按公式(4)计算出靠近室外围护结构处的声压级：</w:t>
            </w:r>
          </w:p>
          <w:p w14:paraId="3E4DEF28">
            <w:pPr>
              <w:tabs>
                <w:tab w:val="left" w:pos="1280"/>
              </w:tabs>
              <w:adjustRightInd w:val="0"/>
              <w:snapToGrid w:val="0"/>
              <w:spacing w:line="360" w:lineRule="auto"/>
              <w:ind w:firstLine="480" w:firstLineChars="200"/>
              <w:jc w:val="center"/>
              <w:textAlignment w:val="baseline"/>
              <w:rPr>
                <w:color w:val="000000"/>
                <w:sz w:val="24"/>
              </w:rPr>
            </w:pPr>
            <w:r>
              <w:rPr>
                <w:color w:val="000000"/>
                <w:sz w:val="24"/>
              </w:rPr>
              <w:drawing>
                <wp:inline distT="0" distB="0" distL="114300" distR="114300">
                  <wp:extent cx="2419350" cy="390525"/>
                  <wp:effectExtent l="0" t="0" r="0" b="9525"/>
                  <wp:docPr id="8" name="图片 5" descr="微信截图_20230704152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descr="微信截图_20230704152324"/>
                          <pic:cNvPicPr>
                            <a:picLocks noChangeAspect="1"/>
                          </pic:cNvPicPr>
                        </pic:nvPicPr>
                        <pic:blipFill>
                          <a:blip r:embed="rId31" cstate="print"/>
                          <a:stretch>
                            <a:fillRect/>
                          </a:stretch>
                        </pic:blipFill>
                        <pic:spPr>
                          <a:xfrm>
                            <a:off x="0" y="0"/>
                            <a:ext cx="2419350" cy="390525"/>
                          </a:xfrm>
                          <a:prstGeom prst="rect">
                            <a:avLst/>
                          </a:prstGeom>
                          <a:noFill/>
                          <a:ln>
                            <a:noFill/>
                          </a:ln>
                        </pic:spPr>
                      </pic:pic>
                    </a:graphicData>
                  </a:graphic>
                </wp:inline>
              </w:drawing>
            </w:r>
          </w:p>
          <w:p w14:paraId="414692AF">
            <w:pPr>
              <w:tabs>
                <w:tab w:val="left" w:pos="1280"/>
              </w:tabs>
              <w:adjustRightInd w:val="0"/>
              <w:snapToGrid w:val="0"/>
              <w:spacing w:line="360" w:lineRule="auto"/>
              <w:ind w:firstLine="480" w:firstLineChars="200"/>
              <w:textAlignment w:val="baseline"/>
              <w:rPr>
                <w:color w:val="000000"/>
                <w:sz w:val="24"/>
              </w:rPr>
            </w:pPr>
            <w:r>
              <w:rPr>
                <w:color w:val="000000"/>
                <w:sz w:val="24"/>
              </w:rPr>
              <w:t>式中：Lp2i (T)—靠近围护结构处室外N个声源i倍频带的叠加声压级，dB；</w:t>
            </w:r>
          </w:p>
          <w:p w14:paraId="10EB9FF5">
            <w:pPr>
              <w:tabs>
                <w:tab w:val="left" w:pos="1280"/>
              </w:tabs>
              <w:adjustRightInd w:val="0"/>
              <w:snapToGrid w:val="0"/>
              <w:spacing w:line="360" w:lineRule="auto"/>
              <w:ind w:firstLine="480" w:firstLineChars="200"/>
              <w:textAlignment w:val="baseline"/>
              <w:rPr>
                <w:color w:val="000000"/>
                <w:sz w:val="24"/>
              </w:rPr>
            </w:pPr>
            <w:r>
              <w:rPr>
                <w:color w:val="000000"/>
                <w:sz w:val="24"/>
              </w:rPr>
              <w:t>TLi —围护结构i倍频带的隔声量，dB(A)。</w:t>
            </w:r>
          </w:p>
          <w:p w14:paraId="33AF7C94">
            <w:pPr>
              <w:tabs>
                <w:tab w:val="left" w:pos="1280"/>
              </w:tabs>
              <w:adjustRightInd w:val="0"/>
              <w:snapToGrid w:val="0"/>
              <w:spacing w:line="360" w:lineRule="auto"/>
              <w:ind w:firstLine="480" w:firstLineChars="200"/>
              <w:textAlignment w:val="baseline"/>
              <w:rPr>
                <w:color w:val="000000"/>
                <w:sz w:val="24"/>
              </w:rPr>
            </w:pPr>
            <w:r>
              <w:rPr>
                <w:color w:val="000000"/>
                <w:sz w:val="24"/>
              </w:rPr>
              <w:t>然后按公式(5)将室外声源的声压级和透过面积换算成等效的室外声源，计算出中心位置位于透声面积(S)处的等效声源的倍频带声功率级。</w:t>
            </w:r>
          </w:p>
          <w:p w14:paraId="264F65DD">
            <w:pPr>
              <w:tabs>
                <w:tab w:val="left" w:pos="1280"/>
              </w:tabs>
              <w:adjustRightInd w:val="0"/>
              <w:snapToGrid w:val="0"/>
              <w:spacing w:line="360" w:lineRule="auto"/>
              <w:ind w:firstLine="480" w:firstLineChars="200"/>
              <w:jc w:val="center"/>
              <w:textAlignment w:val="baseline"/>
              <w:rPr>
                <w:color w:val="000000"/>
                <w:sz w:val="24"/>
              </w:rPr>
            </w:pPr>
            <w:r>
              <w:rPr>
                <w:color w:val="000000"/>
                <w:sz w:val="24"/>
              </w:rPr>
              <w:drawing>
                <wp:inline distT="0" distB="0" distL="114300" distR="114300">
                  <wp:extent cx="2733675" cy="361950"/>
                  <wp:effectExtent l="0" t="0" r="9525" b="0"/>
                  <wp:docPr id="9" name="图片 6" descr="微信截图_20230704152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 descr="微信截图_20230704152335"/>
                          <pic:cNvPicPr>
                            <a:picLocks noChangeAspect="1"/>
                          </pic:cNvPicPr>
                        </pic:nvPicPr>
                        <pic:blipFill>
                          <a:blip r:embed="rId32" cstate="print"/>
                          <a:stretch>
                            <a:fillRect/>
                          </a:stretch>
                        </pic:blipFill>
                        <pic:spPr>
                          <a:xfrm>
                            <a:off x="0" y="0"/>
                            <a:ext cx="2733675" cy="361950"/>
                          </a:xfrm>
                          <a:prstGeom prst="rect">
                            <a:avLst/>
                          </a:prstGeom>
                          <a:noFill/>
                          <a:ln>
                            <a:noFill/>
                          </a:ln>
                        </pic:spPr>
                      </pic:pic>
                    </a:graphicData>
                  </a:graphic>
                </wp:inline>
              </w:drawing>
            </w:r>
          </w:p>
          <w:p w14:paraId="1BDE5F91">
            <w:pPr>
              <w:tabs>
                <w:tab w:val="left" w:pos="1280"/>
              </w:tabs>
              <w:adjustRightInd w:val="0"/>
              <w:snapToGrid w:val="0"/>
              <w:spacing w:line="360" w:lineRule="auto"/>
              <w:ind w:firstLine="480" w:firstLineChars="200"/>
              <w:textAlignment w:val="baseline"/>
              <w:rPr>
                <w:color w:val="000000"/>
                <w:sz w:val="24"/>
              </w:rPr>
            </w:pPr>
            <w:r>
              <w:rPr>
                <w:color w:val="000000"/>
                <w:sz w:val="24"/>
              </w:rPr>
              <w:t>然后按室外声源预测方法计算预测点处的声级。</w:t>
            </w:r>
          </w:p>
          <w:p w14:paraId="53F3B325">
            <w:pPr>
              <w:tabs>
                <w:tab w:val="left" w:pos="1280"/>
              </w:tabs>
              <w:adjustRightInd w:val="0"/>
              <w:snapToGrid w:val="0"/>
              <w:spacing w:line="360" w:lineRule="auto"/>
              <w:ind w:firstLine="480" w:firstLineChars="200"/>
              <w:textAlignment w:val="baseline"/>
              <w:rPr>
                <w:color w:val="000000"/>
                <w:sz w:val="24"/>
              </w:rPr>
            </w:pPr>
            <w:r>
              <w:rPr>
                <w:color w:val="000000"/>
                <w:sz w:val="24"/>
              </w:rPr>
              <w:t>噪声叠加计算模式：</w:t>
            </w:r>
          </w:p>
          <w:p w14:paraId="6794B401">
            <w:pPr>
              <w:tabs>
                <w:tab w:val="left" w:pos="1280"/>
              </w:tabs>
              <w:adjustRightInd w:val="0"/>
              <w:snapToGrid w:val="0"/>
              <w:spacing w:line="360" w:lineRule="auto"/>
              <w:ind w:firstLine="480" w:firstLineChars="200"/>
              <w:jc w:val="center"/>
              <w:textAlignment w:val="baseline"/>
              <w:rPr>
                <w:color w:val="000000"/>
                <w:sz w:val="24"/>
              </w:rPr>
            </w:pPr>
            <w:r>
              <w:rPr>
                <w:color w:val="000000"/>
                <w:sz w:val="24"/>
              </w:rPr>
              <w:drawing>
                <wp:inline distT="0" distB="0" distL="114300" distR="114300">
                  <wp:extent cx="1781175" cy="581025"/>
                  <wp:effectExtent l="0" t="0" r="9525" b="9525"/>
                  <wp:docPr id="10" name="图片 7" descr="微信截图_20230704152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7" descr="微信截图_20230704152345"/>
                          <pic:cNvPicPr>
                            <a:picLocks noChangeAspect="1"/>
                          </pic:cNvPicPr>
                        </pic:nvPicPr>
                        <pic:blipFill>
                          <a:blip r:embed="rId33" cstate="print"/>
                          <a:stretch>
                            <a:fillRect/>
                          </a:stretch>
                        </pic:blipFill>
                        <pic:spPr>
                          <a:xfrm>
                            <a:off x="0" y="0"/>
                            <a:ext cx="1781175" cy="581025"/>
                          </a:xfrm>
                          <a:prstGeom prst="rect">
                            <a:avLst/>
                          </a:prstGeom>
                          <a:noFill/>
                          <a:ln>
                            <a:noFill/>
                          </a:ln>
                        </pic:spPr>
                      </pic:pic>
                    </a:graphicData>
                  </a:graphic>
                </wp:inline>
              </w:drawing>
            </w:r>
          </w:p>
          <w:p w14:paraId="6F337A9D">
            <w:pPr>
              <w:tabs>
                <w:tab w:val="left" w:pos="1280"/>
              </w:tabs>
              <w:adjustRightInd w:val="0"/>
              <w:snapToGrid w:val="0"/>
              <w:spacing w:line="360" w:lineRule="auto"/>
              <w:ind w:firstLine="480" w:firstLineChars="200"/>
              <w:textAlignment w:val="baseline"/>
              <w:rPr>
                <w:color w:val="000000"/>
                <w:sz w:val="24"/>
              </w:rPr>
            </w:pPr>
            <w:r>
              <w:rPr>
                <w:color w:val="000000"/>
                <w:sz w:val="24"/>
              </w:rPr>
              <w:t>式中：L——噪声叠加后噪声值 dB(A)；</w:t>
            </w:r>
          </w:p>
          <w:p w14:paraId="7DA44FC9">
            <w:pPr>
              <w:tabs>
                <w:tab w:val="left" w:pos="1280"/>
              </w:tabs>
              <w:adjustRightInd w:val="0"/>
              <w:snapToGrid w:val="0"/>
              <w:spacing w:line="360" w:lineRule="auto"/>
              <w:ind w:firstLine="480" w:firstLineChars="200"/>
              <w:textAlignment w:val="baseline"/>
              <w:rPr>
                <w:color w:val="000000"/>
                <w:sz w:val="24"/>
              </w:rPr>
            </w:pPr>
            <w:r>
              <w:rPr>
                <w:color w:val="000000"/>
                <w:sz w:val="24"/>
              </w:rPr>
              <w:t>L i ——第i个噪声值，dB(A)；</w:t>
            </w:r>
          </w:p>
          <w:p w14:paraId="778308E8">
            <w:pPr>
              <w:tabs>
                <w:tab w:val="left" w:pos="1280"/>
              </w:tabs>
              <w:adjustRightInd w:val="0"/>
              <w:snapToGrid w:val="0"/>
              <w:spacing w:line="360" w:lineRule="auto"/>
              <w:ind w:firstLine="480" w:firstLineChars="200"/>
              <w:textAlignment w:val="baseline"/>
              <w:rPr>
                <w:color w:val="000000"/>
                <w:sz w:val="24"/>
              </w:rPr>
            </w:pPr>
            <w:r>
              <w:rPr>
                <w:color w:val="000000"/>
                <w:sz w:val="24"/>
              </w:rPr>
              <w:t>点声源距离衰减公式：</w:t>
            </w:r>
          </w:p>
          <w:p w14:paraId="6BA9FDF6">
            <w:pPr>
              <w:tabs>
                <w:tab w:val="left" w:pos="1280"/>
              </w:tabs>
              <w:adjustRightInd w:val="0"/>
              <w:snapToGrid w:val="0"/>
              <w:spacing w:line="360" w:lineRule="auto"/>
              <w:ind w:firstLine="480" w:firstLineChars="200"/>
              <w:textAlignment w:val="baseline"/>
              <w:rPr>
                <w:color w:val="000000"/>
                <w:sz w:val="24"/>
              </w:rPr>
            </w:pPr>
            <w:r>
              <w:rPr>
                <w:color w:val="000000"/>
                <w:sz w:val="24"/>
              </w:rPr>
              <w:t>L（r）=L（r0）-20lg（r/r0）</w:t>
            </w:r>
          </w:p>
          <w:p w14:paraId="0D0A4399">
            <w:pPr>
              <w:tabs>
                <w:tab w:val="left" w:pos="1280"/>
              </w:tabs>
              <w:adjustRightInd w:val="0"/>
              <w:snapToGrid w:val="0"/>
              <w:spacing w:line="360" w:lineRule="auto"/>
              <w:ind w:firstLine="480" w:firstLineChars="200"/>
              <w:textAlignment w:val="baseline"/>
              <w:rPr>
                <w:color w:val="000000"/>
                <w:sz w:val="24"/>
              </w:rPr>
            </w:pPr>
            <w:r>
              <w:rPr>
                <w:color w:val="000000"/>
                <w:sz w:val="24"/>
              </w:rPr>
              <w:t>L（r）——距离点声源r处的声级；</w:t>
            </w:r>
          </w:p>
          <w:p w14:paraId="3FA225B8">
            <w:pPr>
              <w:tabs>
                <w:tab w:val="left" w:pos="1280"/>
              </w:tabs>
              <w:adjustRightInd w:val="0"/>
              <w:snapToGrid w:val="0"/>
              <w:spacing w:line="360" w:lineRule="auto"/>
              <w:ind w:firstLine="480" w:firstLineChars="200"/>
              <w:textAlignment w:val="baseline"/>
              <w:rPr>
                <w:color w:val="000000"/>
                <w:sz w:val="24"/>
              </w:rPr>
            </w:pPr>
            <w:r>
              <w:rPr>
                <w:color w:val="000000"/>
                <w:sz w:val="24"/>
              </w:rPr>
              <w:t>L（R0）——距离为r 0处的声级；</w:t>
            </w:r>
          </w:p>
          <w:p w14:paraId="5B6D320D">
            <w:pPr>
              <w:tabs>
                <w:tab w:val="left" w:pos="1280"/>
              </w:tabs>
              <w:adjustRightInd w:val="0"/>
              <w:snapToGrid w:val="0"/>
              <w:spacing w:line="360" w:lineRule="auto"/>
              <w:ind w:firstLine="480" w:firstLineChars="200"/>
              <w:textAlignment w:val="baseline"/>
              <w:rPr>
                <w:color w:val="000000"/>
                <w:sz w:val="24"/>
              </w:rPr>
            </w:pPr>
            <w:r>
              <w:rPr>
                <w:color w:val="000000"/>
                <w:sz w:val="24"/>
              </w:rPr>
              <w:t>根据本项目平面布置情况，结合设备建筑隔声、距离衰减等因素后，预测项目的噪声值，项目夜间不生产，</w:t>
            </w:r>
            <w:r>
              <w:rPr>
                <w:rFonts w:hint="eastAsia"/>
                <w:color w:val="000000"/>
                <w:sz w:val="24"/>
              </w:rPr>
              <w:t>见</w:t>
            </w:r>
            <w:r>
              <w:rPr>
                <w:color w:val="000000"/>
                <w:sz w:val="24"/>
              </w:rPr>
              <w:t>表</w:t>
            </w:r>
            <w:r>
              <w:rPr>
                <w:rFonts w:hint="eastAsia"/>
                <w:color w:val="000000"/>
                <w:sz w:val="24"/>
              </w:rPr>
              <w:t>4-15</w:t>
            </w:r>
            <w:r>
              <w:rPr>
                <w:color w:val="000000"/>
                <w:sz w:val="24"/>
              </w:rPr>
              <w:t>。</w:t>
            </w:r>
          </w:p>
          <w:p w14:paraId="3D8FF216">
            <w:pPr>
              <w:pStyle w:val="4"/>
              <w:ind w:left="482" w:hanging="482"/>
              <w:jc w:val="center"/>
              <w:rPr>
                <w:b/>
                <w:color w:val="000000"/>
                <w:sz w:val="24"/>
              </w:rPr>
            </w:pPr>
            <w:r>
              <w:rPr>
                <w:b/>
                <w:color w:val="000000"/>
                <w:sz w:val="24"/>
              </w:rPr>
              <w:t>表4-</w:t>
            </w:r>
            <w:r>
              <w:rPr>
                <w:rFonts w:hint="eastAsia"/>
                <w:b/>
                <w:color w:val="000000"/>
                <w:sz w:val="24"/>
              </w:rPr>
              <w:t>15</w:t>
            </w:r>
            <w:r>
              <w:rPr>
                <w:b/>
                <w:color w:val="000000"/>
                <w:sz w:val="24"/>
              </w:rPr>
              <w:t xml:space="preserve"> 噪声预测结果    单位dB（A）</w:t>
            </w:r>
          </w:p>
          <w:tbl>
            <w:tblPr>
              <w:tblStyle w:val="36"/>
              <w:tblW w:w="8265"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221"/>
              <w:gridCol w:w="637"/>
              <w:gridCol w:w="774"/>
              <w:gridCol w:w="690"/>
              <w:gridCol w:w="728"/>
              <w:gridCol w:w="1759"/>
              <w:gridCol w:w="1225"/>
              <w:gridCol w:w="1231"/>
            </w:tblGrid>
            <w:tr w14:paraId="699E023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1221" w:type="dxa"/>
                  <w:vMerge w:val="restart"/>
                  <w:vAlign w:val="center"/>
                </w:tcPr>
                <w:p w14:paraId="653660D6">
                  <w:pPr>
                    <w:autoSpaceDE w:val="0"/>
                    <w:autoSpaceDN w:val="0"/>
                    <w:snapToGrid w:val="0"/>
                    <w:rPr>
                      <w:kern w:val="0"/>
                      <w:szCs w:val="22"/>
                    </w:rPr>
                  </w:pPr>
                  <w:r>
                    <w:rPr>
                      <w:kern w:val="0"/>
                      <w:szCs w:val="22"/>
                    </w:rPr>
                    <w:t>预测点位</w:t>
                  </w:r>
                </w:p>
              </w:tc>
              <w:tc>
                <w:tcPr>
                  <w:tcW w:w="2101" w:type="dxa"/>
                  <w:gridSpan w:val="3"/>
                  <w:vAlign w:val="center"/>
                </w:tcPr>
                <w:p w14:paraId="7E125EFF">
                  <w:pPr>
                    <w:autoSpaceDE w:val="0"/>
                    <w:autoSpaceDN w:val="0"/>
                    <w:snapToGrid w:val="0"/>
                    <w:jc w:val="center"/>
                    <w:rPr>
                      <w:kern w:val="0"/>
                      <w:szCs w:val="22"/>
                    </w:rPr>
                  </w:pPr>
                  <w:r>
                    <w:rPr>
                      <w:kern w:val="0"/>
                      <w:szCs w:val="22"/>
                    </w:rPr>
                    <w:t>空间相对位置/m</w:t>
                  </w:r>
                </w:p>
              </w:tc>
              <w:tc>
                <w:tcPr>
                  <w:tcW w:w="728" w:type="dxa"/>
                  <w:vMerge w:val="restart"/>
                  <w:vAlign w:val="center"/>
                </w:tcPr>
                <w:p w14:paraId="623596E8">
                  <w:pPr>
                    <w:autoSpaceDE w:val="0"/>
                    <w:autoSpaceDN w:val="0"/>
                    <w:snapToGrid w:val="0"/>
                    <w:jc w:val="center"/>
                    <w:rPr>
                      <w:kern w:val="0"/>
                      <w:szCs w:val="22"/>
                    </w:rPr>
                  </w:pPr>
                  <w:r>
                    <w:rPr>
                      <w:kern w:val="0"/>
                      <w:szCs w:val="22"/>
                    </w:rPr>
                    <w:t>时段</w:t>
                  </w:r>
                </w:p>
              </w:tc>
              <w:tc>
                <w:tcPr>
                  <w:tcW w:w="1759" w:type="dxa"/>
                  <w:vMerge w:val="restart"/>
                  <w:vAlign w:val="center"/>
                </w:tcPr>
                <w:p w14:paraId="1CA60238">
                  <w:pPr>
                    <w:autoSpaceDE w:val="0"/>
                    <w:autoSpaceDN w:val="0"/>
                    <w:snapToGrid w:val="0"/>
                    <w:jc w:val="center"/>
                    <w:rPr>
                      <w:kern w:val="0"/>
                      <w:szCs w:val="22"/>
                    </w:rPr>
                  </w:pPr>
                  <w:r>
                    <w:rPr>
                      <w:rFonts w:hint="eastAsia"/>
                      <w:kern w:val="0"/>
                      <w:szCs w:val="22"/>
                      <w:lang w:val="en-US" w:eastAsia="zh-CN"/>
                    </w:rPr>
                    <w:t>预测值</w:t>
                  </w:r>
                  <w:r>
                    <w:rPr>
                      <w:kern w:val="0"/>
                      <w:szCs w:val="22"/>
                    </w:rPr>
                    <w:t>（dB(A)）</w:t>
                  </w:r>
                </w:p>
              </w:tc>
              <w:tc>
                <w:tcPr>
                  <w:tcW w:w="1225" w:type="dxa"/>
                  <w:vMerge w:val="restart"/>
                  <w:vAlign w:val="center"/>
                </w:tcPr>
                <w:p w14:paraId="0DFD8F48">
                  <w:pPr>
                    <w:autoSpaceDE w:val="0"/>
                    <w:autoSpaceDN w:val="0"/>
                    <w:snapToGrid w:val="0"/>
                    <w:jc w:val="center"/>
                    <w:rPr>
                      <w:kern w:val="0"/>
                      <w:szCs w:val="22"/>
                    </w:rPr>
                  </w:pPr>
                  <w:r>
                    <w:rPr>
                      <w:kern w:val="0"/>
                      <w:szCs w:val="22"/>
                    </w:rPr>
                    <w:t>标准限值（dB(A)）</w:t>
                  </w:r>
                </w:p>
              </w:tc>
              <w:tc>
                <w:tcPr>
                  <w:tcW w:w="1231" w:type="dxa"/>
                  <w:vMerge w:val="restart"/>
                  <w:vAlign w:val="center"/>
                </w:tcPr>
                <w:p w14:paraId="638E745D">
                  <w:pPr>
                    <w:autoSpaceDE w:val="0"/>
                    <w:autoSpaceDN w:val="0"/>
                    <w:snapToGrid w:val="0"/>
                    <w:jc w:val="center"/>
                    <w:rPr>
                      <w:kern w:val="0"/>
                      <w:szCs w:val="22"/>
                    </w:rPr>
                  </w:pPr>
                  <w:r>
                    <w:rPr>
                      <w:kern w:val="0"/>
                      <w:szCs w:val="22"/>
                    </w:rPr>
                    <w:t>达标情况</w:t>
                  </w:r>
                </w:p>
              </w:tc>
            </w:tr>
            <w:tr w14:paraId="6AB3979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1221" w:type="dxa"/>
                  <w:vMerge w:val="continue"/>
                  <w:shd w:val="clear" w:color="auto" w:fill="FFFFFF"/>
                  <w:vAlign w:val="center"/>
                </w:tcPr>
                <w:p w14:paraId="21CC6914">
                  <w:pPr>
                    <w:autoSpaceDE w:val="0"/>
                    <w:autoSpaceDN w:val="0"/>
                    <w:snapToGrid w:val="0"/>
                    <w:jc w:val="center"/>
                    <w:rPr>
                      <w:kern w:val="0"/>
                      <w:szCs w:val="22"/>
                    </w:rPr>
                  </w:pPr>
                </w:p>
              </w:tc>
              <w:tc>
                <w:tcPr>
                  <w:tcW w:w="637" w:type="dxa"/>
                  <w:shd w:val="clear" w:color="auto" w:fill="FFFFFF"/>
                  <w:vAlign w:val="center"/>
                </w:tcPr>
                <w:p w14:paraId="136795B3">
                  <w:pPr>
                    <w:autoSpaceDE w:val="0"/>
                    <w:autoSpaceDN w:val="0"/>
                    <w:snapToGrid w:val="0"/>
                    <w:jc w:val="center"/>
                    <w:rPr>
                      <w:kern w:val="0"/>
                      <w:szCs w:val="22"/>
                    </w:rPr>
                  </w:pPr>
                  <w:r>
                    <w:rPr>
                      <w:kern w:val="0"/>
                      <w:szCs w:val="22"/>
                    </w:rPr>
                    <w:t>X</w:t>
                  </w:r>
                </w:p>
              </w:tc>
              <w:tc>
                <w:tcPr>
                  <w:tcW w:w="774" w:type="dxa"/>
                  <w:shd w:val="clear" w:color="auto" w:fill="FFFFFF"/>
                  <w:vAlign w:val="center"/>
                </w:tcPr>
                <w:p w14:paraId="4F58B748">
                  <w:pPr>
                    <w:autoSpaceDE w:val="0"/>
                    <w:autoSpaceDN w:val="0"/>
                    <w:snapToGrid w:val="0"/>
                    <w:jc w:val="center"/>
                    <w:rPr>
                      <w:kern w:val="0"/>
                      <w:szCs w:val="22"/>
                    </w:rPr>
                  </w:pPr>
                  <w:r>
                    <w:rPr>
                      <w:kern w:val="0"/>
                      <w:szCs w:val="22"/>
                    </w:rPr>
                    <w:t>Y</w:t>
                  </w:r>
                </w:p>
              </w:tc>
              <w:tc>
                <w:tcPr>
                  <w:tcW w:w="690" w:type="dxa"/>
                  <w:shd w:val="clear" w:color="auto" w:fill="FFFFFF"/>
                  <w:vAlign w:val="center"/>
                </w:tcPr>
                <w:p w14:paraId="59BED54B">
                  <w:pPr>
                    <w:autoSpaceDE w:val="0"/>
                    <w:autoSpaceDN w:val="0"/>
                    <w:snapToGrid w:val="0"/>
                    <w:jc w:val="center"/>
                    <w:rPr>
                      <w:kern w:val="0"/>
                      <w:szCs w:val="22"/>
                    </w:rPr>
                  </w:pPr>
                  <w:r>
                    <w:rPr>
                      <w:kern w:val="0"/>
                      <w:szCs w:val="22"/>
                    </w:rPr>
                    <w:t>Z</w:t>
                  </w:r>
                </w:p>
              </w:tc>
              <w:tc>
                <w:tcPr>
                  <w:tcW w:w="728" w:type="dxa"/>
                  <w:vMerge w:val="continue"/>
                  <w:shd w:val="clear" w:color="auto" w:fill="FFFFFF"/>
                  <w:vAlign w:val="center"/>
                </w:tcPr>
                <w:p w14:paraId="1893EAF2">
                  <w:pPr>
                    <w:autoSpaceDE w:val="0"/>
                    <w:autoSpaceDN w:val="0"/>
                    <w:snapToGrid w:val="0"/>
                    <w:jc w:val="center"/>
                    <w:rPr>
                      <w:kern w:val="0"/>
                      <w:szCs w:val="22"/>
                    </w:rPr>
                  </w:pPr>
                </w:p>
              </w:tc>
              <w:tc>
                <w:tcPr>
                  <w:tcW w:w="1759" w:type="dxa"/>
                  <w:vMerge w:val="continue"/>
                  <w:shd w:val="clear" w:color="auto" w:fill="FFFFFF"/>
                  <w:vAlign w:val="center"/>
                </w:tcPr>
                <w:p w14:paraId="3349CA8F">
                  <w:pPr>
                    <w:autoSpaceDE w:val="0"/>
                    <w:autoSpaceDN w:val="0"/>
                    <w:snapToGrid w:val="0"/>
                    <w:jc w:val="center"/>
                    <w:rPr>
                      <w:kern w:val="0"/>
                      <w:szCs w:val="22"/>
                    </w:rPr>
                  </w:pPr>
                </w:p>
              </w:tc>
              <w:tc>
                <w:tcPr>
                  <w:tcW w:w="1225" w:type="dxa"/>
                  <w:vMerge w:val="continue"/>
                  <w:shd w:val="clear" w:color="auto" w:fill="FFFFFF"/>
                  <w:vAlign w:val="center"/>
                </w:tcPr>
                <w:p w14:paraId="7CA1DCBE">
                  <w:pPr>
                    <w:autoSpaceDE w:val="0"/>
                    <w:autoSpaceDN w:val="0"/>
                    <w:snapToGrid w:val="0"/>
                    <w:jc w:val="center"/>
                    <w:rPr>
                      <w:kern w:val="0"/>
                      <w:szCs w:val="22"/>
                    </w:rPr>
                  </w:pPr>
                </w:p>
              </w:tc>
              <w:tc>
                <w:tcPr>
                  <w:tcW w:w="1231" w:type="dxa"/>
                  <w:vMerge w:val="continue"/>
                  <w:shd w:val="clear" w:color="auto" w:fill="FFFFFF"/>
                  <w:vAlign w:val="center"/>
                </w:tcPr>
                <w:p w14:paraId="6345C28A">
                  <w:pPr>
                    <w:autoSpaceDE w:val="0"/>
                    <w:autoSpaceDN w:val="0"/>
                    <w:snapToGrid w:val="0"/>
                    <w:jc w:val="center"/>
                    <w:rPr>
                      <w:kern w:val="0"/>
                      <w:szCs w:val="22"/>
                    </w:rPr>
                  </w:pPr>
                </w:p>
              </w:tc>
            </w:tr>
            <w:tr w14:paraId="5C4A377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FFFFFF"/>
                <w:tblCellMar>
                  <w:top w:w="0" w:type="dxa"/>
                  <w:left w:w="108" w:type="dxa"/>
                  <w:bottom w:w="0" w:type="dxa"/>
                  <w:right w:w="108" w:type="dxa"/>
                </w:tblCellMar>
              </w:tblPrEx>
              <w:trPr>
                <w:cantSplit/>
                <w:trHeight w:val="237" w:hRule="atLeast"/>
                <w:jc w:val="center"/>
              </w:trPr>
              <w:tc>
                <w:tcPr>
                  <w:tcW w:w="1221" w:type="dxa"/>
                  <w:shd w:val="clear" w:color="auto" w:fill="FFFFFF"/>
                  <w:vAlign w:val="center"/>
                </w:tcPr>
                <w:p w14:paraId="06885749">
                  <w:pPr>
                    <w:autoSpaceDE w:val="0"/>
                    <w:autoSpaceDN w:val="0"/>
                    <w:snapToGrid w:val="0"/>
                    <w:jc w:val="center"/>
                    <w:rPr>
                      <w:rFonts w:hint="eastAsia" w:eastAsia="宋体"/>
                      <w:kern w:val="0"/>
                      <w:szCs w:val="22"/>
                      <w:lang w:val="en-US" w:eastAsia="zh-CN"/>
                    </w:rPr>
                  </w:pPr>
                  <w:r>
                    <w:rPr>
                      <w:kern w:val="0"/>
                      <w:szCs w:val="22"/>
                    </w:rPr>
                    <w:t>厂界东</w:t>
                  </w:r>
                  <w:r>
                    <w:rPr>
                      <w:rFonts w:hint="eastAsia"/>
                      <w:kern w:val="0"/>
                      <w:szCs w:val="22"/>
                      <w:lang w:val="en-US" w:eastAsia="zh-CN"/>
                    </w:rPr>
                    <w:t>面</w:t>
                  </w:r>
                </w:p>
              </w:tc>
              <w:tc>
                <w:tcPr>
                  <w:tcW w:w="637" w:type="dxa"/>
                  <w:shd w:val="clear" w:color="auto" w:fill="FFFFFF"/>
                  <w:vAlign w:val="center"/>
                </w:tcPr>
                <w:p w14:paraId="57BA84BD">
                  <w:pPr>
                    <w:autoSpaceDE w:val="0"/>
                    <w:autoSpaceDN w:val="0"/>
                    <w:snapToGrid w:val="0"/>
                    <w:jc w:val="center"/>
                    <w:rPr>
                      <w:kern w:val="0"/>
                      <w:szCs w:val="22"/>
                    </w:rPr>
                  </w:pPr>
                  <w:r>
                    <w:rPr>
                      <w:kern w:val="0"/>
                      <w:szCs w:val="22"/>
                    </w:rPr>
                    <w:t>1</w:t>
                  </w:r>
                  <w:r>
                    <w:rPr>
                      <w:rFonts w:hint="eastAsia"/>
                      <w:kern w:val="0"/>
                      <w:szCs w:val="22"/>
                    </w:rPr>
                    <w:t>5</w:t>
                  </w:r>
                </w:p>
              </w:tc>
              <w:tc>
                <w:tcPr>
                  <w:tcW w:w="774" w:type="dxa"/>
                  <w:shd w:val="clear" w:color="auto" w:fill="FFFFFF"/>
                  <w:vAlign w:val="center"/>
                </w:tcPr>
                <w:p w14:paraId="6284D269">
                  <w:pPr>
                    <w:autoSpaceDE w:val="0"/>
                    <w:autoSpaceDN w:val="0"/>
                    <w:snapToGrid w:val="0"/>
                    <w:jc w:val="center"/>
                    <w:rPr>
                      <w:kern w:val="0"/>
                      <w:szCs w:val="22"/>
                    </w:rPr>
                  </w:pPr>
                  <w:r>
                    <w:rPr>
                      <w:rFonts w:hint="eastAsia"/>
                      <w:kern w:val="0"/>
                      <w:szCs w:val="22"/>
                    </w:rPr>
                    <w:t>10</w:t>
                  </w:r>
                </w:p>
              </w:tc>
              <w:tc>
                <w:tcPr>
                  <w:tcW w:w="690" w:type="dxa"/>
                  <w:shd w:val="clear" w:color="auto" w:fill="FFFFFF"/>
                  <w:vAlign w:val="center"/>
                </w:tcPr>
                <w:p w14:paraId="4A5DC67E">
                  <w:pPr>
                    <w:autoSpaceDE w:val="0"/>
                    <w:autoSpaceDN w:val="0"/>
                    <w:snapToGrid w:val="0"/>
                    <w:jc w:val="center"/>
                    <w:rPr>
                      <w:kern w:val="0"/>
                      <w:szCs w:val="22"/>
                    </w:rPr>
                  </w:pPr>
                  <w:r>
                    <w:rPr>
                      <w:rFonts w:hint="eastAsia"/>
                      <w:kern w:val="0"/>
                      <w:szCs w:val="22"/>
                    </w:rPr>
                    <w:t>7</w:t>
                  </w:r>
                  <w:r>
                    <w:rPr>
                      <w:kern w:val="0"/>
                      <w:szCs w:val="22"/>
                    </w:rPr>
                    <w:t>.</w:t>
                  </w:r>
                  <w:r>
                    <w:rPr>
                      <w:rFonts w:hint="eastAsia"/>
                      <w:kern w:val="0"/>
                      <w:szCs w:val="22"/>
                    </w:rPr>
                    <w:t>2</w:t>
                  </w:r>
                </w:p>
              </w:tc>
              <w:tc>
                <w:tcPr>
                  <w:tcW w:w="728" w:type="dxa"/>
                  <w:shd w:val="clear" w:color="auto" w:fill="FFFFFF"/>
                  <w:vAlign w:val="center"/>
                </w:tcPr>
                <w:p w14:paraId="1A7B40DF">
                  <w:pPr>
                    <w:autoSpaceDE w:val="0"/>
                    <w:autoSpaceDN w:val="0"/>
                    <w:snapToGrid w:val="0"/>
                    <w:jc w:val="center"/>
                    <w:rPr>
                      <w:kern w:val="0"/>
                      <w:szCs w:val="22"/>
                    </w:rPr>
                  </w:pPr>
                  <w:r>
                    <w:rPr>
                      <w:kern w:val="0"/>
                      <w:szCs w:val="22"/>
                    </w:rPr>
                    <w:t>昼间</w:t>
                  </w:r>
                </w:p>
              </w:tc>
              <w:tc>
                <w:tcPr>
                  <w:tcW w:w="1759" w:type="dxa"/>
                  <w:shd w:val="clear" w:color="auto" w:fill="FFFFFF"/>
                  <w:vAlign w:val="center"/>
                </w:tcPr>
                <w:p w14:paraId="64AFF90D">
                  <w:pPr>
                    <w:jc w:val="center"/>
                    <w:rPr>
                      <w:rFonts w:hint="default" w:eastAsia="宋体"/>
                      <w:kern w:val="0"/>
                      <w:szCs w:val="22"/>
                      <w:lang w:val="en-US" w:eastAsia="zh-CN"/>
                    </w:rPr>
                  </w:pPr>
                  <w:r>
                    <w:rPr>
                      <w:rFonts w:hint="eastAsia" w:eastAsia="宋体"/>
                      <w:sz w:val="20"/>
                      <w:lang w:val="en-US" w:eastAsia="zh-CN"/>
                    </w:rPr>
                    <w:t>50.3</w:t>
                  </w:r>
                </w:p>
              </w:tc>
              <w:tc>
                <w:tcPr>
                  <w:tcW w:w="1225" w:type="dxa"/>
                  <w:shd w:val="clear" w:color="auto" w:fill="FFFFFF"/>
                  <w:vAlign w:val="center"/>
                </w:tcPr>
                <w:p w14:paraId="240FB583">
                  <w:pPr>
                    <w:autoSpaceDE w:val="0"/>
                    <w:autoSpaceDN w:val="0"/>
                    <w:snapToGrid w:val="0"/>
                    <w:jc w:val="center"/>
                    <w:rPr>
                      <w:kern w:val="0"/>
                      <w:szCs w:val="22"/>
                    </w:rPr>
                  </w:pPr>
                  <w:r>
                    <w:rPr>
                      <w:kern w:val="0"/>
                      <w:szCs w:val="22"/>
                    </w:rPr>
                    <w:t>65</w:t>
                  </w:r>
                </w:p>
              </w:tc>
              <w:tc>
                <w:tcPr>
                  <w:tcW w:w="1231" w:type="dxa"/>
                  <w:shd w:val="clear" w:color="auto" w:fill="FFFFFF"/>
                  <w:vAlign w:val="center"/>
                </w:tcPr>
                <w:p w14:paraId="555C4663">
                  <w:pPr>
                    <w:autoSpaceDE w:val="0"/>
                    <w:autoSpaceDN w:val="0"/>
                    <w:snapToGrid w:val="0"/>
                    <w:jc w:val="center"/>
                    <w:rPr>
                      <w:kern w:val="0"/>
                      <w:szCs w:val="22"/>
                    </w:rPr>
                  </w:pPr>
                  <w:r>
                    <w:rPr>
                      <w:kern w:val="0"/>
                      <w:szCs w:val="22"/>
                    </w:rPr>
                    <w:t>达标</w:t>
                  </w:r>
                </w:p>
              </w:tc>
            </w:tr>
            <w:tr w14:paraId="396911F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FFFFFF"/>
                <w:tblCellMar>
                  <w:top w:w="0" w:type="dxa"/>
                  <w:left w:w="108" w:type="dxa"/>
                  <w:bottom w:w="0" w:type="dxa"/>
                  <w:right w:w="108" w:type="dxa"/>
                </w:tblCellMar>
              </w:tblPrEx>
              <w:trPr>
                <w:cantSplit/>
                <w:jc w:val="center"/>
              </w:trPr>
              <w:tc>
                <w:tcPr>
                  <w:tcW w:w="1221" w:type="dxa"/>
                  <w:shd w:val="clear" w:color="auto" w:fill="FFFFFF"/>
                  <w:vAlign w:val="center"/>
                </w:tcPr>
                <w:p w14:paraId="00112EB0">
                  <w:pPr>
                    <w:autoSpaceDE w:val="0"/>
                    <w:autoSpaceDN w:val="0"/>
                    <w:snapToGrid w:val="0"/>
                    <w:jc w:val="center"/>
                    <w:rPr>
                      <w:rFonts w:hint="eastAsia" w:eastAsia="宋体"/>
                      <w:kern w:val="0"/>
                      <w:szCs w:val="22"/>
                      <w:lang w:val="en-US" w:eastAsia="zh-CN"/>
                    </w:rPr>
                  </w:pPr>
                  <w:r>
                    <w:rPr>
                      <w:kern w:val="0"/>
                      <w:szCs w:val="22"/>
                    </w:rPr>
                    <w:t>厂界南</w:t>
                  </w:r>
                  <w:r>
                    <w:rPr>
                      <w:rFonts w:hint="eastAsia"/>
                      <w:kern w:val="0"/>
                      <w:szCs w:val="22"/>
                      <w:lang w:val="en-US" w:eastAsia="zh-CN"/>
                    </w:rPr>
                    <w:t>面</w:t>
                  </w:r>
                </w:p>
              </w:tc>
              <w:tc>
                <w:tcPr>
                  <w:tcW w:w="637" w:type="dxa"/>
                  <w:shd w:val="clear" w:color="auto" w:fill="FFFFFF"/>
                  <w:vAlign w:val="center"/>
                </w:tcPr>
                <w:p w14:paraId="558A9482">
                  <w:pPr>
                    <w:autoSpaceDE w:val="0"/>
                    <w:autoSpaceDN w:val="0"/>
                    <w:snapToGrid w:val="0"/>
                    <w:jc w:val="center"/>
                    <w:rPr>
                      <w:kern w:val="0"/>
                      <w:szCs w:val="22"/>
                    </w:rPr>
                  </w:pPr>
                  <w:r>
                    <w:rPr>
                      <w:rFonts w:hint="eastAsia"/>
                      <w:kern w:val="0"/>
                      <w:szCs w:val="22"/>
                    </w:rPr>
                    <w:t>9</w:t>
                  </w:r>
                </w:p>
              </w:tc>
              <w:tc>
                <w:tcPr>
                  <w:tcW w:w="774" w:type="dxa"/>
                  <w:shd w:val="clear" w:color="auto" w:fill="FFFFFF"/>
                  <w:vAlign w:val="center"/>
                </w:tcPr>
                <w:p w14:paraId="5CED0F9C">
                  <w:pPr>
                    <w:autoSpaceDE w:val="0"/>
                    <w:autoSpaceDN w:val="0"/>
                    <w:snapToGrid w:val="0"/>
                    <w:jc w:val="center"/>
                    <w:rPr>
                      <w:kern w:val="0"/>
                      <w:szCs w:val="22"/>
                    </w:rPr>
                  </w:pPr>
                  <w:r>
                    <w:rPr>
                      <w:kern w:val="0"/>
                      <w:szCs w:val="22"/>
                    </w:rPr>
                    <w:t>-1</w:t>
                  </w:r>
                  <w:r>
                    <w:rPr>
                      <w:rFonts w:hint="eastAsia"/>
                      <w:kern w:val="0"/>
                      <w:szCs w:val="22"/>
                    </w:rPr>
                    <w:t>0</w:t>
                  </w:r>
                </w:p>
              </w:tc>
              <w:tc>
                <w:tcPr>
                  <w:tcW w:w="690" w:type="dxa"/>
                  <w:shd w:val="clear" w:color="auto" w:fill="FFFFFF"/>
                  <w:vAlign w:val="center"/>
                </w:tcPr>
                <w:p w14:paraId="26EE6865">
                  <w:pPr>
                    <w:autoSpaceDE w:val="0"/>
                    <w:autoSpaceDN w:val="0"/>
                    <w:snapToGrid w:val="0"/>
                    <w:jc w:val="center"/>
                    <w:rPr>
                      <w:kern w:val="0"/>
                      <w:szCs w:val="22"/>
                    </w:rPr>
                  </w:pPr>
                  <w:r>
                    <w:rPr>
                      <w:rFonts w:hint="eastAsia"/>
                      <w:kern w:val="0"/>
                      <w:szCs w:val="22"/>
                    </w:rPr>
                    <w:t>6</w:t>
                  </w:r>
                  <w:r>
                    <w:rPr>
                      <w:kern w:val="0"/>
                      <w:szCs w:val="22"/>
                    </w:rPr>
                    <w:t>.6</w:t>
                  </w:r>
                </w:p>
              </w:tc>
              <w:tc>
                <w:tcPr>
                  <w:tcW w:w="728" w:type="dxa"/>
                  <w:shd w:val="clear" w:color="auto" w:fill="FFFFFF"/>
                  <w:vAlign w:val="center"/>
                </w:tcPr>
                <w:p w14:paraId="6A9A29A4">
                  <w:pPr>
                    <w:autoSpaceDE w:val="0"/>
                    <w:autoSpaceDN w:val="0"/>
                    <w:snapToGrid w:val="0"/>
                    <w:jc w:val="center"/>
                    <w:rPr>
                      <w:kern w:val="0"/>
                      <w:szCs w:val="22"/>
                    </w:rPr>
                  </w:pPr>
                  <w:r>
                    <w:rPr>
                      <w:kern w:val="0"/>
                      <w:szCs w:val="22"/>
                    </w:rPr>
                    <w:t>昼间</w:t>
                  </w:r>
                </w:p>
              </w:tc>
              <w:tc>
                <w:tcPr>
                  <w:tcW w:w="1759" w:type="dxa"/>
                  <w:shd w:val="clear" w:color="auto" w:fill="FFFFFF"/>
                  <w:vAlign w:val="center"/>
                </w:tcPr>
                <w:p w14:paraId="2868C212">
                  <w:pPr>
                    <w:jc w:val="center"/>
                    <w:rPr>
                      <w:rFonts w:hint="default" w:eastAsia="宋体"/>
                      <w:kern w:val="0"/>
                      <w:szCs w:val="22"/>
                      <w:lang w:val="en-US" w:eastAsia="zh-CN"/>
                    </w:rPr>
                  </w:pPr>
                  <w:r>
                    <w:rPr>
                      <w:rFonts w:hint="eastAsia" w:eastAsia="宋体"/>
                      <w:sz w:val="20"/>
                      <w:lang w:val="en-US" w:eastAsia="zh-CN"/>
                    </w:rPr>
                    <w:t>51.4</w:t>
                  </w:r>
                </w:p>
              </w:tc>
              <w:tc>
                <w:tcPr>
                  <w:tcW w:w="1225" w:type="dxa"/>
                  <w:shd w:val="clear" w:color="auto" w:fill="FFFFFF"/>
                  <w:vAlign w:val="center"/>
                </w:tcPr>
                <w:p w14:paraId="7B25FEED">
                  <w:pPr>
                    <w:autoSpaceDE w:val="0"/>
                    <w:autoSpaceDN w:val="0"/>
                    <w:snapToGrid w:val="0"/>
                    <w:jc w:val="center"/>
                    <w:rPr>
                      <w:kern w:val="0"/>
                      <w:szCs w:val="22"/>
                    </w:rPr>
                  </w:pPr>
                  <w:r>
                    <w:rPr>
                      <w:kern w:val="0"/>
                      <w:szCs w:val="22"/>
                    </w:rPr>
                    <w:t>65</w:t>
                  </w:r>
                </w:p>
              </w:tc>
              <w:tc>
                <w:tcPr>
                  <w:tcW w:w="1231" w:type="dxa"/>
                  <w:shd w:val="clear" w:color="auto" w:fill="FFFFFF"/>
                  <w:vAlign w:val="center"/>
                </w:tcPr>
                <w:p w14:paraId="7255CF87">
                  <w:pPr>
                    <w:autoSpaceDE w:val="0"/>
                    <w:autoSpaceDN w:val="0"/>
                    <w:snapToGrid w:val="0"/>
                    <w:jc w:val="center"/>
                    <w:rPr>
                      <w:kern w:val="0"/>
                      <w:szCs w:val="22"/>
                    </w:rPr>
                  </w:pPr>
                  <w:r>
                    <w:rPr>
                      <w:kern w:val="0"/>
                      <w:szCs w:val="22"/>
                    </w:rPr>
                    <w:t>达标</w:t>
                  </w:r>
                </w:p>
              </w:tc>
            </w:tr>
            <w:tr w14:paraId="60296BC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FFFFFF"/>
                <w:tblCellMar>
                  <w:top w:w="0" w:type="dxa"/>
                  <w:left w:w="108" w:type="dxa"/>
                  <w:bottom w:w="0" w:type="dxa"/>
                  <w:right w:w="108" w:type="dxa"/>
                </w:tblCellMar>
              </w:tblPrEx>
              <w:trPr>
                <w:cantSplit/>
                <w:jc w:val="center"/>
              </w:trPr>
              <w:tc>
                <w:tcPr>
                  <w:tcW w:w="1221" w:type="dxa"/>
                  <w:shd w:val="clear" w:color="auto" w:fill="FFFFFF"/>
                  <w:vAlign w:val="center"/>
                </w:tcPr>
                <w:p w14:paraId="3B6E3235">
                  <w:pPr>
                    <w:autoSpaceDE w:val="0"/>
                    <w:autoSpaceDN w:val="0"/>
                    <w:snapToGrid w:val="0"/>
                    <w:jc w:val="center"/>
                    <w:rPr>
                      <w:rFonts w:hint="eastAsia" w:eastAsia="宋体"/>
                      <w:kern w:val="0"/>
                      <w:szCs w:val="22"/>
                      <w:lang w:val="en-US" w:eastAsia="zh-CN"/>
                    </w:rPr>
                  </w:pPr>
                  <w:r>
                    <w:rPr>
                      <w:kern w:val="0"/>
                      <w:szCs w:val="22"/>
                    </w:rPr>
                    <w:t>厂界西</w:t>
                  </w:r>
                  <w:r>
                    <w:rPr>
                      <w:rFonts w:hint="eastAsia"/>
                      <w:kern w:val="0"/>
                      <w:szCs w:val="22"/>
                      <w:lang w:val="en-US" w:eastAsia="zh-CN"/>
                    </w:rPr>
                    <w:t>面</w:t>
                  </w:r>
                </w:p>
              </w:tc>
              <w:tc>
                <w:tcPr>
                  <w:tcW w:w="637" w:type="dxa"/>
                  <w:shd w:val="clear" w:color="auto" w:fill="FFFFFF"/>
                  <w:vAlign w:val="center"/>
                </w:tcPr>
                <w:p w14:paraId="0B9C0B52">
                  <w:pPr>
                    <w:autoSpaceDE w:val="0"/>
                    <w:autoSpaceDN w:val="0"/>
                    <w:snapToGrid w:val="0"/>
                    <w:jc w:val="center"/>
                    <w:rPr>
                      <w:kern w:val="0"/>
                      <w:szCs w:val="22"/>
                    </w:rPr>
                  </w:pPr>
                  <w:r>
                    <w:rPr>
                      <w:kern w:val="0"/>
                      <w:szCs w:val="22"/>
                    </w:rPr>
                    <w:t>-1</w:t>
                  </w:r>
                  <w:r>
                    <w:rPr>
                      <w:rFonts w:hint="eastAsia"/>
                      <w:kern w:val="0"/>
                      <w:szCs w:val="22"/>
                    </w:rPr>
                    <w:t>1</w:t>
                  </w:r>
                </w:p>
              </w:tc>
              <w:tc>
                <w:tcPr>
                  <w:tcW w:w="774" w:type="dxa"/>
                  <w:shd w:val="clear" w:color="auto" w:fill="FFFFFF"/>
                  <w:vAlign w:val="center"/>
                </w:tcPr>
                <w:p w14:paraId="10D02269">
                  <w:pPr>
                    <w:autoSpaceDE w:val="0"/>
                    <w:autoSpaceDN w:val="0"/>
                    <w:snapToGrid w:val="0"/>
                    <w:jc w:val="center"/>
                    <w:rPr>
                      <w:kern w:val="0"/>
                      <w:szCs w:val="22"/>
                    </w:rPr>
                  </w:pPr>
                  <w:r>
                    <w:rPr>
                      <w:rFonts w:hint="eastAsia"/>
                      <w:kern w:val="0"/>
                      <w:szCs w:val="22"/>
                    </w:rPr>
                    <w:t>7</w:t>
                  </w:r>
                </w:p>
              </w:tc>
              <w:tc>
                <w:tcPr>
                  <w:tcW w:w="690" w:type="dxa"/>
                  <w:shd w:val="clear" w:color="auto" w:fill="FFFFFF"/>
                  <w:vAlign w:val="center"/>
                </w:tcPr>
                <w:p w14:paraId="7C81522A">
                  <w:pPr>
                    <w:autoSpaceDE w:val="0"/>
                    <w:autoSpaceDN w:val="0"/>
                    <w:snapToGrid w:val="0"/>
                    <w:jc w:val="center"/>
                    <w:rPr>
                      <w:kern w:val="0"/>
                      <w:szCs w:val="22"/>
                    </w:rPr>
                  </w:pPr>
                  <w:r>
                    <w:rPr>
                      <w:rFonts w:hint="eastAsia"/>
                      <w:kern w:val="0"/>
                      <w:szCs w:val="22"/>
                    </w:rPr>
                    <w:t>7</w:t>
                  </w:r>
                  <w:r>
                    <w:rPr>
                      <w:kern w:val="0"/>
                      <w:szCs w:val="22"/>
                    </w:rPr>
                    <w:t>.</w:t>
                  </w:r>
                  <w:r>
                    <w:rPr>
                      <w:rFonts w:hint="eastAsia"/>
                      <w:kern w:val="0"/>
                      <w:szCs w:val="22"/>
                    </w:rPr>
                    <w:t>8</w:t>
                  </w:r>
                </w:p>
              </w:tc>
              <w:tc>
                <w:tcPr>
                  <w:tcW w:w="728" w:type="dxa"/>
                  <w:shd w:val="clear" w:color="auto" w:fill="FFFFFF"/>
                  <w:vAlign w:val="center"/>
                </w:tcPr>
                <w:p w14:paraId="7C3F692E">
                  <w:pPr>
                    <w:autoSpaceDE w:val="0"/>
                    <w:autoSpaceDN w:val="0"/>
                    <w:snapToGrid w:val="0"/>
                    <w:jc w:val="center"/>
                    <w:rPr>
                      <w:kern w:val="0"/>
                      <w:szCs w:val="22"/>
                    </w:rPr>
                  </w:pPr>
                  <w:r>
                    <w:rPr>
                      <w:kern w:val="0"/>
                      <w:szCs w:val="22"/>
                    </w:rPr>
                    <w:t>昼间</w:t>
                  </w:r>
                </w:p>
              </w:tc>
              <w:tc>
                <w:tcPr>
                  <w:tcW w:w="1759" w:type="dxa"/>
                  <w:shd w:val="clear" w:color="auto" w:fill="FFFFFF"/>
                  <w:vAlign w:val="center"/>
                </w:tcPr>
                <w:p w14:paraId="138E6297">
                  <w:pPr>
                    <w:jc w:val="center"/>
                    <w:rPr>
                      <w:kern w:val="0"/>
                      <w:szCs w:val="22"/>
                    </w:rPr>
                  </w:pPr>
                  <w:r>
                    <w:rPr>
                      <w:rFonts w:eastAsia="Arial"/>
                      <w:sz w:val="20"/>
                    </w:rPr>
                    <w:t>5</w:t>
                  </w:r>
                  <w:r>
                    <w:rPr>
                      <w:rFonts w:hint="eastAsia"/>
                      <w:sz w:val="20"/>
                    </w:rPr>
                    <w:t>2</w:t>
                  </w:r>
                  <w:r>
                    <w:rPr>
                      <w:rFonts w:eastAsia="Arial"/>
                      <w:sz w:val="20"/>
                    </w:rPr>
                    <w:t>.</w:t>
                  </w:r>
                  <w:r>
                    <w:rPr>
                      <w:rFonts w:hint="eastAsia"/>
                      <w:sz w:val="20"/>
                    </w:rPr>
                    <w:t>8</w:t>
                  </w:r>
                </w:p>
              </w:tc>
              <w:tc>
                <w:tcPr>
                  <w:tcW w:w="1225" w:type="dxa"/>
                  <w:shd w:val="clear" w:color="auto" w:fill="FFFFFF"/>
                  <w:vAlign w:val="center"/>
                </w:tcPr>
                <w:p w14:paraId="37353DE5">
                  <w:pPr>
                    <w:autoSpaceDE w:val="0"/>
                    <w:autoSpaceDN w:val="0"/>
                    <w:snapToGrid w:val="0"/>
                    <w:jc w:val="center"/>
                    <w:rPr>
                      <w:kern w:val="0"/>
                      <w:szCs w:val="22"/>
                    </w:rPr>
                  </w:pPr>
                  <w:r>
                    <w:rPr>
                      <w:kern w:val="0"/>
                      <w:szCs w:val="22"/>
                    </w:rPr>
                    <w:t>65</w:t>
                  </w:r>
                </w:p>
              </w:tc>
              <w:tc>
                <w:tcPr>
                  <w:tcW w:w="1231" w:type="dxa"/>
                  <w:shd w:val="clear" w:color="auto" w:fill="FFFFFF"/>
                  <w:vAlign w:val="center"/>
                </w:tcPr>
                <w:p w14:paraId="196259DE">
                  <w:pPr>
                    <w:autoSpaceDE w:val="0"/>
                    <w:autoSpaceDN w:val="0"/>
                    <w:snapToGrid w:val="0"/>
                    <w:jc w:val="center"/>
                    <w:rPr>
                      <w:kern w:val="0"/>
                      <w:szCs w:val="22"/>
                    </w:rPr>
                  </w:pPr>
                  <w:r>
                    <w:rPr>
                      <w:kern w:val="0"/>
                      <w:szCs w:val="22"/>
                    </w:rPr>
                    <w:t>达标</w:t>
                  </w:r>
                </w:p>
              </w:tc>
            </w:tr>
            <w:tr w14:paraId="2E792E3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FFFFFF"/>
                <w:tblCellMar>
                  <w:top w:w="0" w:type="dxa"/>
                  <w:left w:w="108" w:type="dxa"/>
                  <w:bottom w:w="0" w:type="dxa"/>
                  <w:right w:w="108" w:type="dxa"/>
                </w:tblCellMar>
              </w:tblPrEx>
              <w:trPr>
                <w:cantSplit/>
                <w:jc w:val="center"/>
              </w:trPr>
              <w:tc>
                <w:tcPr>
                  <w:tcW w:w="1221" w:type="dxa"/>
                  <w:shd w:val="clear" w:color="auto" w:fill="FFFFFF"/>
                  <w:vAlign w:val="center"/>
                </w:tcPr>
                <w:p w14:paraId="669FE230">
                  <w:pPr>
                    <w:autoSpaceDE w:val="0"/>
                    <w:autoSpaceDN w:val="0"/>
                    <w:snapToGrid w:val="0"/>
                    <w:jc w:val="center"/>
                    <w:rPr>
                      <w:rFonts w:hint="eastAsia" w:eastAsia="宋体"/>
                      <w:kern w:val="0"/>
                      <w:szCs w:val="22"/>
                      <w:lang w:val="en-US" w:eastAsia="zh-CN"/>
                    </w:rPr>
                  </w:pPr>
                  <w:r>
                    <w:rPr>
                      <w:kern w:val="0"/>
                      <w:szCs w:val="22"/>
                    </w:rPr>
                    <w:t>厂界北</w:t>
                  </w:r>
                  <w:r>
                    <w:rPr>
                      <w:rFonts w:hint="eastAsia"/>
                      <w:kern w:val="0"/>
                      <w:szCs w:val="22"/>
                      <w:lang w:val="en-US" w:eastAsia="zh-CN"/>
                    </w:rPr>
                    <w:t>面</w:t>
                  </w:r>
                </w:p>
              </w:tc>
              <w:tc>
                <w:tcPr>
                  <w:tcW w:w="637" w:type="dxa"/>
                  <w:shd w:val="clear" w:color="auto" w:fill="FFFFFF"/>
                  <w:vAlign w:val="center"/>
                </w:tcPr>
                <w:p w14:paraId="7032189A">
                  <w:pPr>
                    <w:autoSpaceDE w:val="0"/>
                    <w:autoSpaceDN w:val="0"/>
                    <w:snapToGrid w:val="0"/>
                    <w:jc w:val="center"/>
                    <w:rPr>
                      <w:kern w:val="0"/>
                      <w:szCs w:val="22"/>
                    </w:rPr>
                  </w:pPr>
                  <w:r>
                    <w:rPr>
                      <w:kern w:val="0"/>
                      <w:szCs w:val="22"/>
                    </w:rPr>
                    <w:t>-12</w:t>
                  </w:r>
                </w:p>
              </w:tc>
              <w:tc>
                <w:tcPr>
                  <w:tcW w:w="774" w:type="dxa"/>
                  <w:shd w:val="clear" w:color="auto" w:fill="FFFFFF"/>
                  <w:vAlign w:val="center"/>
                </w:tcPr>
                <w:p w14:paraId="4EF81F0B">
                  <w:pPr>
                    <w:autoSpaceDE w:val="0"/>
                    <w:autoSpaceDN w:val="0"/>
                    <w:snapToGrid w:val="0"/>
                    <w:jc w:val="center"/>
                    <w:rPr>
                      <w:kern w:val="0"/>
                      <w:szCs w:val="22"/>
                    </w:rPr>
                  </w:pPr>
                  <w:r>
                    <w:rPr>
                      <w:kern w:val="0"/>
                      <w:szCs w:val="22"/>
                    </w:rPr>
                    <w:t>15</w:t>
                  </w:r>
                </w:p>
              </w:tc>
              <w:tc>
                <w:tcPr>
                  <w:tcW w:w="690" w:type="dxa"/>
                  <w:shd w:val="clear" w:color="auto" w:fill="FFFFFF"/>
                  <w:vAlign w:val="center"/>
                </w:tcPr>
                <w:p w14:paraId="69EFB267">
                  <w:pPr>
                    <w:autoSpaceDE w:val="0"/>
                    <w:autoSpaceDN w:val="0"/>
                    <w:snapToGrid w:val="0"/>
                    <w:jc w:val="center"/>
                    <w:rPr>
                      <w:kern w:val="0"/>
                      <w:szCs w:val="22"/>
                    </w:rPr>
                  </w:pPr>
                  <w:r>
                    <w:rPr>
                      <w:kern w:val="0"/>
                      <w:szCs w:val="22"/>
                    </w:rPr>
                    <w:t>5.6</w:t>
                  </w:r>
                </w:p>
              </w:tc>
              <w:tc>
                <w:tcPr>
                  <w:tcW w:w="728" w:type="dxa"/>
                  <w:shd w:val="clear" w:color="auto" w:fill="FFFFFF"/>
                  <w:vAlign w:val="center"/>
                </w:tcPr>
                <w:p w14:paraId="5BCA7EC4">
                  <w:pPr>
                    <w:autoSpaceDE w:val="0"/>
                    <w:autoSpaceDN w:val="0"/>
                    <w:snapToGrid w:val="0"/>
                    <w:jc w:val="center"/>
                    <w:rPr>
                      <w:kern w:val="0"/>
                      <w:szCs w:val="22"/>
                    </w:rPr>
                  </w:pPr>
                  <w:r>
                    <w:rPr>
                      <w:kern w:val="0"/>
                      <w:szCs w:val="22"/>
                    </w:rPr>
                    <w:t>昼间</w:t>
                  </w:r>
                </w:p>
              </w:tc>
              <w:tc>
                <w:tcPr>
                  <w:tcW w:w="1759" w:type="dxa"/>
                  <w:shd w:val="clear" w:color="auto" w:fill="FFFFFF"/>
                  <w:vAlign w:val="center"/>
                </w:tcPr>
                <w:p w14:paraId="43E2A4D3">
                  <w:pPr>
                    <w:jc w:val="center"/>
                    <w:rPr>
                      <w:kern w:val="0"/>
                      <w:szCs w:val="22"/>
                    </w:rPr>
                  </w:pPr>
                  <w:r>
                    <w:rPr>
                      <w:rFonts w:eastAsia="Arial"/>
                      <w:sz w:val="20"/>
                    </w:rPr>
                    <w:t>5</w:t>
                  </w:r>
                  <w:r>
                    <w:rPr>
                      <w:rFonts w:hint="eastAsia" w:eastAsia="宋体"/>
                      <w:sz w:val="20"/>
                      <w:lang w:val="en-US" w:eastAsia="zh-CN"/>
                    </w:rPr>
                    <w:t>1</w:t>
                  </w:r>
                  <w:r>
                    <w:rPr>
                      <w:rFonts w:eastAsia="Arial"/>
                      <w:sz w:val="20"/>
                    </w:rPr>
                    <w:t>.</w:t>
                  </w:r>
                  <w:r>
                    <w:rPr>
                      <w:rFonts w:hint="eastAsia"/>
                      <w:sz w:val="20"/>
                    </w:rPr>
                    <w:t>6</w:t>
                  </w:r>
                </w:p>
              </w:tc>
              <w:tc>
                <w:tcPr>
                  <w:tcW w:w="1225" w:type="dxa"/>
                  <w:shd w:val="clear" w:color="auto" w:fill="FFFFFF"/>
                  <w:vAlign w:val="center"/>
                </w:tcPr>
                <w:p w14:paraId="7D87C278">
                  <w:pPr>
                    <w:autoSpaceDE w:val="0"/>
                    <w:autoSpaceDN w:val="0"/>
                    <w:snapToGrid w:val="0"/>
                    <w:jc w:val="center"/>
                    <w:rPr>
                      <w:kern w:val="0"/>
                      <w:szCs w:val="22"/>
                    </w:rPr>
                  </w:pPr>
                  <w:r>
                    <w:rPr>
                      <w:kern w:val="0"/>
                      <w:szCs w:val="22"/>
                    </w:rPr>
                    <w:t>65</w:t>
                  </w:r>
                </w:p>
              </w:tc>
              <w:tc>
                <w:tcPr>
                  <w:tcW w:w="1231" w:type="dxa"/>
                  <w:shd w:val="clear" w:color="auto" w:fill="FFFFFF"/>
                  <w:vAlign w:val="center"/>
                </w:tcPr>
                <w:p w14:paraId="1306807C">
                  <w:pPr>
                    <w:autoSpaceDE w:val="0"/>
                    <w:autoSpaceDN w:val="0"/>
                    <w:snapToGrid w:val="0"/>
                    <w:jc w:val="center"/>
                    <w:rPr>
                      <w:kern w:val="0"/>
                      <w:szCs w:val="22"/>
                    </w:rPr>
                  </w:pPr>
                  <w:r>
                    <w:rPr>
                      <w:kern w:val="0"/>
                      <w:szCs w:val="22"/>
                    </w:rPr>
                    <w:t>达标</w:t>
                  </w:r>
                </w:p>
              </w:tc>
            </w:tr>
          </w:tbl>
          <w:p w14:paraId="07718759">
            <w:pPr>
              <w:tabs>
                <w:tab w:val="left" w:pos="1280"/>
              </w:tabs>
              <w:adjustRightInd w:val="0"/>
              <w:snapToGrid w:val="0"/>
              <w:spacing w:line="360" w:lineRule="auto"/>
              <w:ind w:firstLine="480" w:firstLineChars="200"/>
              <w:textAlignment w:val="baseline"/>
              <w:rPr>
                <w:color w:val="000000"/>
                <w:sz w:val="24"/>
              </w:rPr>
            </w:pPr>
            <w:r>
              <w:rPr>
                <w:color w:val="000000"/>
                <w:sz w:val="24"/>
              </w:rPr>
              <w:t>从预测结果可以看出，项目固定声源在采取设备基础减振、密闭及厂房隔声等综合噪声防治措施后经过预测，本项目厂界</w:t>
            </w:r>
            <w:r>
              <w:rPr>
                <w:rFonts w:hint="eastAsia"/>
                <w:color w:val="000000"/>
                <w:sz w:val="24"/>
                <w:lang w:val="en-US" w:eastAsia="zh-CN"/>
              </w:rPr>
              <w:t>东面</w:t>
            </w:r>
            <w:r>
              <w:rPr>
                <w:color w:val="000000"/>
                <w:sz w:val="24"/>
              </w:rPr>
              <w:t>、南</w:t>
            </w:r>
            <w:r>
              <w:rPr>
                <w:rFonts w:hint="eastAsia"/>
                <w:color w:val="000000"/>
                <w:sz w:val="24"/>
                <w:lang w:val="en-US" w:eastAsia="zh-CN"/>
              </w:rPr>
              <w:t>面</w:t>
            </w:r>
            <w:r>
              <w:rPr>
                <w:color w:val="000000"/>
                <w:sz w:val="24"/>
              </w:rPr>
              <w:t>、西</w:t>
            </w:r>
            <w:r>
              <w:rPr>
                <w:rFonts w:hint="eastAsia"/>
                <w:color w:val="000000"/>
                <w:sz w:val="24"/>
                <w:lang w:val="en-US" w:eastAsia="zh-CN"/>
              </w:rPr>
              <w:t>面</w:t>
            </w:r>
            <w:r>
              <w:rPr>
                <w:color w:val="000000"/>
                <w:sz w:val="24"/>
              </w:rPr>
              <w:t>、北</w:t>
            </w:r>
            <w:r>
              <w:rPr>
                <w:rFonts w:hint="eastAsia"/>
                <w:color w:val="000000"/>
                <w:sz w:val="24"/>
                <w:lang w:val="en-US" w:eastAsia="zh-CN"/>
              </w:rPr>
              <w:t>面</w:t>
            </w:r>
            <w:r>
              <w:rPr>
                <w:color w:val="000000"/>
                <w:sz w:val="24"/>
              </w:rPr>
              <w:t>噪声能够满足《工业企业厂界环境噪声排放标准》（GB12348-2008）3类标准限值。</w:t>
            </w:r>
          </w:p>
          <w:p w14:paraId="2B71CA46">
            <w:pPr>
              <w:pStyle w:val="2"/>
              <w:ind w:firstLine="480"/>
              <w:rPr>
                <w:rFonts w:ascii="Times New Roman"/>
              </w:rPr>
            </w:pPr>
            <w:r>
              <w:rPr>
                <w:rFonts w:ascii="Times New Roman"/>
              </w:rPr>
              <w:t>3、声环境保护目标达标性分析</w:t>
            </w:r>
          </w:p>
          <w:p w14:paraId="02A1540D">
            <w:pPr>
              <w:adjustRightInd w:val="0"/>
              <w:snapToGrid w:val="0"/>
              <w:spacing w:line="360" w:lineRule="auto"/>
              <w:ind w:firstLine="480" w:firstLineChars="200"/>
              <w:jc w:val="left"/>
              <w:rPr>
                <w:color w:val="000000"/>
                <w:sz w:val="24"/>
              </w:rPr>
            </w:pPr>
            <w:r>
              <w:rPr>
                <w:color w:val="000000"/>
                <w:sz w:val="24"/>
              </w:rPr>
              <w:t>根据《建设项目环境影响报告表》编制技术指南（污染影响类）（试行），明确厂界外50m范围内的敏感点为声环境保护目标，本项目厂界外50m范围内没有居民点，都是工业企业，无敏感目标。</w:t>
            </w:r>
          </w:p>
          <w:p w14:paraId="213975B1">
            <w:pPr>
              <w:spacing w:line="360" w:lineRule="auto"/>
              <w:ind w:firstLine="480" w:firstLineChars="200"/>
              <w:rPr>
                <w:bCs/>
                <w:sz w:val="24"/>
              </w:rPr>
            </w:pPr>
            <w:r>
              <w:rPr>
                <w:bCs/>
                <w:sz w:val="24"/>
              </w:rPr>
              <w:t>4、噪声常规监测</w:t>
            </w:r>
          </w:p>
          <w:p w14:paraId="1EF9EE46">
            <w:pPr>
              <w:pStyle w:val="86"/>
              <w:widowControl w:val="0"/>
              <w:ind w:firstLine="480"/>
              <w:textAlignment w:val="auto"/>
              <w:rPr>
                <w:b/>
                <w:color w:val="auto"/>
                <w:szCs w:val="24"/>
              </w:rPr>
            </w:pPr>
            <w:r>
              <w:rPr>
                <w:rFonts w:cs="宋体"/>
                <w:color w:val="auto"/>
                <w:szCs w:val="24"/>
              </w:rPr>
              <w:t>根据照《排污单位自行监测技术指南 总则》（HJ819-2017）制定公司的监测计划和工作方案，具体噪声监测计划见表</w:t>
            </w:r>
            <w:r>
              <w:rPr>
                <w:rFonts w:hint="eastAsia" w:cs="宋体"/>
                <w:color w:val="auto"/>
                <w:szCs w:val="24"/>
              </w:rPr>
              <w:t>4-16</w:t>
            </w:r>
            <w:r>
              <w:rPr>
                <w:rFonts w:cs="宋体"/>
                <w:color w:val="auto"/>
                <w:szCs w:val="24"/>
              </w:rPr>
              <w:t>。</w:t>
            </w:r>
          </w:p>
          <w:p w14:paraId="0631DA73">
            <w:pPr>
              <w:pStyle w:val="2"/>
              <w:spacing w:line="240" w:lineRule="auto"/>
              <w:ind w:firstLine="482"/>
              <w:jc w:val="center"/>
              <w:rPr>
                <w:rFonts w:ascii="Times New Roman"/>
                <w:b/>
                <w:color w:val="auto"/>
              </w:rPr>
            </w:pPr>
            <w:r>
              <w:rPr>
                <w:rFonts w:ascii="Times New Roman"/>
                <w:b/>
                <w:color w:val="auto"/>
              </w:rPr>
              <w:t>表4-</w:t>
            </w:r>
            <w:r>
              <w:rPr>
                <w:rFonts w:hint="eastAsia" w:ascii="Times New Roman"/>
                <w:b/>
                <w:color w:val="auto"/>
              </w:rPr>
              <w:t xml:space="preserve">16  </w:t>
            </w:r>
            <w:r>
              <w:rPr>
                <w:rFonts w:ascii="Times New Roman"/>
                <w:b/>
                <w:color w:val="auto"/>
              </w:rPr>
              <w:t>本项目噪声日常环境监测计划</w:t>
            </w:r>
          </w:p>
          <w:tbl>
            <w:tblPr>
              <w:tblStyle w:val="36"/>
              <w:tblW w:w="8277"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60"/>
              <w:gridCol w:w="1237"/>
              <w:gridCol w:w="1413"/>
              <w:gridCol w:w="1611"/>
              <w:gridCol w:w="3256"/>
            </w:tblGrid>
            <w:tr w14:paraId="5C9FCF6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760" w:type="dxa"/>
                  <w:vAlign w:val="center"/>
                </w:tcPr>
                <w:p w14:paraId="754BA18B">
                  <w:pPr>
                    <w:pStyle w:val="82"/>
                    <w:spacing w:before="0" w:after="0"/>
                    <w:ind w:right="0"/>
                    <w:jc w:val="center"/>
                    <w:rPr>
                      <w:szCs w:val="21"/>
                    </w:rPr>
                  </w:pPr>
                  <w:r>
                    <w:rPr>
                      <w:szCs w:val="21"/>
                    </w:rPr>
                    <w:t>类型</w:t>
                  </w:r>
                </w:p>
              </w:tc>
              <w:tc>
                <w:tcPr>
                  <w:tcW w:w="1237" w:type="dxa"/>
                  <w:vAlign w:val="center"/>
                </w:tcPr>
                <w:p w14:paraId="3DCEC0E6">
                  <w:pPr>
                    <w:pStyle w:val="82"/>
                    <w:spacing w:before="0" w:after="0"/>
                    <w:ind w:right="0"/>
                    <w:jc w:val="center"/>
                    <w:rPr>
                      <w:szCs w:val="21"/>
                    </w:rPr>
                  </w:pPr>
                  <w:r>
                    <w:rPr>
                      <w:szCs w:val="21"/>
                    </w:rPr>
                    <w:t>监测点位</w:t>
                  </w:r>
                </w:p>
              </w:tc>
              <w:tc>
                <w:tcPr>
                  <w:tcW w:w="1413" w:type="dxa"/>
                  <w:vAlign w:val="center"/>
                </w:tcPr>
                <w:p w14:paraId="74075827">
                  <w:pPr>
                    <w:pStyle w:val="82"/>
                    <w:spacing w:before="0" w:after="0"/>
                    <w:ind w:right="0"/>
                    <w:jc w:val="center"/>
                    <w:rPr>
                      <w:szCs w:val="21"/>
                    </w:rPr>
                  </w:pPr>
                  <w:r>
                    <w:rPr>
                      <w:szCs w:val="21"/>
                    </w:rPr>
                    <w:t>监测因子</w:t>
                  </w:r>
                </w:p>
              </w:tc>
              <w:tc>
                <w:tcPr>
                  <w:tcW w:w="1611" w:type="dxa"/>
                  <w:vAlign w:val="center"/>
                </w:tcPr>
                <w:p w14:paraId="5AB132E5">
                  <w:pPr>
                    <w:pStyle w:val="82"/>
                    <w:spacing w:before="0" w:after="0"/>
                    <w:ind w:right="0"/>
                    <w:jc w:val="center"/>
                    <w:rPr>
                      <w:szCs w:val="21"/>
                    </w:rPr>
                  </w:pPr>
                  <w:r>
                    <w:rPr>
                      <w:szCs w:val="21"/>
                    </w:rPr>
                    <w:t>监测频次</w:t>
                  </w:r>
                </w:p>
              </w:tc>
              <w:tc>
                <w:tcPr>
                  <w:tcW w:w="3256" w:type="dxa"/>
                  <w:vAlign w:val="center"/>
                </w:tcPr>
                <w:p w14:paraId="55860D40">
                  <w:pPr>
                    <w:pStyle w:val="82"/>
                    <w:spacing w:before="0" w:after="0"/>
                    <w:ind w:right="0"/>
                    <w:jc w:val="center"/>
                    <w:rPr>
                      <w:szCs w:val="21"/>
                    </w:rPr>
                  </w:pPr>
                  <w:r>
                    <w:rPr>
                      <w:szCs w:val="21"/>
                    </w:rPr>
                    <w:t>执行标准</w:t>
                  </w:r>
                </w:p>
              </w:tc>
            </w:tr>
            <w:tr w14:paraId="16E8311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2" w:hRule="atLeast"/>
                <w:jc w:val="center"/>
              </w:trPr>
              <w:tc>
                <w:tcPr>
                  <w:tcW w:w="760" w:type="dxa"/>
                  <w:vAlign w:val="center"/>
                </w:tcPr>
                <w:p w14:paraId="6F64EBC6">
                  <w:pPr>
                    <w:pStyle w:val="82"/>
                    <w:spacing w:before="0" w:after="0"/>
                    <w:ind w:right="0"/>
                    <w:jc w:val="center"/>
                    <w:rPr>
                      <w:szCs w:val="21"/>
                    </w:rPr>
                  </w:pPr>
                  <w:r>
                    <w:rPr>
                      <w:szCs w:val="21"/>
                    </w:rPr>
                    <w:t>噪声</w:t>
                  </w:r>
                </w:p>
              </w:tc>
              <w:tc>
                <w:tcPr>
                  <w:tcW w:w="1237" w:type="dxa"/>
                  <w:vAlign w:val="center"/>
                </w:tcPr>
                <w:p w14:paraId="0D73FFC5">
                  <w:pPr>
                    <w:pStyle w:val="82"/>
                    <w:spacing w:before="0" w:after="0"/>
                    <w:ind w:right="0"/>
                    <w:jc w:val="center"/>
                    <w:rPr>
                      <w:szCs w:val="21"/>
                    </w:rPr>
                  </w:pPr>
                  <w:r>
                    <w:rPr>
                      <w:szCs w:val="21"/>
                    </w:rPr>
                    <w:t>厂界四周</w:t>
                  </w:r>
                </w:p>
              </w:tc>
              <w:tc>
                <w:tcPr>
                  <w:tcW w:w="1413" w:type="dxa"/>
                  <w:vAlign w:val="center"/>
                </w:tcPr>
                <w:p w14:paraId="093943EE">
                  <w:pPr>
                    <w:pStyle w:val="82"/>
                    <w:spacing w:before="0" w:after="0"/>
                    <w:ind w:right="0"/>
                    <w:jc w:val="center"/>
                    <w:rPr>
                      <w:szCs w:val="21"/>
                    </w:rPr>
                  </w:pPr>
                  <w:r>
                    <w:rPr>
                      <w:szCs w:val="21"/>
                    </w:rPr>
                    <w:t>昼间等效连续A声级</w:t>
                  </w:r>
                </w:p>
              </w:tc>
              <w:tc>
                <w:tcPr>
                  <w:tcW w:w="1611" w:type="dxa"/>
                  <w:vAlign w:val="center"/>
                </w:tcPr>
                <w:p w14:paraId="57CC9FF5">
                  <w:pPr>
                    <w:pStyle w:val="82"/>
                    <w:spacing w:before="0" w:after="0"/>
                    <w:ind w:right="0"/>
                    <w:jc w:val="center"/>
                    <w:rPr>
                      <w:szCs w:val="21"/>
                    </w:rPr>
                  </w:pPr>
                  <w:r>
                    <w:rPr>
                      <w:szCs w:val="21"/>
                    </w:rPr>
                    <w:t>1次/季度</w:t>
                  </w:r>
                </w:p>
              </w:tc>
              <w:tc>
                <w:tcPr>
                  <w:tcW w:w="3256" w:type="dxa"/>
                  <w:vAlign w:val="center"/>
                </w:tcPr>
                <w:p w14:paraId="46CA51BA">
                  <w:pPr>
                    <w:pStyle w:val="82"/>
                    <w:spacing w:before="0" w:after="0"/>
                    <w:ind w:right="0"/>
                    <w:jc w:val="center"/>
                    <w:rPr>
                      <w:szCs w:val="21"/>
                    </w:rPr>
                  </w:pPr>
                  <w:r>
                    <w:rPr>
                      <w:szCs w:val="21"/>
                    </w:rPr>
                    <w:t>《工业企业厂界环境噪声排放标准》（GB12345-2008）中3类</w:t>
                  </w:r>
                </w:p>
              </w:tc>
            </w:tr>
          </w:tbl>
          <w:p w14:paraId="7A8CA8A1">
            <w:pPr>
              <w:spacing w:line="360" w:lineRule="auto"/>
              <w:ind w:firstLine="482" w:firstLineChars="200"/>
              <w:rPr>
                <w:b/>
                <w:bCs/>
                <w:sz w:val="24"/>
              </w:rPr>
            </w:pPr>
            <w:r>
              <w:rPr>
                <w:rFonts w:hint="eastAsia"/>
                <w:b/>
                <w:bCs/>
                <w:sz w:val="24"/>
              </w:rPr>
              <w:t>4.</w:t>
            </w:r>
            <w:r>
              <w:rPr>
                <w:b/>
                <w:bCs/>
                <w:sz w:val="24"/>
              </w:rPr>
              <w:t>4、固体废物的环境影响分析</w:t>
            </w:r>
          </w:p>
          <w:p w14:paraId="01DC2C9E">
            <w:pPr>
              <w:spacing w:line="360" w:lineRule="auto"/>
              <w:ind w:firstLine="480" w:firstLineChars="200"/>
              <w:rPr>
                <w:sz w:val="24"/>
              </w:rPr>
            </w:pPr>
            <w:r>
              <w:rPr>
                <w:rFonts w:hint="eastAsia"/>
                <w:sz w:val="24"/>
              </w:rPr>
              <w:t>本项目运营过程中产生的固体废物主要为废钢筋、废边角料</w:t>
            </w:r>
            <w:r>
              <w:rPr>
                <w:rFonts w:hint="eastAsia"/>
                <w:sz w:val="24"/>
                <w:lang w:val="en-US" w:eastAsia="zh-CN"/>
              </w:rPr>
              <w:t>及不合格品</w:t>
            </w:r>
            <w:r>
              <w:rPr>
                <w:rFonts w:hint="eastAsia"/>
                <w:sz w:val="24"/>
              </w:rPr>
              <w:t>、废焊渣、</w:t>
            </w:r>
            <w:r>
              <w:rPr>
                <w:rFonts w:hint="eastAsia"/>
                <w:sz w:val="24"/>
                <w:lang w:val="en-US" w:eastAsia="zh-CN"/>
              </w:rPr>
              <w:t>收集的塑粉、废包装袋、</w:t>
            </w:r>
            <w:r>
              <w:rPr>
                <w:rFonts w:hint="eastAsia"/>
                <w:sz w:val="24"/>
              </w:rPr>
              <w:t>废活性炭</w:t>
            </w:r>
            <w:r>
              <w:rPr>
                <w:rFonts w:hint="eastAsia"/>
                <w:sz w:val="24"/>
                <w:lang w:eastAsia="zh-CN"/>
              </w:rPr>
              <w:t>、</w:t>
            </w:r>
            <w:r>
              <w:rPr>
                <w:rFonts w:hint="eastAsia"/>
                <w:sz w:val="24"/>
                <w:lang w:val="en-US" w:eastAsia="zh-CN"/>
              </w:rPr>
              <w:t>废矿物油、废油桶、废含油抹布手套、废滤网</w:t>
            </w:r>
            <w:r>
              <w:rPr>
                <w:rFonts w:hint="eastAsia"/>
                <w:sz w:val="24"/>
              </w:rPr>
              <w:t>及生活垃圾。</w:t>
            </w:r>
          </w:p>
          <w:p w14:paraId="389F9902">
            <w:pPr>
              <w:spacing w:line="360" w:lineRule="auto"/>
              <w:ind w:firstLine="482" w:firstLineChars="200"/>
              <w:rPr>
                <w:b/>
                <w:bCs/>
                <w:sz w:val="24"/>
              </w:rPr>
            </w:pPr>
            <w:bookmarkStart w:id="12" w:name="1、源强分析"/>
            <w:bookmarkEnd w:id="12"/>
            <w:r>
              <w:rPr>
                <w:rFonts w:hint="eastAsia"/>
                <w:b/>
                <w:bCs/>
                <w:sz w:val="24"/>
              </w:rPr>
              <w:t>4.4.1固体废物</w:t>
            </w:r>
            <w:r>
              <w:rPr>
                <w:b/>
                <w:bCs/>
                <w:sz w:val="24"/>
              </w:rPr>
              <w:t>源强分析</w:t>
            </w:r>
          </w:p>
          <w:p w14:paraId="4BF78046">
            <w:pPr>
              <w:spacing w:line="360" w:lineRule="auto"/>
              <w:ind w:firstLine="480" w:firstLineChars="200"/>
              <w:rPr>
                <w:sz w:val="24"/>
              </w:rPr>
            </w:pPr>
            <w:r>
              <w:rPr>
                <w:rFonts w:hint="eastAsia"/>
                <w:sz w:val="24"/>
              </w:rPr>
              <w:t>（1）一般固体废物</w:t>
            </w:r>
          </w:p>
          <w:p w14:paraId="204F8F21">
            <w:pPr>
              <w:spacing w:line="360" w:lineRule="auto"/>
              <w:ind w:firstLine="480" w:firstLineChars="200"/>
              <w:rPr>
                <w:bCs/>
                <w:spacing w:val="-10"/>
                <w:sz w:val="24"/>
              </w:rPr>
            </w:pPr>
            <w:r>
              <w:rPr>
                <w:sz w:val="24"/>
              </w:rPr>
              <w:t>①</w:t>
            </w:r>
            <w:r>
              <w:rPr>
                <w:rFonts w:hint="eastAsia"/>
                <w:sz w:val="24"/>
              </w:rPr>
              <w:t>废钢筋：下料、卷边过程中会产生一定量的废钢筋，主要成分为钢材，产生量约为原料用量的0.5</w:t>
            </w:r>
            <w:r>
              <w:rPr>
                <w:sz w:val="24"/>
              </w:rPr>
              <w:t>%</w:t>
            </w:r>
            <w:r>
              <w:rPr>
                <w:rFonts w:hint="eastAsia"/>
                <w:sz w:val="24"/>
              </w:rPr>
              <w:t>，</w:t>
            </w:r>
            <w:r>
              <w:rPr>
                <w:rFonts w:hint="eastAsia"/>
                <w:bCs/>
                <w:spacing w:val="-10"/>
                <w:sz w:val="24"/>
              </w:rPr>
              <w:t>废钢筋产生量约为</w:t>
            </w:r>
            <w:r>
              <w:rPr>
                <w:rFonts w:hint="eastAsia"/>
                <w:bCs/>
                <w:spacing w:val="-10"/>
                <w:sz w:val="24"/>
                <w:lang w:val="en-US" w:eastAsia="zh-CN"/>
              </w:rPr>
              <w:t>4.8</w:t>
            </w:r>
            <w:r>
              <w:rPr>
                <w:rFonts w:hint="eastAsia"/>
                <w:bCs/>
                <w:spacing w:val="-10"/>
                <w:sz w:val="24"/>
              </w:rPr>
              <w:t>t/a</w:t>
            </w:r>
            <w:r>
              <w:rPr>
                <w:bCs/>
                <w:spacing w:val="-10"/>
                <w:sz w:val="24"/>
              </w:rPr>
              <w:t>，</w:t>
            </w:r>
            <w:r>
              <w:rPr>
                <w:rFonts w:hint="eastAsia"/>
                <w:bCs/>
                <w:spacing w:val="-10"/>
                <w:sz w:val="24"/>
                <w:lang w:val="en-US" w:eastAsia="zh-CN"/>
              </w:rPr>
              <w:t>经统一</w:t>
            </w:r>
            <w:r>
              <w:rPr>
                <w:rFonts w:hint="eastAsia"/>
                <w:bCs/>
                <w:spacing w:val="-10"/>
                <w:sz w:val="24"/>
              </w:rPr>
              <w:t>收集后外售综合利用。</w:t>
            </w:r>
          </w:p>
          <w:p w14:paraId="405936C9">
            <w:pPr>
              <w:spacing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②</w:t>
            </w:r>
            <w:r>
              <w:rPr>
                <w:rFonts w:hint="eastAsia" w:ascii="Times New Roman" w:hAnsi="Times New Roman" w:eastAsia="宋体" w:cs="Times New Roman"/>
                <w:sz w:val="24"/>
              </w:rPr>
              <w:t>废边角料</w:t>
            </w:r>
            <w:r>
              <w:rPr>
                <w:rFonts w:hint="eastAsia" w:ascii="Times New Roman" w:hAnsi="Times New Roman" w:eastAsia="宋体" w:cs="Times New Roman"/>
                <w:sz w:val="24"/>
                <w:lang w:val="en-US" w:eastAsia="zh-CN"/>
              </w:rPr>
              <w:t>及不合格产品</w:t>
            </w:r>
            <w:r>
              <w:rPr>
                <w:rFonts w:hint="eastAsia" w:ascii="Times New Roman" w:hAnsi="Times New Roman" w:eastAsia="宋体" w:cs="Times New Roman"/>
                <w:sz w:val="24"/>
              </w:rPr>
              <w:t>：注塑过程中会产生一定量的PE边角料</w:t>
            </w:r>
            <w:r>
              <w:rPr>
                <w:rFonts w:hint="eastAsia" w:ascii="Times New Roman" w:hAnsi="Times New Roman" w:eastAsia="宋体" w:cs="Times New Roman"/>
                <w:sz w:val="24"/>
                <w:lang w:val="en-US" w:eastAsia="zh-CN"/>
              </w:rPr>
              <w:t>和不合格产品</w:t>
            </w:r>
            <w:r>
              <w:rPr>
                <w:rFonts w:hint="eastAsia" w:ascii="Times New Roman" w:hAnsi="Times New Roman" w:eastAsia="宋体" w:cs="Times New Roman"/>
                <w:sz w:val="24"/>
              </w:rPr>
              <w:t>，产生量约为原料用量的</w:t>
            </w:r>
            <w:r>
              <w:rPr>
                <w:rFonts w:hint="eastAsia" w:ascii="Times New Roman" w:hAnsi="Times New Roman" w:eastAsia="宋体" w:cs="Times New Roman"/>
                <w:sz w:val="24"/>
                <w:lang w:val="en-US" w:eastAsia="zh-CN"/>
              </w:rPr>
              <w:t>1</w:t>
            </w:r>
            <w:r>
              <w:rPr>
                <w:rFonts w:ascii="Times New Roman" w:hAnsi="Times New Roman" w:eastAsia="宋体" w:cs="Times New Roman"/>
                <w:sz w:val="24"/>
              </w:rPr>
              <w:t>%</w:t>
            </w:r>
            <w:r>
              <w:rPr>
                <w:rFonts w:hint="eastAsia" w:ascii="Times New Roman" w:hAnsi="Times New Roman" w:eastAsia="宋体" w:cs="Times New Roman"/>
                <w:sz w:val="24"/>
              </w:rPr>
              <w:t>，废边角料</w:t>
            </w:r>
            <w:r>
              <w:rPr>
                <w:rFonts w:hint="eastAsia" w:ascii="Times New Roman" w:hAnsi="Times New Roman" w:eastAsia="宋体" w:cs="Times New Roman"/>
                <w:sz w:val="24"/>
                <w:lang w:val="en-US" w:eastAsia="zh-CN"/>
              </w:rPr>
              <w:t>及不合格产品</w:t>
            </w:r>
            <w:r>
              <w:rPr>
                <w:rFonts w:hint="eastAsia" w:ascii="Times New Roman" w:hAnsi="Times New Roman" w:eastAsia="宋体" w:cs="Times New Roman"/>
                <w:sz w:val="24"/>
              </w:rPr>
              <w:t>产生量约为</w:t>
            </w:r>
            <w:r>
              <w:rPr>
                <w:rFonts w:hint="eastAsia" w:ascii="Times New Roman" w:hAnsi="Times New Roman" w:eastAsia="宋体" w:cs="Times New Roman"/>
                <w:sz w:val="24"/>
                <w:lang w:val="en-US" w:eastAsia="zh-CN"/>
              </w:rPr>
              <w:t>10.56</w:t>
            </w:r>
            <w:r>
              <w:rPr>
                <w:rFonts w:hint="eastAsia" w:ascii="Times New Roman" w:hAnsi="Times New Roman" w:eastAsia="宋体" w:cs="Times New Roman"/>
                <w:sz w:val="24"/>
              </w:rPr>
              <w:t>t/a，</w:t>
            </w:r>
            <w:r>
              <w:rPr>
                <w:rFonts w:hint="eastAsia" w:ascii="Times New Roman" w:hAnsi="Times New Roman" w:eastAsia="宋体" w:cs="Times New Roman"/>
                <w:sz w:val="24"/>
                <w:lang w:val="en-US" w:eastAsia="zh-CN"/>
              </w:rPr>
              <w:t>废</w:t>
            </w:r>
            <w:r>
              <w:rPr>
                <w:rFonts w:hint="eastAsia" w:ascii="Times New Roman" w:hAnsi="Times New Roman" w:eastAsia="宋体" w:cs="Times New Roman"/>
                <w:sz w:val="24"/>
              </w:rPr>
              <w:t>边角料</w:t>
            </w:r>
            <w:r>
              <w:rPr>
                <w:rFonts w:hint="eastAsia" w:ascii="Times New Roman" w:hAnsi="Times New Roman" w:eastAsia="宋体" w:cs="Times New Roman"/>
                <w:sz w:val="24"/>
                <w:lang w:val="en-US" w:eastAsia="zh-CN"/>
              </w:rPr>
              <w:t>及不合格产品</w:t>
            </w:r>
            <w:r>
              <w:rPr>
                <w:rFonts w:hint="eastAsia" w:ascii="Times New Roman" w:hAnsi="Times New Roman" w:eastAsia="宋体" w:cs="Times New Roman"/>
                <w:sz w:val="24"/>
              </w:rPr>
              <w:t>经</w:t>
            </w:r>
            <w:r>
              <w:rPr>
                <w:rFonts w:hint="eastAsia" w:ascii="Times New Roman" w:hAnsi="Times New Roman" w:eastAsia="宋体" w:cs="Times New Roman"/>
                <w:sz w:val="24"/>
                <w:lang w:val="en-US" w:eastAsia="zh-CN"/>
              </w:rPr>
              <w:t>统一</w:t>
            </w:r>
            <w:r>
              <w:rPr>
                <w:rFonts w:hint="eastAsia" w:ascii="Times New Roman" w:hAnsi="Times New Roman" w:eastAsia="宋体" w:cs="Times New Roman"/>
                <w:sz w:val="24"/>
              </w:rPr>
              <w:t>收集后暂存于固废暂存间内，定期外售。</w:t>
            </w:r>
          </w:p>
          <w:p w14:paraId="39E4A282">
            <w:pPr>
              <w:spacing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③</w:t>
            </w:r>
            <w:r>
              <w:rPr>
                <w:rFonts w:hint="eastAsia" w:ascii="Times New Roman" w:hAnsi="Times New Roman" w:eastAsia="宋体" w:cs="Times New Roman"/>
                <w:sz w:val="24"/>
              </w:rPr>
              <w:t>废焊渣：本项目焊接过程中焊条的利用率约为60%，另外40%的将形成焊渣。项目年使用焊丝为</w:t>
            </w:r>
            <w:r>
              <w:rPr>
                <w:rFonts w:hint="eastAsia" w:ascii="Times New Roman" w:hAnsi="Times New Roman" w:eastAsia="宋体" w:cs="Times New Roman"/>
                <w:sz w:val="24"/>
                <w:lang w:val="en-US" w:eastAsia="zh-CN"/>
              </w:rPr>
              <w:t>3.84</w:t>
            </w:r>
            <w:r>
              <w:rPr>
                <w:rFonts w:hint="eastAsia" w:ascii="Times New Roman" w:hAnsi="Times New Roman" w:eastAsia="宋体" w:cs="Times New Roman"/>
                <w:sz w:val="24"/>
              </w:rPr>
              <w:t>t/a，则焊接过程焊渣产生量为</w:t>
            </w:r>
            <w:r>
              <w:rPr>
                <w:rFonts w:hint="eastAsia" w:ascii="Times New Roman" w:hAnsi="Times New Roman" w:eastAsia="宋体" w:cs="Times New Roman"/>
                <w:sz w:val="24"/>
                <w:lang w:val="en-US" w:eastAsia="zh-CN"/>
              </w:rPr>
              <w:t>1.536</w:t>
            </w:r>
            <w:r>
              <w:rPr>
                <w:rFonts w:hint="eastAsia" w:ascii="Times New Roman" w:hAnsi="Times New Roman" w:eastAsia="宋体" w:cs="Times New Roman"/>
                <w:sz w:val="24"/>
              </w:rPr>
              <w:t>t/a。废焊渣属于一般固废，经</w:t>
            </w:r>
            <w:r>
              <w:rPr>
                <w:rFonts w:hint="eastAsia" w:ascii="Times New Roman" w:hAnsi="Times New Roman" w:eastAsia="宋体" w:cs="Times New Roman"/>
                <w:sz w:val="24"/>
                <w:lang w:val="en-US" w:eastAsia="zh-CN"/>
              </w:rPr>
              <w:t>统一</w:t>
            </w:r>
            <w:r>
              <w:rPr>
                <w:rFonts w:hint="eastAsia" w:ascii="Times New Roman" w:hAnsi="Times New Roman" w:eastAsia="宋体" w:cs="Times New Roman"/>
                <w:sz w:val="24"/>
              </w:rPr>
              <w:t>收集后，返回厂家回收处理。</w:t>
            </w:r>
          </w:p>
          <w:p w14:paraId="4E18AB3D">
            <w:pPr>
              <w:spacing w:line="360" w:lineRule="auto"/>
              <w:ind w:firstLine="480" w:firstLineChars="200"/>
              <w:rPr>
                <w:rFonts w:hint="eastAsia" w:ascii="Times New Roman" w:hAnsi="Times New Roman" w:eastAsia="宋体" w:cs="Times New Roman"/>
                <w:sz w:val="24"/>
              </w:rPr>
            </w:pPr>
            <w:r>
              <w:rPr>
                <w:rFonts w:hint="eastAsia" w:ascii="Times New Roman" w:hAnsi="Times New Roman" w:eastAsia="宋体" w:cs="Times New Roman"/>
                <w:sz w:val="24"/>
              </w:rPr>
              <w:t>④</w:t>
            </w:r>
            <w:r>
              <w:rPr>
                <w:rFonts w:hint="eastAsia" w:ascii="Times New Roman" w:hAnsi="Times New Roman" w:eastAsia="宋体" w:cs="Times New Roman"/>
                <w:sz w:val="24"/>
                <w:lang w:val="en-US" w:eastAsia="zh-CN"/>
              </w:rPr>
              <w:t>收集的塑粉：</w:t>
            </w:r>
            <w:r>
              <w:rPr>
                <w:rFonts w:hint="eastAsia" w:ascii="Times New Roman" w:hAnsi="Times New Roman" w:eastAsia="宋体" w:cs="Times New Roman"/>
                <w:sz w:val="24"/>
              </w:rPr>
              <w:t>喷塑</w:t>
            </w:r>
            <w:r>
              <w:rPr>
                <w:rFonts w:hint="eastAsia" w:ascii="Times New Roman" w:hAnsi="Times New Roman" w:eastAsia="宋体" w:cs="Times New Roman"/>
                <w:sz w:val="24"/>
                <w:lang w:val="en-US" w:eastAsia="zh-CN"/>
              </w:rPr>
              <w:t>过程中</w:t>
            </w:r>
            <w:r>
              <w:rPr>
                <w:rFonts w:hint="eastAsia" w:ascii="Times New Roman" w:hAnsi="Times New Roman" w:eastAsia="宋体" w:cs="Times New Roman"/>
                <w:sz w:val="24"/>
              </w:rPr>
              <w:t>产生的粉尘经滤筒装置</w:t>
            </w:r>
            <w:r>
              <w:rPr>
                <w:rFonts w:hint="eastAsia" w:ascii="Times New Roman" w:hAnsi="Times New Roman" w:eastAsia="宋体" w:cs="Times New Roman"/>
                <w:sz w:val="24"/>
                <w:lang w:val="en-US" w:eastAsia="zh-CN"/>
              </w:rPr>
              <w:t>收集后回用于生产</w:t>
            </w:r>
            <w:r>
              <w:rPr>
                <w:rFonts w:hint="eastAsia" w:ascii="Times New Roman" w:hAnsi="Times New Roman" w:eastAsia="宋体" w:cs="Times New Roman"/>
                <w:sz w:val="24"/>
              </w:rPr>
              <w:t>，</w:t>
            </w:r>
            <w:r>
              <w:rPr>
                <w:rFonts w:hint="eastAsia" w:ascii="Times New Roman" w:hAnsi="Times New Roman" w:eastAsia="宋体" w:cs="Times New Roman"/>
                <w:sz w:val="24"/>
                <w:lang w:val="en-US" w:eastAsia="zh-CN"/>
              </w:rPr>
              <w:t>根据前文分析可知，收集的塑粉属于一般固废，滤筒收集的塑粉</w:t>
            </w:r>
            <w:r>
              <w:rPr>
                <w:rFonts w:hint="eastAsia" w:ascii="Times New Roman" w:hAnsi="Times New Roman" w:eastAsia="宋体" w:cs="Times New Roman"/>
                <w:sz w:val="24"/>
              </w:rPr>
              <w:t>量为</w:t>
            </w:r>
            <w:r>
              <w:rPr>
                <w:rFonts w:hint="eastAsia" w:ascii="Times New Roman" w:hAnsi="Times New Roman" w:eastAsia="宋体" w:cs="Times New Roman"/>
                <w:sz w:val="24"/>
                <w:lang w:val="en-US" w:eastAsia="zh-CN"/>
              </w:rPr>
              <w:t>2.35</w:t>
            </w:r>
            <w:r>
              <w:rPr>
                <w:rFonts w:hint="eastAsia" w:ascii="Times New Roman" w:hAnsi="Times New Roman" w:eastAsia="宋体" w:cs="Times New Roman"/>
                <w:sz w:val="24"/>
              </w:rPr>
              <w:t>t/a。</w:t>
            </w:r>
          </w:p>
          <w:p w14:paraId="2A52268F">
            <w:pPr>
              <w:spacing w:line="360" w:lineRule="auto"/>
              <w:ind w:firstLine="480" w:firstLineChars="200"/>
              <w:rPr>
                <w:rFonts w:hint="eastAsia" w:ascii="Times New Roman" w:hAnsi="Times New Roman" w:eastAsia="宋体" w:cs="Times New Roman"/>
                <w:sz w:val="24"/>
              </w:rPr>
            </w:pPr>
            <w:r>
              <w:rPr>
                <w:rFonts w:hint="eastAsia" w:ascii="Times New Roman" w:hAnsi="Times New Roman" w:eastAsia="宋体" w:cs="Times New Roman"/>
                <w:sz w:val="24"/>
              </w:rPr>
              <w:t>⑤</w:t>
            </w:r>
            <w:r>
              <w:rPr>
                <w:rFonts w:hint="eastAsia" w:ascii="Times New Roman" w:hAnsi="Times New Roman" w:eastAsia="宋体" w:cs="Times New Roman"/>
                <w:sz w:val="24"/>
                <w:lang w:val="en-US" w:eastAsia="zh-CN"/>
              </w:rPr>
              <w:t>废包装袋：</w:t>
            </w:r>
            <w:r>
              <w:rPr>
                <w:rFonts w:hint="default" w:ascii="Times New Roman" w:hAnsi="Times New Roman" w:eastAsia="宋体" w:cs="Times New Roman"/>
                <w:sz w:val="24"/>
                <w:lang w:val="en-US" w:eastAsia="zh-CN"/>
              </w:rPr>
              <w:t>根据同类项目类比调查，本</w:t>
            </w:r>
            <w:r>
              <w:rPr>
                <w:rFonts w:hint="eastAsia" w:ascii="Times New Roman" w:hAnsi="Times New Roman" w:eastAsia="宋体" w:cs="Times New Roman"/>
                <w:sz w:val="24"/>
                <w:lang w:val="en-US" w:eastAsia="zh-CN"/>
              </w:rPr>
              <w:t>项目</w:t>
            </w:r>
            <w:r>
              <w:rPr>
                <w:rFonts w:hint="default" w:ascii="Times New Roman" w:hAnsi="Times New Roman" w:eastAsia="宋体" w:cs="Times New Roman"/>
                <w:sz w:val="24"/>
                <w:lang w:val="en-US" w:eastAsia="zh-CN"/>
              </w:rPr>
              <w:t>产生的废包装</w:t>
            </w:r>
            <w:r>
              <w:rPr>
                <w:rFonts w:hint="eastAsia" w:ascii="Times New Roman" w:hAnsi="Times New Roman" w:eastAsia="宋体" w:cs="Times New Roman"/>
                <w:sz w:val="24"/>
                <w:lang w:val="en-US" w:eastAsia="zh-CN"/>
              </w:rPr>
              <w:t>袋</w:t>
            </w:r>
            <w:r>
              <w:rPr>
                <w:rFonts w:hint="default" w:ascii="Times New Roman" w:hAnsi="Times New Roman" w:eastAsia="宋体" w:cs="Times New Roman"/>
                <w:sz w:val="24"/>
                <w:lang w:val="en-US" w:eastAsia="zh-CN"/>
              </w:rPr>
              <w:t>为0.</w:t>
            </w:r>
            <w:r>
              <w:rPr>
                <w:rFonts w:hint="eastAsia" w:ascii="Times New Roman" w:hAnsi="Times New Roman" w:eastAsia="宋体" w:cs="Times New Roman"/>
                <w:sz w:val="24"/>
                <w:lang w:val="en-US" w:eastAsia="zh-CN"/>
              </w:rPr>
              <w:t>3</w:t>
            </w:r>
            <w:r>
              <w:rPr>
                <w:rFonts w:hint="default" w:ascii="Times New Roman" w:hAnsi="Times New Roman" w:eastAsia="宋体" w:cs="Times New Roman"/>
                <w:sz w:val="24"/>
                <w:lang w:val="en-US" w:eastAsia="zh-CN"/>
              </w:rPr>
              <w:t>t/a，</w:t>
            </w:r>
            <w:r>
              <w:rPr>
                <w:rFonts w:hint="eastAsia" w:ascii="Times New Roman" w:hAnsi="Times New Roman" w:eastAsia="宋体" w:cs="Times New Roman"/>
                <w:sz w:val="24"/>
                <w:lang w:val="en-US" w:eastAsia="zh-CN"/>
              </w:rPr>
              <w:t>废包装袋属于一般固废，</w:t>
            </w:r>
            <w:r>
              <w:rPr>
                <w:rFonts w:hint="eastAsia"/>
                <w:bCs/>
                <w:spacing w:val="-10"/>
                <w:sz w:val="24"/>
                <w:lang w:val="en-US" w:eastAsia="zh-CN"/>
              </w:rPr>
              <w:t>经统一</w:t>
            </w:r>
            <w:r>
              <w:rPr>
                <w:rFonts w:hint="eastAsia"/>
                <w:bCs/>
                <w:spacing w:val="-10"/>
                <w:sz w:val="24"/>
              </w:rPr>
              <w:t>收集后外售综合利用</w:t>
            </w:r>
            <w:r>
              <w:rPr>
                <w:rFonts w:hint="default" w:ascii="Times New Roman" w:hAnsi="Times New Roman" w:eastAsia="宋体" w:cs="Times New Roman"/>
                <w:sz w:val="24"/>
                <w:lang w:val="en-US" w:eastAsia="zh-CN"/>
              </w:rPr>
              <w:t>。</w:t>
            </w:r>
          </w:p>
          <w:p w14:paraId="250D5E47">
            <w:pPr>
              <w:spacing w:line="360" w:lineRule="auto"/>
              <w:ind w:firstLine="480" w:firstLineChars="200"/>
              <w:rPr>
                <w:rFonts w:hint="eastAsia" w:ascii="Times New Roman" w:hAnsi="Times New Roman" w:eastAsia="宋体" w:cs="Times New Roman"/>
                <w:sz w:val="24"/>
              </w:rPr>
            </w:pPr>
            <w:r>
              <w:rPr>
                <w:rFonts w:hint="eastAsia" w:ascii="Times New Roman" w:hAnsi="Times New Roman" w:eastAsia="宋体" w:cs="Times New Roman"/>
                <w:sz w:val="24"/>
              </w:rPr>
              <w:t>⑥生活垃圾：本项目员工30人，均不在厂区内食宿，年工作300天。员工生活垃圾产生系数按0.5kg/人·d计算，则生活垃圾产生量为15kg/d，即4.5t/a，由环卫部门定期统一清运处置</w:t>
            </w:r>
          </w:p>
          <w:p w14:paraId="0FC45654">
            <w:pPr>
              <w:spacing w:line="360" w:lineRule="auto"/>
              <w:ind w:firstLine="480" w:firstLineChars="200"/>
              <w:rPr>
                <w:sz w:val="24"/>
              </w:rPr>
            </w:pPr>
            <w:r>
              <w:rPr>
                <w:rFonts w:hint="eastAsia"/>
                <w:sz w:val="24"/>
              </w:rPr>
              <w:t>（2）</w:t>
            </w:r>
            <w:r>
              <w:rPr>
                <w:sz w:val="24"/>
              </w:rPr>
              <w:t>危险废物</w:t>
            </w:r>
          </w:p>
          <w:p w14:paraId="73F7AB04">
            <w:pPr>
              <w:adjustRightInd w:val="0"/>
              <w:snapToGrid w:val="0"/>
              <w:spacing w:line="360" w:lineRule="auto"/>
              <w:ind w:firstLine="480" w:firstLineChars="200"/>
              <w:rPr>
                <w:rFonts w:hint="eastAsia" w:ascii="Times New Roman" w:hAnsi="Times New Roman" w:eastAsia="宋体" w:cs="Times New Roman"/>
                <w:sz w:val="24"/>
              </w:rPr>
            </w:pPr>
            <w:r>
              <w:rPr>
                <w:rFonts w:hint="eastAsia"/>
                <w:bCs/>
                <w:color w:val="000000"/>
                <w:sz w:val="24"/>
              </w:rPr>
              <w:t>①废活性炭：</w:t>
            </w:r>
            <w:r>
              <w:rPr>
                <w:rFonts w:hint="eastAsia"/>
                <w:sz w:val="24"/>
              </w:rPr>
              <w:t>本项目注塑有机废气采用双级活性炭吸附装置吸附处理，为保证活性炭吸附效率，活性炭需定期更换，产生废活性炭。</w:t>
            </w:r>
            <w:r>
              <w:rPr>
                <w:rFonts w:hint="eastAsia"/>
                <w:bCs/>
                <w:sz w:val="24"/>
              </w:rPr>
              <w:t>参考《现代涂装手册》（化学工业出版社，陈治良主编），活性炭吸附容量一般为25%，即1t活性炭可吸附0.25t废气。根据前文工程分析，项目吸附的有机废气量为0.</w:t>
            </w:r>
            <w:r>
              <w:rPr>
                <w:rFonts w:hint="eastAsia"/>
                <w:bCs/>
                <w:sz w:val="24"/>
                <w:lang w:val="en-US" w:eastAsia="zh-CN"/>
              </w:rPr>
              <w:t>906</w:t>
            </w:r>
            <w:r>
              <w:rPr>
                <w:rFonts w:hint="eastAsia"/>
                <w:bCs/>
                <w:sz w:val="24"/>
              </w:rPr>
              <w:t>t/a，则活性炭理论需求量为</w:t>
            </w:r>
            <w:r>
              <w:rPr>
                <w:rFonts w:hint="eastAsia"/>
                <w:bCs/>
                <w:sz w:val="24"/>
                <w:lang w:val="en-US" w:eastAsia="zh-CN"/>
              </w:rPr>
              <w:t>3.624</w:t>
            </w:r>
            <w:r>
              <w:rPr>
                <w:rFonts w:hint="eastAsia"/>
                <w:bCs/>
                <w:sz w:val="24"/>
              </w:rPr>
              <w:t>t/a，废活性炭产生量为</w:t>
            </w:r>
            <w:r>
              <w:rPr>
                <w:rFonts w:hint="eastAsia"/>
                <w:bCs/>
                <w:sz w:val="24"/>
                <w:lang w:val="en-US" w:eastAsia="zh-CN"/>
              </w:rPr>
              <w:t>4.53</w:t>
            </w:r>
            <w:r>
              <w:rPr>
                <w:rFonts w:hint="eastAsia"/>
                <w:bCs/>
                <w:sz w:val="24"/>
              </w:rPr>
              <w:t>t/a</w:t>
            </w:r>
            <w:r>
              <w:rPr>
                <w:rFonts w:hint="eastAsia"/>
                <w:sz w:val="24"/>
              </w:rPr>
              <w:t>（含吸附的有机废气）。根据《国家危险废物名录》（2025），废活性炭属于“HW49其他废物”，废物代码：900-041-49</w:t>
            </w:r>
            <w:r>
              <w:rPr>
                <w:rFonts w:hint="eastAsia"/>
                <w:sz w:val="24"/>
                <w:lang w:val="zh-CN"/>
              </w:rPr>
              <w:t>，</w:t>
            </w:r>
            <w:r>
              <w:rPr>
                <w:rFonts w:hint="eastAsia"/>
                <w:sz w:val="24"/>
              </w:rPr>
              <w:t>利用专用密闭包装桶盛装后，</w:t>
            </w:r>
            <w:r>
              <w:rPr>
                <w:rFonts w:hint="eastAsia" w:ascii="Times New Roman" w:hAnsi="Times New Roman" w:eastAsia="宋体" w:cs="Times New Roman"/>
                <w:sz w:val="24"/>
              </w:rPr>
              <w:t>废活性炭委托厂家上门更换回收，不在厂内暂存。</w:t>
            </w:r>
          </w:p>
          <w:p w14:paraId="527A3644">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bCs/>
                <w:color w:val="000000"/>
                <w:sz w:val="24"/>
                <w:szCs w:val="24"/>
                <w:u w:val="none"/>
                <w:lang w:val="en-US" w:eastAsia="zh-CN"/>
              </w:rPr>
            </w:pPr>
            <w:r>
              <w:rPr>
                <w:rFonts w:ascii="Times New Roman" w:hAnsi="Times New Roman" w:eastAsia="宋体" w:cs="Times New Roman"/>
                <w:sz w:val="24"/>
              </w:rPr>
              <w:t>②</w:t>
            </w:r>
            <w:r>
              <w:rPr>
                <w:rFonts w:hint="eastAsia" w:ascii="Times New Roman" w:hAnsi="Times New Roman" w:eastAsia="宋体" w:cs="Times New Roman"/>
                <w:sz w:val="24"/>
                <w:lang w:val="en-US" w:eastAsia="zh-CN"/>
              </w:rPr>
              <w:t>废矿物油：机械设备经长时间使用后，运行效率低，需要定期更换机械设备</w:t>
            </w:r>
            <w:r>
              <w:rPr>
                <w:rFonts w:hint="eastAsia" w:cs="Times New Roman"/>
                <w:sz w:val="24"/>
                <w:lang w:val="en-US" w:eastAsia="zh-CN"/>
              </w:rPr>
              <w:t>的</w:t>
            </w:r>
            <w:r>
              <w:rPr>
                <w:rFonts w:hint="eastAsia" w:ascii="Times New Roman" w:hAnsi="Times New Roman" w:eastAsia="宋体" w:cs="Times New Roman"/>
                <w:sz w:val="24"/>
                <w:lang w:val="en-US" w:eastAsia="zh-CN"/>
              </w:rPr>
              <w:t>齿轮油，有效提高生产效率</w:t>
            </w:r>
            <w:r>
              <w:rPr>
                <w:rFonts w:hint="eastAsia" w:ascii="Times New Roman" w:hAnsi="Times New Roman" w:eastAsia="宋体" w:cs="Times New Roman"/>
                <w:bCs/>
                <w:color w:val="000000"/>
                <w:sz w:val="24"/>
                <w:szCs w:val="24"/>
                <w:u w:val="none"/>
                <w:lang w:val="en-US" w:eastAsia="zh-CN"/>
              </w:rPr>
              <w:t>，</w:t>
            </w:r>
            <w:r>
              <w:rPr>
                <w:rFonts w:hint="default" w:ascii="Times New Roman" w:hAnsi="Times New Roman" w:eastAsia="宋体" w:cs="Times New Roman"/>
                <w:bCs/>
                <w:color w:val="000000"/>
                <w:sz w:val="24"/>
                <w:szCs w:val="24"/>
                <w:u w:val="none"/>
                <w:lang w:val="en-US" w:eastAsia="zh-CN"/>
              </w:rPr>
              <w:t>更换下</w:t>
            </w:r>
            <w:r>
              <w:rPr>
                <w:rFonts w:hint="eastAsia" w:ascii="Times New Roman" w:hAnsi="Times New Roman" w:eastAsia="宋体" w:cs="Times New Roman"/>
                <w:bCs/>
                <w:color w:val="000000"/>
                <w:sz w:val="24"/>
                <w:szCs w:val="24"/>
                <w:u w:val="none"/>
                <w:lang w:val="en-US" w:eastAsia="zh-CN"/>
              </w:rPr>
              <w:t>来</w:t>
            </w:r>
            <w:r>
              <w:rPr>
                <w:rFonts w:hint="default" w:ascii="Times New Roman" w:hAnsi="Times New Roman" w:eastAsia="宋体" w:cs="Times New Roman"/>
                <w:bCs/>
                <w:color w:val="000000"/>
                <w:sz w:val="24"/>
                <w:szCs w:val="24"/>
                <w:u w:val="none"/>
                <w:lang w:val="en-US" w:eastAsia="zh-CN"/>
              </w:rPr>
              <w:t>的废</w:t>
            </w:r>
            <w:r>
              <w:rPr>
                <w:rFonts w:hint="eastAsia" w:ascii="Times New Roman" w:hAnsi="Times New Roman" w:eastAsia="宋体" w:cs="Times New Roman"/>
                <w:bCs/>
                <w:color w:val="000000"/>
                <w:sz w:val="24"/>
                <w:szCs w:val="24"/>
                <w:u w:val="none"/>
                <w:lang w:val="en-US" w:eastAsia="zh-CN"/>
              </w:rPr>
              <w:t>齿轮油</w:t>
            </w:r>
            <w:r>
              <w:rPr>
                <w:rFonts w:hint="default" w:ascii="Times New Roman" w:hAnsi="Times New Roman" w:eastAsia="宋体" w:cs="Times New Roman"/>
                <w:bCs/>
                <w:color w:val="000000"/>
                <w:sz w:val="24"/>
                <w:szCs w:val="24"/>
                <w:u w:val="none"/>
                <w:lang w:val="en-US" w:eastAsia="zh-CN"/>
              </w:rPr>
              <w:t>量为</w:t>
            </w:r>
            <w:r>
              <w:rPr>
                <w:rFonts w:hint="eastAsia" w:eastAsia="宋体" w:cs="Times New Roman"/>
                <w:bCs/>
                <w:color w:val="000000"/>
                <w:sz w:val="24"/>
                <w:szCs w:val="24"/>
                <w:u w:val="none"/>
                <w:lang w:val="en-US" w:eastAsia="zh-CN"/>
              </w:rPr>
              <w:t>0.35t</w:t>
            </w:r>
            <w:r>
              <w:rPr>
                <w:rFonts w:hint="default" w:ascii="Times New Roman" w:hAnsi="Times New Roman" w:eastAsia="宋体" w:cs="Times New Roman"/>
                <w:bCs/>
                <w:color w:val="000000"/>
                <w:sz w:val="24"/>
                <w:szCs w:val="24"/>
                <w:u w:val="none"/>
                <w:lang w:val="en-US" w:eastAsia="zh-CN"/>
              </w:rPr>
              <w:t>/a。根据《国家危险废物名录》，废</w:t>
            </w:r>
            <w:r>
              <w:rPr>
                <w:rFonts w:hint="eastAsia" w:ascii="Times New Roman" w:hAnsi="Times New Roman" w:eastAsia="宋体" w:cs="Times New Roman"/>
                <w:bCs/>
                <w:color w:val="000000"/>
                <w:sz w:val="24"/>
                <w:szCs w:val="24"/>
                <w:u w:val="none"/>
                <w:lang w:val="en-US" w:eastAsia="zh-CN"/>
              </w:rPr>
              <w:t>矿物油</w:t>
            </w:r>
            <w:r>
              <w:rPr>
                <w:rFonts w:hint="default" w:ascii="Times New Roman" w:hAnsi="Times New Roman" w:eastAsia="宋体" w:cs="Times New Roman"/>
                <w:bCs/>
                <w:color w:val="000000"/>
                <w:sz w:val="24"/>
                <w:szCs w:val="24"/>
                <w:u w:val="none"/>
                <w:lang w:val="en-US" w:eastAsia="zh-CN"/>
              </w:rPr>
              <w:t>属于</w:t>
            </w:r>
            <w:r>
              <w:rPr>
                <w:rFonts w:hint="eastAsia" w:ascii="Times New Roman" w:hAnsi="Times New Roman" w:eastAsia="宋体" w:cs="Times New Roman"/>
                <w:bCs/>
                <w:color w:val="000000"/>
                <w:sz w:val="24"/>
                <w:szCs w:val="24"/>
                <w:u w:val="none"/>
                <w:lang w:val="en-US" w:eastAsia="zh-CN"/>
              </w:rPr>
              <w:t>危险废物</w:t>
            </w:r>
            <w:r>
              <w:rPr>
                <w:rFonts w:hint="default" w:ascii="Times New Roman" w:hAnsi="Times New Roman" w:eastAsia="宋体" w:cs="Times New Roman"/>
                <w:bCs/>
                <w:color w:val="000000"/>
                <w:sz w:val="24"/>
                <w:szCs w:val="24"/>
                <w:u w:val="none"/>
                <w:lang w:val="en-US" w:eastAsia="zh-CN"/>
              </w:rPr>
              <w:t>，危废代码为HW08900-217-08，</w:t>
            </w:r>
            <w:r>
              <w:rPr>
                <w:rFonts w:hint="eastAsia" w:ascii="Times New Roman" w:hAnsi="Times New Roman" w:eastAsia="宋体" w:cs="Times New Roman"/>
                <w:bCs/>
                <w:color w:val="000000"/>
                <w:sz w:val="24"/>
                <w:szCs w:val="24"/>
                <w:u w:val="none"/>
                <w:lang w:val="en-US" w:eastAsia="zh-CN"/>
              </w:rPr>
              <w:t>废机油经统一收集后暂存于危废暂存间，</w:t>
            </w:r>
            <w:r>
              <w:rPr>
                <w:rFonts w:hint="default" w:ascii="Times New Roman" w:hAnsi="Times New Roman" w:eastAsia="宋体" w:cs="Times New Roman"/>
                <w:bCs/>
                <w:color w:val="000000"/>
                <w:sz w:val="24"/>
                <w:szCs w:val="24"/>
                <w:u w:val="none"/>
                <w:lang w:val="en-US" w:eastAsia="zh-CN"/>
              </w:rPr>
              <w:t>委托有资质单位</w:t>
            </w:r>
            <w:r>
              <w:rPr>
                <w:rFonts w:hint="eastAsia" w:eastAsia="宋体" w:cs="Times New Roman"/>
                <w:bCs/>
                <w:color w:val="000000"/>
                <w:sz w:val="24"/>
                <w:szCs w:val="24"/>
                <w:u w:val="none"/>
                <w:lang w:val="en-US" w:eastAsia="zh-CN"/>
              </w:rPr>
              <w:t>清运处理</w:t>
            </w:r>
            <w:r>
              <w:rPr>
                <w:rFonts w:hint="eastAsia" w:ascii="Times New Roman" w:hAnsi="Times New Roman" w:eastAsia="宋体" w:cs="Times New Roman"/>
                <w:bCs/>
                <w:color w:val="000000"/>
                <w:sz w:val="24"/>
                <w:szCs w:val="24"/>
                <w:u w:val="none"/>
                <w:lang w:val="en-US" w:eastAsia="zh-CN"/>
              </w:rPr>
              <w:t>。</w:t>
            </w:r>
          </w:p>
          <w:p w14:paraId="4BC48564">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bCs/>
                <w:color w:val="000000"/>
                <w:sz w:val="24"/>
                <w:szCs w:val="24"/>
                <w:u w:val="none"/>
                <w:lang w:val="en-US" w:eastAsia="zh-CN"/>
              </w:rPr>
            </w:pPr>
            <w:r>
              <w:rPr>
                <w:rFonts w:ascii="Times New Roman" w:hAnsi="Times New Roman" w:eastAsia="宋体" w:cs="Times New Roman"/>
                <w:color w:val="auto"/>
                <w:kern w:val="2"/>
                <w:sz w:val="24"/>
                <w:szCs w:val="24"/>
                <w:lang w:val="en-US" w:eastAsia="zh-CN" w:bidi="ar-SA"/>
              </w:rPr>
              <w:t>③废含油抹布</w:t>
            </w:r>
            <w:r>
              <w:rPr>
                <w:rFonts w:hint="eastAsia" w:ascii="Times New Roman" w:hAnsi="Times New Roman" w:eastAsia="宋体" w:cs="Times New Roman"/>
                <w:color w:val="auto"/>
                <w:kern w:val="2"/>
                <w:sz w:val="24"/>
                <w:szCs w:val="24"/>
                <w:lang w:val="en-US" w:eastAsia="zh-CN" w:bidi="ar-SA"/>
              </w:rPr>
              <w:t>手套</w:t>
            </w:r>
            <w:r>
              <w:rPr>
                <w:rFonts w:ascii="Times New Roman" w:hAnsi="Times New Roman" w:eastAsia="宋体" w:cs="Times New Roman"/>
                <w:color w:val="auto"/>
                <w:kern w:val="2"/>
                <w:sz w:val="24"/>
                <w:szCs w:val="24"/>
                <w:lang w:val="en-US" w:eastAsia="zh-CN" w:bidi="ar-SA"/>
              </w:rPr>
              <w:t>：日常机修过程会产生</w:t>
            </w:r>
            <w:r>
              <w:rPr>
                <w:rFonts w:hint="eastAsia" w:ascii="Times New Roman" w:hAnsi="Times New Roman" w:eastAsia="宋体" w:cs="Times New Roman"/>
                <w:color w:val="auto"/>
                <w:kern w:val="2"/>
                <w:sz w:val="24"/>
                <w:szCs w:val="24"/>
                <w:lang w:val="en-US" w:eastAsia="zh-CN" w:bidi="ar-SA"/>
              </w:rPr>
              <w:t>一定量的</w:t>
            </w:r>
            <w:r>
              <w:rPr>
                <w:rFonts w:ascii="Times New Roman" w:hAnsi="Times New Roman" w:eastAsia="宋体" w:cs="Times New Roman"/>
                <w:color w:val="auto"/>
                <w:kern w:val="2"/>
                <w:sz w:val="24"/>
                <w:szCs w:val="24"/>
                <w:lang w:val="en-US" w:eastAsia="zh-CN" w:bidi="ar-SA"/>
              </w:rPr>
              <w:t>废含油抹布</w:t>
            </w:r>
            <w:r>
              <w:rPr>
                <w:rFonts w:hint="eastAsia" w:ascii="Times New Roman" w:hAnsi="Times New Roman" w:eastAsia="宋体" w:cs="Times New Roman"/>
                <w:color w:val="auto"/>
                <w:kern w:val="2"/>
                <w:sz w:val="24"/>
                <w:szCs w:val="24"/>
                <w:lang w:val="en-US" w:eastAsia="zh-CN" w:bidi="ar-SA"/>
              </w:rPr>
              <w:t>手套</w:t>
            </w:r>
            <w:r>
              <w:rPr>
                <w:rFonts w:ascii="Times New Roman" w:hAnsi="Times New Roman" w:eastAsia="宋体" w:cs="Times New Roman"/>
                <w:color w:val="auto"/>
                <w:kern w:val="2"/>
                <w:sz w:val="24"/>
                <w:szCs w:val="24"/>
                <w:lang w:val="en-US" w:eastAsia="zh-CN" w:bidi="ar-SA"/>
              </w:rPr>
              <w:t>，</w:t>
            </w:r>
            <w:r>
              <w:rPr>
                <w:rFonts w:hint="eastAsia" w:ascii="Times New Roman" w:hAnsi="Times New Roman" w:eastAsia="宋体" w:cs="Times New Roman"/>
                <w:color w:val="auto"/>
                <w:kern w:val="2"/>
                <w:sz w:val="24"/>
                <w:szCs w:val="24"/>
                <w:lang w:val="en-US" w:eastAsia="zh-CN" w:bidi="ar-SA"/>
              </w:rPr>
              <w:t>项目</w:t>
            </w:r>
            <w:r>
              <w:rPr>
                <w:rFonts w:ascii="Times New Roman" w:hAnsi="Times New Roman" w:eastAsia="宋体" w:cs="Times New Roman"/>
                <w:color w:val="auto"/>
                <w:kern w:val="2"/>
                <w:sz w:val="24"/>
                <w:szCs w:val="24"/>
                <w:lang w:val="en-US" w:eastAsia="zh-CN" w:bidi="ar-SA"/>
              </w:rPr>
              <w:t>年产生约为0.0</w:t>
            </w:r>
            <w:r>
              <w:rPr>
                <w:rFonts w:hint="eastAsia" w:ascii="Times New Roman" w:hAnsi="Times New Roman" w:eastAsia="宋体" w:cs="Times New Roman"/>
                <w:color w:val="auto"/>
                <w:kern w:val="2"/>
                <w:sz w:val="24"/>
                <w:szCs w:val="24"/>
                <w:lang w:val="en-US" w:eastAsia="zh-CN" w:bidi="ar-SA"/>
              </w:rPr>
              <w:t>5</w:t>
            </w:r>
            <w:r>
              <w:rPr>
                <w:rFonts w:ascii="Times New Roman" w:hAnsi="Times New Roman" w:eastAsia="宋体" w:cs="Times New Roman"/>
                <w:color w:val="auto"/>
                <w:kern w:val="2"/>
                <w:sz w:val="24"/>
                <w:szCs w:val="24"/>
                <w:lang w:val="en-US" w:eastAsia="zh-CN" w:bidi="ar-SA"/>
              </w:rPr>
              <w:t>t/a，废含油抹布</w:t>
            </w:r>
            <w:r>
              <w:rPr>
                <w:rFonts w:hint="eastAsia" w:ascii="Times New Roman" w:hAnsi="Times New Roman" w:eastAsia="宋体" w:cs="Times New Roman"/>
                <w:color w:val="auto"/>
                <w:kern w:val="2"/>
                <w:sz w:val="24"/>
                <w:szCs w:val="24"/>
                <w:lang w:val="en-US" w:eastAsia="zh-CN" w:bidi="ar-SA"/>
              </w:rPr>
              <w:t>手套</w:t>
            </w:r>
            <w:r>
              <w:rPr>
                <w:rFonts w:ascii="Times New Roman" w:hAnsi="Times New Roman" w:eastAsia="宋体" w:cs="Times New Roman"/>
                <w:color w:val="auto"/>
                <w:kern w:val="2"/>
                <w:sz w:val="24"/>
                <w:szCs w:val="24"/>
                <w:lang w:val="en-US" w:eastAsia="zh-CN" w:bidi="ar-SA"/>
              </w:rPr>
              <w:t>属于危险废物，</w:t>
            </w:r>
            <w:r>
              <w:rPr>
                <w:rFonts w:hint="default" w:ascii="Times New Roman" w:hAnsi="Times New Roman" w:eastAsia="宋体" w:cs="Times New Roman"/>
                <w:bCs/>
                <w:color w:val="000000"/>
                <w:sz w:val="24"/>
                <w:szCs w:val="24"/>
                <w:u w:val="none"/>
                <w:lang w:val="en-US" w:eastAsia="zh-CN"/>
              </w:rPr>
              <w:t>危废代码为HW0</w:t>
            </w:r>
            <w:r>
              <w:rPr>
                <w:rFonts w:hint="eastAsia" w:ascii="Times New Roman" w:hAnsi="Times New Roman" w:eastAsia="宋体" w:cs="Times New Roman"/>
                <w:bCs/>
                <w:color w:val="000000"/>
                <w:sz w:val="24"/>
                <w:szCs w:val="24"/>
                <w:u w:val="none"/>
                <w:lang w:val="en-US" w:eastAsia="zh-CN"/>
              </w:rPr>
              <w:t>49-9</w:t>
            </w:r>
            <w:r>
              <w:rPr>
                <w:rFonts w:hint="default" w:ascii="Times New Roman" w:hAnsi="Times New Roman" w:eastAsia="宋体" w:cs="Times New Roman"/>
                <w:bCs/>
                <w:color w:val="000000"/>
                <w:sz w:val="24"/>
                <w:szCs w:val="24"/>
                <w:u w:val="none"/>
                <w:lang w:val="en-US" w:eastAsia="zh-CN"/>
              </w:rPr>
              <w:t>00-</w:t>
            </w:r>
            <w:r>
              <w:rPr>
                <w:rFonts w:hint="eastAsia" w:ascii="Times New Roman" w:hAnsi="Times New Roman" w:eastAsia="宋体" w:cs="Times New Roman"/>
                <w:bCs/>
                <w:color w:val="000000"/>
                <w:sz w:val="24"/>
                <w:szCs w:val="24"/>
                <w:u w:val="none"/>
                <w:lang w:val="en-US" w:eastAsia="zh-CN"/>
              </w:rPr>
              <w:t>041</w:t>
            </w:r>
            <w:r>
              <w:rPr>
                <w:rFonts w:hint="default" w:ascii="Times New Roman" w:hAnsi="Times New Roman" w:eastAsia="宋体" w:cs="Times New Roman"/>
                <w:bCs/>
                <w:color w:val="000000"/>
                <w:sz w:val="24"/>
                <w:szCs w:val="24"/>
                <w:u w:val="none"/>
                <w:lang w:val="en-US" w:eastAsia="zh-CN"/>
              </w:rPr>
              <w:t>-</w:t>
            </w:r>
            <w:r>
              <w:rPr>
                <w:rFonts w:hint="eastAsia" w:ascii="Times New Roman" w:hAnsi="Times New Roman" w:eastAsia="宋体" w:cs="Times New Roman"/>
                <w:bCs/>
                <w:color w:val="000000"/>
                <w:sz w:val="24"/>
                <w:szCs w:val="24"/>
                <w:u w:val="none"/>
                <w:lang w:val="en-US" w:eastAsia="zh-CN"/>
              </w:rPr>
              <w:t>49</w:t>
            </w:r>
            <w:r>
              <w:rPr>
                <w:rFonts w:ascii="Times New Roman" w:hAnsi="Times New Roman" w:eastAsia="宋体" w:cs="Times New Roman"/>
                <w:color w:val="auto"/>
                <w:kern w:val="2"/>
                <w:sz w:val="24"/>
                <w:szCs w:val="24"/>
                <w:lang w:val="en-US" w:eastAsia="zh-CN" w:bidi="ar-SA"/>
              </w:rPr>
              <w:t>废含油抹布</w:t>
            </w:r>
            <w:r>
              <w:rPr>
                <w:rFonts w:hint="eastAsia" w:ascii="Times New Roman" w:hAnsi="Times New Roman" w:eastAsia="宋体" w:cs="Times New Roman"/>
                <w:color w:val="auto"/>
                <w:kern w:val="2"/>
                <w:sz w:val="24"/>
                <w:szCs w:val="24"/>
                <w:lang w:val="en-US" w:eastAsia="zh-CN" w:bidi="ar-SA"/>
              </w:rPr>
              <w:t>手套</w:t>
            </w:r>
            <w:r>
              <w:rPr>
                <w:rFonts w:hint="eastAsia" w:ascii="Times New Roman" w:hAnsi="Times New Roman" w:eastAsia="宋体" w:cs="Times New Roman"/>
                <w:bCs/>
                <w:color w:val="000000"/>
                <w:sz w:val="24"/>
                <w:szCs w:val="24"/>
                <w:u w:val="none"/>
                <w:lang w:val="en-US" w:eastAsia="zh-CN"/>
              </w:rPr>
              <w:t>经统一收集后暂存于危废暂存间，</w:t>
            </w:r>
            <w:r>
              <w:rPr>
                <w:rFonts w:hint="default" w:ascii="Times New Roman" w:hAnsi="Times New Roman" w:eastAsia="宋体" w:cs="Times New Roman"/>
                <w:bCs/>
                <w:color w:val="000000"/>
                <w:sz w:val="24"/>
                <w:szCs w:val="24"/>
                <w:u w:val="none"/>
                <w:lang w:val="en-US" w:eastAsia="zh-CN"/>
              </w:rPr>
              <w:t>委托有资质单位</w:t>
            </w:r>
            <w:r>
              <w:rPr>
                <w:rFonts w:hint="eastAsia" w:eastAsia="宋体" w:cs="Times New Roman"/>
                <w:bCs/>
                <w:color w:val="000000"/>
                <w:sz w:val="24"/>
                <w:szCs w:val="24"/>
                <w:u w:val="none"/>
                <w:lang w:val="en-US" w:eastAsia="zh-CN"/>
              </w:rPr>
              <w:t>清运处理</w:t>
            </w:r>
            <w:r>
              <w:rPr>
                <w:rFonts w:hint="eastAsia" w:ascii="Times New Roman" w:hAnsi="Times New Roman" w:eastAsia="宋体" w:cs="Times New Roman"/>
                <w:bCs/>
                <w:color w:val="000000"/>
                <w:sz w:val="24"/>
                <w:szCs w:val="24"/>
                <w:u w:val="none"/>
                <w:lang w:val="en-US" w:eastAsia="zh-CN"/>
              </w:rPr>
              <w:t>。</w:t>
            </w:r>
          </w:p>
          <w:p w14:paraId="17A58275">
            <w:pPr>
              <w:pStyle w:val="2"/>
              <w:keepNext w:val="0"/>
              <w:keepLines w:val="0"/>
              <w:pageBreakBefore w:val="0"/>
              <w:widowControl w:val="0"/>
              <w:kinsoku/>
              <w:wordWrap/>
              <w:overflowPunct/>
              <w:topLinePunct w:val="0"/>
              <w:bidi w:val="0"/>
              <w:spacing w:line="360" w:lineRule="auto"/>
              <w:ind w:firstLine="480" w:firstLineChars="200"/>
              <w:textAlignment w:val="auto"/>
              <w:rPr>
                <w:rFonts w:hint="eastAsia" w:eastAsia="宋体" w:cs="Times New Roman"/>
                <w:bCs/>
                <w:color w:val="000000"/>
                <w:sz w:val="24"/>
                <w:szCs w:val="24"/>
                <w:u w:val="none"/>
                <w:lang w:val="en-US" w:eastAsia="zh-CN"/>
              </w:rPr>
            </w:pPr>
            <w:r>
              <w:rPr>
                <w:rFonts w:hint="eastAsia" w:ascii="Times New Roman" w:hAnsi="Times New Roman" w:eastAsia="宋体" w:cs="Times New Roman"/>
                <w:sz w:val="24"/>
              </w:rPr>
              <w:t>④</w:t>
            </w:r>
            <w:r>
              <w:rPr>
                <w:rFonts w:hint="eastAsia" w:ascii="Times New Roman" w:hAnsi="Times New Roman" w:eastAsia="宋体" w:cs="Times New Roman"/>
                <w:sz w:val="24"/>
                <w:lang w:val="en-US" w:eastAsia="zh-CN"/>
              </w:rPr>
              <w:t>废油桶：本项目生产过程中所使用的齿轮油、导轨油、除锈乳化油及甲基硅油均为桶装，齿轮油、导轨油、除锈乳化油及甲基硅油使用均为20桶，合计产生废油桶80个，单个油桶重量为0.25kg，则废油桶产生量为20kg/a（0.02t/a）。</w:t>
            </w:r>
            <w:r>
              <w:rPr>
                <w:rFonts w:ascii="Times New Roman" w:hAnsi="Times New Roman" w:eastAsia="宋体" w:cs="Times New Roman"/>
                <w:color w:val="auto"/>
                <w:kern w:val="2"/>
                <w:sz w:val="24"/>
                <w:szCs w:val="24"/>
                <w:lang w:val="en-US" w:eastAsia="zh-CN" w:bidi="ar-SA"/>
              </w:rPr>
              <w:t>废含油抹布</w:t>
            </w:r>
            <w:r>
              <w:rPr>
                <w:rFonts w:hint="eastAsia" w:ascii="Times New Roman" w:hAnsi="Times New Roman" w:eastAsia="宋体" w:cs="Times New Roman"/>
                <w:color w:val="auto"/>
                <w:kern w:val="2"/>
                <w:sz w:val="24"/>
                <w:szCs w:val="24"/>
                <w:lang w:val="en-US" w:eastAsia="zh-CN" w:bidi="ar-SA"/>
              </w:rPr>
              <w:t>手套</w:t>
            </w:r>
            <w:r>
              <w:rPr>
                <w:rFonts w:ascii="Times New Roman" w:hAnsi="Times New Roman" w:eastAsia="宋体" w:cs="Times New Roman"/>
                <w:color w:val="auto"/>
                <w:kern w:val="2"/>
                <w:sz w:val="24"/>
                <w:szCs w:val="24"/>
                <w:lang w:val="en-US" w:eastAsia="zh-CN" w:bidi="ar-SA"/>
              </w:rPr>
              <w:t>属于危险废物，</w:t>
            </w:r>
            <w:r>
              <w:rPr>
                <w:rFonts w:hint="default" w:ascii="Times New Roman" w:hAnsi="Times New Roman" w:eastAsia="宋体" w:cs="Times New Roman"/>
                <w:bCs/>
                <w:color w:val="000000"/>
                <w:sz w:val="24"/>
                <w:szCs w:val="24"/>
                <w:u w:val="none"/>
                <w:lang w:val="en-US" w:eastAsia="zh-CN"/>
              </w:rPr>
              <w:t>危废代码为HW0</w:t>
            </w:r>
            <w:r>
              <w:rPr>
                <w:rFonts w:hint="eastAsia" w:ascii="Times New Roman" w:hAnsi="Times New Roman" w:eastAsia="宋体" w:cs="Times New Roman"/>
                <w:bCs/>
                <w:color w:val="000000"/>
                <w:sz w:val="24"/>
                <w:szCs w:val="24"/>
                <w:u w:val="none"/>
                <w:lang w:val="en-US" w:eastAsia="zh-CN"/>
              </w:rPr>
              <w:t>49-9</w:t>
            </w:r>
            <w:r>
              <w:rPr>
                <w:rFonts w:hint="default" w:ascii="Times New Roman" w:hAnsi="Times New Roman" w:eastAsia="宋体" w:cs="Times New Roman"/>
                <w:bCs/>
                <w:color w:val="000000"/>
                <w:sz w:val="24"/>
                <w:szCs w:val="24"/>
                <w:u w:val="none"/>
                <w:lang w:val="en-US" w:eastAsia="zh-CN"/>
              </w:rPr>
              <w:t>00-</w:t>
            </w:r>
            <w:r>
              <w:rPr>
                <w:rFonts w:hint="eastAsia" w:ascii="Times New Roman" w:hAnsi="Times New Roman" w:eastAsia="宋体" w:cs="Times New Roman"/>
                <w:bCs/>
                <w:color w:val="000000"/>
                <w:sz w:val="24"/>
                <w:szCs w:val="24"/>
                <w:u w:val="none"/>
                <w:lang w:val="en-US" w:eastAsia="zh-CN"/>
              </w:rPr>
              <w:t>041</w:t>
            </w:r>
            <w:r>
              <w:rPr>
                <w:rFonts w:hint="default" w:ascii="Times New Roman" w:hAnsi="Times New Roman" w:eastAsia="宋体" w:cs="Times New Roman"/>
                <w:bCs/>
                <w:color w:val="000000"/>
                <w:sz w:val="24"/>
                <w:szCs w:val="24"/>
                <w:u w:val="none"/>
                <w:lang w:val="en-US" w:eastAsia="zh-CN"/>
              </w:rPr>
              <w:t>-</w:t>
            </w:r>
            <w:r>
              <w:rPr>
                <w:rFonts w:hint="eastAsia" w:ascii="Times New Roman" w:hAnsi="Times New Roman" w:eastAsia="宋体" w:cs="Times New Roman"/>
                <w:bCs/>
                <w:color w:val="000000"/>
                <w:sz w:val="24"/>
                <w:szCs w:val="24"/>
                <w:u w:val="none"/>
                <w:lang w:val="en-US" w:eastAsia="zh-CN"/>
              </w:rPr>
              <w:t>49，</w:t>
            </w:r>
            <w:r>
              <w:rPr>
                <w:rFonts w:hint="eastAsia" w:ascii="Times New Roman" w:hAnsi="Times New Roman" w:eastAsia="宋体" w:cs="Times New Roman"/>
                <w:sz w:val="24"/>
                <w:lang w:val="en-US" w:eastAsia="zh-CN"/>
              </w:rPr>
              <w:t>废油桶经统一收集暂存至危废暂存间，</w:t>
            </w:r>
            <w:r>
              <w:rPr>
                <w:rFonts w:hint="default" w:ascii="Times New Roman" w:hAnsi="Times New Roman" w:eastAsia="宋体" w:cs="Times New Roman"/>
                <w:bCs/>
                <w:color w:val="000000"/>
                <w:sz w:val="24"/>
                <w:szCs w:val="24"/>
                <w:u w:val="none"/>
                <w:lang w:val="en-US" w:eastAsia="zh-CN"/>
              </w:rPr>
              <w:t>委托有资质单位</w:t>
            </w:r>
            <w:r>
              <w:rPr>
                <w:rFonts w:hint="eastAsia" w:eastAsia="宋体" w:cs="Times New Roman"/>
                <w:bCs/>
                <w:color w:val="000000"/>
                <w:sz w:val="24"/>
                <w:szCs w:val="24"/>
                <w:u w:val="none"/>
                <w:lang w:val="en-US" w:eastAsia="zh-CN"/>
              </w:rPr>
              <w:t>清运处理。</w:t>
            </w:r>
          </w:p>
          <w:p w14:paraId="2373CDE7">
            <w:pPr>
              <w:keepNext w:val="0"/>
              <w:keepLines w:val="0"/>
              <w:pageBreakBefore w:val="0"/>
              <w:widowControl w:val="0"/>
              <w:kinsoku/>
              <w:wordWrap/>
              <w:overflowPunct/>
              <w:topLinePunct w:val="0"/>
              <w:bidi w:val="0"/>
              <w:spacing w:line="360" w:lineRule="auto"/>
              <w:ind w:firstLine="480" w:firstLineChars="200"/>
              <w:textAlignment w:val="auto"/>
              <w:rPr>
                <w:rFonts w:hint="default" w:ascii="Times New Roman" w:hAnsi="Times New Roman" w:eastAsia="宋体" w:cs="Times New Roman"/>
                <w:sz w:val="24"/>
                <w:lang w:val="en-US" w:eastAsia="zh-CN"/>
              </w:rPr>
            </w:pPr>
            <w:r>
              <w:rPr>
                <w:rFonts w:hint="eastAsia" w:ascii="Times New Roman" w:hAnsi="Times New Roman" w:eastAsia="宋体" w:cs="Times New Roman"/>
                <w:sz w:val="24"/>
              </w:rPr>
              <w:t>⑤</w:t>
            </w:r>
            <w:r>
              <w:rPr>
                <w:rFonts w:hint="eastAsia" w:ascii="Times New Roman" w:hAnsi="Times New Roman" w:eastAsia="宋体" w:cs="Times New Roman"/>
                <w:sz w:val="24"/>
                <w:lang w:val="en-US" w:eastAsia="zh-CN"/>
              </w:rPr>
              <w:t>废滤网：</w:t>
            </w:r>
            <w:r>
              <w:rPr>
                <w:rFonts w:hint="default" w:ascii="Times New Roman" w:hAnsi="Times New Roman" w:eastAsia="宋体" w:cs="Times New Roman"/>
                <w:sz w:val="24"/>
                <w:lang w:val="en-US" w:eastAsia="zh-CN"/>
              </w:rPr>
              <w:t>根据同类项目类比调查，本</w:t>
            </w:r>
            <w:r>
              <w:rPr>
                <w:rFonts w:hint="eastAsia" w:ascii="Times New Roman" w:hAnsi="Times New Roman" w:eastAsia="宋体" w:cs="Times New Roman"/>
                <w:sz w:val="24"/>
                <w:lang w:val="en-US" w:eastAsia="zh-CN"/>
              </w:rPr>
              <w:t>项目</w:t>
            </w:r>
            <w:r>
              <w:rPr>
                <w:rFonts w:hint="default" w:ascii="Times New Roman" w:hAnsi="Times New Roman" w:eastAsia="宋体" w:cs="Times New Roman"/>
                <w:sz w:val="24"/>
                <w:lang w:val="en-US" w:eastAsia="zh-CN"/>
              </w:rPr>
              <w:t>产生的废</w:t>
            </w:r>
            <w:r>
              <w:rPr>
                <w:rFonts w:hint="eastAsia" w:ascii="Times New Roman" w:hAnsi="Times New Roman" w:eastAsia="宋体" w:cs="Times New Roman"/>
                <w:sz w:val="24"/>
                <w:lang w:val="en-US" w:eastAsia="zh-CN"/>
              </w:rPr>
              <w:t>滤网</w:t>
            </w:r>
            <w:r>
              <w:rPr>
                <w:rFonts w:hint="default" w:ascii="Times New Roman" w:hAnsi="Times New Roman" w:eastAsia="宋体" w:cs="Times New Roman"/>
                <w:sz w:val="24"/>
                <w:lang w:val="en-US" w:eastAsia="zh-CN"/>
              </w:rPr>
              <w:t>为</w:t>
            </w:r>
            <w:r>
              <w:rPr>
                <w:rFonts w:hint="eastAsia" w:ascii="Times New Roman" w:hAnsi="Times New Roman" w:eastAsia="宋体" w:cs="Times New Roman"/>
                <w:sz w:val="24"/>
                <w:lang w:val="en-US" w:eastAsia="zh-CN"/>
              </w:rPr>
              <w:t>0.18</w:t>
            </w:r>
            <w:r>
              <w:rPr>
                <w:rFonts w:hint="default" w:ascii="Times New Roman" w:hAnsi="Times New Roman" w:eastAsia="宋体" w:cs="Times New Roman"/>
                <w:sz w:val="24"/>
                <w:lang w:val="en-US" w:eastAsia="zh-CN"/>
              </w:rPr>
              <w:t>t/a，</w:t>
            </w:r>
            <w:r>
              <w:rPr>
                <w:rFonts w:hint="eastAsia" w:ascii="Times New Roman" w:hAnsi="Times New Roman" w:eastAsia="宋体" w:cs="Times New Roman"/>
                <w:sz w:val="24"/>
                <w:lang w:val="en-US" w:eastAsia="zh-CN"/>
              </w:rPr>
              <w:t>废滤网属于危险废物，</w:t>
            </w:r>
            <w:r>
              <w:rPr>
                <w:rFonts w:hint="default" w:ascii="Times New Roman" w:hAnsi="Times New Roman" w:eastAsia="宋体" w:cs="Times New Roman"/>
                <w:bCs/>
                <w:color w:val="000000"/>
                <w:sz w:val="24"/>
                <w:szCs w:val="24"/>
                <w:u w:val="none"/>
                <w:lang w:val="en-US" w:eastAsia="zh-CN"/>
              </w:rPr>
              <w:t>危废代码为HW0</w:t>
            </w:r>
            <w:r>
              <w:rPr>
                <w:rFonts w:hint="eastAsia" w:ascii="Times New Roman" w:hAnsi="Times New Roman" w:eastAsia="宋体" w:cs="Times New Roman"/>
                <w:bCs/>
                <w:color w:val="000000"/>
                <w:sz w:val="24"/>
                <w:szCs w:val="24"/>
                <w:u w:val="none"/>
                <w:lang w:val="en-US" w:eastAsia="zh-CN"/>
              </w:rPr>
              <w:t>49-9</w:t>
            </w:r>
            <w:r>
              <w:rPr>
                <w:rFonts w:hint="default" w:ascii="Times New Roman" w:hAnsi="Times New Roman" w:eastAsia="宋体" w:cs="Times New Roman"/>
                <w:bCs/>
                <w:color w:val="000000"/>
                <w:sz w:val="24"/>
                <w:szCs w:val="24"/>
                <w:u w:val="none"/>
                <w:lang w:val="en-US" w:eastAsia="zh-CN"/>
              </w:rPr>
              <w:t>00-</w:t>
            </w:r>
            <w:r>
              <w:rPr>
                <w:rFonts w:hint="eastAsia" w:ascii="Times New Roman" w:hAnsi="Times New Roman" w:eastAsia="宋体" w:cs="Times New Roman"/>
                <w:bCs/>
                <w:color w:val="000000"/>
                <w:sz w:val="24"/>
                <w:szCs w:val="24"/>
                <w:u w:val="none"/>
                <w:lang w:val="en-US" w:eastAsia="zh-CN"/>
              </w:rPr>
              <w:t>041</w:t>
            </w:r>
            <w:r>
              <w:rPr>
                <w:rFonts w:hint="default" w:ascii="Times New Roman" w:hAnsi="Times New Roman" w:eastAsia="宋体" w:cs="Times New Roman"/>
                <w:bCs/>
                <w:color w:val="000000"/>
                <w:sz w:val="24"/>
                <w:szCs w:val="24"/>
                <w:u w:val="none"/>
                <w:lang w:val="en-US" w:eastAsia="zh-CN"/>
              </w:rPr>
              <w:t>-</w:t>
            </w:r>
            <w:r>
              <w:rPr>
                <w:rFonts w:hint="eastAsia" w:ascii="Times New Roman" w:hAnsi="Times New Roman" w:eastAsia="宋体" w:cs="Times New Roman"/>
                <w:bCs/>
                <w:color w:val="000000"/>
                <w:sz w:val="24"/>
                <w:szCs w:val="24"/>
                <w:u w:val="none"/>
                <w:lang w:val="en-US" w:eastAsia="zh-CN"/>
              </w:rPr>
              <w:t>49，</w:t>
            </w:r>
            <w:r>
              <w:rPr>
                <w:rFonts w:hint="eastAsia" w:ascii="Times New Roman" w:hAnsi="Times New Roman" w:eastAsia="宋体" w:cs="Times New Roman"/>
                <w:sz w:val="24"/>
                <w:lang w:val="en-US" w:eastAsia="zh-CN"/>
              </w:rPr>
              <w:t>废滤网</w:t>
            </w:r>
            <w:r>
              <w:rPr>
                <w:rFonts w:hint="eastAsia"/>
                <w:bCs/>
                <w:spacing w:val="-10"/>
                <w:sz w:val="24"/>
                <w:lang w:val="en-US" w:eastAsia="zh-CN"/>
              </w:rPr>
              <w:t>经统一</w:t>
            </w:r>
            <w:r>
              <w:rPr>
                <w:rFonts w:hint="eastAsia"/>
                <w:bCs/>
                <w:spacing w:val="-10"/>
                <w:sz w:val="24"/>
              </w:rPr>
              <w:t>收集后</w:t>
            </w:r>
            <w:r>
              <w:rPr>
                <w:rFonts w:hint="eastAsia"/>
                <w:bCs/>
                <w:spacing w:val="-10"/>
                <w:sz w:val="24"/>
                <w:lang w:val="en-US" w:eastAsia="zh-CN"/>
              </w:rPr>
              <w:t>暂存于危险废物暂存间，</w:t>
            </w:r>
            <w:r>
              <w:rPr>
                <w:rFonts w:hint="default" w:ascii="Times New Roman" w:hAnsi="Times New Roman" w:eastAsia="宋体" w:cs="Times New Roman"/>
                <w:bCs/>
                <w:color w:val="000000"/>
                <w:sz w:val="24"/>
                <w:szCs w:val="24"/>
                <w:u w:val="none"/>
                <w:lang w:val="en-US" w:eastAsia="zh-CN"/>
              </w:rPr>
              <w:t>委托有资质单位</w:t>
            </w:r>
            <w:r>
              <w:rPr>
                <w:rFonts w:hint="eastAsia" w:eastAsia="宋体" w:cs="Times New Roman"/>
                <w:bCs/>
                <w:color w:val="000000"/>
                <w:sz w:val="24"/>
                <w:szCs w:val="24"/>
                <w:u w:val="none"/>
                <w:lang w:val="en-US" w:eastAsia="zh-CN"/>
              </w:rPr>
              <w:t>清运处理</w:t>
            </w:r>
            <w:r>
              <w:rPr>
                <w:rFonts w:hint="default" w:ascii="Times New Roman" w:hAnsi="Times New Roman" w:eastAsia="宋体" w:cs="Times New Roman"/>
                <w:sz w:val="24"/>
                <w:lang w:val="en-US" w:eastAsia="zh-CN"/>
              </w:rPr>
              <w:t>。</w:t>
            </w:r>
          </w:p>
          <w:p w14:paraId="26445BEF">
            <w:pPr>
              <w:pStyle w:val="2"/>
              <w:rPr>
                <w:rFonts w:hint="default" w:ascii="Times New Roman" w:hAnsi="Times New Roman" w:cs="Times New Roman"/>
                <w:lang w:val="en-US" w:eastAsia="zh-CN"/>
              </w:rPr>
            </w:pPr>
            <w:r>
              <w:rPr>
                <w:rFonts w:hint="default" w:ascii="Times New Roman" w:hAnsi="Times New Roman" w:cs="Times New Roman"/>
                <w:lang w:val="en-US" w:eastAsia="zh-CN"/>
              </w:rPr>
              <w:t>本项目生产过程中产生的各类固体废物见表4-17</w:t>
            </w:r>
          </w:p>
          <w:p w14:paraId="7E7C2327">
            <w:pPr>
              <w:ind w:firstLine="490" w:firstLineChars="200"/>
              <w:jc w:val="center"/>
              <w:rPr>
                <w:b/>
                <w:spacing w:val="2"/>
                <w:sz w:val="24"/>
              </w:rPr>
            </w:pPr>
            <w:r>
              <w:rPr>
                <w:b/>
                <w:spacing w:val="2"/>
                <w:sz w:val="24"/>
              </w:rPr>
              <w:t>表4-</w:t>
            </w:r>
            <w:r>
              <w:rPr>
                <w:rFonts w:hint="eastAsia"/>
                <w:b/>
                <w:spacing w:val="2"/>
                <w:sz w:val="24"/>
              </w:rPr>
              <w:t xml:space="preserve">17 </w:t>
            </w:r>
            <w:r>
              <w:rPr>
                <w:b/>
                <w:spacing w:val="2"/>
                <w:sz w:val="24"/>
              </w:rPr>
              <w:t xml:space="preserve"> </w:t>
            </w:r>
            <w:r>
              <w:rPr>
                <w:rFonts w:hint="eastAsia"/>
                <w:b/>
                <w:spacing w:val="2"/>
                <w:sz w:val="24"/>
              </w:rPr>
              <w:t xml:space="preserve">  </w:t>
            </w:r>
            <w:r>
              <w:rPr>
                <w:b/>
                <w:spacing w:val="2"/>
                <w:sz w:val="24"/>
              </w:rPr>
              <w:t>项目固体废物清单</w:t>
            </w:r>
          </w:p>
          <w:tbl>
            <w:tblPr>
              <w:tblStyle w:val="36"/>
              <w:tblW w:w="829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91"/>
              <w:gridCol w:w="1075"/>
              <w:gridCol w:w="713"/>
              <w:gridCol w:w="1000"/>
              <w:gridCol w:w="925"/>
              <w:gridCol w:w="775"/>
              <w:gridCol w:w="826"/>
              <w:gridCol w:w="900"/>
              <w:gridCol w:w="1387"/>
            </w:tblGrid>
            <w:tr w14:paraId="2121B8C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1" w:type="dxa"/>
                  <w:vAlign w:val="center"/>
                </w:tcPr>
                <w:p w14:paraId="55248311">
                  <w:pPr>
                    <w:pStyle w:val="86"/>
                    <w:spacing w:line="240" w:lineRule="auto"/>
                    <w:ind w:firstLine="0"/>
                    <w:jc w:val="center"/>
                    <w:rPr>
                      <w:color w:val="auto"/>
                      <w:sz w:val="21"/>
                      <w:szCs w:val="21"/>
                    </w:rPr>
                  </w:pPr>
                  <w:r>
                    <w:rPr>
                      <w:color w:val="auto"/>
                      <w:sz w:val="21"/>
                      <w:szCs w:val="21"/>
                    </w:rPr>
                    <w:t>产生环节</w:t>
                  </w:r>
                </w:p>
              </w:tc>
              <w:tc>
                <w:tcPr>
                  <w:tcW w:w="1075" w:type="dxa"/>
                  <w:vAlign w:val="center"/>
                </w:tcPr>
                <w:p w14:paraId="5EC9EA12">
                  <w:pPr>
                    <w:pStyle w:val="86"/>
                    <w:spacing w:line="240" w:lineRule="auto"/>
                    <w:ind w:firstLine="0"/>
                    <w:jc w:val="center"/>
                    <w:rPr>
                      <w:color w:val="auto"/>
                      <w:sz w:val="21"/>
                      <w:szCs w:val="21"/>
                    </w:rPr>
                  </w:pPr>
                  <w:r>
                    <w:rPr>
                      <w:color w:val="auto"/>
                      <w:sz w:val="21"/>
                      <w:szCs w:val="21"/>
                    </w:rPr>
                    <w:t>名称</w:t>
                  </w:r>
                </w:p>
              </w:tc>
              <w:tc>
                <w:tcPr>
                  <w:tcW w:w="713" w:type="dxa"/>
                  <w:vAlign w:val="center"/>
                </w:tcPr>
                <w:p w14:paraId="57D5759A">
                  <w:pPr>
                    <w:pStyle w:val="86"/>
                    <w:spacing w:line="240" w:lineRule="auto"/>
                    <w:ind w:firstLine="0"/>
                    <w:jc w:val="center"/>
                    <w:rPr>
                      <w:color w:val="auto"/>
                      <w:sz w:val="21"/>
                      <w:szCs w:val="21"/>
                    </w:rPr>
                  </w:pPr>
                  <w:r>
                    <w:rPr>
                      <w:color w:val="auto"/>
                      <w:sz w:val="21"/>
                      <w:szCs w:val="21"/>
                    </w:rPr>
                    <w:t>属性</w:t>
                  </w:r>
                </w:p>
              </w:tc>
              <w:tc>
                <w:tcPr>
                  <w:tcW w:w="1000" w:type="dxa"/>
                  <w:vAlign w:val="center"/>
                </w:tcPr>
                <w:p w14:paraId="01B4D73B">
                  <w:pPr>
                    <w:pStyle w:val="86"/>
                    <w:spacing w:line="240" w:lineRule="auto"/>
                    <w:ind w:firstLine="0"/>
                    <w:jc w:val="center"/>
                    <w:rPr>
                      <w:color w:val="auto"/>
                      <w:sz w:val="21"/>
                      <w:szCs w:val="21"/>
                    </w:rPr>
                  </w:pPr>
                  <w:r>
                    <w:rPr>
                      <w:color w:val="auto"/>
                      <w:sz w:val="21"/>
                      <w:szCs w:val="21"/>
                    </w:rPr>
                    <w:t>是否有毒有害</w:t>
                  </w:r>
                </w:p>
              </w:tc>
              <w:tc>
                <w:tcPr>
                  <w:tcW w:w="925" w:type="dxa"/>
                  <w:vAlign w:val="center"/>
                </w:tcPr>
                <w:p w14:paraId="6667EE0D">
                  <w:pPr>
                    <w:pStyle w:val="86"/>
                    <w:spacing w:line="240" w:lineRule="auto"/>
                    <w:ind w:firstLine="0"/>
                    <w:jc w:val="center"/>
                    <w:rPr>
                      <w:color w:val="auto"/>
                      <w:sz w:val="21"/>
                      <w:szCs w:val="21"/>
                    </w:rPr>
                  </w:pPr>
                  <w:r>
                    <w:rPr>
                      <w:rFonts w:hint="eastAsia"/>
                      <w:color w:val="auto"/>
                      <w:sz w:val="21"/>
                      <w:szCs w:val="21"/>
                    </w:rPr>
                    <w:t>固废代码</w:t>
                  </w:r>
                </w:p>
              </w:tc>
              <w:tc>
                <w:tcPr>
                  <w:tcW w:w="775" w:type="dxa"/>
                  <w:vAlign w:val="center"/>
                </w:tcPr>
                <w:p w14:paraId="223B4053">
                  <w:pPr>
                    <w:pStyle w:val="86"/>
                    <w:spacing w:line="240" w:lineRule="auto"/>
                    <w:ind w:firstLine="0"/>
                    <w:jc w:val="center"/>
                    <w:rPr>
                      <w:color w:val="auto"/>
                      <w:sz w:val="21"/>
                      <w:szCs w:val="21"/>
                    </w:rPr>
                  </w:pPr>
                  <w:r>
                    <w:rPr>
                      <w:color w:val="auto"/>
                      <w:sz w:val="21"/>
                      <w:szCs w:val="21"/>
                    </w:rPr>
                    <w:t>物理状态</w:t>
                  </w:r>
                </w:p>
              </w:tc>
              <w:tc>
                <w:tcPr>
                  <w:tcW w:w="826" w:type="dxa"/>
                  <w:vAlign w:val="center"/>
                </w:tcPr>
                <w:p w14:paraId="373F20E6">
                  <w:pPr>
                    <w:pStyle w:val="86"/>
                    <w:spacing w:line="240" w:lineRule="auto"/>
                    <w:ind w:firstLine="0"/>
                    <w:jc w:val="center"/>
                    <w:rPr>
                      <w:color w:val="auto"/>
                      <w:sz w:val="21"/>
                      <w:szCs w:val="21"/>
                    </w:rPr>
                  </w:pPr>
                  <w:r>
                    <w:rPr>
                      <w:color w:val="auto"/>
                      <w:sz w:val="21"/>
                      <w:szCs w:val="21"/>
                    </w:rPr>
                    <w:t>年产生量</w:t>
                  </w:r>
                </w:p>
              </w:tc>
              <w:tc>
                <w:tcPr>
                  <w:tcW w:w="900" w:type="dxa"/>
                  <w:vAlign w:val="center"/>
                </w:tcPr>
                <w:p w14:paraId="2BA528FC">
                  <w:pPr>
                    <w:pStyle w:val="86"/>
                    <w:spacing w:line="240" w:lineRule="auto"/>
                    <w:ind w:firstLine="0"/>
                    <w:jc w:val="center"/>
                    <w:rPr>
                      <w:color w:val="auto"/>
                      <w:sz w:val="21"/>
                      <w:szCs w:val="21"/>
                    </w:rPr>
                  </w:pPr>
                  <w:r>
                    <w:rPr>
                      <w:color w:val="auto"/>
                      <w:sz w:val="21"/>
                      <w:szCs w:val="21"/>
                    </w:rPr>
                    <w:t>贮存方式</w:t>
                  </w:r>
                </w:p>
              </w:tc>
              <w:tc>
                <w:tcPr>
                  <w:tcW w:w="1387" w:type="dxa"/>
                  <w:vAlign w:val="center"/>
                </w:tcPr>
                <w:p w14:paraId="1006DCA0">
                  <w:pPr>
                    <w:pStyle w:val="86"/>
                    <w:spacing w:line="240" w:lineRule="auto"/>
                    <w:ind w:firstLine="0"/>
                    <w:jc w:val="center"/>
                    <w:rPr>
                      <w:color w:val="auto"/>
                      <w:sz w:val="21"/>
                      <w:szCs w:val="21"/>
                    </w:rPr>
                  </w:pPr>
                  <w:r>
                    <w:rPr>
                      <w:color w:val="auto"/>
                      <w:sz w:val="21"/>
                      <w:szCs w:val="21"/>
                    </w:rPr>
                    <w:t>利用处置方式和去向</w:t>
                  </w:r>
                </w:p>
              </w:tc>
            </w:tr>
            <w:tr w14:paraId="59E32C6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2" w:hRule="atLeast"/>
                <w:jc w:val="center"/>
              </w:trPr>
              <w:tc>
                <w:tcPr>
                  <w:tcW w:w="691" w:type="dxa"/>
                  <w:vAlign w:val="center"/>
                </w:tcPr>
                <w:p w14:paraId="217EB6C3">
                  <w:pPr>
                    <w:pStyle w:val="86"/>
                    <w:spacing w:line="240" w:lineRule="auto"/>
                    <w:ind w:firstLine="0"/>
                    <w:jc w:val="center"/>
                    <w:rPr>
                      <w:rFonts w:cs="宋体"/>
                      <w:color w:val="auto"/>
                      <w:sz w:val="21"/>
                      <w:szCs w:val="21"/>
                    </w:rPr>
                  </w:pPr>
                  <w:r>
                    <w:rPr>
                      <w:rFonts w:hint="eastAsia" w:cs="宋体"/>
                      <w:color w:val="auto"/>
                      <w:sz w:val="21"/>
                      <w:szCs w:val="21"/>
                    </w:rPr>
                    <w:t>日常生产</w:t>
                  </w:r>
                </w:p>
              </w:tc>
              <w:tc>
                <w:tcPr>
                  <w:tcW w:w="1075" w:type="dxa"/>
                  <w:vAlign w:val="center"/>
                </w:tcPr>
                <w:p w14:paraId="4A748C98">
                  <w:pPr>
                    <w:pStyle w:val="86"/>
                    <w:spacing w:line="240" w:lineRule="auto"/>
                    <w:ind w:firstLine="0"/>
                    <w:jc w:val="center"/>
                    <w:rPr>
                      <w:rFonts w:cs="宋体"/>
                      <w:color w:val="auto"/>
                      <w:sz w:val="21"/>
                      <w:szCs w:val="21"/>
                    </w:rPr>
                  </w:pPr>
                  <w:r>
                    <w:rPr>
                      <w:rFonts w:hint="eastAsia" w:cs="宋体"/>
                      <w:color w:val="auto"/>
                      <w:sz w:val="21"/>
                      <w:szCs w:val="21"/>
                    </w:rPr>
                    <w:t>废钢筋</w:t>
                  </w:r>
                </w:p>
              </w:tc>
              <w:tc>
                <w:tcPr>
                  <w:tcW w:w="713" w:type="dxa"/>
                  <w:vAlign w:val="center"/>
                </w:tcPr>
                <w:p w14:paraId="511AE72D">
                  <w:pPr>
                    <w:pStyle w:val="86"/>
                    <w:spacing w:line="240" w:lineRule="auto"/>
                    <w:ind w:firstLine="0"/>
                    <w:jc w:val="center"/>
                    <w:rPr>
                      <w:color w:val="auto"/>
                      <w:sz w:val="21"/>
                      <w:szCs w:val="21"/>
                    </w:rPr>
                  </w:pPr>
                  <w:r>
                    <w:rPr>
                      <w:color w:val="auto"/>
                      <w:sz w:val="21"/>
                      <w:szCs w:val="21"/>
                    </w:rPr>
                    <w:t>一般固废</w:t>
                  </w:r>
                </w:p>
              </w:tc>
              <w:tc>
                <w:tcPr>
                  <w:tcW w:w="1000" w:type="dxa"/>
                  <w:vAlign w:val="center"/>
                </w:tcPr>
                <w:p w14:paraId="7A6ADEB7">
                  <w:pPr>
                    <w:pStyle w:val="86"/>
                    <w:spacing w:line="240" w:lineRule="auto"/>
                    <w:ind w:firstLine="0"/>
                    <w:jc w:val="center"/>
                    <w:rPr>
                      <w:color w:val="auto"/>
                      <w:sz w:val="21"/>
                      <w:szCs w:val="21"/>
                    </w:rPr>
                  </w:pPr>
                  <w:r>
                    <w:rPr>
                      <w:color w:val="auto"/>
                      <w:sz w:val="21"/>
                      <w:szCs w:val="21"/>
                    </w:rPr>
                    <w:t>无</w:t>
                  </w:r>
                </w:p>
              </w:tc>
              <w:tc>
                <w:tcPr>
                  <w:tcW w:w="925" w:type="dxa"/>
                  <w:vAlign w:val="center"/>
                </w:tcPr>
                <w:p w14:paraId="08121917">
                  <w:pPr>
                    <w:pStyle w:val="86"/>
                    <w:spacing w:line="240" w:lineRule="auto"/>
                    <w:ind w:firstLine="0"/>
                    <w:jc w:val="center"/>
                    <w:rPr>
                      <w:rFonts w:cs="宋体"/>
                      <w:color w:val="auto"/>
                      <w:sz w:val="21"/>
                      <w:szCs w:val="21"/>
                    </w:rPr>
                  </w:pPr>
                  <w:r>
                    <w:rPr>
                      <w:rFonts w:cs="宋体"/>
                      <w:color w:val="auto"/>
                      <w:sz w:val="21"/>
                      <w:szCs w:val="21"/>
                    </w:rPr>
                    <w:t>900-099-S17</w:t>
                  </w:r>
                </w:p>
              </w:tc>
              <w:tc>
                <w:tcPr>
                  <w:tcW w:w="775" w:type="dxa"/>
                  <w:vAlign w:val="center"/>
                </w:tcPr>
                <w:p w14:paraId="72BBABAE">
                  <w:pPr>
                    <w:pStyle w:val="86"/>
                    <w:spacing w:line="240" w:lineRule="auto"/>
                    <w:ind w:firstLine="0"/>
                    <w:jc w:val="center"/>
                    <w:rPr>
                      <w:rFonts w:cs="宋体"/>
                      <w:color w:val="auto"/>
                      <w:sz w:val="21"/>
                      <w:szCs w:val="21"/>
                    </w:rPr>
                  </w:pPr>
                  <w:r>
                    <w:rPr>
                      <w:rFonts w:hint="eastAsia" w:cs="宋体"/>
                      <w:color w:val="auto"/>
                      <w:sz w:val="21"/>
                      <w:szCs w:val="21"/>
                    </w:rPr>
                    <w:t>固体</w:t>
                  </w:r>
                </w:p>
              </w:tc>
              <w:tc>
                <w:tcPr>
                  <w:tcW w:w="826" w:type="dxa"/>
                  <w:vAlign w:val="center"/>
                </w:tcPr>
                <w:p w14:paraId="0EF74B7F">
                  <w:pPr>
                    <w:pStyle w:val="86"/>
                    <w:spacing w:line="240" w:lineRule="auto"/>
                    <w:ind w:firstLine="0"/>
                    <w:jc w:val="center"/>
                    <w:rPr>
                      <w:color w:val="auto"/>
                      <w:sz w:val="21"/>
                      <w:szCs w:val="21"/>
                    </w:rPr>
                  </w:pPr>
                  <w:r>
                    <w:rPr>
                      <w:rFonts w:hint="eastAsia"/>
                      <w:color w:val="auto"/>
                      <w:sz w:val="21"/>
                      <w:szCs w:val="21"/>
                      <w:lang w:val="en-US" w:eastAsia="zh-CN"/>
                    </w:rPr>
                    <w:t>4.8</w:t>
                  </w:r>
                  <w:r>
                    <w:rPr>
                      <w:color w:val="auto"/>
                      <w:sz w:val="21"/>
                      <w:szCs w:val="21"/>
                    </w:rPr>
                    <w:t>t/a</w:t>
                  </w:r>
                </w:p>
              </w:tc>
              <w:tc>
                <w:tcPr>
                  <w:tcW w:w="900" w:type="dxa"/>
                  <w:vAlign w:val="center"/>
                </w:tcPr>
                <w:p w14:paraId="6C66A791">
                  <w:pPr>
                    <w:pStyle w:val="86"/>
                    <w:spacing w:line="240" w:lineRule="auto"/>
                    <w:ind w:firstLine="0"/>
                    <w:jc w:val="center"/>
                    <w:rPr>
                      <w:color w:val="auto"/>
                      <w:sz w:val="21"/>
                      <w:szCs w:val="21"/>
                    </w:rPr>
                  </w:pPr>
                  <w:r>
                    <w:rPr>
                      <w:rFonts w:hint="eastAsia"/>
                      <w:color w:val="auto"/>
                      <w:sz w:val="21"/>
                      <w:szCs w:val="21"/>
                    </w:rPr>
                    <w:t>固废暂存间</w:t>
                  </w:r>
                </w:p>
              </w:tc>
              <w:tc>
                <w:tcPr>
                  <w:tcW w:w="1387" w:type="dxa"/>
                  <w:vAlign w:val="center"/>
                </w:tcPr>
                <w:p w14:paraId="1D187FC3">
                  <w:pPr>
                    <w:pStyle w:val="86"/>
                    <w:spacing w:line="240" w:lineRule="auto"/>
                    <w:ind w:firstLine="0"/>
                    <w:jc w:val="center"/>
                    <w:rPr>
                      <w:color w:val="auto"/>
                      <w:sz w:val="21"/>
                      <w:szCs w:val="21"/>
                    </w:rPr>
                  </w:pPr>
                  <w:r>
                    <w:rPr>
                      <w:rFonts w:hint="eastAsia"/>
                      <w:color w:val="auto"/>
                      <w:sz w:val="21"/>
                      <w:szCs w:val="21"/>
                    </w:rPr>
                    <w:t>收集后定期外售综合利用</w:t>
                  </w:r>
                </w:p>
              </w:tc>
            </w:tr>
            <w:tr w14:paraId="7CE0B9C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65" w:hRule="atLeast"/>
                <w:jc w:val="center"/>
              </w:trPr>
              <w:tc>
                <w:tcPr>
                  <w:tcW w:w="691" w:type="dxa"/>
                  <w:vAlign w:val="center"/>
                </w:tcPr>
                <w:p w14:paraId="33BB1358">
                  <w:pPr>
                    <w:pStyle w:val="86"/>
                    <w:spacing w:line="240" w:lineRule="auto"/>
                    <w:ind w:firstLine="0"/>
                    <w:jc w:val="center"/>
                    <w:rPr>
                      <w:rFonts w:cs="宋体"/>
                      <w:color w:val="auto"/>
                      <w:sz w:val="21"/>
                      <w:szCs w:val="21"/>
                    </w:rPr>
                  </w:pPr>
                  <w:r>
                    <w:rPr>
                      <w:rFonts w:hint="eastAsia" w:cs="宋体"/>
                      <w:color w:val="auto"/>
                      <w:sz w:val="21"/>
                      <w:szCs w:val="21"/>
                    </w:rPr>
                    <w:t>日常生产</w:t>
                  </w:r>
                </w:p>
              </w:tc>
              <w:tc>
                <w:tcPr>
                  <w:tcW w:w="1075" w:type="dxa"/>
                  <w:vAlign w:val="center"/>
                </w:tcPr>
                <w:p w14:paraId="2B194F58">
                  <w:pPr>
                    <w:pStyle w:val="86"/>
                    <w:spacing w:line="240" w:lineRule="auto"/>
                    <w:ind w:firstLine="0"/>
                    <w:jc w:val="center"/>
                    <w:rPr>
                      <w:rFonts w:hint="default" w:eastAsia="宋体" w:cs="宋体"/>
                      <w:color w:val="auto"/>
                      <w:sz w:val="21"/>
                      <w:szCs w:val="21"/>
                      <w:lang w:val="en-US" w:eastAsia="zh-CN"/>
                    </w:rPr>
                  </w:pPr>
                  <w:r>
                    <w:rPr>
                      <w:rFonts w:hint="eastAsia" w:cs="宋体"/>
                      <w:color w:val="auto"/>
                      <w:sz w:val="21"/>
                      <w:szCs w:val="21"/>
                    </w:rPr>
                    <w:t>废边角料</w:t>
                  </w:r>
                  <w:r>
                    <w:rPr>
                      <w:rFonts w:hint="eastAsia" w:cs="宋体"/>
                      <w:color w:val="auto"/>
                      <w:sz w:val="21"/>
                      <w:szCs w:val="21"/>
                      <w:lang w:val="en-US" w:eastAsia="zh-CN"/>
                    </w:rPr>
                    <w:t>及不合格品</w:t>
                  </w:r>
                </w:p>
              </w:tc>
              <w:tc>
                <w:tcPr>
                  <w:tcW w:w="713" w:type="dxa"/>
                  <w:vAlign w:val="center"/>
                </w:tcPr>
                <w:p w14:paraId="292E6F2B">
                  <w:pPr>
                    <w:pStyle w:val="86"/>
                    <w:spacing w:line="240" w:lineRule="auto"/>
                    <w:ind w:firstLine="0"/>
                    <w:jc w:val="center"/>
                    <w:rPr>
                      <w:color w:val="auto"/>
                      <w:sz w:val="21"/>
                      <w:szCs w:val="21"/>
                    </w:rPr>
                  </w:pPr>
                  <w:r>
                    <w:rPr>
                      <w:color w:val="auto"/>
                      <w:sz w:val="21"/>
                      <w:szCs w:val="21"/>
                    </w:rPr>
                    <w:t>一般固废</w:t>
                  </w:r>
                </w:p>
              </w:tc>
              <w:tc>
                <w:tcPr>
                  <w:tcW w:w="1000" w:type="dxa"/>
                  <w:vAlign w:val="center"/>
                </w:tcPr>
                <w:p w14:paraId="5ED35185">
                  <w:pPr>
                    <w:pStyle w:val="86"/>
                    <w:spacing w:line="240" w:lineRule="auto"/>
                    <w:ind w:firstLine="0"/>
                    <w:jc w:val="center"/>
                    <w:rPr>
                      <w:color w:val="auto"/>
                      <w:sz w:val="21"/>
                      <w:szCs w:val="21"/>
                    </w:rPr>
                  </w:pPr>
                  <w:r>
                    <w:rPr>
                      <w:color w:val="auto"/>
                      <w:sz w:val="21"/>
                      <w:szCs w:val="21"/>
                    </w:rPr>
                    <w:t>无</w:t>
                  </w:r>
                </w:p>
              </w:tc>
              <w:tc>
                <w:tcPr>
                  <w:tcW w:w="925" w:type="dxa"/>
                  <w:vAlign w:val="center"/>
                </w:tcPr>
                <w:p w14:paraId="628943AA">
                  <w:pPr>
                    <w:pStyle w:val="86"/>
                    <w:spacing w:line="240" w:lineRule="auto"/>
                    <w:ind w:firstLine="0"/>
                    <w:jc w:val="center"/>
                    <w:rPr>
                      <w:rFonts w:cs="宋体"/>
                      <w:color w:val="auto"/>
                      <w:sz w:val="21"/>
                      <w:szCs w:val="21"/>
                    </w:rPr>
                  </w:pPr>
                  <w:r>
                    <w:rPr>
                      <w:rFonts w:cs="宋体"/>
                      <w:color w:val="auto"/>
                      <w:sz w:val="21"/>
                      <w:szCs w:val="21"/>
                    </w:rPr>
                    <w:t>900-099-S17</w:t>
                  </w:r>
                </w:p>
              </w:tc>
              <w:tc>
                <w:tcPr>
                  <w:tcW w:w="775" w:type="dxa"/>
                  <w:vAlign w:val="center"/>
                </w:tcPr>
                <w:p w14:paraId="3DC4F65C">
                  <w:pPr>
                    <w:pStyle w:val="86"/>
                    <w:spacing w:line="240" w:lineRule="auto"/>
                    <w:ind w:firstLine="0"/>
                    <w:jc w:val="center"/>
                    <w:rPr>
                      <w:rFonts w:cs="宋体"/>
                      <w:color w:val="auto"/>
                      <w:sz w:val="21"/>
                      <w:szCs w:val="21"/>
                    </w:rPr>
                  </w:pPr>
                  <w:r>
                    <w:rPr>
                      <w:rFonts w:hint="eastAsia" w:cs="宋体"/>
                      <w:color w:val="auto"/>
                      <w:sz w:val="21"/>
                      <w:szCs w:val="21"/>
                    </w:rPr>
                    <w:t>固体</w:t>
                  </w:r>
                </w:p>
              </w:tc>
              <w:tc>
                <w:tcPr>
                  <w:tcW w:w="826" w:type="dxa"/>
                  <w:vAlign w:val="center"/>
                </w:tcPr>
                <w:p w14:paraId="0392196A">
                  <w:pPr>
                    <w:pStyle w:val="86"/>
                    <w:spacing w:line="240" w:lineRule="auto"/>
                    <w:ind w:firstLine="0"/>
                    <w:jc w:val="center"/>
                    <w:rPr>
                      <w:color w:val="auto"/>
                      <w:sz w:val="21"/>
                      <w:szCs w:val="21"/>
                    </w:rPr>
                  </w:pPr>
                  <w:r>
                    <w:rPr>
                      <w:rFonts w:hint="eastAsia"/>
                      <w:color w:val="auto"/>
                      <w:sz w:val="21"/>
                      <w:szCs w:val="21"/>
                      <w:lang w:val="en-US" w:eastAsia="zh-CN"/>
                    </w:rPr>
                    <w:t>10.56</w:t>
                  </w:r>
                  <w:r>
                    <w:rPr>
                      <w:rFonts w:hint="eastAsia"/>
                      <w:color w:val="auto"/>
                      <w:sz w:val="21"/>
                      <w:szCs w:val="21"/>
                    </w:rPr>
                    <w:t>t/a</w:t>
                  </w:r>
                </w:p>
              </w:tc>
              <w:tc>
                <w:tcPr>
                  <w:tcW w:w="900" w:type="dxa"/>
                  <w:vAlign w:val="center"/>
                </w:tcPr>
                <w:p w14:paraId="6C81116A">
                  <w:pPr>
                    <w:pStyle w:val="86"/>
                    <w:spacing w:line="240" w:lineRule="auto"/>
                    <w:ind w:firstLine="0"/>
                    <w:jc w:val="center"/>
                    <w:rPr>
                      <w:color w:val="auto"/>
                      <w:sz w:val="21"/>
                      <w:szCs w:val="21"/>
                    </w:rPr>
                  </w:pPr>
                  <w:r>
                    <w:rPr>
                      <w:rFonts w:hint="eastAsia"/>
                      <w:color w:val="auto"/>
                      <w:sz w:val="21"/>
                      <w:szCs w:val="21"/>
                    </w:rPr>
                    <w:t>固废暂存间</w:t>
                  </w:r>
                </w:p>
              </w:tc>
              <w:tc>
                <w:tcPr>
                  <w:tcW w:w="1387" w:type="dxa"/>
                  <w:vAlign w:val="center"/>
                </w:tcPr>
                <w:p w14:paraId="6855E961">
                  <w:pPr>
                    <w:pStyle w:val="86"/>
                    <w:spacing w:line="240" w:lineRule="auto"/>
                    <w:ind w:firstLine="0" w:firstLineChars="0"/>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收集后定期外售综合利用</w:t>
                  </w:r>
                </w:p>
              </w:tc>
            </w:tr>
            <w:tr w14:paraId="152B904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91" w:type="dxa"/>
                  <w:vAlign w:val="center"/>
                </w:tcPr>
                <w:p w14:paraId="10CD71B0">
                  <w:pPr>
                    <w:pStyle w:val="86"/>
                    <w:spacing w:line="240" w:lineRule="auto"/>
                    <w:ind w:firstLine="0"/>
                    <w:jc w:val="center"/>
                    <w:rPr>
                      <w:rFonts w:cs="宋体"/>
                      <w:color w:val="auto"/>
                      <w:sz w:val="21"/>
                      <w:szCs w:val="21"/>
                    </w:rPr>
                  </w:pPr>
                  <w:r>
                    <w:rPr>
                      <w:rFonts w:hint="eastAsia" w:cs="宋体"/>
                      <w:color w:val="auto"/>
                      <w:sz w:val="21"/>
                      <w:szCs w:val="21"/>
                    </w:rPr>
                    <w:t>日常生产</w:t>
                  </w:r>
                </w:p>
              </w:tc>
              <w:tc>
                <w:tcPr>
                  <w:tcW w:w="1075" w:type="dxa"/>
                  <w:vAlign w:val="center"/>
                </w:tcPr>
                <w:p w14:paraId="4FE9AA5B">
                  <w:pPr>
                    <w:pStyle w:val="86"/>
                    <w:spacing w:line="240" w:lineRule="auto"/>
                    <w:ind w:firstLine="0" w:firstLineChars="0"/>
                    <w:jc w:val="center"/>
                    <w:rPr>
                      <w:rFonts w:hint="eastAsia" w:ascii="Times New Roman" w:hAnsi="Times New Roman" w:eastAsia="宋体" w:cs="宋体"/>
                      <w:color w:val="auto"/>
                      <w:sz w:val="21"/>
                      <w:szCs w:val="21"/>
                      <w:lang w:val="en-US" w:eastAsia="zh-CN"/>
                    </w:rPr>
                  </w:pPr>
                  <w:r>
                    <w:rPr>
                      <w:rFonts w:hint="eastAsia" w:ascii="Times New Roman" w:hAnsi="Times New Roman" w:eastAsia="宋体" w:cs="宋体"/>
                      <w:color w:val="auto"/>
                      <w:sz w:val="21"/>
                      <w:szCs w:val="21"/>
                      <w:lang w:val="en-US" w:eastAsia="zh-CN"/>
                    </w:rPr>
                    <w:t>废焊渣</w:t>
                  </w:r>
                </w:p>
              </w:tc>
              <w:tc>
                <w:tcPr>
                  <w:tcW w:w="713" w:type="dxa"/>
                  <w:vAlign w:val="center"/>
                </w:tcPr>
                <w:p w14:paraId="485ADFDE">
                  <w:pPr>
                    <w:pStyle w:val="86"/>
                    <w:spacing w:line="240" w:lineRule="auto"/>
                    <w:ind w:firstLine="0" w:firstLineChars="0"/>
                    <w:jc w:val="center"/>
                    <w:rPr>
                      <w:rFonts w:hint="eastAsia" w:ascii="Times New Roman" w:hAnsi="Times New Roman" w:eastAsia="宋体" w:cs="宋体"/>
                      <w:color w:val="auto"/>
                      <w:sz w:val="21"/>
                      <w:szCs w:val="21"/>
                      <w:lang w:val="en-US" w:eastAsia="zh-CN"/>
                    </w:rPr>
                  </w:pPr>
                  <w:r>
                    <w:rPr>
                      <w:rFonts w:hint="eastAsia" w:ascii="Times New Roman" w:hAnsi="Times New Roman" w:eastAsia="宋体" w:cs="宋体"/>
                      <w:color w:val="auto"/>
                      <w:sz w:val="21"/>
                      <w:szCs w:val="21"/>
                      <w:lang w:val="en-US" w:eastAsia="zh-CN"/>
                    </w:rPr>
                    <w:t>一般固废</w:t>
                  </w:r>
                </w:p>
              </w:tc>
              <w:tc>
                <w:tcPr>
                  <w:tcW w:w="1000" w:type="dxa"/>
                  <w:vAlign w:val="center"/>
                </w:tcPr>
                <w:p w14:paraId="2EA19938">
                  <w:pPr>
                    <w:pStyle w:val="86"/>
                    <w:spacing w:line="240" w:lineRule="auto"/>
                    <w:ind w:firstLine="0" w:firstLineChars="0"/>
                    <w:jc w:val="center"/>
                    <w:rPr>
                      <w:rFonts w:hint="eastAsia" w:ascii="Times New Roman" w:hAnsi="Times New Roman" w:eastAsia="宋体" w:cs="宋体"/>
                      <w:color w:val="auto"/>
                      <w:sz w:val="21"/>
                      <w:szCs w:val="21"/>
                      <w:lang w:val="en-US" w:eastAsia="zh-CN"/>
                    </w:rPr>
                  </w:pPr>
                  <w:r>
                    <w:rPr>
                      <w:rFonts w:hint="eastAsia" w:ascii="Times New Roman" w:hAnsi="Times New Roman" w:eastAsia="宋体" w:cs="宋体"/>
                      <w:color w:val="auto"/>
                      <w:sz w:val="21"/>
                      <w:szCs w:val="21"/>
                      <w:lang w:val="en-US" w:eastAsia="zh-CN"/>
                    </w:rPr>
                    <w:t>无</w:t>
                  </w:r>
                </w:p>
              </w:tc>
              <w:tc>
                <w:tcPr>
                  <w:tcW w:w="925" w:type="dxa"/>
                  <w:vAlign w:val="center"/>
                </w:tcPr>
                <w:p w14:paraId="5AE495CF">
                  <w:pPr>
                    <w:pStyle w:val="86"/>
                    <w:spacing w:line="240" w:lineRule="auto"/>
                    <w:ind w:firstLine="0" w:firstLineChars="0"/>
                    <w:jc w:val="center"/>
                    <w:rPr>
                      <w:rFonts w:hint="eastAsia" w:ascii="Times New Roman" w:hAnsi="Times New Roman" w:eastAsia="宋体" w:cs="宋体"/>
                      <w:color w:val="auto"/>
                      <w:sz w:val="21"/>
                      <w:szCs w:val="21"/>
                      <w:lang w:val="en-US" w:eastAsia="zh-CN"/>
                    </w:rPr>
                  </w:pPr>
                  <w:r>
                    <w:rPr>
                      <w:rFonts w:hint="eastAsia" w:ascii="Times New Roman" w:hAnsi="Times New Roman" w:eastAsia="宋体" w:cs="宋体"/>
                      <w:color w:val="auto"/>
                      <w:sz w:val="21"/>
                      <w:szCs w:val="21"/>
                      <w:lang w:val="en-US" w:eastAsia="zh-CN"/>
                    </w:rPr>
                    <w:t>900-099-S17</w:t>
                  </w:r>
                </w:p>
              </w:tc>
              <w:tc>
                <w:tcPr>
                  <w:tcW w:w="775" w:type="dxa"/>
                  <w:vAlign w:val="center"/>
                </w:tcPr>
                <w:p w14:paraId="05BD171F">
                  <w:pPr>
                    <w:pStyle w:val="86"/>
                    <w:spacing w:line="240" w:lineRule="auto"/>
                    <w:ind w:firstLine="0" w:firstLineChars="0"/>
                    <w:jc w:val="center"/>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固体</w:t>
                  </w:r>
                </w:p>
              </w:tc>
              <w:tc>
                <w:tcPr>
                  <w:tcW w:w="826" w:type="dxa"/>
                  <w:vAlign w:val="center"/>
                </w:tcPr>
                <w:p w14:paraId="18F2077A">
                  <w:pPr>
                    <w:pStyle w:val="86"/>
                    <w:spacing w:line="240" w:lineRule="auto"/>
                    <w:ind w:firstLine="0" w:firstLineChars="0"/>
                    <w:jc w:val="center"/>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lang w:val="en-US" w:eastAsia="zh-CN"/>
                    </w:rPr>
                    <w:t>1.536</w:t>
                  </w:r>
                  <w:r>
                    <w:rPr>
                      <w:rFonts w:hint="eastAsia" w:ascii="Times New Roman" w:hAnsi="Times New Roman" w:eastAsia="宋体" w:cs="宋体"/>
                      <w:color w:val="auto"/>
                      <w:sz w:val="21"/>
                      <w:szCs w:val="21"/>
                    </w:rPr>
                    <w:t>t/a</w:t>
                  </w:r>
                </w:p>
              </w:tc>
              <w:tc>
                <w:tcPr>
                  <w:tcW w:w="900" w:type="dxa"/>
                  <w:vAlign w:val="center"/>
                </w:tcPr>
                <w:p w14:paraId="5F43A099">
                  <w:pPr>
                    <w:pStyle w:val="86"/>
                    <w:spacing w:line="240" w:lineRule="auto"/>
                    <w:ind w:firstLine="0" w:firstLineChars="0"/>
                    <w:jc w:val="center"/>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固废暂存间</w:t>
                  </w:r>
                </w:p>
              </w:tc>
              <w:tc>
                <w:tcPr>
                  <w:tcW w:w="1387" w:type="dxa"/>
                  <w:vAlign w:val="center"/>
                </w:tcPr>
                <w:p w14:paraId="1267C195">
                  <w:pPr>
                    <w:pStyle w:val="86"/>
                    <w:spacing w:line="240" w:lineRule="auto"/>
                    <w:ind w:firstLine="0" w:firstLineChars="0"/>
                    <w:jc w:val="center"/>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返回厂家回收处理</w:t>
                  </w:r>
                </w:p>
              </w:tc>
            </w:tr>
            <w:tr w14:paraId="1B9659E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32" w:hRule="atLeast"/>
                <w:jc w:val="center"/>
              </w:trPr>
              <w:tc>
                <w:tcPr>
                  <w:tcW w:w="691" w:type="dxa"/>
                  <w:vAlign w:val="center"/>
                </w:tcPr>
                <w:p w14:paraId="3256D28F">
                  <w:pPr>
                    <w:pStyle w:val="86"/>
                    <w:spacing w:line="240" w:lineRule="auto"/>
                    <w:ind w:firstLine="0"/>
                    <w:jc w:val="center"/>
                    <w:rPr>
                      <w:color w:val="auto"/>
                      <w:sz w:val="21"/>
                      <w:szCs w:val="21"/>
                    </w:rPr>
                  </w:pPr>
                  <w:r>
                    <w:rPr>
                      <w:rFonts w:hint="eastAsia" w:cs="宋体"/>
                      <w:color w:val="auto"/>
                      <w:sz w:val="21"/>
                      <w:szCs w:val="21"/>
                    </w:rPr>
                    <w:t>日常生产</w:t>
                  </w:r>
                </w:p>
              </w:tc>
              <w:tc>
                <w:tcPr>
                  <w:tcW w:w="1075" w:type="dxa"/>
                  <w:vAlign w:val="center"/>
                </w:tcPr>
                <w:p w14:paraId="6B297BE3">
                  <w:pPr>
                    <w:pStyle w:val="86"/>
                    <w:spacing w:line="240" w:lineRule="auto"/>
                    <w:ind w:firstLine="0" w:firstLineChars="0"/>
                    <w:jc w:val="center"/>
                    <w:rPr>
                      <w:rFonts w:hint="default" w:ascii="Times New Roman" w:hAnsi="Times New Roman" w:eastAsia="宋体" w:cs="宋体"/>
                      <w:color w:val="auto"/>
                      <w:sz w:val="21"/>
                      <w:szCs w:val="21"/>
                      <w:lang w:val="en-US" w:eastAsia="zh-CN"/>
                    </w:rPr>
                  </w:pPr>
                  <w:r>
                    <w:rPr>
                      <w:rFonts w:hint="eastAsia" w:ascii="Times New Roman" w:hAnsi="Times New Roman" w:eastAsia="宋体" w:cs="宋体"/>
                      <w:color w:val="auto"/>
                      <w:sz w:val="21"/>
                      <w:szCs w:val="21"/>
                      <w:lang w:val="en-US" w:eastAsia="zh-CN"/>
                    </w:rPr>
                    <w:t>收集的塑粉</w:t>
                  </w:r>
                </w:p>
              </w:tc>
              <w:tc>
                <w:tcPr>
                  <w:tcW w:w="713" w:type="dxa"/>
                  <w:vAlign w:val="center"/>
                </w:tcPr>
                <w:p w14:paraId="3A7FBB1D">
                  <w:pPr>
                    <w:pStyle w:val="86"/>
                    <w:spacing w:line="240" w:lineRule="auto"/>
                    <w:ind w:firstLine="0" w:firstLineChars="0"/>
                    <w:jc w:val="center"/>
                    <w:rPr>
                      <w:rFonts w:hint="eastAsia" w:ascii="Times New Roman" w:hAnsi="Times New Roman" w:eastAsia="宋体" w:cs="宋体"/>
                      <w:color w:val="auto"/>
                      <w:sz w:val="21"/>
                      <w:szCs w:val="21"/>
                      <w:lang w:val="en-US" w:eastAsia="zh-CN"/>
                    </w:rPr>
                  </w:pPr>
                  <w:r>
                    <w:rPr>
                      <w:rFonts w:hint="eastAsia" w:ascii="Times New Roman" w:hAnsi="Times New Roman" w:eastAsia="宋体" w:cs="宋体"/>
                      <w:color w:val="auto"/>
                      <w:sz w:val="21"/>
                      <w:szCs w:val="21"/>
                      <w:lang w:val="en-US" w:eastAsia="zh-CN"/>
                    </w:rPr>
                    <w:t>一般固废</w:t>
                  </w:r>
                </w:p>
              </w:tc>
              <w:tc>
                <w:tcPr>
                  <w:tcW w:w="1000" w:type="dxa"/>
                  <w:vAlign w:val="center"/>
                </w:tcPr>
                <w:p w14:paraId="0C79869B">
                  <w:pPr>
                    <w:pStyle w:val="86"/>
                    <w:spacing w:line="240" w:lineRule="auto"/>
                    <w:ind w:firstLine="0" w:firstLineChars="0"/>
                    <w:jc w:val="center"/>
                    <w:rPr>
                      <w:rFonts w:hint="eastAsia" w:ascii="Times New Roman" w:hAnsi="Times New Roman" w:eastAsia="宋体" w:cs="宋体"/>
                      <w:color w:val="auto"/>
                      <w:sz w:val="21"/>
                      <w:szCs w:val="21"/>
                      <w:lang w:val="en-US" w:eastAsia="zh-CN"/>
                    </w:rPr>
                  </w:pPr>
                  <w:r>
                    <w:rPr>
                      <w:rFonts w:hint="eastAsia" w:ascii="Times New Roman" w:hAnsi="Times New Roman" w:eastAsia="宋体" w:cs="宋体"/>
                      <w:color w:val="auto"/>
                      <w:sz w:val="21"/>
                      <w:szCs w:val="21"/>
                      <w:lang w:val="en-US" w:eastAsia="zh-CN"/>
                    </w:rPr>
                    <w:t>无</w:t>
                  </w:r>
                </w:p>
              </w:tc>
              <w:tc>
                <w:tcPr>
                  <w:tcW w:w="925" w:type="dxa"/>
                  <w:vAlign w:val="center"/>
                </w:tcPr>
                <w:p w14:paraId="727309A9">
                  <w:pPr>
                    <w:pStyle w:val="86"/>
                    <w:spacing w:line="240" w:lineRule="auto"/>
                    <w:ind w:firstLine="0" w:firstLineChars="0"/>
                    <w:jc w:val="center"/>
                    <w:rPr>
                      <w:rFonts w:hint="eastAsia" w:ascii="Times New Roman" w:hAnsi="Times New Roman" w:eastAsia="宋体" w:cs="宋体"/>
                      <w:color w:val="auto"/>
                      <w:sz w:val="21"/>
                      <w:szCs w:val="21"/>
                      <w:lang w:val="en-US" w:eastAsia="zh-CN"/>
                    </w:rPr>
                  </w:pPr>
                  <w:r>
                    <w:rPr>
                      <w:rFonts w:hint="eastAsia" w:ascii="Times New Roman" w:hAnsi="Times New Roman" w:eastAsia="宋体" w:cs="宋体"/>
                      <w:color w:val="auto"/>
                      <w:sz w:val="21"/>
                      <w:szCs w:val="21"/>
                      <w:lang w:val="en-US" w:eastAsia="zh-CN"/>
                    </w:rPr>
                    <w:t>900-099-S17</w:t>
                  </w:r>
                </w:p>
              </w:tc>
              <w:tc>
                <w:tcPr>
                  <w:tcW w:w="775" w:type="dxa"/>
                  <w:vAlign w:val="center"/>
                </w:tcPr>
                <w:p w14:paraId="113A16DA">
                  <w:pPr>
                    <w:pStyle w:val="86"/>
                    <w:spacing w:line="240" w:lineRule="auto"/>
                    <w:ind w:firstLine="0" w:firstLineChars="0"/>
                    <w:jc w:val="center"/>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固体</w:t>
                  </w:r>
                </w:p>
              </w:tc>
              <w:tc>
                <w:tcPr>
                  <w:tcW w:w="826" w:type="dxa"/>
                  <w:vAlign w:val="center"/>
                </w:tcPr>
                <w:p w14:paraId="10B3926F">
                  <w:pPr>
                    <w:pStyle w:val="86"/>
                    <w:spacing w:line="240" w:lineRule="auto"/>
                    <w:ind w:firstLine="0" w:firstLineChars="0"/>
                    <w:jc w:val="center"/>
                    <w:rPr>
                      <w:rFonts w:hint="default" w:ascii="Times New Roman" w:hAnsi="Times New Roman" w:eastAsia="宋体" w:cs="宋体"/>
                      <w:color w:val="auto"/>
                      <w:sz w:val="21"/>
                      <w:szCs w:val="21"/>
                      <w:lang w:val="en-US" w:eastAsia="zh-CN"/>
                    </w:rPr>
                  </w:pPr>
                  <w:r>
                    <w:rPr>
                      <w:rFonts w:hint="eastAsia" w:ascii="Times New Roman" w:hAnsi="Times New Roman" w:eastAsia="宋体" w:cs="宋体"/>
                      <w:color w:val="auto"/>
                      <w:sz w:val="21"/>
                      <w:szCs w:val="21"/>
                      <w:lang w:val="en-US" w:eastAsia="zh-CN"/>
                    </w:rPr>
                    <w:t>2.35t/a</w:t>
                  </w:r>
                </w:p>
              </w:tc>
              <w:tc>
                <w:tcPr>
                  <w:tcW w:w="900" w:type="dxa"/>
                  <w:vAlign w:val="center"/>
                </w:tcPr>
                <w:p w14:paraId="31E6BC70">
                  <w:pPr>
                    <w:pStyle w:val="86"/>
                    <w:spacing w:line="240" w:lineRule="auto"/>
                    <w:ind w:firstLine="0" w:firstLineChars="0"/>
                    <w:jc w:val="center"/>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固废暂存间</w:t>
                  </w:r>
                </w:p>
              </w:tc>
              <w:tc>
                <w:tcPr>
                  <w:tcW w:w="1387" w:type="dxa"/>
                  <w:vAlign w:val="center"/>
                </w:tcPr>
                <w:p w14:paraId="53236FED">
                  <w:pPr>
                    <w:pStyle w:val="86"/>
                    <w:spacing w:line="240" w:lineRule="auto"/>
                    <w:ind w:firstLine="0" w:firstLineChars="0"/>
                    <w:jc w:val="center"/>
                    <w:rPr>
                      <w:rFonts w:hint="default" w:ascii="Times New Roman" w:hAnsi="Times New Roman" w:eastAsia="宋体" w:cs="宋体"/>
                      <w:color w:val="auto"/>
                      <w:sz w:val="21"/>
                      <w:szCs w:val="21"/>
                      <w:lang w:val="en-US" w:eastAsia="zh-CN"/>
                    </w:rPr>
                  </w:pPr>
                  <w:r>
                    <w:rPr>
                      <w:rFonts w:hint="eastAsia" w:ascii="Times New Roman" w:hAnsi="Times New Roman" w:eastAsia="宋体" w:cs="宋体"/>
                      <w:color w:val="auto"/>
                      <w:sz w:val="21"/>
                      <w:szCs w:val="21"/>
                      <w:lang w:val="en-US" w:eastAsia="zh-CN"/>
                    </w:rPr>
                    <w:t>统一</w:t>
                  </w:r>
                  <w:r>
                    <w:rPr>
                      <w:rFonts w:hint="eastAsia" w:ascii="Times New Roman" w:hAnsi="Times New Roman" w:eastAsia="宋体" w:cs="宋体"/>
                      <w:color w:val="auto"/>
                      <w:sz w:val="21"/>
                      <w:szCs w:val="21"/>
                    </w:rPr>
                    <w:t>收集后</w:t>
                  </w:r>
                  <w:r>
                    <w:rPr>
                      <w:rFonts w:hint="eastAsia" w:ascii="Times New Roman" w:hAnsi="Times New Roman" w:eastAsia="宋体" w:cs="宋体"/>
                      <w:color w:val="auto"/>
                      <w:sz w:val="21"/>
                      <w:szCs w:val="21"/>
                      <w:lang w:val="en-US" w:eastAsia="zh-CN"/>
                    </w:rPr>
                    <w:t>回用于生产</w:t>
                  </w:r>
                </w:p>
              </w:tc>
            </w:tr>
            <w:tr w14:paraId="2F31405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91" w:type="dxa"/>
                  <w:vAlign w:val="center"/>
                </w:tcPr>
                <w:p w14:paraId="63D4DC5A">
                  <w:pPr>
                    <w:pStyle w:val="86"/>
                    <w:spacing w:line="240" w:lineRule="auto"/>
                    <w:ind w:firstLine="0"/>
                    <w:jc w:val="center"/>
                    <w:rPr>
                      <w:color w:val="auto"/>
                      <w:sz w:val="21"/>
                      <w:szCs w:val="21"/>
                    </w:rPr>
                  </w:pPr>
                  <w:r>
                    <w:rPr>
                      <w:rFonts w:hint="eastAsia" w:cs="宋体"/>
                      <w:color w:val="auto"/>
                      <w:sz w:val="21"/>
                      <w:szCs w:val="21"/>
                    </w:rPr>
                    <w:t>日常生产</w:t>
                  </w:r>
                </w:p>
              </w:tc>
              <w:tc>
                <w:tcPr>
                  <w:tcW w:w="1075" w:type="dxa"/>
                  <w:vAlign w:val="center"/>
                </w:tcPr>
                <w:p w14:paraId="1691DB6C">
                  <w:pPr>
                    <w:pStyle w:val="86"/>
                    <w:spacing w:line="240" w:lineRule="auto"/>
                    <w:ind w:firstLine="0" w:firstLineChars="0"/>
                    <w:jc w:val="center"/>
                    <w:rPr>
                      <w:rFonts w:hint="default" w:ascii="Times New Roman" w:hAnsi="Times New Roman" w:eastAsia="宋体" w:cs="宋体"/>
                      <w:color w:val="auto"/>
                      <w:sz w:val="21"/>
                      <w:szCs w:val="21"/>
                      <w:lang w:val="en-US" w:eastAsia="zh-CN"/>
                    </w:rPr>
                  </w:pPr>
                  <w:r>
                    <w:rPr>
                      <w:rFonts w:hint="eastAsia" w:ascii="Times New Roman" w:hAnsi="Times New Roman" w:eastAsia="宋体" w:cs="宋体"/>
                      <w:color w:val="auto"/>
                      <w:sz w:val="21"/>
                      <w:szCs w:val="21"/>
                      <w:lang w:val="en-US" w:eastAsia="zh-CN"/>
                    </w:rPr>
                    <w:t>废包装袋</w:t>
                  </w:r>
                </w:p>
              </w:tc>
              <w:tc>
                <w:tcPr>
                  <w:tcW w:w="713" w:type="dxa"/>
                  <w:vAlign w:val="center"/>
                </w:tcPr>
                <w:p w14:paraId="59EB0C0A">
                  <w:pPr>
                    <w:pStyle w:val="86"/>
                    <w:spacing w:line="240" w:lineRule="auto"/>
                    <w:ind w:firstLine="0" w:firstLineChars="0"/>
                    <w:jc w:val="center"/>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一般固废</w:t>
                  </w:r>
                </w:p>
              </w:tc>
              <w:tc>
                <w:tcPr>
                  <w:tcW w:w="1000" w:type="dxa"/>
                  <w:vAlign w:val="center"/>
                </w:tcPr>
                <w:p w14:paraId="7E98B7EB">
                  <w:pPr>
                    <w:pStyle w:val="86"/>
                    <w:spacing w:line="240" w:lineRule="auto"/>
                    <w:ind w:firstLine="0" w:firstLineChars="0"/>
                    <w:jc w:val="center"/>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无</w:t>
                  </w:r>
                </w:p>
              </w:tc>
              <w:tc>
                <w:tcPr>
                  <w:tcW w:w="925" w:type="dxa"/>
                  <w:vAlign w:val="center"/>
                </w:tcPr>
                <w:p w14:paraId="4ED90AFD">
                  <w:pPr>
                    <w:pStyle w:val="86"/>
                    <w:spacing w:line="240" w:lineRule="auto"/>
                    <w:ind w:firstLine="0" w:firstLineChars="0"/>
                    <w:jc w:val="center"/>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900-099-S17</w:t>
                  </w:r>
                </w:p>
              </w:tc>
              <w:tc>
                <w:tcPr>
                  <w:tcW w:w="775" w:type="dxa"/>
                  <w:vAlign w:val="center"/>
                </w:tcPr>
                <w:p w14:paraId="78E5EA6F">
                  <w:pPr>
                    <w:pStyle w:val="86"/>
                    <w:spacing w:line="240" w:lineRule="auto"/>
                    <w:ind w:firstLine="0" w:firstLineChars="0"/>
                    <w:jc w:val="center"/>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固体</w:t>
                  </w:r>
                </w:p>
              </w:tc>
              <w:tc>
                <w:tcPr>
                  <w:tcW w:w="826" w:type="dxa"/>
                  <w:vAlign w:val="center"/>
                </w:tcPr>
                <w:p w14:paraId="43EB6834">
                  <w:pPr>
                    <w:pStyle w:val="86"/>
                    <w:spacing w:line="240" w:lineRule="auto"/>
                    <w:ind w:firstLine="0" w:firstLineChars="0"/>
                    <w:jc w:val="center"/>
                    <w:rPr>
                      <w:rFonts w:hint="default" w:ascii="Times New Roman" w:hAnsi="Times New Roman" w:eastAsia="宋体" w:cs="宋体"/>
                      <w:color w:val="auto"/>
                      <w:sz w:val="21"/>
                      <w:szCs w:val="21"/>
                      <w:lang w:val="en-US" w:eastAsia="zh-CN"/>
                    </w:rPr>
                  </w:pPr>
                  <w:r>
                    <w:rPr>
                      <w:rFonts w:hint="eastAsia" w:ascii="Times New Roman" w:hAnsi="Times New Roman" w:eastAsia="宋体" w:cs="宋体"/>
                      <w:color w:val="auto"/>
                      <w:sz w:val="21"/>
                      <w:szCs w:val="21"/>
                      <w:lang w:val="en-US" w:eastAsia="zh-CN"/>
                    </w:rPr>
                    <w:t>0.3t/a</w:t>
                  </w:r>
                </w:p>
              </w:tc>
              <w:tc>
                <w:tcPr>
                  <w:tcW w:w="900" w:type="dxa"/>
                  <w:vAlign w:val="center"/>
                </w:tcPr>
                <w:p w14:paraId="197F4CE5">
                  <w:pPr>
                    <w:pStyle w:val="86"/>
                    <w:spacing w:line="240" w:lineRule="auto"/>
                    <w:ind w:firstLine="0" w:firstLineChars="0"/>
                    <w:jc w:val="center"/>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固废暂存间</w:t>
                  </w:r>
                </w:p>
              </w:tc>
              <w:tc>
                <w:tcPr>
                  <w:tcW w:w="1387" w:type="dxa"/>
                  <w:vAlign w:val="center"/>
                </w:tcPr>
                <w:p w14:paraId="7BDC5ED0">
                  <w:pPr>
                    <w:pStyle w:val="86"/>
                    <w:spacing w:line="240" w:lineRule="auto"/>
                    <w:ind w:firstLine="0" w:firstLineChars="0"/>
                    <w:jc w:val="center"/>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收集后定期外售综合利用</w:t>
                  </w:r>
                </w:p>
              </w:tc>
            </w:tr>
            <w:tr w14:paraId="29E87B4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91" w:type="dxa"/>
                  <w:vAlign w:val="center"/>
                </w:tcPr>
                <w:p w14:paraId="2AA7C105">
                  <w:pPr>
                    <w:pStyle w:val="86"/>
                    <w:spacing w:line="240" w:lineRule="auto"/>
                    <w:ind w:firstLine="0" w:firstLineChars="0"/>
                    <w:jc w:val="center"/>
                    <w:rPr>
                      <w:color w:val="FF0000"/>
                      <w:sz w:val="21"/>
                      <w:szCs w:val="21"/>
                    </w:rPr>
                  </w:pPr>
                  <w:r>
                    <w:rPr>
                      <w:rFonts w:hint="eastAsia"/>
                      <w:color w:val="auto"/>
                      <w:sz w:val="21"/>
                      <w:szCs w:val="21"/>
                    </w:rPr>
                    <w:t>日常生产</w:t>
                  </w:r>
                </w:p>
              </w:tc>
              <w:tc>
                <w:tcPr>
                  <w:tcW w:w="1075" w:type="dxa"/>
                  <w:vAlign w:val="center"/>
                </w:tcPr>
                <w:p w14:paraId="39654A20">
                  <w:pPr>
                    <w:pStyle w:val="86"/>
                    <w:spacing w:line="240" w:lineRule="auto"/>
                    <w:ind w:firstLine="0" w:firstLineChars="0"/>
                    <w:jc w:val="center"/>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废活性炭</w:t>
                  </w:r>
                </w:p>
              </w:tc>
              <w:tc>
                <w:tcPr>
                  <w:tcW w:w="713" w:type="dxa"/>
                  <w:vAlign w:val="center"/>
                </w:tcPr>
                <w:p w14:paraId="08ACD291">
                  <w:pPr>
                    <w:pStyle w:val="86"/>
                    <w:spacing w:line="240" w:lineRule="auto"/>
                    <w:ind w:firstLine="0" w:firstLineChars="0"/>
                    <w:jc w:val="center"/>
                    <w:rPr>
                      <w:rFonts w:hint="eastAsia" w:ascii="Times New Roman" w:hAnsi="Times New Roman" w:eastAsia="宋体" w:cs="宋体"/>
                      <w:color w:val="auto"/>
                      <w:sz w:val="21"/>
                      <w:szCs w:val="21"/>
                      <w:lang w:val="en-US" w:eastAsia="zh-CN"/>
                    </w:rPr>
                  </w:pPr>
                  <w:r>
                    <w:rPr>
                      <w:rFonts w:hint="eastAsia" w:ascii="Times New Roman" w:hAnsi="Times New Roman" w:eastAsia="宋体" w:cs="宋体"/>
                      <w:color w:val="auto"/>
                      <w:sz w:val="21"/>
                      <w:szCs w:val="21"/>
                      <w:lang w:val="en-US" w:eastAsia="zh-CN"/>
                    </w:rPr>
                    <w:t>危险废物</w:t>
                  </w:r>
                </w:p>
              </w:tc>
              <w:tc>
                <w:tcPr>
                  <w:tcW w:w="1000" w:type="dxa"/>
                  <w:vAlign w:val="center"/>
                </w:tcPr>
                <w:p w14:paraId="1125AD90">
                  <w:pPr>
                    <w:pStyle w:val="86"/>
                    <w:spacing w:line="240" w:lineRule="auto"/>
                    <w:ind w:firstLine="0" w:firstLineChars="0"/>
                    <w:jc w:val="center"/>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有</w:t>
                  </w:r>
                </w:p>
              </w:tc>
              <w:tc>
                <w:tcPr>
                  <w:tcW w:w="925" w:type="dxa"/>
                  <w:vAlign w:val="center"/>
                </w:tcPr>
                <w:p w14:paraId="4B7B1E8A">
                  <w:pPr>
                    <w:pStyle w:val="86"/>
                    <w:spacing w:line="240" w:lineRule="auto"/>
                    <w:ind w:firstLine="0" w:firstLineChars="0"/>
                    <w:jc w:val="center"/>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900-039-49</w:t>
                  </w:r>
                </w:p>
              </w:tc>
              <w:tc>
                <w:tcPr>
                  <w:tcW w:w="775" w:type="dxa"/>
                  <w:vAlign w:val="center"/>
                </w:tcPr>
                <w:p w14:paraId="62EAC946">
                  <w:pPr>
                    <w:pStyle w:val="86"/>
                    <w:spacing w:line="240" w:lineRule="auto"/>
                    <w:ind w:firstLine="0" w:firstLineChars="0"/>
                    <w:jc w:val="center"/>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固体</w:t>
                  </w:r>
                </w:p>
              </w:tc>
              <w:tc>
                <w:tcPr>
                  <w:tcW w:w="826" w:type="dxa"/>
                  <w:vAlign w:val="center"/>
                </w:tcPr>
                <w:p w14:paraId="70E0E33B">
                  <w:pPr>
                    <w:pStyle w:val="86"/>
                    <w:spacing w:line="240" w:lineRule="auto"/>
                    <w:ind w:firstLine="0" w:firstLineChars="0"/>
                    <w:jc w:val="center"/>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lang w:val="en-US" w:eastAsia="zh-CN"/>
                    </w:rPr>
                    <w:t>4.53</w:t>
                  </w:r>
                  <w:r>
                    <w:rPr>
                      <w:rFonts w:hint="eastAsia" w:ascii="Times New Roman" w:hAnsi="Times New Roman" w:eastAsia="宋体" w:cs="宋体"/>
                      <w:color w:val="auto"/>
                      <w:sz w:val="21"/>
                      <w:szCs w:val="21"/>
                    </w:rPr>
                    <w:t>t/a</w:t>
                  </w:r>
                </w:p>
              </w:tc>
              <w:tc>
                <w:tcPr>
                  <w:tcW w:w="900" w:type="dxa"/>
                  <w:vAlign w:val="center"/>
                </w:tcPr>
                <w:p w14:paraId="72BC3AA3">
                  <w:pPr>
                    <w:pStyle w:val="86"/>
                    <w:spacing w:line="240" w:lineRule="auto"/>
                    <w:ind w:firstLine="0" w:firstLineChars="0"/>
                    <w:jc w:val="center"/>
                    <w:rPr>
                      <w:rFonts w:hint="eastAsia" w:ascii="Times New Roman" w:hAnsi="Times New Roman" w:eastAsia="宋体" w:cs="宋体"/>
                      <w:color w:val="auto"/>
                      <w:sz w:val="21"/>
                      <w:szCs w:val="21"/>
                      <w:lang w:val="en-US" w:eastAsia="zh-CN"/>
                    </w:rPr>
                  </w:pPr>
                  <w:r>
                    <w:rPr>
                      <w:rFonts w:hint="eastAsia" w:ascii="Times New Roman" w:hAnsi="Times New Roman" w:eastAsia="宋体" w:cs="宋体"/>
                      <w:color w:val="auto"/>
                      <w:sz w:val="21"/>
                      <w:szCs w:val="21"/>
                      <w:lang w:val="en-US" w:eastAsia="zh-CN"/>
                    </w:rPr>
                    <w:t>/</w:t>
                  </w:r>
                </w:p>
              </w:tc>
              <w:tc>
                <w:tcPr>
                  <w:tcW w:w="1387" w:type="dxa"/>
                  <w:vAlign w:val="center"/>
                </w:tcPr>
                <w:p w14:paraId="051BAEE4">
                  <w:pPr>
                    <w:pStyle w:val="86"/>
                    <w:spacing w:line="240" w:lineRule="auto"/>
                    <w:ind w:firstLine="0" w:firstLineChars="0"/>
                    <w:jc w:val="center"/>
                    <w:rPr>
                      <w:rFonts w:hint="eastAsia" w:ascii="Times New Roman" w:hAnsi="Times New Roman" w:eastAsia="宋体" w:cs="宋体"/>
                      <w:color w:val="auto"/>
                      <w:sz w:val="21"/>
                      <w:szCs w:val="21"/>
                      <w:lang w:val="en-US" w:eastAsia="zh-CN"/>
                    </w:rPr>
                  </w:pPr>
                  <w:r>
                    <w:rPr>
                      <w:rFonts w:hint="eastAsia" w:ascii="Times New Roman" w:hAnsi="Times New Roman" w:eastAsia="宋体" w:cs="宋体"/>
                      <w:color w:val="auto"/>
                      <w:sz w:val="21"/>
                      <w:szCs w:val="21"/>
                      <w:lang w:val="en-US" w:eastAsia="zh-CN"/>
                    </w:rPr>
                    <w:t>废活性炭委托厂家上门更换回收，不在厂内暂存</w:t>
                  </w:r>
                </w:p>
              </w:tc>
            </w:tr>
            <w:tr w14:paraId="46FF119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91" w:type="dxa"/>
                  <w:vAlign w:val="center"/>
                </w:tcPr>
                <w:p w14:paraId="3DC8A6B0">
                  <w:pPr>
                    <w:pStyle w:val="86"/>
                    <w:spacing w:line="240" w:lineRule="auto"/>
                    <w:ind w:firstLine="0" w:firstLineChars="0"/>
                    <w:jc w:val="center"/>
                    <w:rPr>
                      <w:rFonts w:ascii="Times New Roman" w:hAnsi="Times New Roman" w:eastAsia="宋体" w:cs="宋体"/>
                      <w:color w:val="auto"/>
                      <w:sz w:val="21"/>
                      <w:szCs w:val="21"/>
                    </w:rPr>
                  </w:pPr>
                  <w:r>
                    <w:rPr>
                      <w:rFonts w:hint="eastAsia" w:ascii="Times New Roman" w:hAnsi="Times New Roman" w:eastAsia="宋体" w:cs="宋体"/>
                      <w:color w:val="auto"/>
                      <w:sz w:val="21"/>
                      <w:szCs w:val="21"/>
                    </w:rPr>
                    <w:t>日常生产</w:t>
                  </w:r>
                </w:p>
              </w:tc>
              <w:tc>
                <w:tcPr>
                  <w:tcW w:w="1075" w:type="dxa"/>
                  <w:vAlign w:val="center"/>
                </w:tcPr>
                <w:p w14:paraId="3D44C39B">
                  <w:pPr>
                    <w:pStyle w:val="86"/>
                    <w:spacing w:line="240" w:lineRule="auto"/>
                    <w:ind w:firstLine="0" w:firstLineChars="0"/>
                    <w:jc w:val="center"/>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lang w:val="en-US" w:eastAsia="zh-CN"/>
                    </w:rPr>
                    <w:t>废矿物油</w:t>
                  </w:r>
                </w:p>
              </w:tc>
              <w:tc>
                <w:tcPr>
                  <w:tcW w:w="713" w:type="dxa"/>
                  <w:vAlign w:val="center"/>
                </w:tcPr>
                <w:p w14:paraId="1F1BC844">
                  <w:pPr>
                    <w:pStyle w:val="86"/>
                    <w:spacing w:line="240" w:lineRule="auto"/>
                    <w:ind w:firstLine="0" w:firstLineChars="0"/>
                    <w:jc w:val="center"/>
                    <w:rPr>
                      <w:rFonts w:hint="eastAsia" w:ascii="Times New Roman" w:hAnsi="Times New Roman" w:eastAsia="宋体" w:cs="宋体"/>
                      <w:color w:val="auto"/>
                      <w:sz w:val="21"/>
                      <w:szCs w:val="21"/>
                      <w:lang w:val="en-US" w:eastAsia="zh-CN"/>
                    </w:rPr>
                  </w:pPr>
                  <w:r>
                    <w:rPr>
                      <w:rFonts w:hint="eastAsia" w:ascii="Times New Roman" w:hAnsi="Times New Roman" w:eastAsia="宋体" w:cs="宋体"/>
                      <w:color w:val="auto"/>
                      <w:sz w:val="21"/>
                      <w:szCs w:val="21"/>
                      <w:lang w:val="en-US" w:eastAsia="zh-CN"/>
                    </w:rPr>
                    <w:t>危险废物</w:t>
                  </w:r>
                </w:p>
              </w:tc>
              <w:tc>
                <w:tcPr>
                  <w:tcW w:w="1000" w:type="dxa"/>
                  <w:vAlign w:val="center"/>
                </w:tcPr>
                <w:p w14:paraId="07ECE608">
                  <w:pPr>
                    <w:pStyle w:val="86"/>
                    <w:spacing w:line="240" w:lineRule="auto"/>
                    <w:ind w:firstLine="0" w:firstLineChars="0"/>
                    <w:jc w:val="center"/>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有</w:t>
                  </w:r>
                </w:p>
              </w:tc>
              <w:tc>
                <w:tcPr>
                  <w:tcW w:w="925" w:type="dxa"/>
                  <w:vAlign w:val="center"/>
                </w:tcPr>
                <w:p w14:paraId="24409674">
                  <w:pPr>
                    <w:pStyle w:val="86"/>
                    <w:spacing w:line="240" w:lineRule="auto"/>
                    <w:ind w:firstLine="0" w:firstLineChars="0"/>
                    <w:jc w:val="center"/>
                    <w:rPr>
                      <w:rFonts w:hint="eastAsia" w:ascii="Times New Roman" w:hAnsi="Times New Roman" w:eastAsia="宋体" w:cs="宋体"/>
                      <w:color w:val="auto"/>
                      <w:sz w:val="21"/>
                      <w:szCs w:val="21"/>
                    </w:rPr>
                  </w:pPr>
                  <w:r>
                    <w:rPr>
                      <w:rFonts w:hint="default" w:ascii="Times New Roman" w:hAnsi="Times New Roman" w:eastAsia="宋体" w:cs="宋体"/>
                      <w:color w:val="auto"/>
                      <w:sz w:val="21"/>
                      <w:szCs w:val="21"/>
                      <w:lang w:val="en-US" w:eastAsia="zh-CN"/>
                    </w:rPr>
                    <w:t>900-217-08</w:t>
                  </w:r>
                </w:p>
              </w:tc>
              <w:tc>
                <w:tcPr>
                  <w:tcW w:w="775" w:type="dxa"/>
                  <w:vAlign w:val="center"/>
                </w:tcPr>
                <w:p w14:paraId="30886FA1">
                  <w:pPr>
                    <w:pStyle w:val="86"/>
                    <w:spacing w:line="240" w:lineRule="auto"/>
                    <w:ind w:firstLine="0" w:firstLineChars="0"/>
                    <w:jc w:val="center"/>
                    <w:rPr>
                      <w:rFonts w:hint="eastAsia" w:ascii="Times New Roman" w:hAnsi="Times New Roman" w:eastAsia="宋体" w:cs="宋体"/>
                      <w:color w:val="auto"/>
                      <w:sz w:val="21"/>
                      <w:szCs w:val="21"/>
                      <w:lang w:val="en-US" w:eastAsia="zh-CN"/>
                    </w:rPr>
                  </w:pPr>
                  <w:r>
                    <w:rPr>
                      <w:rFonts w:hint="eastAsia" w:eastAsia="宋体"/>
                      <w:color w:val="auto"/>
                      <w:sz w:val="21"/>
                      <w:szCs w:val="21"/>
                      <w:lang w:val="en-US" w:eastAsia="zh-CN"/>
                    </w:rPr>
                    <w:t>液体</w:t>
                  </w:r>
                </w:p>
              </w:tc>
              <w:tc>
                <w:tcPr>
                  <w:tcW w:w="826" w:type="dxa"/>
                  <w:vAlign w:val="center"/>
                </w:tcPr>
                <w:p w14:paraId="7508C3EF">
                  <w:pPr>
                    <w:pStyle w:val="86"/>
                    <w:spacing w:line="240" w:lineRule="auto"/>
                    <w:ind w:firstLine="0" w:firstLineChars="0"/>
                    <w:jc w:val="center"/>
                    <w:rPr>
                      <w:rFonts w:hint="default" w:ascii="Times New Roman" w:hAnsi="Times New Roman" w:eastAsia="宋体" w:cs="宋体"/>
                      <w:color w:val="auto"/>
                      <w:sz w:val="21"/>
                      <w:szCs w:val="21"/>
                      <w:lang w:val="en-US" w:eastAsia="zh-CN"/>
                    </w:rPr>
                  </w:pPr>
                  <w:r>
                    <w:rPr>
                      <w:rFonts w:hint="eastAsia" w:ascii="Times New Roman" w:hAnsi="Times New Roman" w:eastAsia="宋体" w:cs="宋体"/>
                      <w:color w:val="auto"/>
                      <w:sz w:val="21"/>
                      <w:szCs w:val="21"/>
                      <w:lang w:val="en-US" w:eastAsia="zh-CN"/>
                    </w:rPr>
                    <w:t>0.35t/a</w:t>
                  </w:r>
                </w:p>
              </w:tc>
              <w:tc>
                <w:tcPr>
                  <w:tcW w:w="900" w:type="dxa"/>
                  <w:vAlign w:val="center"/>
                </w:tcPr>
                <w:p w14:paraId="7830B11A">
                  <w:pPr>
                    <w:pStyle w:val="86"/>
                    <w:spacing w:line="240" w:lineRule="auto"/>
                    <w:ind w:firstLine="0" w:firstLineChars="0"/>
                    <w:jc w:val="center"/>
                    <w:rPr>
                      <w:rFonts w:hint="eastAsia" w:ascii="Times New Roman" w:hAnsi="Times New Roman" w:eastAsia="宋体" w:cs="宋体"/>
                      <w:color w:val="auto"/>
                      <w:sz w:val="21"/>
                      <w:szCs w:val="21"/>
                      <w:lang w:val="en-US" w:eastAsia="zh-CN"/>
                    </w:rPr>
                  </w:pPr>
                  <w:r>
                    <w:rPr>
                      <w:rFonts w:hint="default" w:ascii="Times New Roman" w:hAnsi="Times New Roman" w:eastAsia="宋体" w:cs="宋体"/>
                      <w:color w:val="auto"/>
                      <w:sz w:val="21"/>
                      <w:szCs w:val="21"/>
                      <w:lang w:val="en-US" w:eastAsia="zh-CN"/>
                    </w:rPr>
                    <w:t>危险废</w:t>
                  </w:r>
                  <w:r>
                    <w:rPr>
                      <w:rFonts w:hint="eastAsia" w:ascii="Times New Roman" w:hAnsi="Times New Roman" w:eastAsia="宋体" w:cs="宋体"/>
                      <w:color w:val="auto"/>
                      <w:sz w:val="21"/>
                      <w:szCs w:val="21"/>
                      <w:lang w:val="en-US" w:eastAsia="zh-CN"/>
                    </w:rPr>
                    <w:t>物</w:t>
                  </w:r>
                  <w:r>
                    <w:rPr>
                      <w:rFonts w:hint="default" w:ascii="Times New Roman" w:hAnsi="Times New Roman" w:eastAsia="宋体" w:cs="宋体"/>
                      <w:color w:val="auto"/>
                      <w:sz w:val="21"/>
                      <w:szCs w:val="21"/>
                      <w:lang w:val="en-US" w:eastAsia="zh-CN"/>
                    </w:rPr>
                    <w:t>暂存</w:t>
                  </w:r>
                  <w:r>
                    <w:rPr>
                      <w:rFonts w:hint="eastAsia" w:ascii="Times New Roman" w:hAnsi="Times New Roman" w:eastAsia="宋体" w:cs="宋体"/>
                      <w:color w:val="auto"/>
                      <w:sz w:val="21"/>
                      <w:szCs w:val="21"/>
                      <w:lang w:val="en-US" w:eastAsia="zh-CN"/>
                    </w:rPr>
                    <w:t>间</w:t>
                  </w:r>
                </w:p>
              </w:tc>
              <w:tc>
                <w:tcPr>
                  <w:tcW w:w="1387" w:type="dxa"/>
                  <w:vAlign w:val="center"/>
                </w:tcPr>
                <w:p w14:paraId="52CD2C68">
                  <w:pPr>
                    <w:pStyle w:val="86"/>
                    <w:spacing w:line="240" w:lineRule="auto"/>
                    <w:ind w:firstLine="0" w:firstLineChars="0"/>
                    <w:jc w:val="center"/>
                    <w:rPr>
                      <w:rFonts w:hint="eastAsia" w:ascii="Times New Roman" w:hAnsi="Times New Roman" w:eastAsia="宋体" w:cs="宋体"/>
                      <w:color w:val="auto"/>
                      <w:sz w:val="21"/>
                      <w:szCs w:val="21"/>
                      <w:lang w:val="en-US" w:eastAsia="zh-CN"/>
                    </w:rPr>
                  </w:pPr>
                  <w:r>
                    <w:rPr>
                      <w:rFonts w:hint="default" w:ascii="Times New Roman" w:hAnsi="Times New Roman" w:eastAsia="宋体" w:cs="宋体"/>
                      <w:color w:val="auto"/>
                      <w:sz w:val="21"/>
                      <w:szCs w:val="21"/>
                      <w:lang w:val="en-US" w:eastAsia="zh-CN"/>
                    </w:rPr>
                    <w:t>委托有资质单位</w:t>
                  </w:r>
                  <w:r>
                    <w:rPr>
                      <w:rFonts w:hint="eastAsia" w:ascii="Times New Roman" w:hAnsi="Times New Roman" w:eastAsia="宋体" w:cs="宋体"/>
                      <w:color w:val="auto"/>
                      <w:sz w:val="21"/>
                      <w:szCs w:val="21"/>
                      <w:lang w:val="en-US" w:eastAsia="zh-CN"/>
                    </w:rPr>
                    <w:t>清运处理</w:t>
                  </w:r>
                </w:p>
              </w:tc>
            </w:tr>
            <w:tr w14:paraId="676BBE5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91" w:type="dxa"/>
                  <w:vAlign w:val="center"/>
                </w:tcPr>
                <w:p w14:paraId="7A075C83">
                  <w:pPr>
                    <w:pStyle w:val="86"/>
                    <w:spacing w:line="240" w:lineRule="auto"/>
                    <w:ind w:firstLine="0" w:firstLineChars="0"/>
                    <w:jc w:val="center"/>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日常生产</w:t>
                  </w:r>
                </w:p>
              </w:tc>
              <w:tc>
                <w:tcPr>
                  <w:tcW w:w="1075" w:type="dxa"/>
                  <w:vAlign w:val="center"/>
                </w:tcPr>
                <w:p w14:paraId="1301065B">
                  <w:pPr>
                    <w:pStyle w:val="86"/>
                    <w:spacing w:line="240" w:lineRule="auto"/>
                    <w:ind w:firstLine="0" w:firstLineChars="0"/>
                    <w:jc w:val="center"/>
                    <w:rPr>
                      <w:rFonts w:hint="default" w:ascii="Times New Roman" w:hAnsi="Times New Roman" w:eastAsia="宋体" w:cs="宋体"/>
                      <w:color w:val="auto"/>
                      <w:sz w:val="21"/>
                      <w:szCs w:val="21"/>
                      <w:lang w:val="en-US" w:eastAsia="zh-CN"/>
                    </w:rPr>
                  </w:pPr>
                  <w:r>
                    <w:rPr>
                      <w:rFonts w:hint="eastAsia" w:ascii="Times New Roman" w:hAnsi="Times New Roman" w:eastAsia="宋体" w:cs="宋体"/>
                      <w:color w:val="auto"/>
                      <w:sz w:val="21"/>
                      <w:szCs w:val="21"/>
                    </w:rPr>
                    <w:t>废含油的抹布手套</w:t>
                  </w:r>
                </w:p>
              </w:tc>
              <w:tc>
                <w:tcPr>
                  <w:tcW w:w="713" w:type="dxa"/>
                  <w:vAlign w:val="center"/>
                </w:tcPr>
                <w:p w14:paraId="7E8E0A04">
                  <w:pPr>
                    <w:pStyle w:val="86"/>
                    <w:spacing w:line="240" w:lineRule="auto"/>
                    <w:ind w:firstLine="0" w:firstLineChars="0"/>
                    <w:jc w:val="center"/>
                    <w:rPr>
                      <w:rFonts w:hint="eastAsia" w:ascii="Times New Roman" w:hAnsi="Times New Roman" w:eastAsia="宋体" w:cs="宋体"/>
                      <w:color w:val="auto"/>
                      <w:sz w:val="21"/>
                      <w:szCs w:val="21"/>
                      <w:lang w:val="en-US" w:eastAsia="zh-CN"/>
                    </w:rPr>
                  </w:pPr>
                  <w:r>
                    <w:rPr>
                      <w:rFonts w:hint="eastAsia" w:ascii="Times New Roman" w:hAnsi="Times New Roman" w:eastAsia="宋体" w:cs="宋体"/>
                      <w:color w:val="auto"/>
                      <w:sz w:val="21"/>
                      <w:szCs w:val="21"/>
                      <w:lang w:val="en-US" w:eastAsia="zh-CN"/>
                    </w:rPr>
                    <w:t>危险废物</w:t>
                  </w:r>
                </w:p>
              </w:tc>
              <w:tc>
                <w:tcPr>
                  <w:tcW w:w="1000" w:type="dxa"/>
                  <w:vAlign w:val="center"/>
                </w:tcPr>
                <w:p w14:paraId="376EF433">
                  <w:pPr>
                    <w:pStyle w:val="86"/>
                    <w:spacing w:line="240" w:lineRule="auto"/>
                    <w:ind w:firstLine="0" w:firstLineChars="0"/>
                    <w:jc w:val="center"/>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有</w:t>
                  </w:r>
                </w:p>
              </w:tc>
              <w:tc>
                <w:tcPr>
                  <w:tcW w:w="925" w:type="dxa"/>
                  <w:vAlign w:val="center"/>
                </w:tcPr>
                <w:p w14:paraId="6EA6F5CF">
                  <w:pPr>
                    <w:pStyle w:val="86"/>
                    <w:spacing w:line="240" w:lineRule="auto"/>
                    <w:ind w:firstLine="0" w:firstLineChars="0"/>
                    <w:jc w:val="center"/>
                    <w:rPr>
                      <w:rFonts w:ascii="Times New Roman" w:hAnsi="Times New Roman" w:eastAsia="宋体" w:cs="宋体"/>
                      <w:color w:val="auto"/>
                      <w:sz w:val="21"/>
                      <w:szCs w:val="21"/>
                    </w:rPr>
                  </w:pPr>
                  <w:r>
                    <w:rPr>
                      <w:rFonts w:hint="eastAsia" w:ascii="Times New Roman" w:hAnsi="Times New Roman" w:eastAsia="宋体" w:cs="宋体"/>
                      <w:color w:val="auto"/>
                      <w:sz w:val="21"/>
                      <w:szCs w:val="21"/>
                      <w:lang w:val="en-US" w:eastAsia="zh-CN"/>
                    </w:rPr>
                    <w:t>9</w:t>
                  </w:r>
                  <w:r>
                    <w:rPr>
                      <w:rFonts w:hint="default" w:ascii="Times New Roman" w:hAnsi="Times New Roman" w:eastAsia="宋体" w:cs="宋体"/>
                      <w:color w:val="auto"/>
                      <w:sz w:val="21"/>
                      <w:szCs w:val="21"/>
                      <w:lang w:val="en-US" w:eastAsia="zh-CN"/>
                    </w:rPr>
                    <w:t>00-</w:t>
                  </w:r>
                  <w:r>
                    <w:rPr>
                      <w:rFonts w:hint="eastAsia" w:ascii="Times New Roman" w:hAnsi="Times New Roman" w:eastAsia="宋体" w:cs="宋体"/>
                      <w:color w:val="auto"/>
                      <w:sz w:val="21"/>
                      <w:szCs w:val="21"/>
                      <w:lang w:val="en-US" w:eastAsia="zh-CN"/>
                    </w:rPr>
                    <w:t>041</w:t>
                  </w:r>
                  <w:r>
                    <w:rPr>
                      <w:rFonts w:hint="default" w:ascii="Times New Roman" w:hAnsi="Times New Roman" w:eastAsia="宋体" w:cs="宋体"/>
                      <w:color w:val="auto"/>
                      <w:sz w:val="21"/>
                      <w:szCs w:val="21"/>
                      <w:lang w:val="en-US" w:eastAsia="zh-CN"/>
                    </w:rPr>
                    <w:t>-</w:t>
                  </w:r>
                  <w:r>
                    <w:rPr>
                      <w:rFonts w:hint="eastAsia" w:ascii="Times New Roman" w:hAnsi="Times New Roman" w:eastAsia="宋体" w:cs="宋体"/>
                      <w:color w:val="auto"/>
                      <w:sz w:val="21"/>
                      <w:szCs w:val="21"/>
                      <w:lang w:val="en-US" w:eastAsia="zh-CN"/>
                    </w:rPr>
                    <w:t>49</w:t>
                  </w:r>
                </w:p>
              </w:tc>
              <w:tc>
                <w:tcPr>
                  <w:tcW w:w="775" w:type="dxa"/>
                  <w:vAlign w:val="center"/>
                </w:tcPr>
                <w:p w14:paraId="2CC4FF70">
                  <w:pPr>
                    <w:pStyle w:val="86"/>
                    <w:spacing w:line="240" w:lineRule="auto"/>
                    <w:ind w:firstLine="0" w:firstLineChars="0"/>
                    <w:jc w:val="center"/>
                    <w:rPr>
                      <w:rFonts w:hint="eastAsia" w:ascii="Times New Roman" w:hAnsi="Times New Roman" w:eastAsia="宋体" w:cs="宋体"/>
                      <w:color w:val="auto"/>
                      <w:sz w:val="21"/>
                      <w:szCs w:val="21"/>
                      <w:lang w:eastAsia="zh-CN"/>
                    </w:rPr>
                  </w:pPr>
                  <w:r>
                    <w:rPr>
                      <w:rFonts w:hint="eastAsia" w:cs="宋体"/>
                      <w:color w:val="auto"/>
                      <w:sz w:val="21"/>
                      <w:szCs w:val="21"/>
                    </w:rPr>
                    <w:t>固体</w:t>
                  </w:r>
                </w:p>
              </w:tc>
              <w:tc>
                <w:tcPr>
                  <w:tcW w:w="826" w:type="dxa"/>
                  <w:vAlign w:val="center"/>
                </w:tcPr>
                <w:p w14:paraId="6A3760B2">
                  <w:pPr>
                    <w:pStyle w:val="86"/>
                    <w:spacing w:line="240" w:lineRule="auto"/>
                    <w:ind w:firstLine="0" w:firstLineChars="0"/>
                    <w:jc w:val="center"/>
                    <w:rPr>
                      <w:rFonts w:hint="default" w:ascii="Times New Roman" w:hAnsi="Times New Roman" w:eastAsia="宋体" w:cs="宋体"/>
                      <w:color w:val="auto"/>
                      <w:sz w:val="21"/>
                      <w:szCs w:val="21"/>
                      <w:lang w:val="en-US" w:eastAsia="zh-CN"/>
                    </w:rPr>
                  </w:pPr>
                  <w:r>
                    <w:rPr>
                      <w:rFonts w:hint="eastAsia" w:ascii="Times New Roman" w:hAnsi="Times New Roman" w:eastAsia="宋体" w:cs="宋体"/>
                      <w:color w:val="auto"/>
                      <w:sz w:val="21"/>
                      <w:szCs w:val="21"/>
                      <w:lang w:val="en-US" w:eastAsia="zh-CN"/>
                    </w:rPr>
                    <w:t>0.05t/a</w:t>
                  </w:r>
                </w:p>
              </w:tc>
              <w:tc>
                <w:tcPr>
                  <w:tcW w:w="900" w:type="dxa"/>
                  <w:vAlign w:val="center"/>
                </w:tcPr>
                <w:p w14:paraId="004DBBCB">
                  <w:pPr>
                    <w:pStyle w:val="86"/>
                    <w:spacing w:line="240" w:lineRule="auto"/>
                    <w:ind w:firstLine="0" w:firstLineChars="0"/>
                    <w:jc w:val="center"/>
                    <w:rPr>
                      <w:rFonts w:hint="default" w:ascii="Times New Roman" w:hAnsi="Times New Roman" w:eastAsia="宋体" w:cs="宋体"/>
                      <w:color w:val="auto"/>
                      <w:sz w:val="21"/>
                      <w:szCs w:val="21"/>
                      <w:lang w:val="en-US" w:eastAsia="zh-CN"/>
                    </w:rPr>
                  </w:pPr>
                  <w:r>
                    <w:rPr>
                      <w:rFonts w:hint="default" w:ascii="Times New Roman" w:hAnsi="Times New Roman" w:eastAsia="宋体" w:cs="宋体"/>
                      <w:color w:val="auto"/>
                      <w:sz w:val="21"/>
                      <w:szCs w:val="21"/>
                      <w:lang w:val="en-US" w:eastAsia="zh-CN"/>
                    </w:rPr>
                    <w:t>危险废</w:t>
                  </w:r>
                  <w:r>
                    <w:rPr>
                      <w:rFonts w:hint="eastAsia" w:ascii="Times New Roman" w:hAnsi="Times New Roman" w:eastAsia="宋体" w:cs="宋体"/>
                      <w:color w:val="auto"/>
                      <w:sz w:val="21"/>
                      <w:szCs w:val="21"/>
                      <w:lang w:val="en-US" w:eastAsia="zh-CN"/>
                    </w:rPr>
                    <w:t>物</w:t>
                  </w:r>
                  <w:r>
                    <w:rPr>
                      <w:rFonts w:hint="default" w:ascii="Times New Roman" w:hAnsi="Times New Roman" w:eastAsia="宋体" w:cs="宋体"/>
                      <w:color w:val="auto"/>
                      <w:sz w:val="21"/>
                      <w:szCs w:val="21"/>
                      <w:lang w:val="en-US" w:eastAsia="zh-CN"/>
                    </w:rPr>
                    <w:t>暂存</w:t>
                  </w:r>
                  <w:r>
                    <w:rPr>
                      <w:rFonts w:hint="eastAsia" w:ascii="Times New Roman" w:hAnsi="Times New Roman" w:eastAsia="宋体" w:cs="宋体"/>
                      <w:color w:val="auto"/>
                      <w:sz w:val="21"/>
                      <w:szCs w:val="21"/>
                      <w:lang w:val="en-US" w:eastAsia="zh-CN"/>
                    </w:rPr>
                    <w:t>间</w:t>
                  </w:r>
                </w:p>
              </w:tc>
              <w:tc>
                <w:tcPr>
                  <w:tcW w:w="1387" w:type="dxa"/>
                  <w:vAlign w:val="center"/>
                </w:tcPr>
                <w:p w14:paraId="76A50374">
                  <w:pPr>
                    <w:pStyle w:val="86"/>
                    <w:spacing w:line="240" w:lineRule="auto"/>
                    <w:ind w:firstLine="0" w:firstLineChars="0"/>
                    <w:jc w:val="center"/>
                    <w:rPr>
                      <w:rFonts w:hint="default" w:ascii="Times New Roman" w:hAnsi="Times New Roman" w:eastAsia="宋体" w:cs="宋体"/>
                      <w:color w:val="auto"/>
                      <w:sz w:val="21"/>
                      <w:szCs w:val="21"/>
                      <w:lang w:val="en-US" w:eastAsia="zh-CN"/>
                    </w:rPr>
                  </w:pPr>
                  <w:r>
                    <w:rPr>
                      <w:rFonts w:hint="default" w:ascii="Times New Roman" w:hAnsi="Times New Roman" w:eastAsia="宋体" w:cs="宋体"/>
                      <w:color w:val="auto"/>
                      <w:sz w:val="21"/>
                      <w:szCs w:val="21"/>
                      <w:lang w:val="en-US" w:eastAsia="zh-CN"/>
                    </w:rPr>
                    <w:t>委托有资质单位</w:t>
                  </w:r>
                  <w:r>
                    <w:rPr>
                      <w:rFonts w:hint="eastAsia" w:ascii="Times New Roman" w:hAnsi="Times New Roman" w:eastAsia="宋体" w:cs="宋体"/>
                      <w:color w:val="auto"/>
                      <w:sz w:val="21"/>
                      <w:szCs w:val="21"/>
                      <w:lang w:val="en-US" w:eastAsia="zh-CN"/>
                    </w:rPr>
                    <w:t>清运处理</w:t>
                  </w:r>
                </w:p>
              </w:tc>
            </w:tr>
            <w:tr w14:paraId="63FA2C5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29" w:hRule="atLeast"/>
                <w:jc w:val="center"/>
              </w:trPr>
              <w:tc>
                <w:tcPr>
                  <w:tcW w:w="691" w:type="dxa"/>
                  <w:vAlign w:val="center"/>
                </w:tcPr>
                <w:p w14:paraId="0D542687">
                  <w:pPr>
                    <w:pStyle w:val="86"/>
                    <w:spacing w:line="240" w:lineRule="auto"/>
                    <w:ind w:firstLine="0" w:firstLineChars="0"/>
                    <w:jc w:val="center"/>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日常生产</w:t>
                  </w:r>
                </w:p>
              </w:tc>
              <w:tc>
                <w:tcPr>
                  <w:tcW w:w="1075" w:type="dxa"/>
                  <w:vAlign w:val="center"/>
                </w:tcPr>
                <w:p w14:paraId="1D854B78">
                  <w:pPr>
                    <w:pStyle w:val="86"/>
                    <w:spacing w:line="240" w:lineRule="auto"/>
                    <w:ind w:firstLine="0" w:firstLineChars="0"/>
                    <w:jc w:val="center"/>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废油桶</w:t>
                  </w:r>
                </w:p>
              </w:tc>
              <w:tc>
                <w:tcPr>
                  <w:tcW w:w="713" w:type="dxa"/>
                  <w:vAlign w:val="center"/>
                </w:tcPr>
                <w:p w14:paraId="7B00540A">
                  <w:pPr>
                    <w:pStyle w:val="86"/>
                    <w:spacing w:line="240" w:lineRule="auto"/>
                    <w:ind w:firstLine="0" w:firstLineChars="0"/>
                    <w:jc w:val="center"/>
                    <w:rPr>
                      <w:rFonts w:hint="eastAsia" w:ascii="Times New Roman" w:hAnsi="Times New Roman" w:eastAsia="宋体" w:cs="宋体"/>
                      <w:color w:val="auto"/>
                      <w:sz w:val="21"/>
                      <w:szCs w:val="21"/>
                      <w:lang w:val="en-US" w:eastAsia="zh-CN"/>
                    </w:rPr>
                  </w:pPr>
                  <w:r>
                    <w:rPr>
                      <w:rFonts w:hint="eastAsia" w:ascii="Times New Roman" w:hAnsi="Times New Roman" w:eastAsia="宋体" w:cs="宋体"/>
                      <w:color w:val="auto"/>
                      <w:sz w:val="21"/>
                      <w:szCs w:val="21"/>
                      <w:lang w:val="en-US" w:eastAsia="zh-CN"/>
                    </w:rPr>
                    <w:t>危险废物</w:t>
                  </w:r>
                </w:p>
              </w:tc>
              <w:tc>
                <w:tcPr>
                  <w:tcW w:w="1000" w:type="dxa"/>
                  <w:vAlign w:val="center"/>
                </w:tcPr>
                <w:p w14:paraId="54E12690">
                  <w:pPr>
                    <w:pStyle w:val="86"/>
                    <w:spacing w:line="240" w:lineRule="auto"/>
                    <w:ind w:firstLine="0" w:firstLineChars="0"/>
                    <w:jc w:val="center"/>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有</w:t>
                  </w:r>
                </w:p>
              </w:tc>
              <w:tc>
                <w:tcPr>
                  <w:tcW w:w="925" w:type="dxa"/>
                  <w:vAlign w:val="center"/>
                </w:tcPr>
                <w:p w14:paraId="0BA27324">
                  <w:pPr>
                    <w:pStyle w:val="86"/>
                    <w:spacing w:line="240" w:lineRule="auto"/>
                    <w:ind w:firstLine="0" w:firstLineChars="0"/>
                    <w:jc w:val="center"/>
                    <w:rPr>
                      <w:rFonts w:ascii="Times New Roman" w:hAnsi="Times New Roman" w:eastAsia="宋体" w:cs="宋体"/>
                      <w:color w:val="auto"/>
                      <w:sz w:val="21"/>
                      <w:szCs w:val="21"/>
                    </w:rPr>
                  </w:pPr>
                  <w:r>
                    <w:rPr>
                      <w:rFonts w:hint="eastAsia" w:ascii="Times New Roman" w:hAnsi="Times New Roman" w:eastAsia="宋体" w:cs="宋体"/>
                      <w:color w:val="auto"/>
                      <w:sz w:val="21"/>
                      <w:szCs w:val="21"/>
                      <w:lang w:val="en-US" w:eastAsia="zh-CN"/>
                    </w:rPr>
                    <w:t>9</w:t>
                  </w:r>
                  <w:r>
                    <w:rPr>
                      <w:rFonts w:hint="default" w:ascii="Times New Roman" w:hAnsi="Times New Roman" w:eastAsia="宋体" w:cs="宋体"/>
                      <w:color w:val="auto"/>
                      <w:sz w:val="21"/>
                      <w:szCs w:val="21"/>
                      <w:lang w:val="en-US" w:eastAsia="zh-CN"/>
                    </w:rPr>
                    <w:t>00-</w:t>
                  </w:r>
                  <w:r>
                    <w:rPr>
                      <w:rFonts w:hint="eastAsia" w:ascii="Times New Roman" w:hAnsi="Times New Roman" w:eastAsia="宋体" w:cs="宋体"/>
                      <w:color w:val="auto"/>
                      <w:sz w:val="21"/>
                      <w:szCs w:val="21"/>
                      <w:lang w:val="en-US" w:eastAsia="zh-CN"/>
                    </w:rPr>
                    <w:t>041</w:t>
                  </w:r>
                  <w:r>
                    <w:rPr>
                      <w:rFonts w:hint="default" w:ascii="Times New Roman" w:hAnsi="Times New Roman" w:eastAsia="宋体" w:cs="宋体"/>
                      <w:color w:val="auto"/>
                      <w:sz w:val="21"/>
                      <w:szCs w:val="21"/>
                      <w:lang w:val="en-US" w:eastAsia="zh-CN"/>
                    </w:rPr>
                    <w:t>-</w:t>
                  </w:r>
                  <w:r>
                    <w:rPr>
                      <w:rFonts w:hint="eastAsia" w:ascii="Times New Roman" w:hAnsi="Times New Roman" w:eastAsia="宋体" w:cs="宋体"/>
                      <w:color w:val="auto"/>
                      <w:sz w:val="21"/>
                      <w:szCs w:val="21"/>
                      <w:lang w:val="en-US" w:eastAsia="zh-CN"/>
                    </w:rPr>
                    <w:t>49</w:t>
                  </w:r>
                </w:p>
              </w:tc>
              <w:tc>
                <w:tcPr>
                  <w:tcW w:w="775" w:type="dxa"/>
                  <w:vAlign w:val="center"/>
                </w:tcPr>
                <w:p w14:paraId="29F046CB">
                  <w:pPr>
                    <w:pStyle w:val="86"/>
                    <w:spacing w:line="240" w:lineRule="auto"/>
                    <w:ind w:firstLine="0" w:firstLineChars="0"/>
                    <w:jc w:val="center"/>
                    <w:rPr>
                      <w:rFonts w:ascii="Times New Roman" w:hAnsi="Times New Roman" w:eastAsia="宋体" w:cs="宋体"/>
                      <w:color w:val="auto"/>
                      <w:sz w:val="21"/>
                      <w:szCs w:val="21"/>
                    </w:rPr>
                  </w:pPr>
                  <w:r>
                    <w:rPr>
                      <w:rFonts w:hint="eastAsia" w:ascii="Times New Roman" w:hAnsi="Times New Roman" w:eastAsia="宋体" w:cs="宋体"/>
                      <w:color w:val="auto"/>
                      <w:sz w:val="21"/>
                      <w:szCs w:val="21"/>
                    </w:rPr>
                    <w:t>固体</w:t>
                  </w:r>
                </w:p>
              </w:tc>
              <w:tc>
                <w:tcPr>
                  <w:tcW w:w="826" w:type="dxa"/>
                  <w:vAlign w:val="center"/>
                </w:tcPr>
                <w:p w14:paraId="32B30D60">
                  <w:pPr>
                    <w:pStyle w:val="86"/>
                    <w:spacing w:line="240" w:lineRule="auto"/>
                    <w:ind w:firstLine="0" w:firstLineChars="0"/>
                    <w:jc w:val="center"/>
                    <w:rPr>
                      <w:rFonts w:hint="default" w:ascii="Times New Roman" w:hAnsi="Times New Roman" w:eastAsia="宋体" w:cs="宋体"/>
                      <w:color w:val="auto"/>
                      <w:sz w:val="21"/>
                      <w:szCs w:val="21"/>
                      <w:lang w:val="en-US" w:eastAsia="zh-CN"/>
                    </w:rPr>
                  </w:pPr>
                  <w:r>
                    <w:rPr>
                      <w:rFonts w:hint="eastAsia" w:ascii="Times New Roman" w:hAnsi="Times New Roman" w:eastAsia="宋体" w:cs="宋体"/>
                      <w:color w:val="auto"/>
                      <w:sz w:val="21"/>
                      <w:szCs w:val="21"/>
                      <w:lang w:val="en-US" w:eastAsia="zh-CN"/>
                    </w:rPr>
                    <w:t>0.02t/a</w:t>
                  </w:r>
                </w:p>
              </w:tc>
              <w:tc>
                <w:tcPr>
                  <w:tcW w:w="900" w:type="dxa"/>
                  <w:vAlign w:val="center"/>
                </w:tcPr>
                <w:p w14:paraId="545026FB">
                  <w:pPr>
                    <w:pStyle w:val="86"/>
                    <w:spacing w:line="240" w:lineRule="auto"/>
                    <w:ind w:firstLine="0" w:firstLineChars="0"/>
                    <w:jc w:val="center"/>
                    <w:rPr>
                      <w:rFonts w:hint="default" w:ascii="Times New Roman" w:hAnsi="Times New Roman" w:eastAsia="宋体" w:cs="宋体"/>
                      <w:color w:val="auto"/>
                      <w:sz w:val="21"/>
                      <w:szCs w:val="21"/>
                      <w:lang w:val="en-US" w:eastAsia="zh-CN"/>
                    </w:rPr>
                  </w:pPr>
                  <w:r>
                    <w:rPr>
                      <w:rFonts w:hint="eastAsia" w:ascii="Times New Roman" w:hAnsi="Times New Roman" w:eastAsia="宋体" w:cs="宋体"/>
                      <w:color w:val="auto"/>
                      <w:sz w:val="21"/>
                      <w:szCs w:val="21"/>
                      <w:lang w:val="en-US" w:eastAsia="zh-CN"/>
                    </w:rPr>
                    <w:t>危险废物暂存间</w:t>
                  </w:r>
                </w:p>
              </w:tc>
              <w:tc>
                <w:tcPr>
                  <w:tcW w:w="1387" w:type="dxa"/>
                  <w:vAlign w:val="center"/>
                </w:tcPr>
                <w:p w14:paraId="24FF3AC7">
                  <w:pPr>
                    <w:pStyle w:val="86"/>
                    <w:spacing w:line="240" w:lineRule="auto"/>
                    <w:ind w:firstLine="0" w:firstLineChars="0"/>
                    <w:jc w:val="center"/>
                    <w:rPr>
                      <w:rFonts w:hint="default" w:ascii="Times New Roman" w:hAnsi="Times New Roman" w:eastAsia="宋体" w:cs="宋体"/>
                      <w:color w:val="auto"/>
                      <w:sz w:val="21"/>
                      <w:szCs w:val="21"/>
                      <w:lang w:val="en-US" w:eastAsia="zh-CN"/>
                    </w:rPr>
                  </w:pPr>
                  <w:r>
                    <w:rPr>
                      <w:rFonts w:hint="default" w:ascii="Times New Roman" w:hAnsi="Times New Roman" w:eastAsia="宋体" w:cs="宋体"/>
                      <w:color w:val="auto"/>
                      <w:sz w:val="21"/>
                      <w:szCs w:val="21"/>
                      <w:lang w:val="en-US" w:eastAsia="zh-CN"/>
                    </w:rPr>
                    <w:t>委托有资质单位</w:t>
                  </w:r>
                  <w:r>
                    <w:rPr>
                      <w:rFonts w:hint="eastAsia" w:ascii="Times New Roman" w:hAnsi="Times New Roman" w:eastAsia="宋体" w:cs="宋体"/>
                      <w:color w:val="auto"/>
                      <w:sz w:val="21"/>
                      <w:szCs w:val="21"/>
                      <w:lang w:val="en-US" w:eastAsia="zh-CN"/>
                    </w:rPr>
                    <w:t>清运处理</w:t>
                  </w:r>
                </w:p>
              </w:tc>
            </w:tr>
            <w:tr w14:paraId="450DC44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02" w:hRule="atLeast"/>
                <w:jc w:val="center"/>
              </w:trPr>
              <w:tc>
                <w:tcPr>
                  <w:tcW w:w="691" w:type="dxa"/>
                  <w:vAlign w:val="center"/>
                </w:tcPr>
                <w:p w14:paraId="16172C31">
                  <w:pPr>
                    <w:pStyle w:val="86"/>
                    <w:spacing w:line="240" w:lineRule="auto"/>
                    <w:ind w:firstLine="0" w:firstLineChars="0"/>
                    <w:jc w:val="center"/>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日常生产</w:t>
                  </w:r>
                </w:p>
              </w:tc>
              <w:tc>
                <w:tcPr>
                  <w:tcW w:w="1075" w:type="dxa"/>
                  <w:vAlign w:val="center"/>
                </w:tcPr>
                <w:p w14:paraId="7972E746">
                  <w:pPr>
                    <w:pStyle w:val="86"/>
                    <w:spacing w:line="240" w:lineRule="auto"/>
                    <w:ind w:firstLine="0" w:firstLineChars="0"/>
                    <w:jc w:val="center"/>
                    <w:rPr>
                      <w:rFonts w:hint="default" w:ascii="Times New Roman" w:hAnsi="Times New Roman" w:eastAsia="宋体" w:cs="宋体"/>
                      <w:color w:val="auto"/>
                      <w:sz w:val="21"/>
                      <w:szCs w:val="21"/>
                      <w:lang w:val="en-US" w:eastAsia="zh-CN"/>
                    </w:rPr>
                  </w:pPr>
                  <w:r>
                    <w:rPr>
                      <w:rFonts w:hint="eastAsia" w:ascii="Times New Roman" w:hAnsi="Times New Roman" w:eastAsia="宋体" w:cs="宋体"/>
                      <w:color w:val="auto"/>
                      <w:sz w:val="21"/>
                      <w:szCs w:val="21"/>
                      <w:lang w:val="en-US" w:eastAsia="zh-CN"/>
                    </w:rPr>
                    <w:t>废滤网</w:t>
                  </w:r>
                </w:p>
              </w:tc>
              <w:tc>
                <w:tcPr>
                  <w:tcW w:w="713" w:type="dxa"/>
                  <w:vAlign w:val="center"/>
                </w:tcPr>
                <w:p w14:paraId="248B317F">
                  <w:pPr>
                    <w:pStyle w:val="86"/>
                    <w:spacing w:line="240" w:lineRule="auto"/>
                    <w:ind w:firstLine="0" w:firstLineChars="0"/>
                    <w:jc w:val="center"/>
                    <w:rPr>
                      <w:rFonts w:hint="eastAsia" w:ascii="Times New Roman" w:hAnsi="Times New Roman" w:eastAsia="宋体" w:cs="宋体"/>
                      <w:color w:val="auto"/>
                      <w:sz w:val="21"/>
                      <w:szCs w:val="21"/>
                      <w:lang w:val="en-US" w:eastAsia="zh-CN"/>
                    </w:rPr>
                  </w:pPr>
                  <w:r>
                    <w:rPr>
                      <w:rFonts w:hint="eastAsia" w:ascii="Times New Roman" w:hAnsi="Times New Roman" w:eastAsia="宋体" w:cs="宋体"/>
                      <w:color w:val="auto"/>
                      <w:sz w:val="21"/>
                      <w:szCs w:val="21"/>
                      <w:lang w:val="en-US" w:eastAsia="zh-CN"/>
                    </w:rPr>
                    <w:t>危险废物</w:t>
                  </w:r>
                </w:p>
              </w:tc>
              <w:tc>
                <w:tcPr>
                  <w:tcW w:w="1000" w:type="dxa"/>
                  <w:vAlign w:val="center"/>
                </w:tcPr>
                <w:p w14:paraId="403857DB">
                  <w:pPr>
                    <w:pStyle w:val="86"/>
                    <w:spacing w:line="240" w:lineRule="auto"/>
                    <w:ind w:firstLine="0" w:firstLineChars="0"/>
                    <w:jc w:val="center"/>
                    <w:rPr>
                      <w:rFonts w:hint="eastAsia" w:ascii="Times New Roman" w:hAnsi="Times New Roman" w:eastAsia="宋体" w:cs="宋体"/>
                      <w:color w:val="auto"/>
                      <w:sz w:val="21"/>
                      <w:szCs w:val="21"/>
                      <w:lang w:val="en-US" w:eastAsia="zh-CN"/>
                    </w:rPr>
                  </w:pPr>
                  <w:r>
                    <w:rPr>
                      <w:rFonts w:hint="eastAsia" w:ascii="Times New Roman" w:hAnsi="Times New Roman" w:eastAsia="宋体" w:cs="宋体"/>
                      <w:color w:val="auto"/>
                      <w:sz w:val="21"/>
                      <w:szCs w:val="21"/>
                      <w:lang w:val="en-US" w:eastAsia="zh-CN"/>
                    </w:rPr>
                    <w:t>有</w:t>
                  </w:r>
                </w:p>
              </w:tc>
              <w:tc>
                <w:tcPr>
                  <w:tcW w:w="925" w:type="dxa"/>
                  <w:vAlign w:val="center"/>
                </w:tcPr>
                <w:p w14:paraId="176D6070">
                  <w:pPr>
                    <w:pStyle w:val="86"/>
                    <w:spacing w:line="240" w:lineRule="auto"/>
                    <w:ind w:firstLine="0" w:firstLineChars="0"/>
                    <w:jc w:val="center"/>
                    <w:rPr>
                      <w:rFonts w:hint="eastAsia" w:ascii="Times New Roman" w:hAnsi="Times New Roman" w:eastAsia="宋体" w:cs="宋体"/>
                      <w:color w:val="auto"/>
                      <w:sz w:val="21"/>
                      <w:szCs w:val="21"/>
                      <w:lang w:val="en-US" w:eastAsia="zh-CN"/>
                    </w:rPr>
                  </w:pPr>
                  <w:r>
                    <w:rPr>
                      <w:rFonts w:hint="eastAsia" w:ascii="Times New Roman" w:hAnsi="Times New Roman" w:eastAsia="宋体" w:cs="宋体"/>
                      <w:color w:val="auto"/>
                      <w:sz w:val="21"/>
                      <w:szCs w:val="21"/>
                      <w:lang w:val="en-US" w:eastAsia="zh-CN"/>
                    </w:rPr>
                    <w:t>9</w:t>
                  </w:r>
                  <w:r>
                    <w:rPr>
                      <w:rFonts w:hint="default" w:ascii="Times New Roman" w:hAnsi="Times New Roman" w:eastAsia="宋体" w:cs="宋体"/>
                      <w:color w:val="auto"/>
                      <w:sz w:val="21"/>
                      <w:szCs w:val="21"/>
                      <w:lang w:val="en-US" w:eastAsia="zh-CN"/>
                    </w:rPr>
                    <w:t>00-</w:t>
                  </w:r>
                  <w:r>
                    <w:rPr>
                      <w:rFonts w:hint="eastAsia" w:ascii="Times New Roman" w:hAnsi="Times New Roman" w:eastAsia="宋体" w:cs="宋体"/>
                      <w:color w:val="auto"/>
                      <w:sz w:val="21"/>
                      <w:szCs w:val="21"/>
                      <w:lang w:val="en-US" w:eastAsia="zh-CN"/>
                    </w:rPr>
                    <w:t>041</w:t>
                  </w:r>
                  <w:r>
                    <w:rPr>
                      <w:rFonts w:hint="default" w:ascii="Times New Roman" w:hAnsi="Times New Roman" w:eastAsia="宋体" w:cs="宋体"/>
                      <w:color w:val="auto"/>
                      <w:sz w:val="21"/>
                      <w:szCs w:val="21"/>
                      <w:lang w:val="en-US" w:eastAsia="zh-CN"/>
                    </w:rPr>
                    <w:t>-</w:t>
                  </w:r>
                  <w:r>
                    <w:rPr>
                      <w:rFonts w:hint="eastAsia" w:ascii="Times New Roman" w:hAnsi="Times New Roman" w:eastAsia="宋体" w:cs="宋体"/>
                      <w:color w:val="auto"/>
                      <w:sz w:val="21"/>
                      <w:szCs w:val="21"/>
                      <w:lang w:val="en-US" w:eastAsia="zh-CN"/>
                    </w:rPr>
                    <w:t>49</w:t>
                  </w:r>
                </w:p>
              </w:tc>
              <w:tc>
                <w:tcPr>
                  <w:tcW w:w="775" w:type="dxa"/>
                  <w:vAlign w:val="center"/>
                </w:tcPr>
                <w:p w14:paraId="20B2A3B9">
                  <w:pPr>
                    <w:pStyle w:val="86"/>
                    <w:spacing w:line="240" w:lineRule="auto"/>
                    <w:ind w:firstLine="0" w:firstLineChars="0"/>
                    <w:jc w:val="center"/>
                    <w:rPr>
                      <w:rFonts w:ascii="Times New Roman" w:hAnsi="Times New Roman" w:eastAsia="宋体" w:cs="宋体"/>
                      <w:color w:val="auto"/>
                      <w:sz w:val="21"/>
                      <w:szCs w:val="21"/>
                    </w:rPr>
                  </w:pPr>
                  <w:r>
                    <w:rPr>
                      <w:color w:val="auto"/>
                      <w:sz w:val="21"/>
                      <w:szCs w:val="21"/>
                    </w:rPr>
                    <w:t>固体</w:t>
                  </w:r>
                </w:p>
              </w:tc>
              <w:tc>
                <w:tcPr>
                  <w:tcW w:w="826" w:type="dxa"/>
                  <w:vAlign w:val="center"/>
                </w:tcPr>
                <w:p w14:paraId="365A2680">
                  <w:pPr>
                    <w:pStyle w:val="86"/>
                    <w:spacing w:line="240" w:lineRule="auto"/>
                    <w:ind w:firstLine="0" w:firstLineChars="0"/>
                    <w:jc w:val="center"/>
                    <w:rPr>
                      <w:rFonts w:hint="default" w:ascii="Times New Roman" w:hAnsi="Times New Roman" w:eastAsia="宋体" w:cs="宋体"/>
                      <w:color w:val="auto"/>
                      <w:sz w:val="21"/>
                      <w:szCs w:val="21"/>
                      <w:lang w:val="en-US" w:eastAsia="zh-CN"/>
                    </w:rPr>
                  </w:pPr>
                  <w:r>
                    <w:rPr>
                      <w:rFonts w:hint="eastAsia" w:ascii="Times New Roman" w:hAnsi="Times New Roman" w:eastAsia="宋体" w:cs="宋体"/>
                      <w:color w:val="auto"/>
                      <w:sz w:val="21"/>
                      <w:szCs w:val="21"/>
                      <w:lang w:val="en-US" w:eastAsia="zh-CN"/>
                    </w:rPr>
                    <w:t>0.18t/a</w:t>
                  </w:r>
                </w:p>
              </w:tc>
              <w:tc>
                <w:tcPr>
                  <w:tcW w:w="900" w:type="dxa"/>
                  <w:vAlign w:val="center"/>
                </w:tcPr>
                <w:p w14:paraId="5E88FE71">
                  <w:pPr>
                    <w:pStyle w:val="86"/>
                    <w:spacing w:line="240" w:lineRule="auto"/>
                    <w:ind w:firstLine="0" w:firstLineChars="0"/>
                    <w:jc w:val="center"/>
                    <w:rPr>
                      <w:rFonts w:hint="default" w:ascii="Times New Roman" w:hAnsi="Times New Roman" w:eastAsia="宋体" w:cs="宋体"/>
                      <w:color w:val="auto"/>
                      <w:sz w:val="21"/>
                      <w:szCs w:val="21"/>
                      <w:lang w:val="en-US" w:eastAsia="zh-CN"/>
                    </w:rPr>
                  </w:pPr>
                  <w:r>
                    <w:rPr>
                      <w:rFonts w:hint="default" w:ascii="Times New Roman" w:hAnsi="Times New Roman" w:eastAsia="宋体" w:cs="宋体"/>
                      <w:color w:val="auto"/>
                      <w:sz w:val="21"/>
                      <w:szCs w:val="21"/>
                      <w:lang w:val="en-US" w:eastAsia="zh-CN"/>
                    </w:rPr>
                    <w:t>危险废</w:t>
                  </w:r>
                  <w:r>
                    <w:rPr>
                      <w:rFonts w:hint="eastAsia" w:ascii="Times New Roman" w:hAnsi="Times New Roman" w:eastAsia="宋体" w:cs="宋体"/>
                      <w:color w:val="auto"/>
                      <w:sz w:val="21"/>
                      <w:szCs w:val="21"/>
                      <w:lang w:val="en-US" w:eastAsia="zh-CN"/>
                    </w:rPr>
                    <w:t>物</w:t>
                  </w:r>
                  <w:r>
                    <w:rPr>
                      <w:rFonts w:hint="default" w:ascii="Times New Roman" w:hAnsi="Times New Roman" w:eastAsia="宋体" w:cs="宋体"/>
                      <w:color w:val="auto"/>
                      <w:sz w:val="21"/>
                      <w:szCs w:val="21"/>
                      <w:lang w:val="en-US" w:eastAsia="zh-CN"/>
                    </w:rPr>
                    <w:t>暂存</w:t>
                  </w:r>
                  <w:r>
                    <w:rPr>
                      <w:rFonts w:hint="eastAsia" w:ascii="Times New Roman" w:hAnsi="Times New Roman" w:eastAsia="宋体" w:cs="宋体"/>
                      <w:color w:val="auto"/>
                      <w:sz w:val="21"/>
                      <w:szCs w:val="21"/>
                      <w:lang w:val="en-US" w:eastAsia="zh-CN"/>
                    </w:rPr>
                    <w:t>间</w:t>
                  </w:r>
                </w:p>
              </w:tc>
              <w:tc>
                <w:tcPr>
                  <w:tcW w:w="1387" w:type="dxa"/>
                  <w:vAlign w:val="center"/>
                </w:tcPr>
                <w:p w14:paraId="0A9F64FD">
                  <w:pPr>
                    <w:pStyle w:val="86"/>
                    <w:spacing w:line="240" w:lineRule="auto"/>
                    <w:ind w:firstLine="0" w:firstLineChars="0"/>
                    <w:jc w:val="center"/>
                    <w:rPr>
                      <w:rFonts w:hint="default" w:ascii="Times New Roman" w:hAnsi="Times New Roman" w:eastAsia="宋体" w:cs="宋体"/>
                      <w:color w:val="auto"/>
                      <w:sz w:val="21"/>
                      <w:szCs w:val="21"/>
                      <w:lang w:val="en-US" w:eastAsia="zh-CN"/>
                    </w:rPr>
                  </w:pPr>
                  <w:r>
                    <w:rPr>
                      <w:rFonts w:hint="default" w:ascii="Times New Roman" w:hAnsi="Times New Roman" w:eastAsia="宋体" w:cs="宋体"/>
                      <w:color w:val="auto"/>
                      <w:sz w:val="21"/>
                      <w:szCs w:val="21"/>
                      <w:lang w:val="en-US" w:eastAsia="zh-CN"/>
                    </w:rPr>
                    <w:t>委托有资质单位</w:t>
                  </w:r>
                  <w:r>
                    <w:rPr>
                      <w:rFonts w:hint="eastAsia" w:ascii="Times New Roman" w:hAnsi="Times New Roman" w:eastAsia="宋体" w:cs="宋体"/>
                      <w:color w:val="auto"/>
                      <w:sz w:val="21"/>
                      <w:szCs w:val="21"/>
                      <w:lang w:val="en-US" w:eastAsia="zh-CN"/>
                    </w:rPr>
                    <w:t>清运处理</w:t>
                  </w:r>
                </w:p>
              </w:tc>
            </w:tr>
            <w:tr w14:paraId="5D2D278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91" w:type="dxa"/>
                  <w:vAlign w:val="center"/>
                </w:tcPr>
                <w:p w14:paraId="5EFA18AC">
                  <w:pPr>
                    <w:pStyle w:val="86"/>
                    <w:spacing w:line="240" w:lineRule="auto"/>
                    <w:ind w:firstLine="0" w:firstLineChars="0"/>
                    <w:jc w:val="center"/>
                    <w:rPr>
                      <w:rFonts w:hint="eastAsia"/>
                      <w:color w:val="FF0000"/>
                      <w:sz w:val="21"/>
                      <w:szCs w:val="21"/>
                    </w:rPr>
                  </w:pPr>
                  <w:r>
                    <w:rPr>
                      <w:rFonts w:hint="eastAsia"/>
                      <w:color w:val="auto"/>
                      <w:sz w:val="21"/>
                      <w:szCs w:val="21"/>
                    </w:rPr>
                    <w:t>员工生活</w:t>
                  </w:r>
                </w:p>
              </w:tc>
              <w:tc>
                <w:tcPr>
                  <w:tcW w:w="1075" w:type="dxa"/>
                  <w:vAlign w:val="center"/>
                </w:tcPr>
                <w:p w14:paraId="4A4FDAEF">
                  <w:pPr>
                    <w:pStyle w:val="86"/>
                    <w:spacing w:line="240" w:lineRule="auto"/>
                    <w:ind w:firstLine="0" w:firstLineChars="0"/>
                    <w:jc w:val="center"/>
                    <w:rPr>
                      <w:rFonts w:hint="eastAsia"/>
                      <w:color w:val="FF0000"/>
                      <w:sz w:val="21"/>
                      <w:szCs w:val="21"/>
                    </w:rPr>
                  </w:pPr>
                  <w:r>
                    <w:rPr>
                      <w:rFonts w:hint="eastAsia"/>
                      <w:color w:val="auto"/>
                      <w:sz w:val="21"/>
                      <w:szCs w:val="21"/>
                    </w:rPr>
                    <w:t>生活垃圾</w:t>
                  </w:r>
                </w:p>
              </w:tc>
              <w:tc>
                <w:tcPr>
                  <w:tcW w:w="713" w:type="dxa"/>
                  <w:vAlign w:val="center"/>
                </w:tcPr>
                <w:p w14:paraId="0D2AEBFA">
                  <w:pPr>
                    <w:pStyle w:val="86"/>
                    <w:spacing w:line="240" w:lineRule="auto"/>
                    <w:ind w:firstLine="0" w:firstLineChars="0"/>
                    <w:jc w:val="center"/>
                    <w:rPr>
                      <w:color w:val="FF0000"/>
                      <w:sz w:val="21"/>
                      <w:szCs w:val="21"/>
                    </w:rPr>
                  </w:pPr>
                  <w:r>
                    <w:rPr>
                      <w:rFonts w:hint="eastAsia"/>
                      <w:color w:val="auto"/>
                      <w:sz w:val="21"/>
                      <w:szCs w:val="21"/>
                    </w:rPr>
                    <w:t>一般固废</w:t>
                  </w:r>
                </w:p>
              </w:tc>
              <w:tc>
                <w:tcPr>
                  <w:tcW w:w="1000" w:type="dxa"/>
                  <w:vAlign w:val="center"/>
                </w:tcPr>
                <w:p w14:paraId="4D543F91">
                  <w:pPr>
                    <w:pStyle w:val="86"/>
                    <w:spacing w:line="240" w:lineRule="auto"/>
                    <w:ind w:firstLine="0" w:firstLineChars="0"/>
                    <w:jc w:val="center"/>
                    <w:rPr>
                      <w:rFonts w:hint="eastAsia"/>
                      <w:color w:val="FF0000"/>
                      <w:sz w:val="21"/>
                      <w:szCs w:val="21"/>
                    </w:rPr>
                  </w:pPr>
                  <w:r>
                    <w:rPr>
                      <w:rFonts w:hint="eastAsia"/>
                      <w:color w:val="auto"/>
                      <w:sz w:val="21"/>
                      <w:szCs w:val="21"/>
                    </w:rPr>
                    <w:t>无</w:t>
                  </w:r>
                </w:p>
              </w:tc>
              <w:tc>
                <w:tcPr>
                  <w:tcW w:w="925" w:type="dxa"/>
                  <w:vAlign w:val="center"/>
                </w:tcPr>
                <w:p w14:paraId="522F4697">
                  <w:pPr>
                    <w:pStyle w:val="86"/>
                    <w:spacing w:line="240" w:lineRule="auto"/>
                    <w:ind w:firstLine="0" w:firstLineChars="0"/>
                    <w:jc w:val="center"/>
                    <w:rPr>
                      <w:color w:val="FF0000"/>
                      <w:sz w:val="21"/>
                      <w:szCs w:val="21"/>
                    </w:rPr>
                  </w:pPr>
                  <w:r>
                    <w:rPr>
                      <w:rFonts w:cs="宋体"/>
                      <w:color w:val="auto"/>
                      <w:sz w:val="21"/>
                      <w:szCs w:val="21"/>
                    </w:rPr>
                    <w:t>900-099-S17</w:t>
                  </w:r>
                </w:p>
              </w:tc>
              <w:tc>
                <w:tcPr>
                  <w:tcW w:w="775" w:type="dxa"/>
                  <w:vAlign w:val="center"/>
                </w:tcPr>
                <w:p w14:paraId="2B6561D1">
                  <w:pPr>
                    <w:pStyle w:val="86"/>
                    <w:spacing w:line="240" w:lineRule="auto"/>
                    <w:ind w:firstLine="0" w:firstLineChars="0"/>
                    <w:jc w:val="center"/>
                    <w:rPr>
                      <w:color w:val="FF0000"/>
                      <w:sz w:val="21"/>
                      <w:szCs w:val="21"/>
                    </w:rPr>
                  </w:pPr>
                  <w:r>
                    <w:rPr>
                      <w:rFonts w:hint="eastAsia" w:cs="宋体"/>
                      <w:color w:val="auto"/>
                      <w:sz w:val="21"/>
                      <w:szCs w:val="21"/>
                    </w:rPr>
                    <w:t>固体</w:t>
                  </w:r>
                </w:p>
              </w:tc>
              <w:tc>
                <w:tcPr>
                  <w:tcW w:w="826" w:type="dxa"/>
                  <w:vAlign w:val="center"/>
                </w:tcPr>
                <w:p w14:paraId="0685857E">
                  <w:pPr>
                    <w:pStyle w:val="86"/>
                    <w:spacing w:line="240" w:lineRule="auto"/>
                    <w:ind w:firstLine="0" w:firstLineChars="0"/>
                    <w:jc w:val="center"/>
                    <w:rPr>
                      <w:color w:val="auto"/>
                      <w:sz w:val="21"/>
                      <w:szCs w:val="21"/>
                    </w:rPr>
                  </w:pPr>
                  <w:r>
                    <w:rPr>
                      <w:rFonts w:hint="eastAsia"/>
                      <w:color w:val="auto"/>
                      <w:sz w:val="21"/>
                      <w:szCs w:val="21"/>
                    </w:rPr>
                    <w:t>4.5</w:t>
                  </w:r>
                  <w:r>
                    <w:rPr>
                      <w:color w:val="auto"/>
                      <w:sz w:val="21"/>
                      <w:szCs w:val="21"/>
                    </w:rPr>
                    <w:t>t/a</w:t>
                  </w:r>
                </w:p>
              </w:tc>
              <w:tc>
                <w:tcPr>
                  <w:tcW w:w="900" w:type="dxa"/>
                  <w:vAlign w:val="center"/>
                </w:tcPr>
                <w:p w14:paraId="59C48C3E">
                  <w:pPr>
                    <w:pStyle w:val="86"/>
                    <w:spacing w:line="240" w:lineRule="auto"/>
                    <w:ind w:firstLine="0" w:firstLineChars="0"/>
                    <w:jc w:val="center"/>
                    <w:rPr>
                      <w:rFonts w:hint="default" w:ascii="Times New Roman" w:hAnsi="Times New Roman" w:eastAsia="宋体" w:cs="宋体"/>
                      <w:color w:val="auto"/>
                      <w:sz w:val="21"/>
                      <w:szCs w:val="21"/>
                      <w:lang w:val="en-US" w:eastAsia="zh-CN"/>
                    </w:rPr>
                  </w:pPr>
                  <w:r>
                    <w:rPr>
                      <w:rFonts w:hint="eastAsia" w:ascii="Times New Roman" w:hAnsi="Times New Roman" w:eastAsia="宋体" w:cs="宋体"/>
                      <w:color w:val="auto"/>
                      <w:sz w:val="21"/>
                      <w:szCs w:val="21"/>
                      <w:lang w:val="en-US" w:eastAsia="zh-CN"/>
                    </w:rPr>
                    <w:t>/</w:t>
                  </w:r>
                </w:p>
              </w:tc>
              <w:tc>
                <w:tcPr>
                  <w:tcW w:w="1387" w:type="dxa"/>
                  <w:vAlign w:val="center"/>
                </w:tcPr>
                <w:p w14:paraId="404B40E3">
                  <w:pPr>
                    <w:pStyle w:val="86"/>
                    <w:spacing w:line="240" w:lineRule="auto"/>
                    <w:ind w:firstLine="0" w:firstLineChars="0"/>
                    <w:jc w:val="center"/>
                    <w:rPr>
                      <w:rFonts w:hint="default" w:ascii="Times New Roman" w:hAnsi="Times New Roman" w:eastAsia="宋体" w:cs="宋体"/>
                      <w:color w:val="auto"/>
                      <w:sz w:val="21"/>
                      <w:szCs w:val="21"/>
                      <w:lang w:val="en-US" w:eastAsia="zh-CN"/>
                    </w:rPr>
                  </w:pPr>
                  <w:r>
                    <w:rPr>
                      <w:rFonts w:hint="eastAsia" w:ascii="Times New Roman" w:hAnsi="Times New Roman" w:eastAsia="宋体" w:cs="宋体"/>
                      <w:color w:val="auto"/>
                      <w:sz w:val="21"/>
                      <w:szCs w:val="21"/>
                      <w:lang w:val="en-US" w:eastAsia="zh-CN"/>
                    </w:rPr>
                    <w:t>环卫部门收集清运处理</w:t>
                  </w:r>
                </w:p>
              </w:tc>
            </w:tr>
          </w:tbl>
          <w:p w14:paraId="4C6D1608">
            <w:pPr>
              <w:pStyle w:val="74"/>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sz w:val="24"/>
                <w:szCs w:val="24"/>
              </w:rPr>
            </w:pPr>
            <w:r>
              <w:rPr>
                <w:rFonts w:hint="eastAsia"/>
                <w:sz w:val="24"/>
                <w:szCs w:val="24"/>
              </w:rPr>
              <w:t>（1）</w:t>
            </w:r>
            <w:r>
              <w:rPr>
                <w:rFonts w:hint="eastAsia"/>
                <w:kern w:val="18"/>
                <w:sz w:val="24"/>
              </w:rPr>
              <w:t>环境管理要求</w:t>
            </w:r>
          </w:p>
          <w:p w14:paraId="60513CEA">
            <w:pPr>
              <w:pStyle w:val="139"/>
              <w:spacing w:line="360" w:lineRule="auto"/>
              <w:rPr>
                <w:rFonts w:ascii="Times New Roman" w:hAnsi="Times New Roman" w:eastAsia="宋体" w:cs="Times New Roman"/>
                <w:b w:val="0"/>
                <w:bCs/>
                <w:sz w:val="24"/>
                <w:szCs w:val="24"/>
              </w:rPr>
            </w:pPr>
            <w:r>
              <w:rPr>
                <w:rFonts w:ascii="Times New Roman" w:hAnsi="Times New Roman" w:eastAsia="宋体" w:cs="Times New Roman"/>
                <w:b w:val="0"/>
                <w:bCs/>
                <w:sz w:val="24"/>
                <w:szCs w:val="24"/>
              </w:rPr>
              <w:t>危险废物应按照《危险废物贮存污染物控制标准》（GB18597-2023）要求设置：</w:t>
            </w:r>
          </w:p>
          <w:p w14:paraId="6E313012">
            <w:pPr>
              <w:pStyle w:val="139"/>
              <w:spacing w:line="360" w:lineRule="auto"/>
              <w:rPr>
                <w:rFonts w:ascii="Times New Roman" w:hAnsi="Times New Roman" w:eastAsia="宋体" w:cs="Times New Roman"/>
                <w:b w:val="0"/>
                <w:bCs/>
                <w:sz w:val="24"/>
                <w:szCs w:val="24"/>
              </w:rPr>
            </w:pPr>
            <w:r>
              <w:rPr>
                <w:rFonts w:ascii="Times New Roman" w:hAnsi="Times New Roman" w:eastAsia="宋体" w:cs="Times New Roman"/>
                <w:b w:val="0"/>
                <w:bCs/>
                <w:sz w:val="24"/>
                <w:szCs w:val="24"/>
              </w:rPr>
              <w:t>①危险废物的收集</w:t>
            </w:r>
          </w:p>
          <w:p w14:paraId="4E9DE7C7">
            <w:pPr>
              <w:pStyle w:val="139"/>
              <w:spacing w:line="360" w:lineRule="auto"/>
              <w:rPr>
                <w:rFonts w:ascii="Times New Roman" w:hAnsi="Times New Roman" w:eastAsia="宋体" w:cs="Times New Roman"/>
                <w:b w:val="0"/>
                <w:bCs/>
                <w:sz w:val="24"/>
                <w:szCs w:val="24"/>
              </w:rPr>
            </w:pPr>
            <w:r>
              <w:rPr>
                <w:rFonts w:ascii="Times New Roman" w:hAnsi="Times New Roman" w:eastAsia="宋体" w:cs="Times New Roman"/>
                <w:b w:val="0"/>
                <w:bCs/>
                <w:sz w:val="24"/>
                <w:szCs w:val="24"/>
              </w:rPr>
              <w:t>危险废物应该分类收集，分区存放。</w:t>
            </w:r>
          </w:p>
          <w:p w14:paraId="01668321">
            <w:pPr>
              <w:pStyle w:val="139"/>
              <w:spacing w:line="360" w:lineRule="auto"/>
              <w:rPr>
                <w:rFonts w:ascii="Times New Roman" w:hAnsi="Times New Roman" w:eastAsia="宋体" w:cs="Times New Roman"/>
                <w:b w:val="0"/>
                <w:bCs/>
                <w:sz w:val="24"/>
                <w:szCs w:val="24"/>
              </w:rPr>
            </w:pPr>
            <w:r>
              <w:rPr>
                <w:rFonts w:ascii="Times New Roman" w:hAnsi="Times New Roman" w:eastAsia="宋体" w:cs="Times New Roman"/>
                <w:b w:val="0"/>
                <w:bCs/>
                <w:sz w:val="24"/>
                <w:szCs w:val="24"/>
              </w:rPr>
              <w:t>②危险废物储存、运输要求</w:t>
            </w:r>
          </w:p>
          <w:p w14:paraId="4B90DBCD">
            <w:pPr>
              <w:pStyle w:val="139"/>
              <w:spacing w:line="360" w:lineRule="auto"/>
              <w:rPr>
                <w:rFonts w:ascii="Times New Roman" w:hAnsi="Times New Roman" w:eastAsia="宋体" w:cs="Times New Roman"/>
                <w:b w:val="0"/>
                <w:bCs/>
                <w:sz w:val="24"/>
                <w:szCs w:val="24"/>
              </w:rPr>
            </w:pPr>
            <w:r>
              <w:rPr>
                <w:rFonts w:ascii="Times New Roman" w:hAnsi="Times New Roman" w:eastAsia="宋体" w:cs="Times New Roman"/>
                <w:b w:val="0"/>
                <w:bCs/>
                <w:sz w:val="24"/>
                <w:szCs w:val="24"/>
              </w:rPr>
              <w:t>根据《</w:t>
            </w:r>
            <w:r>
              <w:rPr>
                <w:rFonts w:hint="eastAsia" w:ascii="Times New Roman" w:hAnsi="Times New Roman" w:eastAsia="宋体" w:cs="Times New Roman"/>
                <w:b w:val="0"/>
                <w:bCs/>
                <w:sz w:val="24"/>
                <w:szCs w:val="24"/>
              </w:rPr>
              <w:t>中华人民共和国固体废物污染环境防治法</w:t>
            </w:r>
            <w:r>
              <w:rPr>
                <w:rFonts w:ascii="Times New Roman" w:hAnsi="Times New Roman" w:eastAsia="宋体" w:cs="Times New Roman"/>
                <w:b w:val="0"/>
                <w:bCs/>
                <w:sz w:val="24"/>
                <w:szCs w:val="24"/>
              </w:rPr>
              <w:t>》规定：对于危险废物，企业应按照国家有关规定进行申报登记，执行联单制度；对危险废物的容器和包装桶以及收集、储存、运输、处置危险废物的设施、场所必须设置危险废物识别标志，并且危险废物的储存地应远离生产区，注意通风、防火以免引起火灾，运输过程中必须采取密闭运输等防止污染环境的措施，遵守国家有关危险货物运输管理的规定。严禁在雨天进行危废的运输和转运工作。</w:t>
            </w:r>
          </w:p>
          <w:p w14:paraId="3BFB8C4A">
            <w:pPr>
              <w:pStyle w:val="139"/>
              <w:spacing w:line="360" w:lineRule="auto"/>
              <w:rPr>
                <w:rFonts w:ascii="Times New Roman" w:hAnsi="Times New Roman" w:eastAsia="宋体" w:cs="Times New Roman"/>
                <w:b w:val="0"/>
                <w:bCs/>
                <w:sz w:val="24"/>
                <w:szCs w:val="24"/>
              </w:rPr>
            </w:pPr>
            <w:r>
              <w:rPr>
                <w:rFonts w:ascii="Times New Roman" w:hAnsi="Times New Roman" w:eastAsia="宋体" w:cs="Times New Roman"/>
                <w:b w:val="0"/>
                <w:bCs/>
                <w:sz w:val="24"/>
                <w:szCs w:val="24"/>
              </w:rPr>
              <w:t>③危废库的建设要求</w:t>
            </w:r>
          </w:p>
          <w:p w14:paraId="3C0EC276">
            <w:pPr>
              <w:pStyle w:val="139"/>
              <w:spacing w:line="360" w:lineRule="auto"/>
              <w:rPr>
                <w:rFonts w:ascii="Times New Roman" w:hAnsi="Times New Roman" w:eastAsia="宋体" w:cs="Times New Roman"/>
                <w:b w:val="0"/>
                <w:bCs/>
                <w:sz w:val="24"/>
                <w:szCs w:val="24"/>
              </w:rPr>
            </w:pPr>
            <w:r>
              <w:rPr>
                <w:rFonts w:ascii="Times New Roman" w:hAnsi="Times New Roman" w:eastAsia="宋体" w:cs="Times New Roman"/>
                <w:b w:val="0"/>
                <w:bCs/>
                <w:sz w:val="24"/>
                <w:szCs w:val="24"/>
              </w:rPr>
              <w:t>根据《</w:t>
            </w:r>
            <w:r>
              <w:rPr>
                <w:rFonts w:hint="eastAsia" w:ascii="Times New Roman" w:hAnsi="Times New Roman" w:eastAsia="宋体" w:cs="Times New Roman"/>
                <w:b w:val="0"/>
                <w:bCs/>
                <w:sz w:val="24"/>
                <w:szCs w:val="24"/>
              </w:rPr>
              <w:t>中华人民共和国固体废物污染环境防治法</w:t>
            </w:r>
            <w:r>
              <w:rPr>
                <w:rFonts w:ascii="Times New Roman" w:hAnsi="Times New Roman" w:eastAsia="宋体" w:cs="Times New Roman"/>
                <w:b w:val="0"/>
                <w:bCs/>
                <w:sz w:val="24"/>
                <w:szCs w:val="24"/>
              </w:rPr>
              <w:t>》规定：对危险废物的容器和包装桶以及收集、储存、运输、处置危险废物的设施、场所必须设置危险废物识别标志，并且危险废物的储存地应远离生产区，注意通风、防火以免引起火灾，运输过程中必须采取密闭运输等防止污染环境的措施，遵守国家有关危险货物运输管理的规定。严禁在雨天进行危废的运输和转运工作。</w:t>
            </w:r>
          </w:p>
          <w:p w14:paraId="397B9333">
            <w:pPr>
              <w:pStyle w:val="139"/>
              <w:spacing w:line="360" w:lineRule="auto"/>
              <w:rPr>
                <w:rFonts w:ascii="Times New Roman" w:hAnsi="Times New Roman" w:eastAsia="宋体" w:cs="Times New Roman"/>
                <w:b w:val="0"/>
                <w:bCs/>
                <w:sz w:val="24"/>
                <w:szCs w:val="24"/>
              </w:rPr>
            </w:pPr>
            <w:r>
              <w:rPr>
                <w:rFonts w:ascii="Times New Roman" w:hAnsi="Times New Roman" w:eastAsia="宋体" w:cs="Times New Roman"/>
                <w:b w:val="0"/>
                <w:bCs/>
                <w:sz w:val="24"/>
                <w:szCs w:val="24"/>
              </w:rPr>
              <w:t>危废库场地标高应高于车间地面标高，并在仓库内设置围堰或者托盘，应进行防雨设计。</w:t>
            </w:r>
          </w:p>
          <w:p w14:paraId="13A336B7">
            <w:pPr>
              <w:pStyle w:val="139"/>
              <w:spacing w:line="360" w:lineRule="auto"/>
              <w:rPr>
                <w:rFonts w:ascii="Times New Roman" w:hAnsi="Times New Roman" w:eastAsia="宋体" w:cs="Times New Roman"/>
                <w:b w:val="0"/>
                <w:bCs/>
                <w:sz w:val="24"/>
                <w:szCs w:val="24"/>
              </w:rPr>
            </w:pPr>
            <w:r>
              <w:rPr>
                <w:rFonts w:ascii="Times New Roman" w:hAnsi="Times New Roman" w:eastAsia="宋体" w:cs="Times New Roman"/>
                <w:b w:val="0"/>
                <w:bCs/>
                <w:sz w:val="24"/>
                <w:szCs w:val="24"/>
              </w:rPr>
              <w:t>危险废物暂存区场地防渗处理后，渗透系数要小于1×10</w:t>
            </w:r>
            <w:r>
              <w:rPr>
                <w:rFonts w:ascii="Times New Roman" w:hAnsi="Times New Roman" w:eastAsia="宋体" w:cs="Times New Roman"/>
                <w:b w:val="0"/>
                <w:bCs/>
                <w:sz w:val="24"/>
                <w:szCs w:val="24"/>
                <w:vertAlign w:val="superscript"/>
              </w:rPr>
              <w:t>-10</w:t>
            </w:r>
            <w:r>
              <w:rPr>
                <w:rFonts w:ascii="Times New Roman" w:hAnsi="Times New Roman" w:eastAsia="宋体" w:cs="Times New Roman"/>
                <w:b w:val="0"/>
                <w:bCs/>
                <w:sz w:val="24"/>
                <w:szCs w:val="24"/>
              </w:rPr>
              <w:t>cm/s。</w:t>
            </w:r>
          </w:p>
          <w:p w14:paraId="540B0E72">
            <w:pPr>
              <w:pStyle w:val="139"/>
              <w:spacing w:line="360" w:lineRule="auto"/>
              <w:rPr>
                <w:rFonts w:ascii="Times New Roman" w:hAnsi="Times New Roman" w:eastAsia="宋体" w:cs="Times New Roman"/>
                <w:b w:val="0"/>
                <w:bCs/>
                <w:sz w:val="24"/>
                <w:szCs w:val="24"/>
              </w:rPr>
            </w:pPr>
            <w:r>
              <w:rPr>
                <w:rFonts w:ascii="Times New Roman" w:hAnsi="Times New Roman" w:eastAsia="宋体" w:cs="Times New Roman"/>
                <w:b w:val="0"/>
                <w:bCs/>
                <w:sz w:val="24"/>
                <w:szCs w:val="24"/>
              </w:rPr>
              <w:t>危废库门外要按照《危险废物贮存污染控制标准》（GB18597-2023）的要求设置提示性</w:t>
            </w:r>
            <w:r>
              <w:rPr>
                <w:rFonts w:hint="eastAsia" w:ascii="Times New Roman" w:hAnsi="Times New Roman" w:eastAsia="宋体" w:cs="Times New Roman"/>
                <w:b w:val="0"/>
                <w:bCs/>
                <w:sz w:val="24"/>
                <w:szCs w:val="24"/>
              </w:rPr>
              <w:t>和</w:t>
            </w:r>
            <w:r>
              <w:rPr>
                <w:rFonts w:ascii="Times New Roman" w:hAnsi="Times New Roman" w:eastAsia="宋体" w:cs="Times New Roman"/>
                <w:b w:val="0"/>
                <w:bCs/>
                <w:sz w:val="24"/>
                <w:szCs w:val="24"/>
              </w:rPr>
              <w:t>警示性图形标志。</w:t>
            </w:r>
          </w:p>
          <w:p w14:paraId="3D0D6495">
            <w:pPr>
              <w:pStyle w:val="139"/>
              <w:spacing w:line="360" w:lineRule="auto"/>
              <w:rPr>
                <w:rFonts w:ascii="Times New Roman" w:hAnsi="Times New Roman" w:eastAsia="宋体" w:cs="Times New Roman"/>
                <w:b w:val="0"/>
                <w:bCs/>
                <w:sz w:val="24"/>
                <w:szCs w:val="24"/>
              </w:rPr>
            </w:pPr>
            <w:r>
              <w:rPr>
                <w:rFonts w:ascii="Times New Roman" w:hAnsi="Times New Roman" w:eastAsia="宋体" w:cs="Times New Roman"/>
                <w:b w:val="0"/>
                <w:bCs/>
                <w:sz w:val="24"/>
                <w:szCs w:val="24"/>
              </w:rPr>
              <w:t>④应建立档案制度，将存放的固体废物的种类和数量，以及存放设施的检查维护等资料详细记录在案，长期保存，供随时查阅。除此之外，危险废物暂存区还要记录危险废物的名称、来源、数量、特性和包装容器的类别、入库日期、存放库位、出库日期及</w:t>
            </w:r>
            <w:r>
              <w:rPr>
                <w:rFonts w:hint="eastAsia" w:ascii="Times New Roman" w:hAnsi="Times New Roman" w:eastAsia="宋体" w:cs="Times New Roman"/>
                <w:b w:val="0"/>
                <w:bCs/>
                <w:sz w:val="24"/>
                <w:szCs w:val="24"/>
              </w:rPr>
              <w:t>接收单位</w:t>
            </w:r>
            <w:r>
              <w:rPr>
                <w:rFonts w:ascii="Times New Roman" w:hAnsi="Times New Roman" w:eastAsia="宋体" w:cs="Times New Roman"/>
                <w:b w:val="0"/>
                <w:bCs/>
                <w:sz w:val="24"/>
                <w:szCs w:val="24"/>
              </w:rPr>
              <w:t>名称。</w:t>
            </w:r>
          </w:p>
          <w:p w14:paraId="3E6D979F">
            <w:pPr>
              <w:pStyle w:val="139"/>
              <w:spacing w:line="360" w:lineRule="auto"/>
              <w:rPr>
                <w:rFonts w:ascii="Times New Roman" w:hAnsi="Times New Roman" w:eastAsia="宋体" w:cs="Times New Roman"/>
                <w:kern w:val="18"/>
                <w:sz w:val="24"/>
              </w:rPr>
            </w:pPr>
            <w:r>
              <w:rPr>
                <w:rFonts w:ascii="Times New Roman" w:hAnsi="Times New Roman" w:eastAsia="宋体" w:cs="Times New Roman"/>
                <w:b w:val="0"/>
                <w:bCs/>
                <w:sz w:val="24"/>
                <w:szCs w:val="24"/>
              </w:rPr>
              <w:t>⑤危险废物暂存区特定要求：a.在常温常压下不水解、不挥发的固体废物可在暂存区内分别堆放，</w:t>
            </w:r>
            <w:r>
              <w:rPr>
                <w:rFonts w:hint="eastAsia" w:ascii="Times New Roman" w:hAnsi="Times New Roman" w:eastAsia="宋体" w:cs="Times New Roman"/>
                <w:b w:val="0"/>
                <w:bCs/>
                <w:sz w:val="24"/>
                <w:szCs w:val="24"/>
              </w:rPr>
              <w:t>其他</w:t>
            </w:r>
            <w:r>
              <w:rPr>
                <w:rFonts w:ascii="Times New Roman" w:hAnsi="Times New Roman" w:eastAsia="宋体" w:cs="Times New Roman"/>
                <w:b w:val="0"/>
                <w:bCs/>
                <w:sz w:val="24"/>
                <w:szCs w:val="24"/>
              </w:rPr>
              <w:t>危险废物要装入容器内，并禁止将不相容</w:t>
            </w:r>
            <w:r>
              <w:rPr>
                <w:rFonts w:hint="eastAsia" w:ascii="Times New Roman" w:hAnsi="Times New Roman" w:eastAsia="宋体" w:cs="Times New Roman"/>
                <w:b w:val="0"/>
                <w:bCs/>
                <w:sz w:val="24"/>
                <w:szCs w:val="24"/>
              </w:rPr>
              <w:t>（</w:t>
            </w:r>
            <w:r>
              <w:rPr>
                <w:rFonts w:ascii="Times New Roman" w:hAnsi="Times New Roman" w:eastAsia="宋体" w:cs="Times New Roman"/>
                <w:b w:val="0"/>
                <w:bCs/>
                <w:sz w:val="24"/>
                <w:szCs w:val="24"/>
              </w:rPr>
              <w:t>相互反应</w:t>
            </w:r>
            <w:r>
              <w:rPr>
                <w:rFonts w:hint="eastAsia" w:ascii="Times New Roman" w:hAnsi="Times New Roman" w:eastAsia="宋体" w:cs="Times New Roman"/>
                <w:b w:val="0"/>
                <w:bCs/>
                <w:sz w:val="24"/>
                <w:szCs w:val="24"/>
              </w:rPr>
              <w:t>）</w:t>
            </w:r>
            <w:r>
              <w:rPr>
                <w:rFonts w:ascii="Times New Roman" w:hAnsi="Times New Roman" w:eastAsia="宋体" w:cs="Times New Roman"/>
                <w:b w:val="0"/>
                <w:bCs/>
                <w:sz w:val="24"/>
                <w:szCs w:val="24"/>
              </w:rPr>
              <w:t>的危险废物在同一容器内混装。装载液体、半固体危险废物的容器顶部与液体表面之间保留100mm以上的空间；无法装入正常容器的危险废物可用防漏胶袋盛装；容器上必须粘贴符合GB18597-2023附录A所示的危险废物标签。b.装载危险废物的容器必须完好无损，材质要满足相应的强度要求，容器材质与衬里要与危险废物相容</w:t>
            </w:r>
            <w:r>
              <w:rPr>
                <w:rFonts w:hint="eastAsia" w:ascii="Times New Roman" w:hAnsi="Times New Roman" w:eastAsia="宋体" w:cs="Times New Roman"/>
                <w:b w:val="0"/>
                <w:bCs/>
                <w:sz w:val="24"/>
                <w:szCs w:val="24"/>
              </w:rPr>
              <w:t>（</w:t>
            </w:r>
            <w:r>
              <w:rPr>
                <w:rFonts w:ascii="Times New Roman" w:hAnsi="Times New Roman" w:eastAsia="宋体" w:cs="Times New Roman"/>
                <w:b w:val="0"/>
                <w:bCs/>
                <w:sz w:val="24"/>
                <w:szCs w:val="24"/>
              </w:rPr>
              <w:t>不相互反应</w:t>
            </w:r>
            <w:r>
              <w:rPr>
                <w:rFonts w:hint="eastAsia" w:ascii="Times New Roman" w:hAnsi="Times New Roman" w:eastAsia="宋体" w:cs="Times New Roman"/>
                <w:b w:val="0"/>
                <w:bCs/>
                <w:sz w:val="24"/>
                <w:szCs w:val="24"/>
              </w:rPr>
              <w:t>）</w:t>
            </w:r>
            <w:r>
              <w:rPr>
                <w:rFonts w:ascii="Times New Roman" w:hAnsi="Times New Roman" w:eastAsia="宋体" w:cs="Times New Roman"/>
                <w:b w:val="0"/>
                <w:bCs/>
                <w:sz w:val="24"/>
                <w:szCs w:val="24"/>
              </w:rPr>
              <w:t>，液体危险废物可注入开孔直径不超过70mm并有放气孔的桶中。c.危险废物暂存区地面与墙裙要用坚固、防渗的材料建筑，并必须与危险废物相容；必须有泄漏液体的收集装置；内部要有安全照明设施和观察窗口；内部场地要有耐腐蚀的硬化地面且表面无裂隙；不相容的危险废物必须分开存放并设有隔离间隔离</w:t>
            </w:r>
            <w:r>
              <w:rPr>
                <w:rFonts w:ascii="Times New Roman" w:hAnsi="Times New Roman" w:eastAsia="宋体" w:cs="Times New Roman"/>
                <w:kern w:val="18"/>
                <w:sz w:val="24"/>
              </w:rPr>
              <w:t>。</w:t>
            </w:r>
          </w:p>
          <w:p w14:paraId="293B2527">
            <w:pPr>
              <w:pStyle w:val="74"/>
              <w:adjustRightInd w:val="0"/>
              <w:snapToGrid w:val="0"/>
              <w:spacing w:line="360" w:lineRule="auto"/>
              <w:ind w:firstLine="480" w:firstLineChars="200"/>
              <w:rPr>
                <w:sz w:val="24"/>
                <w:szCs w:val="24"/>
              </w:rPr>
            </w:pPr>
            <w:r>
              <w:rPr>
                <w:rFonts w:hint="eastAsia"/>
                <w:sz w:val="24"/>
                <w:szCs w:val="24"/>
              </w:rPr>
              <w:t>（</w:t>
            </w:r>
            <w:r>
              <w:rPr>
                <w:rFonts w:hint="eastAsia"/>
                <w:sz w:val="24"/>
                <w:szCs w:val="24"/>
                <w:lang w:val="en-US" w:eastAsia="zh-CN"/>
              </w:rPr>
              <w:t>2</w:t>
            </w:r>
            <w:r>
              <w:rPr>
                <w:rFonts w:hint="eastAsia"/>
                <w:sz w:val="24"/>
                <w:szCs w:val="24"/>
              </w:rPr>
              <w:t>）环境管理要求</w:t>
            </w:r>
          </w:p>
          <w:p w14:paraId="37BBAF52">
            <w:pPr>
              <w:pStyle w:val="74"/>
              <w:adjustRightInd w:val="0"/>
              <w:snapToGrid w:val="0"/>
              <w:spacing w:line="360" w:lineRule="auto"/>
              <w:ind w:firstLine="480" w:firstLineChars="200"/>
              <w:rPr>
                <w:sz w:val="24"/>
                <w:szCs w:val="24"/>
              </w:rPr>
            </w:pPr>
            <w:r>
              <w:rPr>
                <w:rFonts w:hint="eastAsia"/>
                <w:sz w:val="24"/>
                <w:szCs w:val="24"/>
              </w:rPr>
              <w:t>根据国家相关法律法规等要求，建设单位须对危险废物的产生、收集、贮存、运输、利用和处置等全过程进行控制。建设单位应对危险废物进行分类收集，经专用容器进行盛装，禁止将危险废物混入一般固废，暂存于危险废物暂存区交有资质单位处置。</w:t>
            </w:r>
          </w:p>
          <w:p w14:paraId="47BEB6B9">
            <w:pPr>
              <w:pStyle w:val="74"/>
              <w:adjustRightInd w:val="0"/>
              <w:snapToGrid w:val="0"/>
              <w:spacing w:line="360" w:lineRule="auto"/>
              <w:ind w:firstLine="480" w:firstLineChars="200"/>
              <w:rPr>
                <w:sz w:val="24"/>
                <w:szCs w:val="24"/>
              </w:rPr>
            </w:pPr>
            <w:r>
              <w:rPr>
                <w:rFonts w:hint="eastAsia"/>
                <w:sz w:val="24"/>
                <w:szCs w:val="24"/>
              </w:rPr>
              <w:t>本项目在运营后做好固废的分类收集、管理及处置工作，项目运营期产生的固体废物能得到有效地处理及处置，不会对外环境产生二次污染。</w:t>
            </w:r>
          </w:p>
          <w:p w14:paraId="52DC1B72">
            <w:pPr>
              <w:spacing w:line="360" w:lineRule="auto"/>
              <w:ind w:firstLine="482" w:firstLineChars="200"/>
              <w:rPr>
                <w:b/>
                <w:bCs/>
                <w:sz w:val="24"/>
              </w:rPr>
            </w:pPr>
            <w:r>
              <w:rPr>
                <w:b/>
                <w:bCs/>
                <w:sz w:val="24"/>
              </w:rPr>
              <w:t>5、地下水</w:t>
            </w:r>
            <w:r>
              <w:rPr>
                <w:rFonts w:hint="eastAsia"/>
                <w:b/>
                <w:bCs/>
                <w:sz w:val="24"/>
              </w:rPr>
              <w:t>及土壤</w:t>
            </w:r>
            <w:r>
              <w:rPr>
                <w:b/>
                <w:bCs/>
                <w:sz w:val="24"/>
              </w:rPr>
              <w:t>环境影响分析</w:t>
            </w:r>
          </w:p>
          <w:p w14:paraId="6B18F2A6">
            <w:pPr>
              <w:pStyle w:val="74"/>
              <w:adjustRightInd w:val="0"/>
              <w:snapToGrid w:val="0"/>
              <w:spacing w:line="360" w:lineRule="auto"/>
              <w:ind w:firstLine="480" w:firstLineChars="200"/>
              <w:rPr>
                <w:sz w:val="24"/>
                <w:szCs w:val="24"/>
              </w:rPr>
            </w:pPr>
            <w:r>
              <w:rPr>
                <w:sz w:val="24"/>
                <w:szCs w:val="24"/>
              </w:rPr>
              <w:t>（1）污染源、污染物类型及污染途径</w:t>
            </w:r>
          </w:p>
          <w:p w14:paraId="178F290F">
            <w:pPr>
              <w:spacing w:line="360" w:lineRule="auto"/>
              <w:ind w:firstLine="480" w:firstLineChars="200"/>
              <w:rPr>
                <w:sz w:val="24"/>
              </w:rPr>
            </w:pPr>
            <w:r>
              <w:rPr>
                <w:sz w:val="24"/>
              </w:rPr>
              <w:t>运营期废水主要为生活污水，</w:t>
            </w:r>
            <w:r>
              <w:rPr>
                <w:rFonts w:hint="eastAsia"/>
                <w:sz w:val="24"/>
                <w:lang w:eastAsia="zh-CN"/>
              </w:rPr>
              <w:t>生活污水依托衡钢原有的化粪池处理后经厂区污水管网排入衡钢西区污水处理厂处理达到《污水综合排放标准》（GB8978-1996）表4 中三级标准，排入幸福河，然后进入铜桥港污水处理厂进一步处理，处理后排入湘江。</w:t>
            </w:r>
            <w:r>
              <w:rPr>
                <w:sz w:val="24"/>
              </w:rPr>
              <w:t>排放的废气污染物主要为生产过程中产生的粉尘、非甲烷总烃、</w:t>
            </w:r>
            <w:r>
              <w:rPr>
                <w:rFonts w:hint="eastAsia"/>
                <w:sz w:val="24"/>
              </w:rPr>
              <w:t>SO</w:t>
            </w:r>
            <w:r>
              <w:rPr>
                <w:rFonts w:hint="eastAsia"/>
                <w:sz w:val="24"/>
                <w:vertAlign w:val="subscript"/>
              </w:rPr>
              <w:t>2</w:t>
            </w:r>
            <w:r>
              <w:rPr>
                <w:rFonts w:hint="eastAsia"/>
                <w:sz w:val="24"/>
              </w:rPr>
              <w:t>、NO</w:t>
            </w:r>
            <w:r>
              <w:rPr>
                <w:rFonts w:hint="eastAsia"/>
                <w:sz w:val="24"/>
                <w:vertAlign w:val="subscript"/>
              </w:rPr>
              <w:t>X</w:t>
            </w:r>
            <w:r>
              <w:rPr>
                <w:sz w:val="24"/>
              </w:rPr>
              <w:t>等；产生的危险废物主要为</w:t>
            </w:r>
            <w:r>
              <w:rPr>
                <w:rFonts w:hint="eastAsia"/>
                <w:sz w:val="24"/>
              </w:rPr>
              <w:t>废活性炭</w:t>
            </w:r>
            <w:r>
              <w:rPr>
                <w:rFonts w:hint="eastAsia"/>
                <w:sz w:val="24"/>
                <w:lang w:eastAsia="zh-CN"/>
              </w:rPr>
              <w:t>、</w:t>
            </w:r>
            <w:r>
              <w:rPr>
                <w:rFonts w:hint="eastAsia"/>
                <w:sz w:val="24"/>
                <w:lang w:val="en-US" w:eastAsia="zh-CN"/>
              </w:rPr>
              <w:t>废矿物油、废油桶、废含油抹布手套、废滤网</w:t>
            </w:r>
            <w:r>
              <w:rPr>
                <w:sz w:val="24"/>
              </w:rPr>
              <w:t>等。</w:t>
            </w:r>
          </w:p>
          <w:p w14:paraId="3A4C6FB2">
            <w:pPr>
              <w:pStyle w:val="74"/>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sz w:val="24"/>
                <w:szCs w:val="24"/>
              </w:rPr>
            </w:pPr>
            <w:r>
              <w:rPr>
                <w:rFonts w:hint="eastAsia" w:ascii="宋体" w:hAnsi="宋体" w:eastAsia="宋体" w:cs="Times New Roman"/>
                <w:sz w:val="24"/>
                <w:szCs w:val="24"/>
                <w:u w:val="none"/>
                <w:lang w:eastAsia="zh-CN"/>
              </w:rPr>
              <w:t>综上，项目运营期可能出现对地下水和土壤产生污染的情景主要为：危废暂存间可能出现危险废物渗漏（</w:t>
            </w:r>
            <w:r>
              <w:rPr>
                <w:rFonts w:hint="eastAsia" w:ascii="宋体" w:hAnsi="宋体" w:eastAsia="宋体" w:cs="Times New Roman"/>
                <w:sz w:val="24"/>
                <w:szCs w:val="24"/>
                <w:u w:val="none"/>
                <w:lang w:val="en-US" w:eastAsia="zh-CN"/>
              </w:rPr>
              <w:t>废矿物油</w:t>
            </w:r>
            <w:r>
              <w:rPr>
                <w:rFonts w:hint="eastAsia" w:ascii="宋体" w:hAnsi="宋体" w:eastAsia="宋体" w:cs="Times New Roman"/>
                <w:sz w:val="24"/>
                <w:szCs w:val="24"/>
                <w:u w:val="none"/>
                <w:lang w:eastAsia="zh-CN"/>
              </w:rPr>
              <w:t>），危险废物（</w:t>
            </w:r>
            <w:r>
              <w:rPr>
                <w:rFonts w:hint="eastAsia" w:ascii="宋体" w:hAnsi="宋体" w:eastAsia="宋体" w:cs="Times New Roman"/>
                <w:sz w:val="24"/>
                <w:szCs w:val="24"/>
                <w:u w:val="none"/>
                <w:lang w:val="en-US" w:eastAsia="zh-CN"/>
              </w:rPr>
              <w:t>废矿物油</w:t>
            </w:r>
            <w:r>
              <w:rPr>
                <w:rFonts w:hint="eastAsia" w:ascii="宋体" w:hAnsi="宋体" w:eastAsia="宋体" w:cs="Times New Roman"/>
                <w:sz w:val="24"/>
                <w:szCs w:val="24"/>
                <w:u w:val="none"/>
                <w:lang w:eastAsia="zh-CN"/>
              </w:rPr>
              <w:t>）通过渗透进入地下水及土壤。</w:t>
            </w:r>
          </w:p>
          <w:p w14:paraId="56D1C809">
            <w:pPr>
              <w:pStyle w:val="74"/>
              <w:adjustRightInd w:val="0"/>
              <w:snapToGrid w:val="0"/>
              <w:spacing w:line="360" w:lineRule="auto"/>
              <w:ind w:firstLine="480" w:firstLineChars="200"/>
              <w:rPr>
                <w:sz w:val="24"/>
                <w:szCs w:val="24"/>
              </w:rPr>
            </w:pPr>
            <w:r>
              <w:rPr>
                <w:sz w:val="24"/>
                <w:szCs w:val="24"/>
              </w:rPr>
              <w:t>（2）防控措施</w:t>
            </w:r>
          </w:p>
          <w:p w14:paraId="76050F19">
            <w:pPr>
              <w:pStyle w:val="74"/>
              <w:adjustRightInd w:val="0"/>
              <w:snapToGrid w:val="0"/>
              <w:spacing w:line="360" w:lineRule="auto"/>
              <w:ind w:firstLine="480" w:firstLineChars="200"/>
              <w:rPr>
                <w:sz w:val="24"/>
                <w:szCs w:val="24"/>
              </w:rPr>
            </w:pPr>
            <w:r>
              <w:rPr>
                <w:sz w:val="24"/>
                <w:szCs w:val="24"/>
              </w:rPr>
              <w:t>按照“源头控制、过程防控和跟踪监控”相结合的原则，从污染物的产生、入渗和扩散等方面进行控制，项目分区防控具体控制措施如下：</w:t>
            </w:r>
          </w:p>
          <w:p w14:paraId="0100D433">
            <w:pPr>
              <w:pStyle w:val="74"/>
              <w:adjustRightInd w:val="0"/>
              <w:snapToGrid w:val="0"/>
              <w:spacing w:line="360" w:lineRule="auto"/>
              <w:ind w:firstLine="480" w:firstLineChars="200"/>
              <w:rPr>
                <w:b/>
                <w:bCs/>
                <w:szCs w:val="21"/>
              </w:rPr>
            </w:pPr>
            <w:r>
              <w:rPr>
                <w:sz w:val="24"/>
                <w:szCs w:val="24"/>
              </w:rPr>
              <w:t>为减小项目区物料对土壤及地下水影响，需对厂区地面进行防渗硬化。根据厂区各生产功能单元是否可能对地下水造成污染及其风险程度，将厂区划分为重点防渗区、一般防渗区和简单防渗区。分区防渗方案见表</w:t>
            </w:r>
            <w:r>
              <w:rPr>
                <w:rFonts w:hint="eastAsia"/>
                <w:sz w:val="24"/>
                <w:szCs w:val="24"/>
              </w:rPr>
              <w:t>4-18</w:t>
            </w:r>
          </w:p>
          <w:p w14:paraId="5087B544">
            <w:pPr>
              <w:pStyle w:val="163"/>
              <w:keepNext w:val="0"/>
              <w:keepLines w:val="0"/>
              <w:pageBreakBefore w:val="0"/>
              <w:widowControl w:val="0"/>
              <w:tabs>
                <w:tab w:val="left" w:pos="1485"/>
                <w:tab w:val="center" w:pos="4113"/>
              </w:tabs>
              <w:kinsoku/>
              <w:wordWrap/>
              <w:overflowPunct w:val="0"/>
              <w:topLinePunct w:val="0"/>
              <w:autoSpaceDE w:val="0"/>
              <w:autoSpaceDN w:val="0"/>
              <w:bidi w:val="0"/>
              <w:adjustRightInd w:val="0"/>
              <w:snapToGrid/>
              <w:spacing w:before="0" w:beforeLines="0" w:after="0" w:line="240" w:lineRule="auto"/>
              <w:ind w:firstLine="0"/>
              <w:textAlignment w:val="auto"/>
              <w:rPr>
                <w:rFonts w:cs="Times New Roman"/>
                <w:b/>
                <w:bCs/>
                <w:kern w:val="2"/>
                <w:szCs w:val="24"/>
              </w:rPr>
            </w:pPr>
            <w:r>
              <w:rPr>
                <w:rFonts w:hint="eastAsia" w:cs="Times New Roman"/>
                <w:b/>
                <w:bCs/>
                <w:kern w:val="2"/>
                <w:szCs w:val="24"/>
              </w:rPr>
              <w:t xml:space="preserve">表4-18 </w:t>
            </w:r>
            <w:r>
              <w:rPr>
                <w:rFonts w:hint="eastAsia" w:cs="Times New Roman"/>
                <w:b/>
                <w:bCs/>
                <w:kern w:val="2"/>
                <w:szCs w:val="24"/>
                <w:lang w:val="en-US" w:eastAsia="zh-CN"/>
              </w:rPr>
              <w:t xml:space="preserve">    </w:t>
            </w:r>
            <w:r>
              <w:rPr>
                <w:rFonts w:hint="eastAsia" w:cs="Times New Roman"/>
                <w:b/>
                <w:bCs/>
                <w:kern w:val="2"/>
                <w:szCs w:val="24"/>
              </w:rPr>
              <w:t>防渗区域一览表</w:t>
            </w:r>
          </w:p>
          <w:tbl>
            <w:tblPr>
              <w:tblStyle w:val="36"/>
              <w:tblW w:w="8297"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622"/>
              <w:gridCol w:w="2603"/>
              <w:gridCol w:w="4072"/>
            </w:tblGrid>
            <w:tr w14:paraId="479C058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622" w:type="dxa"/>
                  <w:tcBorders>
                    <w:bottom w:val="single" w:color="auto" w:sz="4" w:space="0"/>
                    <w:right w:val="single" w:color="auto" w:sz="4" w:space="0"/>
                  </w:tcBorders>
                  <w:vAlign w:val="center"/>
                </w:tcPr>
                <w:p w14:paraId="0F644266">
                  <w:pPr>
                    <w:pStyle w:val="126"/>
                    <w:spacing w:line="240" w:lineRule="auto"/>
                    <w:ind w:firstLine="0" w:firstLineChars="0"/>
                    <w:jc w:val="center"/>
                    <w:rPr>
                      <w:rFonts w:ascii="宋体" w:hAnsi="宋体" w:cs="宋体"/>
                      <w:b/>
                      <w:bCs/>
                      <w:sz w:val="21"/>
                      <w:szCs w:val="21"/>
                    </w:rPr>
                  </w:pPr>
                  <w:r>
                    <w:rPr>
                      <w:rFonts w:hint="eastAsia" w:ascii="宋体" w:hAnsi="宋体" w:cs="宋体"/>
                      <w:b/>
                      <w:bCs/>
                      <w:sz w:val="21"/>
                      <w:szCs w:val="21"/>
                    </w:rPr>
                    <w:t>区域</w:t>
                  </w:r>
                </w:p>
              </w:tc>
              <w:tc>
                <w:tcPr>
                  <w:tcW w:w="2603" w:type="dxa"/>
                  <w:tcBorders>
                    <w:left w:val="single" w:color="auto" w:sz="4" w:space="0"/>
                    <w:bottom w:val="single" w:color="auto" w:sz="4" w:space="0"/>
                    <w:right w:val="single" w:color="auto" w:sz="4" w:space="0"/>
                  </w:tcBorders>
                  <w:vAlign w:val="center"/>
                </w:tcPr>
                <w:p w14:paraId="53D95122">
                  <w:pPr>
                    <w:pStyle w:val="126"/>
                    <w:spacing w:line="240" w:lineRule="auto"/>
                    <w:ind w:firstLine="0" w:firstLineChars="0"/>
                    <w:jc w:val="center"/>
                    <w:rPr>
                      <w:rFonts w:ascii="宋体" w:hAnsi="宋体" w:cs="宋体"/>
                      <w:b/>
                      <w:bCs/>
                      <w:sz w:val="21"/>
                      <w:szCs w:val="21"/>
                    </w:rPr>
                  </w:pPr>
                  <w:r>
                    <w:rPr>
                      <w:rFonts w:hint="eastAsia" w:ascii="宋体" w:hAnsi="宋体" w:cs="宋体"/>
                      <w:b/>
                      <w:bCs/>
                      <w:sz w:val="21"/>
                      <w:szCs w:val="21"/>
                    </w:rPr>
                    <w:t>名称</w:t>
                  </w:r>
                </w:p>
              </w:tc>
              <w:tc>
                <w:tcPr>
                  <w:tcW w:w="4072" w:type="dxa"/>
                  <w:tcBorders>
                    <w:left w:val="single" w:color="auto" w:sz="4" w:space="0"/>
                    <w:bottom w:val="single" w:color="auto" w:sz="4" w:space="0"/>
                  </w:tcBorders>
                  <w:vAlign w:val="center"/>
                </w:tcPr>
                <w:p w14:paraId="6F857CF3">
                  <w:pPr>
                    <w:pStyle w:val="126"/>
                    <w:spacing w:line="240" w:lineRule="auto"/>
                    <w:ind w:firstLine="0" w:firstLineChars="0"/>
                    <w:jc w:val="center"/>
                    <w:rPr>
                      <w:rFonts w:ascii="宋体" w:hAnsi="宋体" w:cs="宋体"/>
                      <w:b/>
                      <w:bCs/>
                      <w:sz w:val="21"/>
                      <w:szCs w:val="21"/>
                    </w:rPr>
                  </w:pPr>
                  <w:r>
                    <w:rPr>
                      <w:rFonts w:hint="eastAsia" w:ascii="宋体" w:hAnsi="宋体" w:cs="宋体"/>
                      <w:b/>
                      <w:bCs/>
                      <w:sz w:val="21"/>
                      <w:szCs w:val="21"/>
                    </w:rPr>
                    <w:t>措施</w:t>
                  </w:r>
                </w:p>
              </w:tc>
            </w:tr>
            <w:tr w14:paraId="72BA38E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622" w:type="dxa"/>
                  <w:tcBorders>
                    <w:top w:val="single" w:color="auto" w:sz="4" w:space="0"/>
                    <w:bottom w:val="single" w:color="auto" w:sz="4" w:space="0"/>
                    <w:right w:val="single" w:color="auto" w:sz="4" w:space="0"/>
                  </w:tcBorders>
                  <w:vAlign w:val="center"/>
                </w:tcPr>
                <w:p w14:paraId="54F4791E">
                  <w:pPr>
                    <w:pStyle w:val="126"/>
                    <w:spacing w:line="240" w:lineRule="auto"/>
                    <w:ind w:firstLine="0" w:firstLineChars="0"/>
                    <w:jc w:val="center"/>
                    <w:rPr>
                      <w:sz w:val="21"/>
                      <w:szCs w:val="21"/>
                    </w:rPr>
                  </w:pPr>
                  <w:r>
                    <w:rPr>
                      <w:sz w:val="21"/>
                      <w:szCs w:val="21"/>
                    </w:rPr>
                    <w:t>重点防渗区域</w:t>
                  </w:r>
                </w:p>
              </w:tc>
              <w:tc>
                <w:tcPr>
                  <w:tcW w:w="2603" w:type="dxa"/>
                  <w:tcBorders>
                    <w:top w:val="single" w:color="auto" w:sz="4" w:space="0"/>
                    <w:left w:val="single" w:color="auto" w:sz="4" w:space="0"/>
                    <w:bottom w:val="single" w:color="auto" w:sz="4" w:space="0"/>
                    <w:right w:val="single" w:color="auto" w:sz="4" w:space="0"/>
                  </w:tcBorders>
                  <w:vAlign w:val="center"/>
                </w:tcPr>
                <w:p w14:paraId="712D660A">
                  <w:pPr>
                    <w:pStyle w:val="126"/>
                    <w:spacing w:line="240" w:lineRule="auto"/>
                    <w:ind w:firstLine="0" w:firstLineChars="0"/>
                    <w:jc w:val="center"/>
                    <w:rPr>
                      <w:rFonts w:hint="default" w:eastAsia="宋体"/>
                      <w:sz w:val="21"/>
                      <w:szCs w:val="21"/>
                      <w:lang w:val="en-US" w:eastAsia="zh-CN"/>
                    </w:rPr>
                  </w:pPr>
                  <w:r>
                    <w:rPr>
                      <w:sz w:val="21"/>
                      <w:szCs w:val="21"/>
                    </w:rPr>
                    <w:t>危废暂存间</w:t>
                  </w:r>
                  <w:r>
                    <w:rPr>
                      <w:rFonts w:hint="eastAsia"/>
                      <w:sz w:val="21"/>
                      <w:szCs w:val="21"/>
                      <w:lang w:eastAsia="zh-CN"/>
                    </w:rPr>
                    <w:t>、</w:t>
                  </w:r>
                  <w:r>
                    <w:rPr>
                      <w:rFonts w:hint="eastAsia"/>
                      <w:sz w:val="21"/>
                      <w:szCs w:val="21"/>
                      <w:lang w:val="en-US" w:eastAsia="zh-CN"/>
                    </w:rPr>
                    <w:t>冷却水池</w:t>
                  </w:r>
                </w:p>
              </w:tc>
              <w:tc>
                <w:tcPr>
                  <w:tcW w:w="4072" w:type="dxa"/>
                  <w:tcBorders>
                    <w:top w:val="single" w:color="auto" w:sz="4" w:space="0"/>
                    <w:left w:val="single" w:color="auto" w:sz="4" w:space="0"/>
                  </w:tcBorders>
                  <w:vAlign w:val="center"/>
                </w:tcPr>
                <w:p w14:paraId="0C7C98CE">
                  <w:pPr>
                    <w:pStyle w:val="126"/>
                    <w:spacing w:line="240" w:lineRule="auto"/>
                    <w:ind w:firstLine="0" w:firstLineChars="0"/>
                    <w:jc w:val="center"/>
                    <w:rPr>
                      <w:sz w:val="21"/>
                      <w:szCs w:val="21"/>
                    </w:rPr>
                  </w:pPr>
                  <w:r>
                    <w:rPr>
                      <w:sz w:val="21"/>
                      <w:szCs w:val="21"/>
                    </w:rPr>
                    <w:t>等效黏土防渗层（厚度）Mb≧6.0m、渗透系数K≦1.0×10</w:t>
                  </w:r>
                  <w:r>
                    <w:rPr>
                      <w:sz w:val="21"/>
                      <w:szCs w:val="21"/>
                      <w:vertAlign w:val="superscript"/>
                    </w:rPr>
                    <w:t>-7</w:t>
                  </w:r>
                  <w:r>
                    <w:rPr>
                      <w:sz w:val="21"/>
                      <w:szCs w:val="21"/>
                    </w:rPr>
                    <w:t>cm/s</w:t>
                  </w:r>
                </w:p>
              </w:tc>
            </w:tr>
            <w:tr w14:paraId="56149F1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622" w:type="dxa"/>
                  <w:tcBorders>
                    <w:top w:val="single" w:color="auto" w:sz="4" w:space="0"/>
                    <w:bottom w:val="single" w:color="auto" w:sz="4" w:space="0"/>
                    <w:right w:val="single" w:color="auto" w:sz="4" w:space="0"/>
                  </w:tcBorders>
                  <w:vAlign w:val="center"/>
                </w:tcPr>
                <w:p w14:paraId="20763E95">
                  <w:pPr>
                    <w:pStyle w:val="126"/>
                    <w:spacing w:line="240" w:lineRule="auto"/>
                    <w:ind w:firstLine="0" w:firstLineChars="0"/>
                    <w:jc w:val="center"/>
                    <w:rPr>
                      <w:sz w:val="21"/>
                      <w:szCs w:val="21"/>
                    </w:rPr>
                  </w:pPr>
                  <w:r>
                    <w:rPr>
                      <w:sz w:val="21"/>
                      <w:szCs w:val="21"/>
                    </w:rPr>
                    <w:t>一般防渗区域</w:t>
                  </w:r>
                </w:p>
              </w:tc>
              <w:tc>
                <w:tcPr>
                  <w:tcW w:w="2603" w:type="dxa"/>
                  <w:tcBorders>
                    <w:top w:val="single" w:color="auto" w:sz="4" w:space="0"/>
                    <w:left w:val="single" w:color="auto" w:sz="4" w:space="0"/>
                    <w:bottom w:val="single" w:color="auto" w:sz="4" w:space="0"/>
                    <w:right w:val="single" w:color="auto" w:sz="4" w:space="0"/>
                  </w:tcBorders>
                  <w:vAlign w:val="center"/>
                </w:tcPr>
                <w:p w14:paraId="584193CB">
                  <w:pPr>
                    <w:pStyle w:val="126"/>
                    <w:spacing w:line="240" w:lineRule="auto"/>
                    <w:ind w:firstLine="0" w:firstLineChars="0"/>
                    <w:jc w:val="center"/>
                    <w:rPr>
                      <w:sz w:val="21"/>
                      <w:szCs w:val="21"/>
                    </w:rPr>
                  </w:pPr>
                  <w:r>
                    <w:rPr>
                      <w:kern w:val="0"/>
                      <w:sz w:val="21"/>
                      <w:szCs w:val="21"/>
                    </w:rPr>
                    <w:t>生产厂房等</w:t>
                  </w:r>
                  <w:r>
                    <w:rPr>
                      <w:sz w:val="21"/>
                      <w:szCs w:val="21"/>
                    </w:rPr>
                    <w:t>一般区域</w:t>
                  </w:r>
                </w:p>
              </w:tc>
              <w:tc>
                <w:tcPr>
                  <w:tcW w:w="4072" w:type="dxa"/>
                  <w:tcBorders>
                    <w:left w:val="single" w:color="auto" w:sz="4" w:space="0"/>
                  </w:tcBorders>
                  <w:vAlign w:val="center"/>
                </w:tcPr>
                <w:p w14:paraId="0CC8EC96">
                  <w:pPr>
                    <w:pStyle w:val="126"/>
                    <w:spacing w:line="240" w:lineRule="auto"/>
                    <w:ind w:firstLine="0" w:firstLineChars="0"/>
                    <w:jc w:val="center"/>
                    <w:rPr>
                      <w:sz w:val="21"/>
                      <w:szCs w:val="21"/>
                    </w:rPr>
                  </w:pPr>
                  <w:r>
                    <w:rPr>
                      <w:sz w:val="21"/>
                      <w:szCs w:val="21"/>
                    </w:rPr>
                    <w:t>等效黏土防渗层（厚度）Mb≧1.5m、渗透系数 K≦1.0×10</w:t>
                  </w:r>
                  <w:r>
                    <w:rPr>
                      <w:sz w:val="21"/>
                      <w:szCs w:val="21"/>
                      <w:vertAlign w:val="superscript"/>
                    </w:rPr>
                    <w:t>-7</w:t>
                  </w:r>
                  <w:r>
                    <w:rPr>
                      <w:sz w:val="21"/>
                      <w:szCs w:val="21"/>
                    </w:rPr>
                    <w:t>cm/s或参照GB16889执行</w:t>
                  </w:r>
                </w:p>
              </w:tc>
            </w:tr>
            <w:tr w14:paraId="31348D5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622" w:type="dxa"/>
                  <w:tcBorders>
                    <w:top w:val="single" w:color="auto" w:sz="4" w:space="0"/>
                    <w:right w:val="single" w:color="auto" w:sz="4" w:space="0"/>
                  </w:tcBorders>
                  <w:vAlign w:val="center"/>
                </w:tcPr>
                <w:p w14:paraId="01F9E808">
                  <w:pPr>
                    <w:pStyle w:val="126"/>
                    <w:spacing w:line="240" w:lineRule="auto"/>
                    <w:ind w:firstLine="0" w:firstLineChars="0"/>
                    <w:jc w:val="center"/>
                    <w:rPr>
                      <w:sz w:val="21"/>
                      <w:szCs w:val="21"/>
                    </w:rPr>
                  </w:pPr>
                  <w:r>
                    <w:rPr>
                      <w:sz w:val="21"/>
                      <w:szCs w:val="21"/>
                    </w:rPr>
                    <w:t>简单防渗区域</w:t>
                  </w:r>
                </w:p>
              </w:tc>
              <w:tc>
                <w:tcPr>
                  <w:tcW w:w="2603" w:type="dxa"/>
                  <w:tcBorders>
                    <w:top w:val="single" w:color="auto" w:sz="4" w:space="0"/>
                    <w:left w:val="single" w:color="auto" w:sz="4" w:space="0"/>
                    <w:right w:val="single" w:color="auto" w:sz="4" w:space="0"/>
                  </w:tcBorders>
                  <w:vAlign w:val="center"/>
                </w:tcPr>
                <w:p w14:paraId="0B488B19">
                  <w:pPr>
                    <w:pStyle w:val="126"/>
                    <w:spacing w:line="240" w:lineRule="auto"/>
                    <w:ind w:firstLine="0" w:firstLineChars="0"/>
                    <w:jc w:val="center"/>
                    <w:rPr>
                      <w:kern w:val="0"/>
                      <w:sz w:val="21"/>
                      <w:szCs w:val="21"/>
                    </w:rPr>
                  </w:pPr>
                  <w:r>
                    <w:rPr>
                      <w:kern w:val="0"/>
                      <w:sz w:val="21"/>
                      <w:szCs w:val="21"/>
                    </w:rPr>
                    <w:t>办公区域</w:t>
                  </w:r>
                </w:p>
              </w:tc>
              <w:tc>
                <w:tcPr>
                  <w:tcW w:w="4072" w:type="dxa"/>
                  <w:tcBorders>
                    <w:left w:val="single" w:color="auto" w:sz="4" w:space="0"/>
                  </w:tcBorders>
                  <w:vAlign w:val="center"/>
                </w:tcPr>
                <w:p w14:paraId="48C2FA46">
                  <w:pPr>
                    <w:pStyle w:val="126"/>
                    <w:spacing w:line="240" w:lineRule="auto"/>
                    <w:ind w:firstLine="0" w:firstLineChars="0"/>
                    <w:jc w:val="center"/>
                    <w:rPr>
                      <w:sz w:val="21"/>
                      <w:szCs w:val="21"/>
                    </w:rPr>
                  </w:pPr>
                  <w:r>
                    <w:rPr>
                      <w:sz w:val="21"/>
                      <w:szCs w:val="21"/>
                    </w:rPr>
                    <w:t>地面采用混凝土硬化</w:t>
                  </w:r>
                </w:p>
              </w:tc>
            </w:tr>
          </w:tbl>
          <w:p w14:paraId="7F7568C5">
            <w:pPr>
              <w:spacing w:line="360" w:lineRule="auto"/>
              <w:ind w:firstLine="482" w:firstLineChars="200"/>
              <w:rPr>
                <w:b/>
                <w:bCs/>
                <w:sz w:val="24"/>
              </w:rPr>
            </w:pPr>
            <w:r>
              <w:rPr>
                <w:rFonts w:hint="eastAsia"/>
                <w:b/>
                <w:bCs/>
                <w:sz w:val="24"/>
              </w:rPr>
              <w:t>6</w:t>
            </w:r>
            <w:r>
              <w:rPr>
                <w:b/>
                <w:bCs/>
                <w:sz w:val="24"/>
              </w:rPr>
              <w:t>、生态环境影响分析</w:t>
            </w:r>
          </w:p>
          <w:p w14:paraId="1BC656AA">
            <w:pPr>
              <w:spacing w:line="360" w:lineRule="auto"/>
              <w:ind w:firstLine="480" w:firstLineChars="200"/>
              <w:rPr>
                <w:sz w:val="24"/>
              </w:rPr>
            </w:pPr>
            <w:r>
              <w:rPr>
                <w:sz w:val="24"/>
              </w:rPr>
              <w:t>本</w:t>
            </w:r>
            <w:r>
              <w:rPr>
                <w:rFonts w:hint="eastAsia"/>
                <w:sz w:val="24"/>
              </w:rPr>
              <w:t>项目</w:t>
            </w:r>
            <w:r>
              <w:rPr>
                <w:sz w:val="24"/>
              </w:rPr>
              <w:t>占地面积</w:t>
            </w:r>
            <w:r>
              <w:rPr>
                <w:rFonts w:hint="eastAsia"/>
                <w:sz w:val="24"/>
              </w:rPr>
              <w:t>8750m</w:t>
            </w:r>
            <w:r>
              <w:rPr>
                <w:sz w:val="24"/>
                <w:vertAlign w:val="superscript"/>
              </w:rPr>
              <w:t>2</w:t>
            </w:r>
            <w:r>
              <w:rPr>
                <w:sz w:val="24"/>
              </w:rPr>
              <w:t>。</w:t>
            </w:r>
            <w:r>
              <w:rPr>
                <w:rFonts w:hint="eastAsia"/>
                <w:sz w:val="24"/>
              </w:rPr>
              <w:t>施工期</w:t>
            </w:r>
            <w:r>
              <w:rPr>
                <w:rFonts w:hint="eastAsia"/>
                <w:sz w:val="24"/>
                <w:lang w:val="en-US" w:eastAsia="zh-CN"/>
              </w:rPr>
              <w:t>主要为部分设备拆除</w:t>
            </w:r>
            <w:r>
              <w:rPr>
                <w:rFonts w:hint="eastAsia"/>
                <w:sz w:val="24"/>
              </w:rPr>
              <w:t>。经现场调查，</w:t>
            </w:r>
            <w:r>
              <w:rPr>
                <w:rFonts w:hint="eastAsia"/>
                <w:spacing w:val="-3"/>
                <w:sz w:val="24"/>
              </w:rPr>
              <w:t>本项目不新增用地，项目占地范围内及相邻均无生态环境保护目标，因此，无需进行生态环境影响分析</w:t>
            </w:r>
            <w:r>
              <w:rPr>
                <w:rFonts w:hint="eastAsia"/>
                <w:sz w:val="24"/>
              </w:rPr>
              <w:t>。</w:t>
            </w:r>
          </w:p>
          <w:p w14:paraId="412771F9">
            <w:pPr>
              <w:spacing w:line="360" w:lineRule="auto"/>
              <w:ind w:firstLine="482" w:firstLineChars="200"/>
              <w:rPr>
                <w:b/>
                <w:bCs/>
                <w:sz w:val="24"/>
              </w:rPr>
            </w:pPr>
            <w:r>
              <w:rPr>
                <w:rFonts w:hint="eastAsia"/>
                <w:b/>
                <w:bCs/>
                <w:sz w:val="24"/>
              </w:rPr>
              <w:t>7</w:t>
            </w:r>
            <w:r>
              <w:rPr>
                <w:b/>
                <w:bCs/>
                <w:sz w:val="24"/>
              </w:rPr>
              <w:t>、环境风险分析</w:t>
            </w:r>
          </w:p>
          <w:p w14:paraId="3B598A32">
            <w:pPr>
              <w:widowControl/>
              <w:kinsoku w:val="0"/>
              <w:autoSpaceDE w:val="0"/>
              <w:autoSpaceDN w:val="0"/>
              <w:spacing w:line="360" w:lineRule="auto"/>
              <w:ind w:firstLine="472" w:firstLineChars="200"/>
              <w:textAlignment w:val="baseline"/>
              <w:rPr>
                <w:sz w:val="24"/>
              </w:rPr>
            </w:pPr>
            <w:r>
              <w:rPr>
                <w:spacing w:val="-2"/>
                <w:sz w:val="24"/>
              </w:rPr>
              <w:t>（1）主要危险物质及风险源分布情况</w:t>
            </w:r>
          </w:p>
          <w:p w14:paraId="7616A1C3">
            <w:pPr>
              <w:spacing w:line="360" w:lineRule="auto"/>
              <w:ind w:firstLine="472" w:firstLineChars="200"/>
              <w:rPr>
                <w:spacing w:val="-2"/>
                <w:sz w:val="24"/>
              </w:rPr>
            </w:pPr>
            <w:r>
              <w:rPr>
                <w:spacing w:val="-2"/>
                <w:sz w:val="24"/>
              </w:rPr>
              <w:t>项目涉及的主要风险物质为</w:t>
            </w:r>
            <w:r>
              <w:rPr>
                <w:rFonts w:hint="eastAsia"/>
                <w:sz w:val="24"/>
              </w:rPr>
              <w:t>天然气、齿轮油、导轨油、防锈乳化油、甲基硅油、丙烷、废活性炭</w:t>
            </w:r>
            <w:r>
              <w:rPr>
                <w:rFonts w:hint="eastAsia"/>
                <w:sz w:val="24"/>
                <w:lang w:eastAsia="zh-CN"/>
              </w:rPr>
              <w:t>、</w:t>
            </w:r>
            <w:r>
              <w:rPr>
                <w:rFonts w:hint="eastAsia"/>
                <w:sz w:val="24"/>
                <w:lang w:val="en-US" w:eastAsia="zh-CN"/>
              </w:rPr>
              <w:t>废矿物油</w:t>
            </w:r>
            <w:r>
              <w:rPr>
                <w:rFonts w:hint="eastAsia"/>
                <w:spacing w:val="-2"/>
                <w:sz w:val="24"/>
              </w:rPr>
              <w:t>等</w:t>
            </w:r>
            <w:r>
              <w:rPr>
                <w:spacing w:val="-2"/>
                <w:sz w:val="24"/>
              </w:rPr>
              <w:t>。根据建设项目生产、使用、储存过程中涉及的有毒有害、易燃易爆物质，参考附录B确定危险物质的临界量，定量分析风险物质与临界量比值Q和所所属行业及生产特点M进行判定。</w:t>
            </w:r>
          </w:p>
          <w:p w14:paraId="0601B7E8">
            <w:pPr>
              <w:spacing w:line="360" w:lineRule="auto"/>
              <w:ind w:firstLine="480" w:firstLineChars="200"/>
              <w:rPr>
                <w:kern w:val="0"/>
                <w:sz w:val="24"/>
              </w:rPr>
            </w:pPr>
            <w:r>
              <w:rPr>
                <w:kern w:val="0"/>
                <w:sz w:val="24"/>
              </w:rPr>
              <w:t>根据《建设项目环境风险评价技术导则》（HJ169-2018）附表B和附录C突发环境事件风险物质及临界量表，根据本项目环境风险物质最大存在总量</w:t>
            </w:r>
          </w:p>
          <w:p w14:paraId="0B7FFE1C">
            <w:pPr>
              <w:spacing w:line="360" w:lineRule="auto"/>
              <w:ind w:firstLine="480" w:firstLineChars="200"/>
              <w:rPr>
                <w:kern w:val="0"/>
                <w:sz w:val="24"/>
              </w:rPr>
            </w:pPr>
            <w:r>
              <w:rPr>
                <w:kern w:val="0"/>
                <w:sz w:val="24"/>
              </w:rPr>
              <w:t>（以折纯计）与其对应的临界量，计算（Q），计算公式如下：</w:t>
            </w:r>
          </w:p>
          <w:p w14:paraId="044F04FC">
            <w:pPr>
              <w:spacing w:line="360" w:lineRule="auto"/>
              <w:ind w:firstLine="480" w:firstLineChars="200"/>
              <w:jc w:val="center"/>
              <w:rPr>
                <w:kern w:val="0"/>
                <w:sz w:val="24"/>
              </w:rPr>
            </w:pPr>
            <w:r>
              <w:rPr>
                <w:kern w:val="0"/>
                <w:sz w:val="24"/>
              </w:rPr>
              <w:drawing>
                <wp:inline distT="0" distB="0" distL="114300" distR="114300">
                  <wp:extent cx="1706245" cy="476250"/>
                  <wp:effectExtent l="0" t="0" r="8255" b="0"/>
                  <wp:docPr id="11" name="图片 2"/>
                  <wp:cNvGraphicFramePr/>
                  <a:graphic xmlns:a="http://schemas.openxmlformats.org/drawingml/2006/main">
                    <a:graphicData uri="http://schemas.openxmlformats.org/drawingml/2006/picture">
                      <pic:pic xmlns:pic="http://schemas.openxmlformats.org/drawingml/2006/picture">
                        <pic:nvPicPr>
                          <pic:cNvPr id="11" name="图片 2"/>
                          <pic:cNvPicPr/>
                        </pic:nvPicPr>
                        <pic:blipFill>
                          <a:blip r:embed="rId34" cstate="print"/>
                          <a:stretch>
                            <a:fillRect/>
                          </a:stretch>
                        </pic:blipFill>
                        <pic:spPr>
                          <a:xfrm>
                            <a:off x="0" y="0"/>
                            <a:ext cx="1706245" cy="476250"/>
                          </a:xfrm>
                          <a:prstGeom prst="rect">
                            <a:avLst/>
                          </a:prstGeom>
                          <a:noFill/>
                          <a:ln>
                            <a:noFill/>
                          </a:ln>
                        </pic:spPr>
                      </pic:pic>
                    </a:graphicData>
                  </a:graphic>
                </wp:inline>
              </w:drawing>
            </w:r>
          </w:p>
          <w:p w14:paraId="53FD2496">
            <w:pPr>
              <w:spacing w:line="360" w:lineRule="auto"/>
              <w:ind w:firstLine="480" w:firstLineChars="200"/>
              <w:rPr>
                <w:kern w:val="0"/>
                <w:sz w:val="24"/>
              </w:rPr>
            </w:pPr>
            <w:r>
              <w:rPr>
                <w:kern w:val="0"/>
                <w:sz w:val="24"/>
              </w:rPr>
              <w:t>式中：q</w:t>
            </w:r>
            <w:r>
              <w:rPr>
                <w:kern w:val="0"/>
                <w:sz w:val="24"/>
                <w:vertAlign w:val="subscript"/>
              </w:rPr>
              <w:t>1</w:t>
            </w:r>
            <w:r>
              <w:rPr>
                <w:kern w:val="0"/>
                <w:sz w:val="24"/>
              </w:rPr>
              <w:t>、q</w:t>
            </w:r>
            <w:r>
              <w:rPr>
                <w:kern w:val="0"/>
                <w:sz w:val="24"/>
                <w:vertAlign w:val="subscript"/>
              </w:rPr>
              <w:t>2</w:t>
            </w:r>
            <w:r>
              <w:rPr>
                <w:kern w:val="0"/>
                <w:sz w:val="24"/>
              </w:rPr>
              <w:t>、···q</w:t>
            </w:r>
            <w:r>
              <w:rPr>
                <w:kern w:val="0"/>
                <w:sz w:val="24"/>
                <w:vertAlign w:val="subscript"/>
              </w:rPr>
              <w:t>n</w:t>
            </w:r>
            <w:r>
              <w:rPr>
                <w:kern w:val="0"/>
                <w:sz w:val="24"/>
              </w:rPr>
              <w:t>——每种环境风险物质的最大存在总量，t；</w:t>
            </w:r>
          </w:p>
          <w:p w14:paraId="55D93993">
            <w:pPr>
              <w:spacing w:line="360" w:lineRule="auto"/>
              <w:ind w:firstLine="480" w:firstLineChars="200"/>
              <w:rPr>
                <w:kern w:val="0"/>
                <w:sz w:val="24"/>
              </w:rPr>
            </w:pPr>
            <w:r>
              <w:rPr>
                <w:kern w:val="0"/>
                <w:sz w:val="24"/>
              </w:rPr>
              <w:t>Q</w:t>
            </w:r>
            <w:r>
              <w:rPr>
                <w:kern w:val="0"/>
                <w:sz w:val="24"/>
                <w:vertAlign w:val="subscript"/>
              </w:rPr>
              <w:t>1</w:t>
            </w:r>
            <w:r>
              <w:rPr>
                <w:kern w:val="0"/>
                <w:sz w:val="24"/>
              </w:rPr>
              <w:t>、Q</w:t>
            </w:r>
            <w:r>
              <w:rPr>
                <w:kern w:val="0"/>
                <w:sz w:val="24"/>
                <w:vertAlign w:val="subscript"/>
              </w:rPr>
              <w:t>2</w:t>
            </w:r>
            <w:r>
              <w:rPr>
                <w:kern w:val="0"/>
                <w:sz w:val="24"/>
              </w:rPr>
              <w:t>、···Q</w:t>
            </w:r>
            <w:r>
              <w:rPr>
                <w:kern w:val="0"/>
                <w:sz w:val="24"/>
                <w:vertAlign w:val="subscript"/>
              </w:rPr>
              <w:t>n</w:t>
            </w:r>
            <w:r>
              <w:rPr>
                <w:kern w:val="0"/>
                <w:sz w:val="24"/>
              </w:rPr>
              <w:t>——种环境风险物质相对应的临界量，t。</w:t>
            </w:r>
          </w:p>
          <w:p w14:paraId="300349C8">
            <w:pPr>
              <w:spacing w:line="360" w:lineRule="auto"/>
              <w:ind w:firstLine="480" w:firstLineChars="200"/>
              <w:rPr>
                <w:b/>
                <w:bCs/>
                <w:kern w:val="0"/>
                <w:sz w:val="24"/>
              </w:rPr>
            </w:pPr>
            <w:r>
              <w:rPr>
                <w:kern w:val="0"/>
                <w:sz w:val="24"/>
              </w:rPr>
              <w:t>计算出Q值后，将Q值划分为4级，分别为Q＜1，该项目环境风险潜势为Ⅰ；当Q≥1有三种情况，（1≤Q＜10；10≤Q＜100；Q≥100）。根据《建设项目环境风险评价技术导则》（HJ169-2018）附录B重点关注的危险物质及临界值，项目风险物质数量及临界量比值情况</w:t>
            </w:r>
            <w:r>
              <w:rPr>
                <w:rFonts w:hint="eastAsia"/>
                <w:kern w:val="0"/>
                <w:sz w:val="24"/>
              </w:rPr>
              <w:t>见</w:t>
            </w:r>
            <w:r>
              <w:rPr>
                <w:kern w:val="0"/>
                <w:sz w:val="24"/>
              </w:rPr>
              <w:t>表</w:t>
            </w:r>
            <w:r>
              <w:rPr>
                <w:rFonts w:hint="eastAsia"/>
                <w:kern w:val="0"/>
                <w:sz w:val="24"/>
              </w:rPr>
              <w:t>4-19</w:t>
            </w:r>
            <w:r>
              <w:rPr>
                <w:kern w:val="0"/>
                <w:sz w:val="24"/>
              </w:rPr>
              <w:t>。</w:t>
            </w:r>
          </w:p>
          <w:p w14:paraId="2444A555">
            <w:pPr>
              <w:jc w:val="center"/>
              <w:rPr>
                <w:b/>
                <w:bCs/>
                <w:kern w:val="0"/>
                <w:szCs w:val="21"/>
              </w:rPr>
            </w:pPr>
            <w:r>
              <w:rPr>
                <w:b/>
                <w:bCs/>
                <w:kern w:val="0"/>
                <w:sz w:val="24"/>
              </w:rPr>
              <w:t>表4-</w:t>
            </w:r>
            <w:r>
              <w:rPr>
                <w:rFonts w:hint="eastAsia"/>
                <w:b/>
                <w:bCs/>
                <w:kern w:val="0"/>
                <w:sz w:val="24"/>
              </w:rPr>
              <w:t>19</w:t>
            </w:r>
            <w:r>
              <w:rPr>
                <w:b/>
                <w:bCs/>
                <w:kern w:val="0"/>
                <w:sz w:val="24"/>
              </w:rPr>
              <w:t xml:space="preserve">  </w:t>
            </w:r>
            <w:r>
              <w:rPr>
                <w:rFonts w:hint="eastAsia"/>
                <w:b/>
                <w:bCs/>
                <w:kern w:val="0"/>
                <w:sz w:val="24"/>
              </w:rPr>
              <w:t xml:space="preserve">    </w:t>
            </w:r>
            <w:r>
              <w:rPr>
                <w:b/>
                <w:bCs/>
                <w:kern w:val="0"/>
                <w:sz w:val="24"/>
              </w:rPr>
              <w:t>主要风险物质一览表</w:t>
            </w:r>
          </w:p>
          <w:tbl>
            <w:tblPr>
              <w:tblStyle w:val="36"/>
              <w:tblW w:w="827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52"/>
              <w:gridCol w:w="1435"/>
              <w:gridCol w:w="1664"/>
              <w:gridCol w:w="1641"/>
              <w:gridCol w:w="1314"/>
              <w:gridCol w:w="1566"/>
            </w:tblGrid>
            <w:tr w14:paraId="1BF7485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652" w:type="dxa"/>
                  <w:vAlign w:val="center"/>
                </w:tcPr>
                <w:p w14:paraId="60AA9984">
                  <w:pPr>
                    <w:jc w:val="center"/>
                    <w:rPr>
                      <w:b/>
                      <w:bCs/>
                      <w:kern w:val="0"/>
                      <w:szCs w:val="21"/>
                    </w:rPr>
                  </w:pPr>
                  <w:r>
                    <w:rPr>
                      <w:spacing w:val="-2"/>
                      <w:szCs w:val="21"/>
                    </w:rPr>
                    <w:t>序</w:t>
                  </w:r>
                  <w:r>
                    <w:rPr>
                      <w:spacing w:val="-1"/>
                      <w:szCs w:val="21"/>
                    </w:rPr>
                    <w:t>号</w:t>
                  </w:r>
                </w:p>
              </w:tc>
              <w:tc>
                <w:tcPr>
                  <w:tcW w:w="1435" w:type="dxa"/>
                  <w:vAlign w:val="center"/>
                </w:tcPr>
                <w:p w14:paraId="0BC7F1DC">
                  <w:pPr>
                    <w:jc w:val="center"/>
                    <w:rPr>
                      <w:b/>
                      <w:bCs/>
                      <w:kern w:val="0"/>
                      <w:szCs w:val="21"/>
                    </w:rPr>
                  </w:pPr>
                  <w:r>
                    <w:rPr>
                      <w:spacing w:val="-2"/>
                      <w:szCs w:val="21"/>
                    </w:rPr>
                    <w:t>化</w:t>
                  </w:r>
                  <w:r>
                    <w:rPr>
                      <w:spacing w:val="-1"/>
                      <w:szCs w:val="21"/>
                    </w:rPr>
                    <w:t>学品名称</w:t>
                  </w:r>
                </w:p>
              </w:tc>
              <w:tc>
                <w:tcPr>
                  <w:tcW w:w="1664" w:type="dxa"/>
                  <w:vAlign w:val="center"/>
                </w:tcPr>
                <w:p w14:paraId="3E969AE5">
                  <w:pPr>
                    <w:jc w:val="center"/>
                    <w:rPr>
                      <w:b/>
                      <w:bCs/>
                      <w:kern w:val="0"/>
                      <w:szCs w:val="21"/>
                    </w:rPr>
                  </w:pPr>
                  <w:r>
                    <w:rPr>
                      <w:b/>
                      <w:bCs/>
                      <w:color w:val="000000"/>
                      <w:szCs w:val="21"/>
                    </w:rPr>
                    <w:t>风险源</w:t>
                  </w:r>
                </w:p>
              </w:tc>
              <w:tc>
                <w:tcPr>
                  <w:tcW w:w="1641" w:type="dxa"/>
                  <w:vAlign w:val="center"/>
                </w:tcPr>
                <w:p w14:paraId="6443D598">
                  <w:pPr>
                    <w:jc w:val="center"/>
                    <w:rPr>
                      <w:spacing w:val="-16"/>
                      <w:szCs w:val="21"/>
                    </w:rPr>
                  </w:pPr>
                  <w:r>
                    <w:rPr>
                      <w:spacing w:val="-13"/>
                      <w:szCs w:val="21"/>
                    </w:rPr>
                    <w:t>最</w:t>
                  </w:r>
                  <w:r>
                    <w:rPr>
                      <w:spacing w:val="-7"/>
                      <w:szCs w:val="21"/>
                    </w:rPr>
                    <w:t>大储存量</w:t>
                  </w:r>
                  <w:r>
                    <w:rPr>
                      <w:rFonts w:hint="eastAsia"/>
                      <w:spacing w:val="-7"/>
                      <w:szCs w:val="21"/>
                    </w:rPr>
                    <w:t>（t）</w:t>
                  </w:r>
                  <w:r>
                    <w:rPr>
                      <w:rFonts w:eastAsia="Times New Roman"/>
                      <w:spacing w:val="-7"/>
                      <w:szCs w:val="21"/>
                    </w:rPr>
                    <w:t>q</w:t>
                  </w:r>
                </w:p>
              </w:tc>
              <w:tc>
                <w:tcPr>
                  <w:tcW w:w="1314" w:type="dxa"/>
                  <w:vAlign w:val="center"/>
                </w:tcPr>
                <w:p w14:paraId="6F09F580">
                  <w:pPr>
                    <w:jc w:val="center"/>
                    <w:rPr>
                      <w:b/>
                      <w:bCs/>
                      <w:kern w:val="0"/>
                      <w:szCs w:val="21"/>
                    </w:rPr>
                  </w:pPr>
                  <w:r>
                    <w:rPr>
                      <w:spacing w:val="-16"/>
                      <w:szCs w:val="21"/>
                    </w:rPr>
                    <w:t>临</w:t>
                  </w:r>
                  <w:r>
                    <w:rPr>
                      <w:spacing w:val="-12"/>
                      <w:szCs w:val="21"/>
                    </w:rPr>
                    <w:t>界量</w:t>
                  </w:r>
                  <w:r>
                    <w:rPr>
                      <w:rFonts w:eastAsia="Times New Roman"/>
                      <w:spacing w:val="-12"/>
                      <w:szCs w:val="21"/>
                    </w:rPr>
                    <w:t>Q</w:t>
                  </w:r>
                </w:p>
              </w:tc>
              <w:tc>
                <w:tcPr>
                  <w:tcW w:w="1566" w:type="dxa"/>
                  <w:vAlign w:val="center"/>
                </w:tcPr>
                <w:p w14:paraId="065ACD19">
                  <w:pPr>
                    <w:jc w:val="center"/>
                    <w:rPr>
                      <w:b/>
                      <w:bCs/>
                      <w:kern w:val="0"/>
                      <w:szCs w:val="21"/>
                    </w:rPr>
                  </w:pPr>
                  <w:r>
                    <w:rPr>
                      <w:rFonts w:eastAsia="Times New Roman"/>
                      <w:spacing w:val="-2"/>
                      <w:szCs w:val="21"/>
                    </w:rPr>
                    <w:t>q/Q</w:t>
                  </w:r>
                </w:p>
              </w:tc>
            </w:tr>
            <w:tr w14:paraId="2CD8104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93" w:hRule="atLeast"/>
                <w:jc w:val="center"/>
              </w:trPr>
              <w:tc>
                <w:tcPr>
                  <w:tcW w:w="652" w:type="dxa"/>
                  <w:vAlign w:val="center"/>
                </w:tcPr>
                <w:p w14:paraId="1DD21A02">
                  <w:pPr>
                    <w:adjustRightInd w:val="0"/>
                    <w:snapToGrid w:val="0"/>
                    <w:jc w:val="center"/>
                    <w:rPr>
                      <w:kern w:val="0"/>
                      <w:szCs w:val="21"/>
                    </w:rPr>
                  </w:pPr>
                  <w:r>
                    <w:rPr>
                      <w:kern w:val="0"/>
                      <w:szCs w:val="21"/>
                    </w:rPr>
                    <w:t>1</w:t>
                  </w:r>
                </w:p>
              </w:tc>
              <w:tc>
                <w:tcPr>
                  <w:tcW w:w="1435" w:type="dxa"/>
                  <w:vAlign w:val="center"/>
                </w:tcPr>
                <w:p w14:paraId="6E6FE502">
                  <w:pPr>
                    <w:widowControl/>
                    <w:jc w:val="center"/>
                    <w:rPr>
                      <w:szCs w:val="21"/>
                    </w:rPr>
                  </w:pPr>
                  <w:r>
                    <w:rPr>
                      <w:rFonts w:hint="eastAsia"/>
                      <w:szCs w:val="21"/>
                    </w:rPr>
                    <w:t>天然气</w:t>
                  </w:r>
                </w:p>
              </w:tc>
              <w:tc>
                <w:tcPr>
                  <w:tcW w:w="1664" w:type="dxa"/>
                  <w:vMerge w:val="restart"/>
                  <w:vAlign w:val="center"/>
                </w:tcPr>
                <w:p w14:paraId="699E29C3">
                  <w:pPr>
                    <w:jc w:val="center"/>
                    <w:rPr>
                      <w:kern w:val="0"/>
                      <w:szCs w:val="21"/>
                    </w:rPr>
                  </w:pPr>
                  <w:r>
                    <w:rPr>
                      <w:rFonts w:hint="eastAsia"/>
                      <w:kern w:val="0"/>
                      <w:szCs w:val="21"/>
                    </w:rPr>
                    <w:t>五金仓库</w:t>
                  </w:r>
                </w:p>
              </w:tc>
              <w:tc>
                <w:tcPr>
                  <w:tcW w:w="1641" w:type="dxa"/>
                  <w:vAlign w:val="center"/>
                </w:tcPr>
                <w:p w14:paraId="1824CD4F">
                  <w:pPr>
                    <w:jc w:val="center"/>
                    <w:rPr>
                      <w:kern w:val="0"/>
                      <w:szCs w:val="21"/>
                    </w:rPr>
                  </w:pPr>
                  <w:r>
                    <w:rPr>
                      <w:rFonts w:hint="eastAsia"/>
                      <w:szCs w:val="21"/>
                    </w:rPr>
                    <w:t>0.02</w:t>
                  </w:r>
                </w:p>
              </w:tc>
              <w:tc>
                <w:tcPr>
                  <w:tcW w:w="1314" w:type="dxa"/>
                  <w:vAlign w:val="center"/>
                </w:tcPr>
                <w:p w14:paraId="267552AD">
                  <w:pPr>
                    <w:pStyle w:val="183"/>
                    <w:tabs>
                      <w:tab w:val="left" w:pos="-2848"/>
                      <w:tab w:val="right" w:pos="1808"/>
                    </w:tabs>
                    <w:adjustRightInd/>
                    <w:snapToGrid/>
                    <w:spacing w:before="120"/>
                    <w:rPr>
                      <w:kern w:val="0"/>
                      <w:szCs w:val="21"/>
                    </w:rPr>
                  </w:pPr>
                  <w:r>
                    <w:rPr>
                      <w:rFonts w:hint="eastAsia"/>
                      <w:szCs w:val="21"/>
                    </w:rPr>
                    <w:t>10</w:t>
                  </w:r>
                </w:p>
              </w:tc>
              <w:tc>
                <w:tcPr>
                  <w:tcW w:w="1566" w:type="dxa"/>
                  <w:vAlign w:val="center"/>
                </w:tcPr>
                <w:p w14:paraId="15854301">
                  <w:pPr>
                    <w:pStyle w:val="183"/>
                    <w:tabs>
                      <w:tab w:val="left" w:pos="-2848"/>
                      <w:tab w:val="right" w:pos="1808"/>
                    </w:tabs>
                    <w:adjustRightInd/>
                    <w:snapToGrid/>
                    <w:spacing w:before="120"/>
                    <w:rPr>
                      <w:kern w:val="0"/>
                      <w:szCs w:val="21"/>
                    </w:rPr>
                  </w:pPr>
                  <w:r>
                    <w:rPr>
                      <w:rFonts w:hint="eastAsia"/>
                      <w:szCs w:val="21"/>
                    </w:rPr>
                    <w:t>0.002</w:t>
                  </w:r>
                </w:p>
              </w:tc>
            </w:tr>
            <w:tr w14:paraId="70C1405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49" w:hRule="atLeast"/>
                <w:jc w:val="center"/>
              </w:trPr>
              <w:tc>
                <w:tcPr>
                  <w:tcW w:w="652" w:type="dxa"/>
                  <w:vAlign w:val="center"/>
                </w:tcPr>
                <w:p w14:paraId="6A88E032">
                  <w:pPr>
                    <w:adjustRightInd w:val="0"/>
                    <w:snapToGrid w:val="0"/>
                    <w:jc w:val="center"/>
                    <w:rPr>
                      <w:kern w:val="0"/>
                      <w:szCs w:val="21"/>
                    </w:rPr>
                  </w:pPr>
                  <w:r>
                    <w:rPr>
                      <w:kern w:val="0"/>
                      <w:szCs w:val="21"/>
                    </w:rPr>
                    <w:t>2</w:t>
                  </w:r>
                </w:p>
              </w:tc>
              <w:tc>
                <w:tcPr>
                  <w:tcW w:w="1435" w:type="dxa"/>
                  <w:vAlign w:val="center"/>
                </w:tcPr>
                <w:p w14:paraId="1CC1F093">
                  <w:pPr>
                    <w:widowControl/>
                    <w:jc w:val="center"/>
                    <w:rPr>
                      <w:szCs w:val="21"/>
                    </w:rPr>
                  </w:pPr>
                  <w:r>
                    <w:rPr>
                      <w:rFonts w:hint="eastAsia"/>
                      <w:szCs w:val="21"/>
                      <w:lang w:val="de-DE"/>
                    </w:rPr>
                    <w:t>丙烷</w:t>
                  </w:r>
                </w:p>
              </w:tc>
              <w:tc>
                <w:tcPr>
                  <w:tcW w:w="1664" w:type="dxa"/>
                  <w:vMerge w:val="continue"/>
                  <w:vAlign w:val="center"/>
                </w:tcPr>
                <w:p w14:paraId="41FA0F0C">
                  <w:pPr>
                    <w:jc w:val="center"/>
                    <w:rPr>
                      <w:kern w:val="0"/>
                      <w:szCs w:val="21"/>
                    </w:rPr>
                  </w:pPr>
                </w:p>
              </w:tc>
              <w:tc>
                <w:tcPr>
                  <w:tcW w:w="1641" w:type="dxa"/>
                  <w:vAlign w:val="center"/>
                </w:tcPr>
                <w:p w14:paraId="25DDE183">
                  <w:pPr>
                    <w:jc w:val="center"/>
                    <w:rPr>
                      <w:kern w:val="0"/>
                      <w:szCs w:val="21"/>
                    </w:rPr>
                  </w:pPr>
                  <w:r>
                    <w:rPr>
                      <w:rFonts w:hint="eastAsia"/>
                      <w:szCs w:val="21"/>
                    </w:rPr>
                    <w:t>0.087</w:t>
                  </w:r>
                </w:p>
              </w:tc>
              <w:tc>
                <w:tcPr>
                  <w:tcW w:w="1314" w:type="dxa"/>
                  <w:vAlign w:val="center"/>
                </w:tcPr>
                <w:p w14:paraId="294BA5B6">
                  <w:pPr>
                    <w:pStyle w:val="183"/>
                    <w:tabs>
                      <w:tab w:val="left" w:pos="-2848"/>
                      <w:tab w:val="right" w:pos="1808"/>
                    </w:tabs>
                    <w:adjustRightInd/>
                    <w:snapToGrid/>
                    <w:spacing w:before="120"/>
                    <w:rPr>
                      <w:kern w:val="0"/>
                      <w:szCs w:val="21"/>
                    </w:rPr>
                  </w:pPr>
                  <w:r>
                    <w:rPr>
                      <w:rFonts w:hint="eastAsia"/>
                      <w:szCs w:val="21"/>
                    </w:rPr>
                    <w:t>10</w:t>
                  </w:r>
                </w:p>
              </w:tc>
              <w:tc>
                <w:tcPr>
                  <w:tcW w:w="1566" w:type="dxa"/>
                  <w:vAlign w:val="center"/>
                </w:tcPr>
                <w:p w14:paraId="7A95333A">
                  <w:pPr>
                    <w:pStyle w:val="183"/>
                    <w:tabs>
                      <w:tab w:val="left" w:pos="-2848"/>
                      <w:tab w:val="right" w:pos="1808"/>
                    </w:tabs>
                    <w:adjustRightInd/>
                    <w:snapToGrid/>
                    <w:spacing w:before="120"/>
                    <w:rPr>
                      <w:kern w:val="0"/>
                      <w:szCs w:val="21"/>
                    </w:rPr>
                  </w:pPr>
                  <w:r>
                    <w:rPr>
                      <w:rFonts w:hint="eastAsia"/>
                      <w:szCs w:val="21"/>
                    </w:rPr>
                    <w:t>0.0087</w:t>
                  </w:r>
                </w:p>
              </w:tc>
            </w:tr>
            <w:tr w14:paraId="6C32391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9" w:hRule="atLeast"/>
                <w:jc w:val="center"/>
              </w:trPr>
              <w:tc>
                <w:tcPr>
                  <w:tcW w:w="652" w:type="dxa"/>
                  <w:vAlign w:val="center"/>
                </w:tcPr>
                <w:p w14:paraId="54D24716">
                  <w:pPr>
                    <w:adjustRightInd w:val="0"/>
                    <w:snapToGrid w:val="0"/>
                    <w:jc w:val="center"/>
                    <w:rPr>
                      <w:kern w:val="0"/>
                      <w:szCs w:val="21"/>
                    </w:rPr>
                  </w:pPr>
                  <w:r>
                    <w:rPr>
                      <w:rFonts w:hint="eastAsia"/>
                      <w:kern w:val="0"/>
                      <w:szCs w:val="21"/>
                    </w:rPr>
                    <w:t>3</w:t>
                  </w:r>
                </w:p>
              </w:tc>
              <w:tc>
                <w:tcPr>
                  <w:tcW w:w="1435" w:type="dxa"/>
                  <w:vAlign w:val="center"/>
                </w:tcPr>
                <w:p w14:paraId="5FBED56E">
                  <w:pPr>
                    <w:widowControl/>
                    <w:jc w:val="center"/>
                    <w:rPr>
                      <w:szCs w:val="21"/>
                    </w:rPr>
                  </w:pPr>
                  <w:r>
                    <w:rPr>
                      <w:rFonts w:hint="eastAsia"/>
                      <w:szCs w:val="21"/>
                    </w:rPr>
                    <w:t>齿轮油</w:t>
                  </w:r>
                </w:p>
              </w:tc>
              <w:tc>
                <w:tcPr>
                  <w:tcW w:w="1664" w:type="dxa"/>
                  <w:vMerge w:val="continue"/>
                  <w:vAlign w:val="center"/>
                </w:tcPr>
                <w:p w14:paraId="253EEEAD">
                  <w:pPr>
                    <w:jc w:val="center"/>
                    <w:rPr>
                      <w:szCs w:val="21"/>
                    </w:rPr>
                  </w:pPr>
                </w:p>
              </w:tc>
              <w:tc>
                <w:tcPr>
                  <w:tcW w:w="1641" w:type="dxa"/>
                  <w:vAlign w:val="center"/>
                </w:tcPr>
                <w:p w14:paraId="67F46A00">
                  <w:pPr>
                    <w:jc w:val="center"/>
                    <w:rPr>
                      <w:szCs w:val="21"/>
                    </w:rPr>
                  </w:pPr>
                  <w:r>
                    <w:rPr>
                      <w:rFonts w:hint="eastAsia"/>
                      <w:szCs w:val="21"/>
                    </w:rPr>
                    <w:t>0.0175</w:t>
                  </w:r>
                </w:p>
              </w:tc>
              <w:tc>
                <w:tcPr>
                  <w:tcW w:w="1314" w:type="dxa"/>
                  <w:vAlign w:val="center"/>
                </w:tcPr>
                <w:p w14:paraId="52AE1F86">
                  <w:pPr>
                    <w:pStyle w:val="183"/>
                    <w:tabs>
                      <w:tab w:val="left" w:pos="-2848"/>
                      <w:tab w:val="right" w:pos="1808"/>
                    </w:tabs>
                    <w:adjustRightInd/>
                    <w:snapToGrid/>
                    <w:spacing w:before="120"/>
                    <w:rPr>
                      <w:kern w:val="0"/>
                      <w:szCs w:val="21"/>
                    </w:rPr>
                  </w:pPr>
                  <w:r>
                    <w:rPr>
                      <w:szCs w:val="21"/>
                    </w:rPr>
                    <w:t>2500</w:t>
                  </w:r>
                </w:p>
              </w:tc>
              <w:tc>
                <w:tcPr>
                  <w:tcW w:w="1566" w:type="dxa"/>
                  <w:vAlign w:val="center"/>
                </w:tcPr>
                <w:p w14:paraId="5CABE8D2">
                  <w:pPr>
                    <w:pStyle w:val="183"/>
                    <w:tabs>
                      <w:tab w:val="left" w:pos="-2848"/>
                      <w:tab w:val="right" w:pos="1808"/>
                    </w:tabs>
                    <w:adjustRightInd/>
                    <w:snapToGrid/>
                    <w:spacing w:before="120"/>
                    <w:rPr>
                      <w:kern w:val="0"/>
                      <w:szCs w:val="21"/>
                    </w:rPr>
                  </w:pPr>
                  <w:r>
                    <w:rPr>
                      <w:rFonts w:hint="eastAsia"/>
                      <w:szCs w:val="21"/>
                    </w:rPr>
                    <w:t>0.000007</w:t>
                  </w:r>
                </w:p>
              </w:tc>
            </w:tr>
            <w:tr w14:paraId="389216C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24" w:hRule="atLeast"/>
                <w:jc w:val="center"/>
              </w:trPr>
              <w:tc>
                <w:tcPr>
                  <w:tcW w:w="652" w:type="dxa"/>
                  <w:vAlign w:val="center"/>
                </w:tcPr>
                <w:p w14:paraId="61A7B154">
                  <w:pPr>
                    <w:adjustRightInd w:val="0"/>
                    <w:snapToGrid w:val="0"/>
                    <w:jc w:val="center"/>
                    <w:rPr>
                      <w:kern w:val="0"/>
                      <w:szCs w:val="21"/>
                    </w:rPr>
                  </w:pPr>
                  <w:r>
                    <w:rPr>
                      <w:rFonts w:hint="eastAsia"/>
                      <w:kern w:val="0"/>
                      <w:szCs w:val="21"/>
                    </w:rPr>
                    <w:t>4</w:t>
                  </w:r>
                </w:p>
              </w:tc>
              <w:tc>
                <w:tcPr>
                  <w:tcW w:w="1435" w:type="dxa"/>
                  <w:vAlign w:val="center"/>
                </w:tcPr>
                <w:p w14:paraId="371848DC">
                  <w:pPr>
                    <w:widowControl/>
                    <w:jc w:val="center"/>
                    <w:rPr>
                      <w:szCs w:val="21"/>
                    </w:rPr>
                  </w:pPr>
                  <w:r>
                    <w:rPr>
                      <w:rFonts w:hint="eastAsia"/>
                      <w:szCs w:val="21"/>
                    </w:rPr>
                    <w:t>导轨油</w:t>
                  </w:r>
                </w:p>
              </w:tc>
              <w:tc>
                <w:tcPr>
                  <w:tcW w:w="1664" w:type="dxa"/>
                  <w:vMerge w:val="continue"/>
                  <w:vAlign w:val="center"/>
                </w:tcPr>
                <w:p w14:paraId="10C93420">
                  <w:pPr>
                    <w:jc w:val="center"/>
                    <w:rPr>
                      <w:szCs w:val="21"/>
                    </w:rPr>
                  </w:pPr>
                </w:p>
              </w:tc>
              <w:tc>
                <w:tcPr>
                  <w:tcW w:w="1641" w:type="dxa"/>
                  <w:vAlign w:val="center"/>
                </w:tcPr>
                <w:p w14:paraId="1CAD817C">
                  <w:pPr>
                    <w:jc w:val="center"/>
                    <w:rPr>
                      <w:szCs w:val="21"/>
                    </w:rPr>
                  </w:pPr>
                  <w:r>
                    <w:rPr>
                      <w:rFonts w:hint="eastAsia"/>
                      <w:szCs w:val="21"/>
                    </w:rPr>
                    <w:t>0.0175</w:t>
                  </w:r>
                </w:p>
              </w:tc>
              <w:tc>
                <w:tcPr>
                  <w:tcW w:w="1314" w:type="dxa"/>
                  <w:vAlign w:val="center"/>
                </w:tcPr>
                <w:p w14:paraId="4F742201">
                  <w:pPr>
                    <w:pStyle w:val="183"/>
                    <w:tabs>
                      <w:tab w:val="left" w:pos="-2848"/>
                      <w:tab w:val="right" w:pos="1808"/>
                    </w:tabs>
                    <w:adjustRightInd/>
                    <w:snapToGrid/>
                    <w:spacing w:before="120"/>
                    <w:rPr>
                      <w:kern w:val="0"/>
                      <w:szCs w:val="21"/>
                    </w:rPr>
                  </w:pPr>
                  <w:r>
                    <w:rPr>
                      <w:rFonts w:hint="eastAsia"/>
                      <w:szCs w:val="21"/>
                    </w:rPr>
                    <w:t>2500</w:t>
                  </w:r>
                </w:p>
              </w:tc>
              <w:tc>
                <w:tcPr>
                  <w:tcW w:w="1566" w:type="dxa"/>
                  <w:vAlign w:val="center"/>
                </w:tcPr>
                <w:p w14:paraId="1B71161D">
                  <w:pPr>
                    <w:pStyle w:val="183"/>
                    <w:tabs>
                      <w:tab w:val="left" w:pos="-2848"/>
                      <w:tab w:val="right" w:pos="1808"/>
                    </w:tabs>
                    <w:adjustRightInd/>
                    <w:snapToGrid/>
                    <w:spacing w:before="120"/>
                    <w:rPr>
                      <w:kern w:val="0"/>
                      <w:szCs w:val="21"/>
                    </w:rPr>
                  </w:pPr>
                  <w:r>
                    <w:rPr>
                      <w:rFonts w:hint="eastAsia"/>
                      <w:szCs w:val="21"/>
                    </w:rPr>
                    <w:t>0.000007</w:t>
                  </w:r>
                </w:p>
              </w:tc>
            </w:tr>
            <w:tr w14:paraId="642841B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64" w:hRule="atLeast"/>
                <w:jc w:val="center"/>
              </w:trPr>
              <w:tc>
                <w:tcPr>
                  <w:tcW w:w="652" w:type="dxa"/>
                  <w:vAlign w:val="center"/>
                </w:tcPr>
                <w:p w14:paraId="1A39FB76">
                  <w:pPr>
                    <w:adjustRightInd w:val="0"/>
                    <w:snapToGrid w:val="0"/>
                    <w:jc w:val="center"/>
                    <w:rPr>
                      <w:kern w:val="0"/>
                      <w:szCs w:val="21"/>
                    </w:rPr>
                  </w:pPr>
                  <w:r>
                    <w:rPr>
                      <w:rFonts w:hint="eastAsia"/>
                      <w:kern w:val="0"/>
                      <w:szCs w:val="21"/>
                    </w:rPr>
                    <w:t>5</w:t>
                  </w:r>
                </w:p>
              </w:tc>
              <w:tc>
                <w:tcPr>
                  <w:tcW w:w="1435" w:type="dxa"/>
                  <w:vAlign w:val="center"/>
                </w:tcPr>
                <w:p w14:paraId="06ED28E1">
                  <w:pPr>
                    <w:widowControl/>
                    <w:jc w:val="center"/>
                    <w:rPr>
                      <w:szCs w:val="21"/>
                    </w:rPr>
                  </w:pPr>
                  <w:r>
                    <w:rPr>
                      <w:rFonts w:hint="eastAsia"/>
                      <w:szCs w:val="21"/>
                    </w:rPr>
                    <w:t>甲基硅油</w:t>
                  </w:r>
                </w:p>
              </w:tc>
              <w:tc>
                <w:tcPr>
                  <w:tcW w:w="1664" w:type="dxa"/>
                  <w:vMerge w:val="continue"/>
                  <w:vAlign w:val="center"/>
                </w:tcPr>
                <w:p w14:paraId="6DF5916D">
                  <w:pPr>
                    <w:jc w:val="center"/>
                    <w:rPr>
                      <w:szCs w:val="21"/>
                    </w:rPr>
                  </w:pPr>
                </w:p>
              </w:tc>
              <w:tc>
                <w:tcPr>
                  <w:tcW w:w="1641" w:type="dxa"/>
                  <w:vAlign w:val="center"/>
                </w:tcPr>
                <w:p w14:paraId="4485CF65">
                  <w:pPr>
                    <w:jc w:val="center"/>
                    <w:rPr>
                      <w:szCs w:val="21"/>
                    </w:rPr>
                  </w:pPr>
                  <w:r>
                    <w:rPr>
                      <w:rFonts w:hint="eastAsia"/>
                      <w:szCs w:val="21"/>
                    </w:rPr>
                    <w:t>0.005</w:t>
                  </w:r>
                </w:p>
              </w:tc>
              <w:tc>
                <w:tcPr>
                  <w:tcW w:w="1314" w:type="dxa"/>
                  <w:vAlign w:val="center"/>
                </w:tcPr>
                <w:p w14:paraId="235B2707">
                  <w:pPr>
                    <w:pStyle w:val="183"/>
                    <w:tabs>
                      <w:tab w:val="left" w:pos="-2848"/>
                      <w:tab w:val="right" w:pos="1808"/>
                    </w:tabs>
                    <w:adjustRightInd/>
                    <w:snapToGrid/>
                    <w:spacing w:before="120"/>
                    <w:rPr>
                      <w:kern w:val="0"/>
                      <w:szCs w:val="21"/>
                    </w:rPr>
                  </w:pPr>
                  <w:r>
                    <w:rPr>
                      <w:rFonts w:hint="eastAsia"/>
                      <w:szCs w:val="21"/>
                    </w:rPr>
                    <w:t>2500</w:t>
                  </w:r>
                </w:p>
              </w:tc>
              <w:tc>
                <w:tcPr>
                  <w:tcW w:w="1566" w:type="dxa"/>
                  <w:vAlign w:val="center"/>
                </w:tcPr>
                <w:p w14:paraId="09D7E77B">
                  <w:pPr>
                    <w:pStyle w:val="183"/>
                    <w:tabs>
                      <w:tab w:val="left" w:pos="-2848"/>
                      <w:tab w:val="right" w:pos="1808"/>
                    </w:tabs>
                    <w:adjustRightInd/>
                    <w:snapToGrid/>
                    <w:spacing w:before="120"/>
                    <w:rPr>
                      <w:kern w:val="0"/>
                      <w:szCs w:val="21"/>
                    </w:rPr>
                  </w:pPr>
                  <w:r>
                    <w:rPr>
                      <w:rFonts w:hint="eastAsia"/>
                      <w:szCs w:val="21"/>
                    </w:rPr>
                    <w:t>0.000002</w:t>
                  </w:r>
                </w:p>
              </w:tc>
            </w:tr>
            <w:tr w14:paraId="7D889C3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652" w:type="dxa"/>
                  <w:vAlign w:val="center"/>
                </w:tcPr>
                <w:p w14:paraId="41CADCE8">
                  <w:pPr>
                    <w:adjustRightInd w:val="0"/>
                    <w:snapToGrid w:val="0"/>
                    <w:jc w:val="center"/>
                    <w:rPr>
                      <w:kern w:val="0"/>
                      <w:szCs w:val="21"/>
                    </w:rPr>
                  </w:pPr>
                  <w:r>
                    <w:rPr>
                      <w:rFonts w:hint="eastAsia"/>
                      <w:kern w:val="0"/>
                      <w:szCs w:val="21"/>
                    </w:rPr>
                    <w:t>6</w:t>
                  </w:r>
                </w:p>
              </w:tc>
              <w:tc>
                <w:tcPr>
                  <w:tcW w:w="1435" w:type="dxa"/>
                  <w:vAlign w:val="center"/>
                </w:tcPr>
                <w:p w14:paraId="5768D2B1">
                  <w:pPr>
                    <w:widowControl/>
                    <w:jc w:val="center"/>
                    <w:rPr>
                      <w:szCs w:val="21"/>
                    </w:rPr>
                  </w:pPr>
                  <w:r>
                    <w:rPr>
                      <w:rFonts w:hint="eastAsia"/>
                      <w:szCs w:val="21"/>
                    </w:rPr>
                    <w:t>防锈乳化油</w:t>
                  </w:r>
                </w:p>
              </w:tc>
              <w:tc>
                <w:tcPr>
                  <w:tcW w:w="1664" w:type="dxa"/>
                  <w:vMerge w:val="continue"/>
                  <w:vAlign w:val="center"/>
                </w:tcPr>
                <w:p w14:paraId="2D6C4508">
                  <w:pPr>
                    <w:jc w:val="center"/>
                    <w:rPr>
                      <w:szCs w:val="21"/>
                    </w:rPr>
                  </w:pPr>
                </w:p>
              </w:tc>
              <w:tc>
                <w:tcPr>
                  <w:tcW w:w="1641" w:type="dxa"/>
                  <w:vAlign w:val="center"/>
                </w:tcPr>
                <w:p w14:paraId="0F69525F">
                  <w:pPr>
                    <w:jc w:val="center"/>
                    <w:rPr>
                      <w:szCs w:val="21"/>
                    </w:rPr>
                  </w:pPr>
                  <w:r>
                    <w:rPr>
                      <w:rFonts w:hint="eastAsia"/>
                      <w:szCs w:val="21"/>
                    </w:rPr>
                    <w:t>0.0165</w:t>
                  </w:r>
                </w:p>
              </w:tc>
              <w:tc>
                <w:tcPr>
                  <w:tcW w:w="1314" w:type="dxa"/>
                  <w:vAlign w:val="center"/>
                </w:tcPr>
                <w:p w14:paraId="56071A8C">
                  <w:pPr>
                    <w:pStyle w:val="183"/>
                    <w:tabs>
                      <w:tab w:val="left" w:pos="-2848"/>
                      <w:tab w:val="right" w:pos="1808"/>
                    </w:tabs>
                    <w:adjustRightInd/>
                    <w:snapToGrid/>
                    <w:spacing w:before="120"/>
                    <w:rPr>
                      <w:kern w:val="0"/>
                      <w:szCs w:val="21"/>
                    </w:rPr>
                  </w:pPr>
                  <w:r>
                    <w:rPr>
                      <w:rFonts w:hint="eastAsia"/>
                      <w:szCs w:val="21"/>
                    </w:rPr>
                    <w:t>2500</w:t>
                  </w:r>
                </w:p>
              </w:tc>
              <w:tc>
                <w:tcPr>
                  <w:tcW w:w="1566" w:type="dxa"/>
                  <w:vAlign w:val="center"/>
                </w:tcPr>
                <w:p w14:paraId="7B100BEA">
                  <w:pPr>
                    <w:pStyle w:val="183"/>
                    <w:tabs>
                      <w:tab w:val="left" w:pos="-2848"/>
                      <w:tab w:val="right" w:pos="1808"/>
                    </w:tabs>
                    <w:adjustRightInd/>
                    <w:snapToGrid/>
                    <w:spacing w:before="120"/>
                    <w:rPr>
                      <w:kern w:val="0"/>
                      <w:szCs w:val="21"/>
                    </w:rPr>
                  </w:pPr>
                  <w:r>
                    <w:rPr>
                      <w:rFonts w:hint="eastAsia"/>
                      <w:szCs w:val="21"/>
                    </w:rPr>
                    <w:t>0.0000066</w:t>
                  </w:r>
                </w:p>
              </w:tc>
            </w:tr>
            <w:tr w14:paraId="3293DD9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4" w:hRule="atLeast"/>
                <w:jc w:val="center"/>
              </w:trPr>
              <w:tc>
                <w:tcPr>
                  <w:tcW w:w="652" w:type="dxa"/>
                  <w:vAlign w:val="center"/>
                </w:tcPr>
                <w:p w14:paraId="77014122">
                  <w:pPr>
                    <w:adjustRightInd w:val="0"/>
                    <w:snapToGrid w:val="0"/>
                    <w:jc w:val="center"/>
                    <w:rPr>
                      <w:kern w:val="0"/>
                      <w:szCs w:val="21"/>
                    </w:rPr>
                  </w:pPr>
                  <w:r>
                    <w:rPr>
                      <w:rFonts w:hint="eastAsia"/>
                      <w:kern w:val="0"/>
                      <w:szCs w:val="21"/>
                    </w:rPr>
                    <w:t>7</w:t>
                  </w:r>
                </w:p>
              </w:tc>
              <w:tc>
                <w:tcPr>
                  <w:tcW w:w="1435" w:type="dxa"/>
                  <w:vAlign w:val="center"/>
                </w:tcPr>
                <w:p w14:paraId="357D7957">
                  <w:pPr>
                    <w:widowControl/>
                    <w:jc w:val="center"/>
                    <w:rPr>
                      <w:szCs w:val="21"/>
                    </w:rPr>
                  </w:pPr>
                  <w:r>
                    <w:rPr>
                      <w:rFonts w:hint="eastAsia"/>
                      <w:szCs w:val="21"/>
                    </w:rPr>
                    <w:t>废活性炭</w:t>
                  </w:r>
                </w:p>
              </w:tc>
              <w:tc>
                <w:tcPr>
                  <w:tcW w:w="1664" w:type="dxa"/>
                  <w:vAlign w:val="center"/>
                </w:tcPr>
                <w:p w14:paraId="7D8AFA3B">
                  <w:pPr>
                    <w:jc w:val="center"/>
                    <w:rPr>
                      <w:szCs w:val="21"/>
                    </w:rPr>
                  </w:pPr>
                  <w:r>
                    <w:rPr>
                      <w:rFonts w:hint="eastAsia"/>
                      <w:szCs w:val="21"/>
                    </w:rPr>
                    <w:t>危废暂存间</w:t>
                  </w:r>
                </w:p>
              </w:tc>
              <w:tc>
                <w:tcPr>
                  <w:tcW w:w="1641" w:type="dxa"/>
                  <w:vAlign w:val="center"/>
                </w:tcPr>
                <w:p w14:paraId="6CFFFB23">
                  <w:pPr>
                    <w:adjustRightInd w:val="0"/>
                    <w:snapToGrid w:val="0"/>
                    <w:jc w:val="center"/>
                    <w:rPr>
                      <w:szCs w:val="21"/>
                    </w:rPr>
                  </w:pPr>
                  <w:r>
                    <w:rPr>
                      <w:rFonts w:hint="eastAsia"/>
                      <w:szCs w:val="21"/>
                    </w:rPr>
                    <w:t>0.25</w:t>
                  </w:r>
                </w:p>
              </w:tc>
              <w:tc>
                <w:tcPr>
                  <w:tcW w:w="1314" w:type="dxa"/>
                  <w:vAlign w:val="center"/>
                </w:tcPr>
                <w:p w14:paraId="1A92F1C4">
                  <w:pPr>
                    <w:pStyle w:val="106"/>
                    <w:adjustRightInd w:val="0"/>
                    <w:snapToGrid w:val="0"/>
                    <w:spacing w:line="240" w:lineRule="auto"/>
                    <w:ind w:firstLine="0" w:firstLineChars="0"/>
                    <w:jc w:val="center"/>
                    <w:rPr>
                      <w:sz w:val="21"/>
                      <w:szCs w:val="21"/>
                    </w:rPr>
                  </w:pPr>
                  <w:r>
                    <w:rPr>
                      <w:rFonts w:hint="eastAsia" w:ascii="Times New Roman" w:hAnsi="Times New Roman"/>
                      <w:color w:val="000000"/>
                      <w:sz w:val="21"/>
                      <w:szCs w:val="21"/>
                    </w:rPr>
                    <w:t>50</w:t>
                  </w:r>
                </w:p>
              </w:tc>
              <w:tc>
                <w:tcPr>
                  <w:tcW w:w="1566" w:type="dxa"/>
                  <w:vAlign w:val="center"/>
                </w:tcPr>
                <w:p w14:paraId="78E37DCD">
                  <w:pPr>
                    <w:adjustRightInd w:val="0"/>
                    <w:snapToGrid w:val="0"/>
                    <w:jc w:val="center"/>
                    <w:rPr>
                      <w:szCs w:val="21"/>
                    </w:rPr>
                  </w:pPr>
                  <w:r>
                    <w:rPr>
                      <w:rFonts w:hint="eastAsia"/>
                      <w:szCs w:val="21"/>
                    </w:rPr>
                    <w:t>0.005</w:t>
                  </w:r>
                </w:p>
              </w:tc>
            </w:tr>
            <w:tr w14:paraId="7DCD392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4" w:hRule="atLeast"/>
                <w:jc w:val="center"/>
              </w:trPr>
              <w:tc>
                <w:tcPr>
                  <w:tcW w:w="652" w:type="dxa"/>
                  <w:vAlign w:val="center"/>
                </w:tcPr>
                <w:p w14:paraId="78E62197">
                  <w:pPr>
                    <w:adjustRightInd w:val="0"/>
                    <w:snapToGrid w:val="0"/>
                    <w:jc w:val="center"/>
                    <w:rPr>
                      <w:kern w:val="0"/>
                      <w:szCs w:val="21"/>
                    </w:rPr>
                  </w:pPr>
                  <w:r>
                    <w:rPr>
                      <w:rFonts w:hint="eastAsia"/>
                      <w:kern w:val="0"/>
                      <w:szCs w:val="21"/>
                    </w:rPr>
                    <w:t>8</w:t>
                  </w:r>
                </w:p>
              </w:tc>
              <w:tc>
                <w:tcPr>
                  <w:tcW w:w="1435" w:type="dxa"/>
                  <w:vAlign w:val="center"/>
                </w:tcPr>
                <w:p w14:paraId="11F50BD7">
                  <w:pPr>
                    <w:widowControl/>
                    <w:jc w:val="center"/>
                    <w:rPr>
                      <w:rFonts w:hint="default" w:eastAsia="宋体"/>
                      <w:color w:val="auto"/>
                      <w:szCs w:val="21"/>
                      <w:lang w:val="en-US" w:eastAsia="zh-CN"/>
                    </w:rPr>
                  </w:pPr>
                  <w:r>
                    <w:rPr>
                      <w:rFonts w:hint="eastAsia"/>
                      <w:color w:val="auto"/>
                      <w:szCs w:val="21"/>
                      <w:lang w:val="en-US" w:eastAsia="zh-CN"/>
                    </w:rPr>
                    <w:t>废矿物油</w:t>
                  </w:r>
                </w:p>
              </w:tc>
              <w:tc>
                <w:tcPr>
                  <w:tcW w:w="1664" w:type="dxa"/>
                  <w:vAlign w:val="center"/>
                </w:tcPr>
                <w:p w14:paraId="07DE8B83">
                  <w:pPr>
                    <w:jc w:val="center"/>
                    <w:rPr>
                      <w:color w:val="auto"/>
                      <w:szCs w:val="21"/>
                    </w:rPr>
                  </w:pPr>
                  <w:r>
                    <w:rPr>
                      <w:rFonts w:hint="eastAsia"/>
                      <w:color w:val="auto"/>
                      <w:szCs w:val="21"/>
                    </w:rPr>
                    <w:t>危废暂存间</w:t>
                  </w:r>
                </w:p>
              </w:tc>
              <w:tc>
                <w:tcPr>
                  <w:tcW w:w="1641" w:type="dxa"/>
                  <w:vAlign w:val="center"/>
                </w:tcPr>
                <w:p w14:paraId="1BAC2E7A">
                  <w:pPr>
                    <w:adjustRightInd w:val="0"/>
                    <w:snapToGrid w:val="0"/>
                    <w:jc w:val="center"/>
                    <w:rPr>
                      <w:rFonts w:hint="default" w:eastAsia="宋体"/>
                      <w:color w:val="auto"/>
                      <w:szCs w:val="21"/>
                      <w:lang w:val="en-US" w:eastAsia="zh-CN"/>
                    </w:rPr>
                  </w:pPr>
                  <w:r>
                    <w:rPr>
                      <w:rFonts w:hint="eastAsia"/>
                      <w:color w:val="auto"/>
                      <w:szCs w:val="21"/>
                      <w:lang w:val="en-US" w:eastAsia="zh-CN"/>
                    </w:rPr>
                    <w:t>0.35</w:t>
                  </w:r>
                </w:p>
              </w:tc>
              <w:tc>
                <w:tcPr>
                  <w:tcW w:w="1314" w:type="dxa"/>
                  <w:vAlign w:val="center"/>
                </w:tcPr>
                <w:p w14:paraId="6A4C18B8">
                  <w:pPr>
                    <w:pStyle w:val="106"/>
                    <w:adjustRightInd w:val="0"/>
                    <w:snapToGrid w:val="0"/>
                    <w:spacing w:line="240" w:lineRule="auto"/>
                    <w:ind w:firstLine="0" w:firstLineChars="0"/>
                    <w:jc w:val="center"/>
                    <w:rPr>
                      <w:rFonts w:hint="default" w:ascii="Times New Roman" w:hAnsi="Times New Roman" w:eastAsia="宋体"/>
                      <w:color w:val="auto"/>
                      <w:sz w:val="21"/>
                      <w:szCs w:val="21"/>
                      <w:lang w:val="en-US" w:eastAsia="zh-CN"/>
                    </w:rPr>
                  </w:pPr>
                  <w:r>
                    <w:rPr>
                      <w:rFonts w:hint="eastAsia" w:ascii="Times New Roman" w:hAnsi="Times New Roman"/>
                      <w:color w:val="auto"/>
                      <w:sz w:val="21"/>
                      <w:szCs w:val="21"/>
                      <w:lang w:val="en-US" w:eastAsia="zh-CN"/>
                    </w:rPr>
                    <w:t>2500</w:t>
                  </w:r>
                </w:p>
              </w:tc>
              <w:tc>
                <w:tcPr>
                  <w:tcW w:w="1566" w:type="dxa"/>
                  <w:vAlign w:val="center"/>
                </w:tcPr>
                <w:p w14:paraId="7B38AA6F">
                  <w:pPr>
                    <w:adjustRightInd w:val="0"/>
                    <w:snapToGrid w:val="0"/>
                    <w:jc w:val="center"/>
                    <w:rPr>
                      <w:rFonts w:hint="default" w:eastAsia="宋体"/>
                      <w:color w:val="auto"/>
                      <w:szCs w:val="21"/>
                      <w:lang w:val="en-US" w:eastAsia="zh-CN"/>
                    </w:rPr>
                  </w:pPr>
                  <w:r>
                    <w:rPr>
                      <w:rFonts w:hint="eastAsia"/>
                      <w:color w:val="auto"/>
                      <w:szCs w:val="21"/>
                      <w:lang w:val="en-US" w:eastAsia="zh-CN"/>
                    </w:rPr>
                    <w:t>0.00014</w:t>
                  </w:r>
                </w:p>
              </w:tc>
            </w:tr>
            <w:tr w14:paraId="6C48DF5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28" w:hRule="atLeast"/>
                <w:jc w:val="center"/>
              </w:trPr>
              <w:tc>
                <w:tcPr>
                  <w:tcW w:w="2087" w:type="dxa"/>
                  <w:gridSpan w:val="2"/>
                  <w:vAlign w:val="center"/>
                </w:tcPr>
                <w:p w14:paraId="081FD4DC">
                  <w:pPr>
                    <w:adjustRightInd w:val="0"/>
                    <w:snapToGrid w:val="0"/>
                    <w:jc w:val="center"/>
                    <w:rPr>
                      <w:kern w:val="0"/>
                      <w:szCs w:val="21"/>
                    </w:rPr>
                  </w:pPr>
                </w:p>
              </w:tc>
              <w:tc>
                <w:tcPr>
                  <w:tcW w:w="4619" w:type="dxa"/>
                  <w:gridSpan w:val="3"/>
                  <w:vAlign w:val="center"/>
                </w:tcPr>
                <w:p w14:paraId="240141B9">
                  <w:pPr>
                    <w:adjustRightInd w:val="0"/>
                    <w:snapToGrid w:val="0"/>
                    <w:jc w:val="center"/>
                    <w:rPr>
                      <w:kern w:val="0"/>
                      <w:szCs w:val="21"/>
                    </w:rPr>
                  </w:pPr>
                  <w:r>
                    <w:rPr>
                      <w:rFonts w:hint="eastAsia"/>
                      <w:kern w:val="0"/>
                      <w:szCs w:val="21"/>
                    </w:rPr>
                    <w:t>合计</w:t>
                  </w:r>
                </w:p>
              </w:tc>
              <w:tc>
                <w:tcPr>
                  <w:tcW w:w="1566" w:type="dxa"/>
                  <w:vAlign w:val="center"/>
                </w:tcPr>
                <w:p w14:paraId="4E98E49E">
                  <w:pPr>
                    <w:jc w:val="center"/>
                    <w:rPr>
                      <w:kern w:val="0"/>
                      <w:szCs w:val="21"/>
                    </w:rPr>
                  </w:pPr>
                  <w:r>
                    <w:rPr>
                      <w:rFonts w:hint="eastAsia"/>
                      <w:szCs w:val="21"/>
                    </w:rPr>
                    <w:t>0.0157</w:t>
                  </w:r>
                </w:p>
              </w:tc>
            </w:tr>
          </w:tbl>
          <w:p w14:paraId="689AC329">
            <w:pPr>
              <w:spacing w:line="360" w:lineRule="auto"/>
              <w:ind w:firstLine="480" w:firstLineChars="200"/>
              <w:rPr>
                <w:b/>
                <w:bCs/>
                <w:kern w:val="0"/>
                <w:sz w:val="24"/>
              </w:rPr>
            </w:pPr>
            <w:r>
              <w:rPr>
                <w:kern w:val="0"/>
                <w:sz w:val="24"/>
              </w:rPr>
              <w:t>项目Q=</w:t>
            </w:r>
            <w:r>
              <w:rPr>
                <w:rFonts w:hint="eastAsia"/>
                <w:kern w:val="0"/>
                <w:sz w:val="24"/>
              </w:rPr>
              <w:t>0.0157</w:t>
            </w:r>
            <w:r>
              <w:rPr>
                <w:kern w:val="0"/>
                <w:sz w:val="24"/>
              </w:rPr>
              <w:t>＜1，可直接判断该项目环境风险潜势为Ⅰ。对照《建设项目环境风险评价技术导则》（HJ169-2018）评价工作等级确定，评价工作等级为简单分析。</w:t>
            </w:r>
          </w:p>
          <w:p w14:paraId="2C26971C">
            <w:pPr>
              <w:pStyle w:val="103"/>
              <w:tabs>
                <w:tab w:val="left" w:pos="1773"/>
              </w:tabs>
              <w:adjustRightInd w:val="0"/>
              <w:snapToGrid w:val="0"/>
              <w:spacing w:line="360" w:lineRule="auto"/>
              <w:ind w:firstLine="480"/>
              <w:jc w:val="left"/>
              <w:rPr>
                <w:sz w:val="24"/>
              </w:rPr>
            </w:pPr>
            <w:r>
              <w:rPr>
                <w:rFonts w:hint="eastAsia"/>
                <w:sz w:val="24"/>
              </w:rPr>
              <w:t>（2）环境风险分析</w:t>
            </w:r>
          </w:p>
          <w:p w14:paraId="5269FD18">
            <w:pPr>
              <w:adjustRightInd w:val="0"/>
              <w:snapToGrid w:val="0"/>
              <w:spacing w:line="360" w:lineRule="auto"/>
              <w:ind w:firstLine="480" w:firstLineChars="200"/>
              <w:rPr>
                <w:color w:val="000000"/>
                <w:sz w:val="24"/>
              </w:rPr>
            </w:pPr>
            <w:r>
              <w:rPr>
                <w:rFonts w:hint="eastAsia"/>
                <w:color w:val="000000"/>
                <w:sz w:val="24"/>
              </w:rPr>
              <w:t>根据建设项目的特点，对该项目进行风险因素分析，主要为火灾或爆炸、废气、</w:t>
            </w:r>
            <w:r>
              <w:rPr>
                <w:rFonts w:hint="eastAsia"/>
                <w:bCs/>
                <w:sz w:val="24"/>
              </w:rPr>
              <w:t>原辅料</w:t>
            </w:r>
            <w:r>
              <w:rPr>
                <w:rFonts w:hint="eastAsia"/>
                <w:color w:val="000000"/>
                <w:sz w:val="24"/>
              </w:rPr>
              <w:t>泄漏事故、危险废物暂存等方面潜在风险，主要风险事故如下：</w:t>
            </w:r>
          </w:p>
          <w:p w14:paraId="4CED615D">
            <w:pPr>
              <w:adjustRightInd w:val="0"/>
              <w:snapToGrid w:val="0"/>
              <w:spacing w:line="360" w:lineRule="auto"/>
              <w:ind w:firstLine="480" w:firstLineChars="200"/>
              <w:rPr>
                <w:color w:val="000000"/>
                <w:sz w:val="24"/>
              </w:rPr>
            </w:pPr>
            <w:r>
              <w:rPr>
                <w:color w:val="000000"/>
                <w:sz w:val="24"/>
              </w:rPr>
              <w:t>1</w:t>
            </w:r>
            <w:r>
              <w:rPr>
                <w:rFonts w:hint="eastAsia"/>
                <w:color w:val="000000"/>
                <w:sz w:val="24"/>
              </w:rPr>
              <w:t>）火灾或爆炸造成的环境污染事件；</w:t>
            </w:r>
          </w:p>
          <w:p w14:paraId="0CDDA5B3">
            <w:pPr>
              <w:adjustRightInd w:val="0"/>
              <w:snapToGrid w:val="0"/>
              <w:spacing w:line="360" w:lineRule="auto"/>
              <w:ind w:firstLine="480" w:firstLineChars="200"/>
              <w:rPr>
                <w:color w:val="000000"/>
                <w:sz w:val="24"/>
              </w:rPr>
            </w:pPr>
            <w:r>
              <w:rPr>
                <w:rFonts w:hint="eastAsia"/>
                <w:color w:val="000000"/>
                <w:sz w:val="24"/>
              </w:rPr>
              <w:t>2）废气事故排放。本项目废气排放量少，对大气环境产生污染影响较少；</w:t>
            </w:r>
          </w:p>
          <w:p w14:paraId="4BC3A1B5">
            <w:pPr>
              <w:adjustRightInd w:val="0"/>
              <w:snapToGrid w:val="0"/>
              <w:spacing w:line="360" w:lineRule="auto"/>
              <w:ind w:firstLine="480" w:firstLineChars="200"/>
              <w:rPr>
                <w:color w:val="000000"/>
                <w:sz w:val="24"/>
              </w:rPr>
            </w:pPr>
            <w:r>
              <w:rPr>
                <w:rFonts w:hint="eastAsia"/>
                <w:color w:val="000000"/>
                <w:sz w:val="24"/>
              </w:rPr>
              <w:t>3）废水事故排放。废水处理设备故障，将会影响废水处理效率，从而导致废水事故排放至污水管网，但本项目废水排放量小，对污水处理厂影响较小；</w:t>
            </w:r>
          </w:p>
          <w:p w14:paraId="58B08F85">
            <w:pPr>
              <w:spacing w:line="360" w:lineRule="auto"/>
              <w:ind w:firstLine="480" w:firstLineChars="200"/>
              <w:rPr>
                <w:kern w:val="0"/>
                <w:sz w:val="24"/>
              </w:rPr>
            </w:pPr>
            <w:r>
              <w:rPr>
                <w:rFonts w:hint="eastAsia"/>
                <w:kern w:val="0"/>
                <w:sz w:val="24"/>
              </w:rPr>
              <w:t>4）原辅料泄漏事故。原辅料贮存于原辅料仓库，生产所用原辅料按日领取，生产车间存量很少，原辅料采用瓶装密闭储存、运输，影响途径为泄漏后造成地下水、土壤污染，以及意外导致的火灾及火灾后的次生环境污染；</w:t>
            </w:r>
          </w:p>
          <w:p w14:paraId="596CFAAE">
            <w:pPr>
              <w:adjustRightInd w:val="0"/>
              <w:snapToGrid w:val="0"/>
              <w:spacing w:line="360" w:lineRule="auto"/>
              <w:ind w:firstLine="480" w:firstLineChars="200"/>
              <w:rPr>
                <w:rFonts w:hint="eastAsia" w:ascii="Times New Roman" w:hAnsi="Times New Roman" w:eastAsia="宋体" w:cs="Times New Roman"/>
                <w:color w:val="000000"/>
                <w:sz w:val="24"/>
              </w:rPr>
            </w:pPr>
            <w:r>
              <w:rPr>
                <w:rFonts w:hint="eastAsia" w:ascii="Times New Roman" w:hAnsi="Times New Roman" w:eastAsia="宋体" w:cs="Times New Roman"/>
                <w:color w:val="000000"/>
                <w:sz w:val="24"/>
              </w:rPr>
              <w:t>5）危险废物暂存环境风险。危险废物暂存于危险废物暂存间，</w:t>
            </w:r>
            <w:r>
              <w:rPr>
                <w:rFonts w:hint="eastAsia" w:ascii="Times New Roman" w:hAnsi="Times New Roman" w:eastAsia="宋体" w:cs="Times New Roman"/>
                <w:color w:val="000000"/>
                <w:sz w:val="24"/>
                <w:lang w:val="en-US" w:eastAsia="zh-CN"/>
              </w:rPr>
              <w:t>项目暂存的危险废物影响途径为泄漏</w:t>
            </w:r>
            <w:r>
              <w:rPr>
                <w:rFonts w:hint="eastAsia" w:ascii="Times New Roman" w:hAnsi="Times New Roman" w:eastAsia="宋体" w:cs="Times New Roman"/>
                <w:color w:val="000000"/>
                <w:sz w:val="24"/>
              </w:rPr>
              <w:t>造成地下水、土壤污染，以及意外导致的火灾及火灾后的次生环境污染。</w:t>
            </w:r>
          </w:p>
          <w:p w14:paraId="1DD27FA3">
            <w:pPr>
              <w:adjustRightInd w:val="0"/>
              <w:snapToGrid w:val="0"/>
              <w:spacing w:line="360" w:lineRule="auto"/>
              <w:ind w:firstLine="480" w:firstLineChars="200"/>
              <w:rPr>
                <w:sz w:val="24"/>
              </w:rPr>
            </w:pPr>
            <w:r>
              <w:rPr>
                <w:rFonts w:hint="eastAsia"/>
                <w:sz w:val="24"/>
              </w:rPr>
              <w:t>（3）</w:t>
            </w:r>
            <w:r>
              <w:rPr>
                <w:sz w:val="24"/>
              </w:rPr>
              <w:t>环境风险防范措施</w:t>
            </w:r>
          </w:p>
          <w:p w14:paraId="039A147C">
            <w:pPr>
              <w:adjustRightInd w:val="0"/>
              <w:snapToGrid w:val="0"/>
              <w:spacing w:line="360" w:lineRule="auto"/>
              <w:ind w:firstLine="480" w:firstLineChars="200"/>
              <w:rPr>
                <w:color w:val="000000"/>
                <w:sz w:val="24"/>
              </w:rPr>
            </w:pPr>
            <w:r>
              <w:rPr>
                <w:rFonts w:hint="eastAsia"/>
                <w:color w:val="000000"/>
                <w:sz w:val="24"/>
              </w:rPr>
              <w:t>1</w:t>
            </w:r>
            <w:r>
              <w:rPr>
                <w:color w:val="000000"/>
                <w:sz w:val="24"/>
              </w:rPr>
              <w:t>）火灾引发伴生/次生污染物排放风险防范措施</w:t>
            </w:r>
          </w:p>
          <w:p w14:paraId="0BEAB23E">
            <w:pPr>
              <w:adjustRightInd w:val="0"/>
              <w:snapToGrid w:val="0"/>
              <w:spacing w:line="360" w:lineRule="auto"/>
              <w:ind w:firstLine="480" w:firstLineChars="200"/>
              <w:rPr>
                <w:color w:val="000000"/>
                <w:sz w:val="24"/>
              </w:rPr>
            </w:pPr>
            <w:r>
              <w:rPr>
                <w:color w:val="000000"/>
                <w:sz w:val="24"/>
              </w:rPr>
              <w:fldChar w:fldCharType="begin"/>
            </w:r>
            <w:r>
              <w:rPr>
                <w:color w:val="000000"/>
                <w:sz w:val="24"/>
              </w:rPr>
              <w:instrText xml:space="preserve"> = 1 \* GB3 </w:instrText>
            </w:r>
            <w:r>
              <w:rPr>
                <w:color w:val="000000"/>
                <w:sz w:val="24"/>
              </w:rPr>
              <w:fldChar w:fldCharType="separate"/>
            </w:r>
            <w:r>
              <w:rPr>
                <w:color w:val="000000"/>
                <w:sz w:val="24"/>
              </w:rPr>
              <w:t>①</w:t>
            </w:r>
            <w:r>
              <w:rPr>
                <w:color w:val="000000"/>
                <w:sz w:val="24"/>
              </w:rPr>
              <w:fldChar w:fldCharType="end"/>
            </w:r>
            <w:r>
              <w:rPr>
                <w:color w:val="000000"/>
                <w:sz w:val="24"/>
              </w:rPr>
              <w:t>火灾事故发生时，应迅速关闭、切断输电、输气系统及各种明火，以防止</w:t>
            </w:r>
            <w:r>
              <w:rPr>
                <w:rFonts w:hint="eastAsia"/>
                <w:color w:val="000000"/>
                <w:sz w:val="24"/>
              </w:rPr>
              <w:t>发生</w:t>
            </w:r>
            <w:r>
              <w:rPr>
                <w:color w:val="000000"/>
                <w:sz w:val="24"/>
              </w:rPr>
              <w:t>其他灾害；</w:t>
            </w:r>
          </w:p>
          <w:p w14:paraId="503E5DCA">
            <w:pPr>
              <w:adjustRightInd w:val="0"/>
              <w:snapToGrid w:val="0"/>
              <w:spacing w:line="360" w:lineRule="auto"/>
              <w:ind w:firstLine="480" w:firstLineChars="200"/>
              <w:rPr>
                <w:color w:val="000000"/>
                <w:sz w:val="24"/>
              </w:rPr>
            </w:pPr>
            <w:r>
              <w:rPr>
                <w:color w:val="000000"/>
                <w:sz w:val="24"/>
              </w:rPr>
              <w:fldChar w:fldCharType="begin"/>
            </w:r>
            <w:r>
              <w:rPr>
                <w:color w:val="000000"/>
                <w:sz w:val="24"/>
              </w:rPr>
              <w:instrText xml:space="preserve"> = 2 \* GB3 </w:instrText>
            </w:r>
            <w:r>
              <w:rPr>
                <w:color w:val="000000"/>
                <w:sz w:val="24"/>
              </w:rPr>
              <w:fldChar w:fldCharType="separate"/>
            </w:r>
            <w:r>
              <w:rPr>
                <w:color w:val="000000"/>
                <w:sz w:val="24"/>
              </w:rPr>
              <w:t>②</w:t>
            </w:r>
            <w:r>
              <w:rPr>
                <w:color w:val="000000"/>
                <w:sz w:val="24"/>
              </w:rPr>
              <w:fldChar w:fldCharType="end"/>
            </w:r>
            <w:r>
              <w:rPr>
                <w:color w:val="000000"/>
                <w:sz w:val="24"/>
              </w:rPr>
              <w:t>利用项目配置的消防器材及有关设备全力进行扑救，当班工作人员迅速使用合适的灭火器、消防水带</w:t>
            </w:r>
            <w:r>
              <w:rPr>
                <w:rFonts w:hint="eastAsia"/>
                <w:color w:val="000000"/>
                <w:sz w:val="24"/>
              </w:rPr>
              <w:t>或其他</w:t>
            </w:r>
            <w:r>
              <w:rPr>
                <w:color w:val="000000"/>
                <w:sz w:val="24"/>
              </w:rPr>
              <w:t>一切可能手段灭火；</w:t>
            </w:r>
          </w:p>
          <w:p w14:paraId="3356E94E">
            <w:pPr>
              <w:adjustRightInd w:val="0"/>
              <w:snapToGrid w:val="0"/>
              <w:spacing w:line="360" w:lineRule="auto"/>
              <w:ind w:firstLine="480" w:firstLineChars="200"/>
              <w:rPr>
                <w:color w:val="000000"/>
                <w:sz w:val="24"/>
              </w:rPr>
            </w:pPr>
            <w:r>
              <w:rPr>
                <w:color w:val="000000"/>
                <w:sz w:val="24"/>
              </w:rPr>
              <w:fldChar w:fldCharType="begin"/>
            </w:r>
            <w:r>
              <w:rPr>
                <w:color w:val="000000"/>
                <w:sz w:val="24"/>
              </w:rPr>
              <w:instrText xml:space="preserve"> = 3 \* GB3 </w:instrText>
            </w:r>
            <w:r>
              <w:rPr>
                <w:color w:val="000000"/>
                <w:sz w:val="24"/>
              </w:rPr>
              <w:fldChar w:fldCharType="separate"/>
            </w:r>
            <w:r>
              <w:rPr>
                <w:color w:val="000000"/>
                <w:sz w:val="24"/>
              </w:rPr>
              <w:t>③</w:t>
            </w:r>
            <w:r>
              <w:rPr>
                <w:color w:val="000000"/>
                <w:sz w:val="24"/>
              </w:rPr>
              <w:fldChar w:fldCharType="end"/>
            </w:r>
            <w:r>
              <w:rPr>
                <w:color w:val="000000"/>
                <w:sz w:val="24"/>
              </w:rPr>
              <w:t>根据燃烧物质的性质和火情状态，在扑救的同时，迅速与上级或当地119、120取得联系，引导消防、救护人员和设施进入火灾现场，当班工作人员要准备好和公安专业消防队的配合，并服从公安消防队员的指挥；</w:t>
            </w:r>
          </w:p>
          <w:p w14:paraId="0DBEC5C5">
            <w:pPr>
              <w:adjustRightInd w:val="0"/>
              <w:snapToGrid w:val="0"/>
              <w:spacing w:line="360" w:lineRule="auto"/>
              <w:ind w:firstLine="480" w:firstLineChars="200"/>
              <w:rPr>
                <w:color w:val="000000"/>
                <w:sz w:val="24"/>
              </w:rPr>
            </w:pPr>
            <w:r>
              <w:rPr>
                <w:bCs/>
                <w:color w:val="000000"/>
                <w:sz w:val="24"/>
              </w:rPr>
              <w:fldChar w:fldCharType="begin"/>
            </w:r>
            <w:r>
              <w:rPr>
                <w:bCs/>
                <w:color w:val="000000"/>
                <w:sz w:val="24"/>
              </w:rPr>
              <w:instrText xml:space="preserve"> = 4 \* GB3 </w:instrText>
            </w:r>
            <w:r>
              <w:rPr>
                <w:bCs/>
                <w:color w:val="000000"/>
                <w:sz w:val="24"/>
              </w:rPr>
              <w:fldChar w:fldCharType="separate"/>
            </w:r>
            <w:r>
              <w:rPr>
                <w:bCs/>
                <w:color w:val="000000"/>
                <w:sz w:val="24"/>
              </w:rPr>
              <w:t>④</w:t>
            </w:r>
            <w:r>
              <w:rPr>
                <w:bCs/>
                <w:color w:val="000000"/>
                <w:sz w:val="24"/>
              </w:rPr>
              <w:fldChar w:fldCharType="end"/>
            </w:r>
            <w:r>
              <w:rPr>
                <w:color w:val="000000"/>
                <w:sz w:val="24"/>
              </w:rPr>
              <w:t>在公安专业消防队员尚未到达时，要及时疏散人员和控制火势。人员疏散时注意防止烟气中一氧化碳中毒。一般在火灾发生物质燃烧时有大量有毒气体逸出，所以在人员疏散过程中尽量用湿毛巾捂住口鼻，身体采用低位，向下风口方向出逃。如车间、班组备有防毒面具或呼吸器，可戴好后协助不具备防毒用品的人疏散</w:t>
            </w:r>
            <w:r>
              <w:rPr>
                <w:rFonts w:hint="eastAsia"/>
                <w:color w:val="000000"/>
                <w:sz w:val="24"/>
              </w:rPr>
              <w:t>。</w:t>
            </w:r>
          </w:p>
          <w:p w14:paraId="01E64874">
            <w:pPr>
              <w:adjustRightInd w:val="0"/>
              <w:snapToGrid w:val="0"/>
              <w:spacing w:line="360" w:lineRule="auto"/>
              <w:ind w:firstLine="480" w:firstLineChars="200"/>
              <w:rPr>
                <w:color w:val="000000"/>
                <w:sz w:val="24"/>
              </w:rPr>
            </w:pPr>
            <w:r>
              <w:rPr>
                <w:rFonts w:hint="eastAsia"/>
                <w:color w:val="000000"/>
                <w:sz w:val="24"/>
              </w:rPr>
              <w:t>2）废气事故排放</w:t>
            </w:r>
            <w:r>
              <w:rPr>
                <w:color w:val="000000"/>
                <w:sz w:val="24"/>
              </w:rPr>
              <w:t>风险防范措施</w:t>
            </w:r>
          </w:p>
          <w:p w14:paraId="3F5BD8E8">
            <w:pPr>
              <w:adjustRightInd w:val="0"/>
              <w:snapToGrid w:val="0"/>
              <w:spacing w:line="360" w:lineRule="auto"/>
              <w:ind w:firstLine="480" w:firstLineChars="200"/>
              <w:rPr>
                <w:color w:val="000000"/>
                <w:sz w:val="24"/>
              </w:rPr>
            </w:pPr>
            <w:r>
              <w:rPr>
                <w:rFonts w:hint="eastAsia"/>
                <w:color w:val="000000"/>
                <w:sz w:val="24"/>
              </w:rPr>
              <w:t>严格执行环保规章制度，建立健全生产运营过程中的污染源档案、环保设施运行状况记录等；并做好环境保护、安全生产宣传以及相关技术培训等工作。</w:t>
            </w:r>
          </w:p>
          <w:p w14:paraId="7DE78B4A">
            <w:pPr>
              <w:adjustRightInd w:val="0"/>
              <w:snapToGrid w:val="0"/>
              <w:spacing w:line="360" w:lineRule="auto"/>
              <w:ind w:firstLine="480" w:firstLineChars="200"/>
              <w:rPr>
                <w:color w:val="000000"/>
                <w:sz w:val="24"/>
              </w:rPr>
            </w:pPr>
            <w:r>
              <w:rPr>
                <w:rFonts w:hint="eastAsia"/>
                <w:color w:val="000000"/>
                <w:sz w:val="24"/>
              </w:rPr>
              <w:t>3）</w:t>
            </w:r>
            <w:r>
              <w:rPr>
                <w:rFonts w:hint="eastAsia"/>
                <w:bCs/>
                <w:sz w:val="24"/>
              </w:rPr>
              <w:t>原辅料</w:t>
            </w:r>
            <w:r>
              <w:rPr>
                <w:rFonts w:hint="eastAsia"/>
                <w:color w:val="000000"/>
                <w:sz w:val="24"/>
              </w:rPr>
              <w:t>泄漏事故</w:t>
            </w:r>
            <w:r>
              <w:rPr>
                <w:color w:val="000000"/>
                <w:sz w:val="24"/>
              </w:rPr>
              <w:t>风险防范措施</w:t>
            </w:r>
          </w:p>
          <w:p w14:paraId="4BA731F0">
            <w:pPr>
              <w:adjustRightInd w:val="0"/>
              <w:snapToGrid w:val="0"/>
              <w:spacing w:line="360" w:lineRule="auto"/>
              <w:ind w:firstLine="480" w:firstLineChars="200"/>
              <w:rPr>
                <w:color w:val="000000"/>
                <w:sz w:val="24"/>
              </w:rPr>
            </w:pPr>
            <w:r>
              <w:rPr>
                <w:color w:val="000000"/>
                <w:sz w:val="24"/>
              </w:rPr>
              <w:fldChar w:fldCharType="begin"/>
            </w:r>
            <w:r>
              <w:rPr>
                <w:color w:val="000000"/>
                <w:sz w:val="24"/>
              </w:rPr>
              <w:instrText xml:space="preserve"> = 1 \* GB3 </w:instrText>
            </w:r>
            <w:r>
              <w:rPr>
                <w:color w:val="000000"/>
                <w:sz w:val="24"/>
              </w:rPr>
              <w:fldChar w:fldCharType="separate"/>
            </w:r>
            <w:r>
              <w:rPr>
                <w:color w:val="000000"/>
                <w:sz w:val="24"/>
              </w:rPr>
              <w:t>①</w:t>
            </w:r>
            <w:r>
              <w:rPr>
                <w:color w:val="000000"/>
                <w:sz w:val="24"/>
              </w:rPr>
              <w:fldChar w:fldCharType="end"/>
            </w:r>
            <w:r>
              <w:rPr>
                <w:rFonts w:hint="eastAsia"/>
                <w:sz w:val="24"/>
              </w:rPr>
              <w:t>天然气、齿轮油、导轨油、防锈乳化油、甲基硅油、丙烷</w:t>
            </w:r>
            <w:r>
              <w:rPr>
                <w:color w:val="000000"/>
                <w:sz w:val="24"/>
              </w:rPr>
              <w:t>必须按规定设置警示标志，分类管理，分类存放；</w:t>
            </w:r>
          </w:p>
          <w:p w14:paraId="7384B2A0">
            <w:pPr>
              <w:adjustRightInd w:val="0"/>
              <w:snapToGrid w:val="0"/>
              <w:spacing w:line="360" w:lineRule="auto"/>
              <w:ind w:firstLine="480" w:firstLineChars="200"/>
              <w:rPr>
                <w:color w:val="000000"/>
                <w:sz w:val="24"/>
              </w:rPr>
            </w:pPr>
            <w:r>
              <w:rPr>
                <w:color w:val="000000"/>
                <w:sz w:val="24"/>
              </w:rPr>
              <w:fldChar w:fldCharType="begin"/>
            </w:r>
            <w:r>
              <w:rPr>
                <w:color w:val="000000"/>
                <w:sz w:val="24"/>
              </w:rPr>
              <w:instrText xml:space="preserve"> = 2 \* GB3 </w:instrText>
            </w:r>
            <w:r>
              <w:rPr>
                <w:color w:val="000000"/>
                <w:sz w:val="24"/>
              </w:rPr>
              <w:fldChar w:fldCharType="separate"/>
            </w:r>
            <w:r>
              <w:rPr>
                <w:color w:val="000000"/>
                <w:sz w:val="24"/>
              </w:rPr>
              <w:t>②</w:t>
            </w:r>
            <w:r>
              <w:rPr>
                <w:color w:val="000000"/>
                <w:sz w:val="24"/>
              </w:rPr>
              <w:fldChar w:fldCharType="end"/>
            </w:r>
            <w:r>
              <w:rPr>
                <w:color w:val="000000"/>
                <w:sz w:val="24"/>
              </w:rPr>
              <w:t>根据消防部门的要求配置消防设施。</w:t>
            </w:r>
          </w:p>
          <w:p w14:paraId="5AC75FA2">
            <w:pPr>
              <w:adjustRightInd w:val="0"/>
              <w:snapToGrid w:val="0"/>
              <w:spacing w:line="360" w:lineRule="auto"/>
              <w:ind w:firstLine="480" w:firstLineChars="200"/>
              <w:rPr>
                <w:color w:val="000000"/>
                <w:sz w:val="24"/>
              </w:rPr>
            </w:pPr>
            <w:r>
              <w:rPr>
                <w:color w:val="000000"/>
                <w:sz w:val="24"/>
              </w:rPr>
              <w:fldChar w:fldCharType="begin"/>
            </w:r>
            <w:r>
              <w:rPr>
                <w:color w:val="000000"/>
                <w:sz w:val="24"/>
              </w:rPr>
              <w:instrText xml:space="preserve"> = 3 \* GB3 </w:instrText>
            </w:r>
            <w:r>
              <w:rPr>
                <w:color w:val="000000"/>
                <w:sz w:val="24"/>
              </w:rPr>
              <w:fldChar w:fldCharType="separate"/>
            </w:r>
            <w:r>
              <w:rPr>
                <w:color w:val="000000"/>
                <w:sz w:val="24"/>
              </w:rPr>
              <w:t>③</w:t>
            </w:r>
            <w:r>
              <w:rPr>
                <w:color w:val="000000"/>
                <w:sz w:val="24"/>
              </w:rPr>
              <w:fldChar w:fldCharType="end"/>
            </w:r>
            <w:r>
              <w:rPr>
                <w:bCs/>
                <w:color w:val="000000"/>
                <w:sz w:val="24"/>
              </w:rPr>
              <w:t>严格按贮存要求设计。严格按照《建筑设计防火规范》（GB50016-2014）等标准规范执行。</w:t>
            </w:r>
          </w:p>
          <w:p w14:paraId="009EFA51">
            <w:pPr>
              <w:adjustRightInd w:val="0"/>
              <w:snapToGrid w:val="0"/>
              <w:spacing w:line="360" w:lineRule="auto"/>
              <w:ind w:firstLine="480" w:firstLineChars="200"/>
            </w:pPr>
            <w:r>
              <w:rPr>
                <w:bCs/>
                <w:color w:val="000000"/>
                <w:sz w:val="24"/>
              </w:rPr>
              <w:fldChar w:fldCharType="begin"/>
            </w:r>
            <w:r>
              <w:rPr>
                <w:bCs/>
                <w:color w:val="000000"/>
                <w:sz w:val="24"/>
              </w:rPr>
              <w:instrText xml:space="preserve"> = 4 \* GB3 </w:instrText>
            </w:r>
            <w:r>
              <w:rPr>
                <w:bCs/>
                <w:color w:val="000000"/>
                <w:sz w:val="24"/>
              </w:rPr>
              <w:fldChar w:fldCharType="separate"/>
            </w:r>
            <w:r>
              <w:rPr>
                <w:bCs/>
                <w:color w:val="000000"/>
                <w:sz w:val="24"/>
              </w:rPr>
              <w:t>④</w:t>
            </w:r>
            <w:r>
              <w:rPr>
                <w:bCs/>
                <w:color w:val="000000"/>
                <w:sz w:val="24"/>
              </w:rPr>
              <w:fldChar w:fldCharType="end"/>
            </w:r>
            <w:r>
              <w:rPr>
                <w:color w:val="000000"/>
                <w:kern w:val="0"/>
                <w:sz w:val="24"/>
              </w:rPr>
              <w:t>仓库内配备足够数量的消防设备、干粉灭火器、消防沙等。库房内使用冷光灯、防爆灯具。</w:t>
            </w:r>
          </w:p>
          <w:p w14:paraId="05614823">
            <w:pPr>
              <w:adjustRightInd w:val="0"/>
              <w:snapToGrid w:val="0"/>
              <w:spacing w:line="360" w:lineRule="auto"/>
              <w:ind w:firstLine="480" w:firstLineChars="200"/>
              <w:rPr>
                <w:color w:val="000000"/>
                <w:sz w:val="24"/>
              </w:rPr>
            </w:pPr>
            <w:r>
              <w:rPr>
                <w:rFonts w:hint="eastAsia"/>
                <w:color w:val="000000"/>
                <w:sz w:val="24"/>
              </w:rPr>
              <w:t>5</w:t>
            </w:r>
            <w:r>
              <w:rPr>
                <w:color w:val="000000"/>
                <w:sz w:val="24"/>
              </w:rPr>
              <w:t>）</w:t>
            </w:r>
            <w:r>
              <w:rPr>
                <w:rFonts w:hint="eastAsia"/>
                <w:color w:val="000000"/>
                <w:sz w:val="24"/>
              </w:rPr>
              <w:t>危险废物暂存</w:t>
            </w:r>
            <w:r>
              <w:rPr>
                <w:color w:val="000000"/>
                <w:sz w:val="24"/>
              </w:rPr>
              <w:t>风险防范措施</w:t>
            </w:r>
          </w:p>
          <w:p w14:paraId="0D95C334">
            <w:pPr>
              <w:adjustRightInd w:val="0"/>
              <w:snapToGrid w:val="0"/>
              <w:spacing w:line="360" w:lineRule="auto"/>
              <w:ind w:firstLine="480" w:firstLineChars="200"/>
              <w:rPr>
                <w:bCs/>
                <w:color w:val="000000"/>
                <w:sz w:val="24"/>
              </w:rPr>
            </w:pPr>
            <w:r>
              <w:rPr>
                <w:rFonts w:hint="eastAsia"/>
                <w:bCs/>
                <w:color w:val="000000"/>
                <w:sz w:val="24"/>
              </w:rPr>
              <w:t>危险废物按照《危险废物贮存污染控制标准》（GB18597-2023）的相关要求“在常温常压下不易水解、不易挥发的固态危险废物可分类堆放贮存，其他固态危险废物应装入容器或包装物内贮存。液态危险废物应装入容器内贮存，或直接采用贮存池、贮存罐区贮存。”本项目采用密封桶储存，危废暂存间内设托盘和围堰，危险废物定期交由有相关危险废物资质的单位处理，避免二次污染。</w:t>
            </w:r>
          </w:p>
          <w:p w14:paraId="05C175E3">
            <w:pPr>
              <w:adjustRightInd w:val="0"/>
              <w:snapToGrid w:val="0"/>
              <w:spacing w:line="360" w:lineRule="auto"/>
              <w:ind w:firstLine="480" w:firstLineChars="200"/>
              <w:rPr>
                <w:bCs/>
                <w:color w:val="000000"/>
                <w:sz w:val="24"/>
              </w:rPr>
            </w:pPr>
            <w:r>
              <w:rPr>
                <w:rFonts w:hint="eastAsia"/>
                <w:bCs/>
                <w:color w:val="000000"/>
                <w:sz w:val="24"/>
              </w:rPr>
              <w:t>综上，本项目无重大危险源，当发生事故排污环境事件时，采取措施后，对周围环境及人体健康的影响较小。因此，项目积极落实应急措施和风险防治措施后，环境风险可以接受。根据《湖南省突发环境事件应急预案管理办法（修订版）》</w:t>
            </w:r>
            <w:r>
              <w:rPr>
                <w:bCs/>
                <w:color w:val="000000"/>
                <w:sz w:val="24"/>
              </w:rPr>
              <w:t>（湘环发〔2024〕49号</w:t>
            </w:r>
            <w:r>
              <w:rPr>
                <w:rFonts w:hint="eastAsia"/>
                <w:bCs/>
                <w:color w:val="000000"/>
                <w:sz w:val="24"/>
              </w:rPr>
              <w:t>）要求，编制突发环境事件应急预案或者进行突发环境事件应急预案豁免管理申请。</w:t>
            </w:r>
            <w:r>
              <w:rPr>
                <w:bCs/>
                <w:color w:val="000000"/>
                <w:sz w:val="24"/>
              </w:rPr>
              <w:t>只要项目严格按照以上措施进行建设和管理，火灾、爆炸</w:t>
            </w:r>
            <w:r>
              <w:rPr>
                <w:rFonts w:hint="eastAsia"/>
                <w:bCs/>
                <w:color w:val="000000"/>
                <w:sz w:val="24"/>
              </w:rPr>
              <w:t>、废气事故排放</w:t>
            </w:r>
            <w:r>
              <w:rPr>
                <w:bCs/>
                <w:color w:val="000000"/>
                <w:sz w:val="24"/>
              </w:rPr>
              <w:t>以及泄漏事故发生</w:t>
            </w:r>
            <w:r>
              <w:rPr>
                <w:rFonts w:hint="eastAsia"/>
                <w:bCs/>
                <w:color w:val="000000"/>
                <w:sz w:val="24"/>
              </w:rPr>
              <w:t>的概率</w:t>
            </w:r>
            <w:r>
              <w:rPr>
                <w:bCs/>
                <w:color w:val="000000"/>
                <w:sz w:val="24"/>
              </w:rPr>
              <w:t>都是极低的。项目只要在事故发生时，及时采取有效的应急措施，项目的环境风险是可以接受的</w:t>
            </w:r>
            <w:r>
              <w:rPr>
                <w:rFonts w:hint="eastAsia"/>
                <w:bCs/>
                <w:color w:val="000000"/>
                <w:sz w:val="24"/>
              </w:rPr>
              <w:t>。</w:t>
            </w:r>
          </w:p>
          <w:p w14:paraId="443202E3">
            <w:pPr>
              <w:pStyle w:val="203"/>
              <w:topLinePunct/>
              <w:adjustRightInd w:val="0"/>
              <w:ind w:firstLine="480"/>
            </w:pPr>
            <w:r>
              <w:rPr>
                <w:rFonts w:hint="eastAsia"/>
              </w:rPr>
              <w:t>因此，</w:t>
            </w:r>
            <w:r>
              <w:t>针对本项目的环境风险，企业应根据《湖南省生态环境厅关于印发&lt;湖南省突发环境事件应急预案管理办法（修订版）</w:t>
            </w:r>
            <w:r>
              <w:rPr>
                <w:rFonts w:hint="eastAsia"/>
                <w:lang w:eastAsia="zh-CN"/>
              </w:rPr>
              <w:t>〉</w:t>
            </w:r>
            <w:r>
              <w:t>的通知》（湘环发[2024]49号）有关要求，判定是否为突发环境事件应急预案豁免管理，判定标准见表</w:t>
            </w:r>
            <w:r>
              <w:rPr>
                <w:rFonts w:hint="eastAsia"/>
              </w:rPr>
              <w:t>4-20</w:t>
            </w:r>
            <w:r>
              <w:t>。</w:t>
            </w:r>
          </w:p>
          <w:p w14:paraId="28024825">
            <w:pPr>
              <w:jc w:val="center"/>
              <w:rPr>
                <w:b/>
                <w:bCs/>
                <w:kern w:val="0"/>
                <w:sz w:val="24"/>
              </w:rPr>
            </w:pPr>
            <w:r>
              <w:rPr>
                <w:b/>
                <w:bCs/>
                <w:kern w:val="0"/>
                <w:sz w:val="24"/>
              </w:rPr>
              <w:t>表4-2</w:t>
            </w:r>
            <w:r>
              <w:rPr>
                <w:rFonts w:hint="eastAsia"/>
                <w:b/>
                <w:bCs/>
                <w:kern w:val="0"/>
                <w:sz w:val="24"/>
              </w:rPr>
              <w:t>0</w:t>
            </w:r>
            <w:r>
              <w:rPr>
                <w:b/>
                <w:bCs/>
                <w:kern w:val="0"/>
                <w:sz w:val="24"/>
              </w:rPr>
              <w:t xml:space="preserve">  企业事业单位突发环境事件应急预案豁免管理判定表</w:t>
            </w:r>
          </w:p>
          <w:tbl>
            <w:tblPr>
              <w:tblStyle w:val="36"/>
              <w:tblW w:w="8297"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030"/>
              <w:gridCol w:w="1218"/>
              <w:gridCol w:w="1511"/>
              <w:gridCol w:w="1512"/>
              <w:gridCol w:w="1511"/>
              <w:gridCol w:w="1515"/>
            </w:tblGrid>
            <w:tr w14:paraId="53A742C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30" w:type="dxa"/>
                  <w:vMerge w:val="restart"/>
                  <w:vAlign w:val="center"/>
                </w:tcPr>
                <w:p w14:paraId="5A45DC16">
                  <w:pPr>
                    <w:pStyle w:val="58"/>
                    <w:widowControl w:val="0"/>
                    <w:topLinePunct/>
                    <w:rPr>
                      <w:rFonts w:ascii="Times New Roman" w:hAnsi="Times New Roman"/>
                    </w:rPr>
                  </w:pPr>
                  <w:r>
                    <w:rPr>
                      <w:rFonts w:ascii="Times New Roman" w:hAnsi="Times New Roman"/>
                    </w:rPr>
                    <w:t>环境风险受体敏感程度（E）</w:t>
                  </w:r>
                </w:p>
              </w:tc>
              <w:tc>
                <w:tcPr>
                  <w:tcW w:w="1218" w:type="dxa"/>
                  <w:vMerge w:val="restart"/>
                  <w:vAlign w:val="center"/>
                </w:tcPr>
                <w:p w14:paraId="46C1AF71">
                  <w:pPr>
                    <w:pStyle w:val="58"/>
                    <w:widowControl w:val="0"/>
                    <w:topLinePunct/>
                    <w:rPr>
                      <w:rFonts w:ascii="Times New Roman" w:hAnsi="Times New Roman"/>
                    </w:rPr>
                  </w:pPr>
                  <w:r>
                    <w:rPr>
                      <w:rFonts w:ascii="Times New Roman" w:hAnsi="Times New Roman"/>
                    </w:rPr>
                    <w:t>风险物质数量与临界量比值（Q）</w:t>
                  </w:r>
                </w:p>
              </w:tc>
              <w:tc>
                <w:tcPr>
                  <w:tcW w:w="6049" w:type="dxa"/>
                  <w:gridSpan w:val="4"/>
                  <w:vAlign w:val="center"/>
                </w:tcPr>
                <w:p w14:paraId="5B1686D7">
                  <w:pPr>
                    <w:pStyle w:val="58"/>
                    <w:widowControl w:val="0"/>
                    <w:topLinePunct/>
                    <w:rPr>
                      <w:rFonts w:ascii="Times New Roman" w:hAnsi="Times New Roman"/>
                    </w:rPr>
                  </w:pPr>
                  <w:r>
                    <w:rPr>
                      <w:rFonts w:ascii="Times New Roman" w:hAnsi="Times New Roman"/>
                    </w:rPr>
                    <w:t>生产工艺过程与环境风险控制水平（M）</w:t>
                  </w:r>
                </w:p>
              </w:tc>
            </w:tr>
            <w:tr w14:paraId="66DA837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30" w:type="dxa"/>
                  <w:vMerge w:val="continue"/>
                  <w:vAlign w:val="center"/>
                </w:tcPr>
                <w:p w14:paraId="1D57FED2">
                  <w:pPr>
                    <w:pStyle w:val="58"/>
                    <w:widowControl w:val="0"/>
                    <w:topLinePunct/>
                    <w:rPr>
                      <w:rFonts w:ascii="Times New Roman" w:hAnsi="Times New Roman"/>
                    </w:rPr>
                  </w:pPr>
                </w:p>
              </w:tc>
              <w:tc>
                <w:tcPr>
                  <w:tcW w:w="1218" w:type="dxa"/>
                  <w:vMerge w:val="continue"/>
                  <w:vAlign w:val="center"/>
                </w:tcPr>
                <w:p w14:paraId="050CB36E">
                  <w:pPr>
                    <w:pStyle w:val="58"/>
                    <w:widowControl w:val="0"/>
                    <w:topLinePunct/>
                    <w:rPr>
                      <w:rFonts w:ascii="Times New Roman" w:hAnsi="Times New Roman"/>
                    </w:rPr>
                  </w:pPr>
                </w:p>
              </w:tc>
              <w:tc>
                <w:tcPr>
                  <w:tcW w:w="1511" w:type="dxa"/>
                  <w:vAlign w:val="center"/>
                </w:tcPr>
                <w:p w14:paraId="6930FFE9">
                  <w:pPr>
                    <w:pStyle w:val="58"/>
                    <w:widowControl w:val="0"/>
                    <w:topLinePunct/>
                    <w:rPr>
                      <w:rFonts w:ascii="Times New Roman" w:hAnsi="Times New Roman"/>
                    </w:rPr>
                  </w:pPr>
                  <w:r>
                    <w:rPr>
                      <w:rFonts w:ascii="Times New Roman" w:hAnsi="Times New Roman"/>
                    </w:rPr>
                    <w:t>M1水平</w:t>
                  </w:r>
                </w:p>
              </w:tc>
              <w:tc>
                <w:tcPr>
                  <w:tcW w:w="1512" w:type="dxa"/>
                  <w:vAlign w:val="center"/>
                </w:tcPr>
                <w:p w14:paraId="591EE75D">
                  <w:pPr>
                    <w:pStyle w:val="58"/>
                    <w:widowControl w:val="0"/>
                    <w:topLinePunct/>
                    <w:rPr>
                      <w:rFonts w:ascii="Times New Roman" w:hAnsi="Times New Roman"/>
                    </w:rPr>
                  </w:pPr>
                  <w:r>
                    <w:rPr>
                      <w:rFonts w:ascii="Times New Roman" w:hAnsi="Times New Roman"/>
                    </w:rPr>
                    <w:t>M2水平</w:t>
                  </w:r>
                </w:p>
              </w:tc>
              <w:tc>
                <w:tcPr>
                  <w:tcW w:w="1511" w:type="dxa"/>
                  <w:vAlign w:val="center"/>
                </w:tcPr>
                <w:p w14:paraId="4BD288FB">
                  <w:pPr>
                    <w:pStyle w:val="58"/>
                    <w:widowControl w:val="0"/>
                    <w:topLinePunct/>
                    <w:rPr>
                      <w:rFonts w:ascii="Times New Roman" w:hAnsi="Times New Roman"/>
                    </w:rPr>
                  </w:pPr>
                  <w:r>
                    <w:rPr>
                      <w:rFonts w:ascii="Times New Roman" w:hAnsi="Times New Roman"/>
                    </w:rPr>
                    <w:t>M3水平</w:t>
                  </w:r>
                </w:p>
              </w:tc>
              <w:tc>
                <w:tcPr>
                  <w:tcW w:w="1515" w:type="dxa"/>
                  <w:vAlign w:val="center"/>
                </w:tcPr>
                <w:p w14:paraId="5DBB4C94">
                  <w:pPr>
                    <w:pStyle w:val="58"/>
                    <w:widowControl w:val="0"/>
                    <w:topLinePunct/>
                    <w:rPr>
                      <w:rFonts w:ascii="Times New Roman" w:hAnsi="Times New Roman"/>
                    </w:rPr>
                  </w:pPr>
                  <w:r>
                    <w:rPr>
                      <w:rFonts w:ascii="Times New Roman" w:hAnsi="Times New Roman"/>
                    </w:rPr>
                    <w:t>M4水平</w:t>
                  </w:r>
                </w:p>
              </w:tc>
            </w:tr>
            <w:tr w14:paraId="54BE6C9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30" w:type="dxa"/>
                  <w:vMerge w:val="restart"/>
                  <w:vAlign w:val="center"/>
                </w:tcPr>
                <w:p w14:paraId="7ADAA1D9">
                  <w:pPr>
                    <w:pStyle w:val="58"/>
                    <w:widowControl w:val="0"/>
                    <w:topLinePunct/>
                    <w:rPr>
                      <w:rFonts w:ascii="Times New Roman" w:hAnsi="Times New Roman"/>
                    </w:rPr>
                  </w:pPr>
                  <w:r>
                    <w:rPr>
                      <w:rFonts w:ascii="Times New Roman" w:hAnsi="Times New Roman"/>
                    </w:rPr>
                    <w:t>E1类型</w:t>
                  </w:r>
                </w:p>
              </w:tc>
              <w:tc>
                <w:tcPr>
                  <w:tcW w:w="1218" w:type="dxa"/>
                  <w:vAlign w:val="center"/>
                </w:tcPr>
                <w:p w14:paraId="0DF9F4F4">
                  <w:pPr>
                    <w:pStyle w:val="58"/>
                    <w:widowControl w:val="0"/>
                    <w:topLinePunct/>
                    <w:rPr>
                      <w:rFonts w:ascii="Times New Roman" w:hAnsi="Times New Roman"/>
                    </w:rPr>
                  </w:pPr>
                  <w:r>
                    <w:rPr>
                      <w:rFonts w:ascii="Times New Roman" w:hAnsi="Times New Roman"/>
                    </w:rPr>
                    <w:t>Q≤0.1</w:t>
                  </w:r>
                </w:p>
              </w:tc>
              <w:tc>
                <w:tcPr>
                  <w:tcW w:w="1511" w:type="dxa"/>
                  <w:vAlign w:val="center"/>
                </w:tcPr>
                <w:p w14:paraId="2D2B2506">
                  <w:pPr>
                    <w:pStyle w:val="58"/>
                    <w:widowControl w:val="0"/>
                    <w:topLinePunct/>
                    <w:rPr>
                      <w:rFonts w:ascii="Times New Roman" w:hAnsi="Times New Roman"/>
                    </w:rPr>
                  </w:pPr>
                  <w:r>
                    <w:rPr>
                      <w:rFonts w:ascii="Times New Roman" w:hAnsi="Times New Roman"/>
                    </w:rPr>
                    <w:t>核查后可豁免</w:t>
                  </w:r>
                </w:p>
              </w:tc>
              <w:tc>
                <w:tcPr>
                  <w:tcW w:w="1512" w:type="dxa"/>
                  <w:vAlign w:val="center"/>
                </w:tcPr>
                <w:p w14:paraId="7F55B998">
                  <w:pPr>
                    <w:pStyle w:val="58"/>
                    <w:widowControl w:val="0"/>
                    <w:topLinePunct/>
                    <w:rPr>
                      <w:rFonts w:ascii="Times New Roman" w:hAnsi="Times New Roman"/>
                    </w:rPr>
                  </w:pPr>
                  <w:r>
                    <w:rPr>
                      <w:rFonts w:ascii="Times New Roman" w:hAnsi="Times New Roman"/>
                    </w:rPr>
                    <w:t>核查后可豁免</w:t>
                  </w:r>
                </w:p>
              </w:tc>
              <w:tc>
                <w:tcPr>
                  <w:tcW w:w="1511" w:type="dxa"/>
                  <w:vAlign w:val="center"/>
                </w:tcPr>
                <w:p w14:paraId="2DFF1DA6">
                  <w:pPr>
                    <w:pStyle w:val="58"/>
                    <w:widowControl w:val="0"/>
                    <w:topLinePunct/>
                    <w:rPr>
                      <w:rFonts w:ascii="Times New Roman" w:hAnsi="Times New Roman"/>
                    </w:rPr>
                  </w:pPr>
                  <w:r>
                    <w:rPr>
                      <w:rFonts w:ascii="Times New Roman" w:hAnsi="Times New Roman"/>
                    </w:rPr>
                    <w:t>不豁免</w:t>
                  </w:r>
                </w:p>
              </w:tc>
              <w:tc>
                <w:tcPr>
                  <w:tcW w:w="1515" w:type="dxa"/>
                  <w:vAlign w:val="center"/>
                </w:tcPr>
                <w:p w14:paraId="59611FAA">
                  <w:pPr>
                    <w:pStyle w:val="58"/>
                    <w:widowControl w:val="0"/>
                    <w:topLinePunct/>
                    <w:rPr>
                      <w:rFonts w:ascii="Times New Roman" w:hAnsi="Times New Roman"/>
                    </w:rPr>
                  </w:pPr>
                  <w:r>
                    <w:rPr>
                      <w:rFonts w:ascii="Times New Roman" w:hAnsi="Times New Roman"/>
                    </w:rPr>
                    <w:t>不豁免</w:t>
                  </w:r>
                </w:p>
              </w:tc>
            </w:tr>
            <w:tr w14:paraId="6101544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30" w:type="dxa"/>
                  <w:vMerge w:val="continue"/>
                  <w:vAlign w:val="center"/>
                </w:tcPr>
                <w:p w14:paraId="5DB17FE4">
                  <w:pPr>
                    <w:pStyle w:val="58"/>
                    <w:widowControl w:val="0"/>
                    <w:topLinePunct/>
                    <w:rPr>
                      <w:rFonts w:ascii="Times New Roman" w:hAnsi="Times New Roman"/>
                    </w:rPr>
                  </w:pPr>
                </w:p>
              </w:tc>
              <w:tc>
                <w:tcPr>
                  <w:tcW w:w="1218" w:type="dxa"/>
                  <w:vAlign w:val="center"/>
                </w:tcPr>
                <w:p w14:paraId="48373EDD">
                  <w:pPr>
                    <w:pStyle w:val="58"/>
                    <w:widowControl w:val="0"/>
                    <w:topLinePunct/>
                    <w:rPr>
                      <w:rFonts w:ascii="Times New Roman" w:hAnsi="Times New Roman"/>
                    </w:rPr>
                  </w:pPr>
                  <w:r>
                    <w:rPr>
                      <w:rFonts w:ascii="Times New Roman" w:hAnsi="Times New Roman"/>
                    </w:rPr>
                    <w:t>0.1&lt;Q&lt;0.5</w:t>
                  </w:r>
                </w:p>
              </w:tc>
              <w:tc>
                <w:tcPr>
                  <w:tcW w:w="1511" w:type="dxa"/>
                  <w:vAlign w:val="center"/>
                </w:tcPr>
                <w:p w14:paraId="338D1F47">
                  <w:pPr>
                    <w:pStyle w:val="58"/>
                    <w:widowControl w:val="0"/>
                    <w:topLinePunct/>
                    <w:rPr>
                      <w:rFonts w:ascii="Times New Roman" w:hAnsi="Times New Roman"/>
                    </w:rPr>
                  </w:pPr>
                  <w:r>
                    <w:rPr>
                      <w:rFonts w:ascii="Times New Roman" w:hAnsi="Times New Roman"/>
                    </w:rPr>
                    <w:t>核查后可豁免</w:t>
                  </w:r>
                </w:p>
              </w:tc>
              <w:tc>
                <w:tcPr>
                  <w:tcW w:w="1512" w:type="dxa"/>
                  <w:vAlign w:val="center"/>
                </w:tcPr>
                <w:p w14:paraId="77106880">
                  <w:pPr>
                    <w:pStyle w:val="58"/>
                    <w:widowControl w:val="0"/>
                    <w:topLinePunct/>
                    <w:rPr>
                      <w:rFonts w:ascii="Times New Roman" w:hAnsi="Times New Roman"/>
                    </w:rPr>
                  </w:pPr>
                  <w:r>
                    <w:rPr>
                      <w:rFonts w:ascii="Times New Roman" w:hAnsi="Times New Roman"/>
                    </w:rPr>
                    <w:t>不豁免</w:t>
                  </w:r>
                </w:p>
              </w:tc>
              <w:tc>
                <w:tcPr>
                  <w:tcW w:w="1511" w:type="dxa"/>
                  <w:vAlign w:val="center"/>
                </w:tcPr>
                <w:p w14:paraId="1B24C9A8">
                  <w:pPr>
                    <w:pStyle w:val="58"/>
                    <w:widowControl w:val="0"/>
                    <w:topLinePunct/>
                    <w:rPr>
                      <w:rFonts w:ascii="Times New Roman" w:hAnsi="Times New Roman"/>
                    </w:rPr>
                  </w:pPr>
                  <w:r>
                    <w:rPr>
                      <w:rFonts w:ascii="Times New Roman" w:hAnsi="Times New Roman"/>
                    </w:rPr>
                    <w:t>不豁免</w:t>
                  </w:r>
                </w:p>
              </w:tc>
              <w:tc>
                <w:tcPr>
                  <w:tcW w:w="1515" w:type="dxa"/>
                  <w:vAlign w:val="center"/>
                </w:tcPr>
                <w:p w14:paraId="0FD7EB9F">
                  <w:pPr>
                    <w:pStyle w:val="58"/>
                    <w:widowControl w:val="0"/>
                    <w:topLinePunct/>
                    <w:rPr>
                      <w:rFonts w:ascii="Times New Roman" w:hAnsi="Times New Roman"/>
                    </w:rPr>
                  </w:pPr>
                  <w:r>
                    <w:rPr>
                      <w:rFonts w:ascii="Times New Roman" w:hAnsi="Times New Roman"/>
                    </w:rPr>
                    <w:t>不豁免</w:t>
                  </w:r>
                </w:p>
              </w:tc>
            </w:tr>
            <w:tr w14:paraId="6708567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30" w:type="dxa"/>
                  <w:vMerge w:val="continue"/>
                  <w:vAlign w:val="center"/>
                </w:tcPr>
                <w:p w14:paraId="14F6DCBA">
                  <w:pPr>
                    <w:pStyle w:val="58"/>
                    <w:widowControl w:val="0"/>
                    <w:topLinePunct/>
                    <w:rPr>
                      <w:rFonts w:ascii="Times New Roman" w:hAnsi="Times New Roman"/>
                    </w:rPr>
                  </w:pPr>
                </w:p>
              </w:tc>
              <w:tc>
                <w:tcPr>
                  <w:tcW w:w="1218" w:type="dxa"/>
                  <w:vAlign w:val="center"/>
                </w:tcPr>
                <w:p w14:paraId="664B0340">
                  <w:pPr>
                    <w:pStyle w:val="58"/>
                    <w:widowControl w:val="0"/>
                    <w:topLinePunct/>
                    <w:rPr>
                      <w:rFonts w:ascii="Times New Roman" w:hAnsi="Times New Roman"/>
                    </w:rPr>
                  </w:pPr>
                  <w:r>
                    <w:rPr>
                      <w:rFonts w:ascii="Times New Roman" w:hAnsi="Times New Roman"/>
                    </w:rPr>
                    <w:t>0.5≤Q&lt;1</w:t>
                  </w:r>
                </w:p>
              </w:tc>
              <w:tc>
                <w:tcPr>
                  <w:tcW w:w="1511" w:type="dxa"/>
                  <w:vAlign w:val="center"/>
                </w:tcPr>
                <w:p w14:paraId="092EF81B">
                  <w:pPr>
                    <w:pStyle w:val="58"/>
                    <w:widowControl w:val="0"/>
                    <w:topLinePunct/>
                    <w:rPr>
                      <w:rFonts w:ascii="Times New Roman" w:hAnsi="Times New Roman"/>
                    </w:rPr>
                  </w:pPr>
                  <w:r>
                    <w:rPr>
                      <w:rFonts w:ascii="Times New Roman" w:hAnsi="Times New Roman"/>
                    </w:rPr>
                    <w:t>不豁免</w:t>
                  </w:r>
                </w:p>
              </w:tc>
              <w:tc>
                <w:tcPr>
                  <w:tcW w:w="1512" w:type="dxa"/>
                  <w:vAlign w:val="center"/>
                </w:tcPr>
                <w:p w14:paraId="179C5BBA">
                  <w:pPr>
                    <w:pStyle w:val="58"/>
                    <w:widowControl w:val="0"/>
                    <w:topLinePunct/>
                    <w:rPr>
                      <w:rFonts w:ascii="Times New Roman" w:hAnsi="Times New Roman"/>
                    </w:rPr>
                  </w:pPr>
                  <w:r>
                    <w:rPr>
                      <w:rFonts w:ascii="Times New Roman" w:hAnsi="Times New Roman"/>
                    </w:rPr>
                    <w:t>不豁免</w:t>
                  </w:r>
                </w:p>
              </w:tc>
              <w:tc>
                <w:tcPr>
                  <w:tcW w:w="1511" w:type="dxa"/>
                  <w:vAlign w:val="center"/>
                </w:tcPr>
                <w:p w14:paraId="39653CF5">
                  <w:pPr>
                    <w:pStyle w:val="58"/>
                    <w:widowControl w:val="0"/>
                    <w:topLinePunct/>
                    <w:rPr>
                      <w:rFonts w:ascii="Times New Roman" w:hAnsi="Times New Roman"/>
                    </w:rPr>
                  </w:pPr>
                  <w:r>
                    <w:rPr>
                      <w:rFonts w:ascii="Times New Roman" w:hAnsi="Times New Roman"/>
                    </w:rPr>
                    <w:t>不豁免</w:t>
                  </w:r>
                </w:p>
              </w:tc>
              <w:tc>
                <w:tcPr>
                  <w:tcW w:w="1515" w:type="dxa"/>
                  <w:vAlign w:val="center"/>
                </w:tcPr>
                <w:p w14:paraId="137C1B1D">
                  <w:pPr>
                    <w:pStyle w:val="58"/>
                    <w:widowControl w:val="0"/>
                    <w:topLinePunct/>
                    <w:rPr>
                      <w:rFonts w:ascii="Times New Roman" w:hAnsi="Times New Roman"/>
                    </w:rPr>
                  </w:pPr>
                  <w:r>
                    <w:rPr>
                      <w:rFonts w:ascii="Times New Roman" w:hAnsi="Times New Roman"/>
                    </w:rPr>
                    <w:t>不豁免</w:t>
                  </w:r>
                </w:p>
              </w:tc>
            </w:tr>
            <w:tr w14:paraId="6AD2DB1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30" w:type="dxa"/>
                  <w:vMerge w:val="restart"/>
                  <w:vAlign w:val="center"/>
                </w:tcPr>
                <w:p w14:paraId="717439DE">
                  <w:pPr>
                    <w:pStyle w:val="58"/>
                    <w:widowControl w:val="0"/>
                    <w:topLinePunct/>
                    <w:rPr>
                      <w:rFonts w:ascii="Times New Roman" w:hAnsi="Times New Roman"/>
                    </w:rPr>
                  </w:pPr>
                  <w:r>
                    <w:rPr>
                      <w:rFonts w:ascii="Times New Roman" w:hAnsi="Times New Roman"/>
                    </w:rPr>
                    <w:t>E2类型</w:t>
                  </w:r>
                </w:p>
              </w:tc>
              <w:tc>
                <w:tcPr>
                  <w:tcW w:w="1218" w:type="dxa"/>
                  <w:vAlign w:val="center"/>
                </w:tcPr>
                <w:p w14:paraId="324A96C6">
                  <w:pPr>
                    <w:pStyle w:val="58"/>
                    <w:widowControl w:val="0"/>
                    <w:topLinePunct/>
                    <w:rPr>
                      <w:rFonts w:ascii="Times New Roman" w:hAnsi="Times New Roman"/>
                    </w:rPr>
                  </w:pPr>
                  <w:r>
                    <w:rPr>
                      <w:rFonts w:ascii="Times New Roman" w:hAnsi="Times New Roman"/>
                    </w:rPr>
                    <w:t>Q≤0.1</w:t>
                  </w:r>
                </w:p>
              </w:tc>
              <w:tc>
                <w:tcPr>
                  <w:tcW w:w="1511" w:type="dxa"/>
                  <w:vAlign w:val="center"/>
                </w:tcPr>
                <w:p w14:paraId="1D6A2F1D">
                  <w:pPr>
                    <w:pStyle w:val="58"/>
                    <w:widowControl w:val="0"/>
                    <w:topLinePunct/>
                    <w:rPr>
                      <w:rFonts w:ascii="Times New Roman" w:hAnsi="Times New Roman"/>
                    </w:rPr>
                  </w:pPr>
                  <w:r>
                    <w:rPr>
                      <w:rFonts w:ascii="Times New Roman" w:hAnsi="Times New Roman"/>
                    </w:rPr>
                    <w:t>豁免</w:t>
                  </w:r>
                </w:p>
              </w:tc>
              <w:tc>
                <w:tcPr>
                  <w:tcW w:w="1512" w:type="dxa"/>
                  <w:vAlign w:val="center"/>
                </w:tcPr>
                <w:p w14:paraId="1C151C06">
                  <w:pPr>
                    <w:pStyle w:val="58"/>
                    <w:widowControl w:val="0"/>
                    <w:topLinePunct/>
                    <w:rPr>
                      <w:rFonts w:ascii="Times New Roman" w:hAnsi="Times New Roman"/>
                    </w:rPr>
                  </w:pPr>
                  <w:r>
                    <w:rPr>
                      <w:rFonts w:ascii="Times New Roman" w:hAnsi="Times New Roman"/>
                    </w:rPr>
                    <w:t>核查后可豁免</w:t>
                  </w:r>
                </w:p>
              </w:tc>
              <w:tc>
                <w:tcPr>
                  <w:tcW w:w="1511" w:type="dxa"/>
                  <w:vAlign w:val="center"/>
                </w:tcPr>
                <w:p w14:paraId="666FB183">
                  <w:pPr>
                    <w:pStyle w:val="58"/>
                    <w:widowControl w:val="0"/>
                    <w:topLinePunct/>
                    <w:rPr>
                      <w:rFonts w:ascii="Times New Roman" w:hAnsi="Times New Roman"/>
                    </w:rPr>
                  </w:pPr>
                  <w:r>
                    <w:rPr>
                      <w:rFonts w:ascii="Times New Roman" w:hAnsi="Times New Roman"/>
                    </w:rPr>
                    <w:t>核查后可豁免</w:t>
                  </w:r>
                </w:p>
              </w:tc>
              <w:tc>
                <w:tcPr>
                  <w:tcW w:w="1515" w:type="dxa"/>
                  <w:vAlign w:val="center"/>
                </w:tcPr>
                <w:p w14:paraId="19C98806">
                  <w:pPr>
                    <w:pStyle w:val="58"/>
                    <w:widowControl w:val="0"/>
                    <w:topLinePunct/>
                    <w:rPr>
                      <w:rFonts w:ascii="Times New Roman" w:hAnsi="Times New Roman"/>
                    </w:rPr>
                  </w:pPr>
                  <w:r>
                    <w:rPr>
                      <w:rFonts w:ascii="Times New Roman" w:hAnsi="Times New Roman"/>
                    </w:rPr>
                    <w:t>不豁免</w:t>
                  </w:r>
                </w:p>
              </w:tc>
            </w:tr>
            <w:tr w14:paraId="13127A1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30" w:type="dxa"/>
                  <w:vMerge w:val="continue"/>
                  <w:vAlign w:val="center"/>
                </w:tcPr>
                <w:p w14:paraId="64732544">
                  <w:pPr>
                    <w:pStyle w:val="58"/>
                    <w:widowControl w:val="0"/>
                    <w:topLinePunct/>
                    <w:rPr>
                      <w:rFonts w:ascii="Times New Roman" w:hAnsi="Times New Roman"/>
                    </w:rPr>
                  </w:pPr>
                </w:p>
              </w:tc>
              <w:tc>
                <w:tcPr>
                  <w:tcW w:w="1218" w:type="dxa"/>
                  <w:vAlign w:val="center"/>
                </w:tcPr>
                <w:p w14:paraId="4AE88D87">
                  <w:pPr>
                    <w:pStyle w:val="58"/>
                    <w:widowControl w:val="0"/>
                    <w:topLinePunct/>
                    <w:rPr>
                      <w:rFonts w:ascii="Times New Roman" w:hAnsi="Times New Roman"/>
                    </w:rPr>
                  </w:pPr>
                  <w:r>
                    <w:rPr>
                      <w:rFonts w:ascii="Times New Roman" w:hAnsi="Times New Roman"/>
                    </w:rPr>
                    <w:t>0.1&lt;Q&lt;0.5</w:t>
                  </w:r>
                </w:p>
              </w:tc>
              <w:tc>
                <w:tcPr>
                  <w:tcW w:w="1511" w:type="dxa"/>
                  <w:vAlign w:val="center"/>
                </w:tcPr>
                <w:p w14:paraId="3ECE53BF">
                  <w:pPr>
                    <w:pStyle w:val="58"/>
                    <w:widowControl w:val="0"/>
                    <w:topLinePunct/>
                    <w:rPr>
                      <w:rFonts w:ascii="Times New Roman" w:hAnsi="Times New Roman"/>
                    </w:rPr>
                  </w:pPr>
                  <w:r>
                    <w:rPr>
                      <w:rFonts w:ascii="Times New Roman" w:hAnsi="Times New Roman"/>
                    </w:rPr>
                    <w:t>核查后可豁免</w:t>
                  </w:r>
                </w:p>
              </w:tc>
              <w:tc>
                <w:tcPr>
                  <w:tcW w:w="1512" w:type="dxa"/>
                  <w:vAlign w:val="center"/>
                </w:tcPr>
                <w:p w14:paraId="77D0117A">
                  <w:pPr>
                    <w:pStyle w:val="58"/>
                    <w:widowControl w:val="0"/>
                    <w:topLinePunct/>
                    <w:rPr>
                      <w:rFonts w:ascii="Times New Roman" w:hAnsi="Times New Roman"/>
                    </w:rPr>
                  </w:pPr>
                  <w:r>
                    <w:rPr>
                      <w:rFonts w:ascii="Times New Roman" w:hAnsi="Times New Roman"/>
                    </w:rPr>
                    <w:t>核查后可豁免</w:t>
                  </w:r>
                </w:p>
              </w:tc>
              <w:tc>
                <w:tcPr>
                  <w:tcW w:w="1511" w:type="dxa"/>
                  <w:vAlign w:val="center"/>
                </w:tcPr>
                <w:p w14:paraId="76728AD5">
                  <w:pPr>
                    <w:pStyle w:val="58"/>
                    <w:widowControl w:val="0"/>
                    <w:topLinePunct/>
                    <w:rPr>
                      <w:rFonts w:ascii="Times New Roman" w:hAnsi="Times New Roman"/>
                    </w:rPr>
                  </w:pPr>
                  <w:r>
                    <w:rPr>
                      <w:rFonts w:ascii="Times New Roman" w:hAnsi="Times New Roman"/>
                    </w:rPr>
                    <w:t>不豁免</w:t>
                  </w:r>
                </w:p>
              </w:tc>
              <w:tc>
                <w:tcPr>
                  <w:tcW w:w="1515" w:type="dxa"/>
                  <w:vAlign w:val="center"/>
                </w:tcPr>
                <w:p w14:paraId="166621FD">
                  <w:pPr>
                    <w:pStyle w:val="58"/>
                    <w:widowControl w:val="0"/>
                    <w:topLinePunct/>
                    <w:rPr>
                      <w:rFonts w:ascii="Times New Roman" w:hAnsi="Times New Roman"/>
                    </w:rPr>
                  </w:pPr>
                  <w:r>
                    <w:rPr>
                      <w:rFonts w:ascii="Times New Roman" w:hAnsi="Times New Roman"/>
                    </w:rPr>
                    <w:t>不豁免</w:t>
                  </w:r>
                </w:p>
              </w:tc>
            </w:tr>
            <w:tr w14:paraId="66F74EA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30" w:type="dxa"/>
                  <w:vMerge w:val="continue"/>
                  <w:vAlign w:val="center"/>
                </w:tcPr>
                <w:p w14:paraId="00AFC916">
                  <w:pPr>
                    <w:pStyle w:val="58"/>
                    <w:widowControl w:val="0"/>
                    <w:topLinePunct/>
                    <w:rPr>
                      <w:rFonts w:ascii="Times New Roman" w:hAnsi="Times New Roman"/>
                    </w:rPr>
                  </w:pPr>
                </w:p>
              </w:tc>
              <w:tc>
                <w:tcPr>
                  <w:tcW w:w="1218" w:type="dxa"/>
                  <w:vAlign w:val="center"/>
                </w:tcPr>
                <w:p w14:paraId="4E418C9F">
                  <w:pPr>
                    <w:pStyle w:val="58"/>
                    <w:widowControl w:val="0"/>
                    <w:topLinePunct/>
                    <w:rPr>
                      <w:rFonts w:ascii="Times New Roman" w:hAnsi="Times New Roman"/>
                    </w:rPr>
                  </w:pPr>
                  <w:r>
                    <w:rPr>
                      <w:rFonts w:ascii="Times New Roman" w:hAnsi="Times New Roman"/>
                    </w:rPr>
                    <w:t>0.5≤Q&lt;1</w:t>
                  </w:r>
                </w:p>
              </w:tc>
              <w:tc>
                <w:tcPr>
                  <w:tcW w:w="1511" w:type="dxa"/>
                  <w:vAlign w:val="center"/>
                </w:tcPr>
                <w:p w14:paraId="2FF5A1D9">
                  <w:pPr>
                    <w:pStyle w:val="58"/>
                    <w:widowControl w:val="0"/>
                    <w:topLinePunct/>
                    <w:rPr>
                      <w:rFonts w:ascii="Times New Roman" w:hAnsi="Times New Roman"/>
                    </w:rPr>
                  </w:pPr>
                  <w:r>
                    <w:rPr>
                      <w:rFonts w:ascii="Times New Roman" w:hAnsi="Times New Roman"/>
                    </w:rPr>
                    <w:t>核查后可豁免</w:t>
                  </w:r>
                </w:p>
              </w:tc>
              <w:tc>
                <w:tcPr>
                  <w:tcW w:w="1512" w:type="dxa"/>
                  <w:vAlign w:val="center"/>
                </w:tcPr>
                <w:p w14:paraId="01E1AAA2">
                  <w:pPr>
                    <w:pStyle w:val="58"/>
                    <w:widowControl w:val="0"/>
                    <w:topLinePunct/>
                    <w:rPr>
                      <w:rFonts w:ascii="Times New Roman" w:hAnsi="Times New Roman"/>
                    </w:rPr>
                  </w:pPr>
                  <w:r>
                    <w:rPr>
                      <w:rFonts w:ascii="Times New Roman" w:hAnsi="Times New Roman"/>
                    </w:rPr>
                    <w:t>不豁免</w:t>
                  </w:r>
                </w:p>
              </w:tc>
              <w:tc>
                <w:tcPr>
                  <w:tcW w:w="1511" w:type="dxa"/>
                  <w:vAlign w:val="center"/>
                </w:tcPr>
                <w:p w14:paraId="781A5C8F">
                  <w:pPr>
                    <w:pStyle w:val="58"/>
                    <w:widowControl w:val="0"/>
                    <w:topLinePunct/>
                    <w:rPr>
                      <w:rFonts w:ascii="Times New Roman" w:hAnsi="Times New Roman"/>
                    </w:rPr>
                  </w:pPr>
                  <w:r>
                    <w:rPr>
                      <w:rFonts w:ascii="Times New Roman" w:hAnsi="Times New Roman"/>
                    </w:rPr>
                    <w:t>不豁免</w:t>
                  </w:r>
                </w:p>
              </w:tc>
              <w:tc>
                <w:tcPr>
                  <w:tcW w:w="1515" w:type="dxa"/>
                  <w:vAlign w:val="center"/>
                </w:tcPr>
                <w:p w14:paraId="11681A0B">
                  <w:pPr>
                    <w:pStyle w:val="58"/>
                    <w:widowControl w:val="0"/>
                    <w:topLinePunct/>
                    <w:rPr>
                      <w:rFonts w:ascii="Times New Roman" w:hAnsi="Times New Roman"/>
                    </w:rPr>
                  </w:pPr>
                  <w:r>
                    <w:rPr>
                      <w:rFonts w:ascii="Times New Roman" w:hAnsi="Times New Roman"/>
                    </w:rPr>
                    <w:t>不豁免</w:t>
                  </w:r>
                </w:p>
              </w:tc>
            </w:tr>
            <w:tr w14:paraId="78EA1D4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30" w:type="dxa"/>
                  <w:vMerge w:val="restart"/>
                  <w:vAlign w:val="center"/>
                </w:tcPr>
                <w:p w14:paraId="1D29DB55">
                  <w:pPr>
                    <w:pStyle w:val="58"/>
                    <w:widowControl w:val="0"/>
                    <w:topLinePunct/>
                    <w:rPr>
                      <w:rFonts w:ascii="Times New Roman" w:hAnsi="Times New Roman"/>
                    </w:rPr>
                  </w:pPr>
                  <w:r>
                    <w:rPr>
                      <w:rFonts w:ascii="Times New Roman" w:hAnsi="Times New Roman"/>
                    </w:rPr>
                    <w:t>E3类型</w:t>
                  </w:r>
                </w:p>
              </w:tc>
              <w:tc>
                <w:tcPr>
                  <w:tcW w:w="1218" w:type="dxa"/>
                  <w:vAlign w:val="center"/>
                </w:tcPr>
                <w:p w14:paraId="39C902D8">
                  <w:pPr>
                    <w:pStyle w:val="58"/>
                    <w:widowControl w:val="0"/>
                    <w:topLinePunct/>
                    <w:rPr>
                      <w:rFonts w:ascii="Times New Roman" w:hAnsi="Times New Roman"/>
                    </w:rPr>
                  </w:pPr>
                  <w:r>
                    <w:rPr>
                      <w:rFonts w:ascii="Times New Roman" w:hAnsi="Times New Roman"/>
                    </w:rPr>
                    <w:t>Q≤0.1</w:t>
                  </w:r>
                </w:p>
              </w:tc>
              <w:tc>
                <w:tcPr>
                  <w:tcW w:w="1511" w:type="dxa"/>
                  <w:vAlign w:val="center"/>
                </w:tcPr>
                <w:p w14:paraId="067E50C1">
                  <w:pPr>
                    <w:pStyle w:val="58"/>
                    <w:widowControl w:val="0"/>
                    <w:topLinePunct/>
                    <w:rPr>
                      <w:rFonts w:ascii="Times New Roman" w:hAnsi="Times New Roman"/>
                    </w:rPr>
                  </w:pPr>
                  <w:r>
                    <w:rPr>
                      <w:rFonts w:ascii="Times New Roman" w:hAnsi="Times New Roman"/>
                    </w:rPr>
                    <w:t>豁免</w:t>
                  </w:r>
                </w:p>
              </w:tc>
              <w:tc>
                <w:tcPr>
                  <w:tcW w:w="1512" w:type="dxa"/>
                  <w:vAlign w:val="center"/>
                </w:tcPr>
                <w:p w14:paraId="6B417374">
                  <w:pPr>
                    <w:pStyle w:val="58"/>
                    <w:widowControl w:val="0"/>
                    <w:topLinePunct/>
                    <w:rPr>
                      <w:rFonts w:ascii="Times New Roman" w:hAnsi="Times New Roman"/>
                    </w:rPr>
                  </w:pPr>
                  <w:r>
                    <w:rPr>
                      <w:rFonts w:ascii="Times New Roman" w:hAnsi="Times New Roman"/>
                    </w:rPr>
                    <w:t>豁免</w:t>
                  </w:r>
                </w:p>
              </w:tc>
              <w:tc>
                <w:tcPr>
                  <w:tcW w:w="1511" w:type="dxa"/>
                  <w:vAlign w:val="center"/>
                </w:tcPr>
                <w:p w14:paraId="6F5DC214">
                  <w:pPr>
                    <w:pStyle w:val="58"/>
                    <w:widowControl w:val="0"/>
                    <w:topLinePunct/>
                    <w:rPr>
                      <w:rFonts w:ascii="Times New Roman" w:hAnsi="Times New Roman"/>
                    </w:rPr>
                  </w:pPr>
                  <w:r>
                    <w:rPr>
                      <w:rFonts w:ascii="Times New Roman" w:hAnsi="Times New Roman"/>
                    </w:rPr>
                    <w:t>核查后可豁免</w:t>
                  </w:r>
                </w:p>
              </w:tc>
              <w:tc>
                <w:tcPr>
                  <w:tcW w:w="1515" w:type="dxa"/>
                  <w:vAlign w:val="center"/>
                </w:tcPr>
                <w:p w14:paraId="0D39603D">
                  <w:pPr>
                    <w:pStyle w:val="58"/>
                    <w:widowControl w:val="0"/>
                    <w:topLinePunct/>
                    <w:rPr>
                      <w:rFonts w:ascii="Times New Roman" w:hAnsi="Times New Roman"/>
                    </w:rPr>
                  </w:pPr>
                  <w:r>
                    <w:rPr>
                      <w:rFonts w:ascii="Times New Roman" w:hAnsi="Times New Roman"/>
                    </w:rPr>
                    <w:t>核查后可豁免</w:t>
                  </w:r>
                </w:p>
              </w:tc>
            </w:tr>
            <w:tr w14:paraId="4296377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30" w:type="dxa"/>
                  <w:vMerge w:val="continue"/>
                  <w:vAlign w:val="center"/>
                </w:tcPr>
                <w:p w14:paraId="13DD4FF3">
                  <w:pPr>
                    <w:pStyle w:val="58"/>
                    <w:widowControl w:val="0"/>
                    <w:topLinePunct/>
                    <w:rPr>
                      <w:rFonts w:ascii="Times New Roman" w:hAnsi="Times New Roman"/>
                    </w:rPr>
                  </w:pPr>
                </w:p>
              </w:tc>
              <w:tc>
                <w:tcPr>
                  <w:tcW w:w="1218" w:type="dxa"/>
                  <w:vAlign w:val="center"/>
                </w:tcPr>
                <w:p w14:paraId="09A118F4">
                  <w:pPr>
                    <w:pStyle w:val="58"/>
                    <w:widowControl w:val="0"/>
                    <w:topLinePunct/>
                    <w:rPr>
                      <w:rFonts w:ascii="Times New Roman" w:hAnsi="Times New Roman"/>
                    </w:rPr>
                  </w:pPr>
                  <w:r>
                    <w:rPr>
                      <w:rFonts w:ascii="Times New Roman" w:hAnsi="Times New Roman"/>
                    </w:rPr>
                    <w:t>0.1&lt;Q&lt;0.5</w:t>
                  </w:r>
                </w:p>
              </w:tc>
              <w:tc>
                <w:tcPr>
                  <w:tcW w:w="1511" w:type="dxa"/>
                  <w:vAlign w:val="center"/>
                </w:tcPr>
                <w:p w14:paraId="3C84FFAE">
                  <w:pPr>
                    <w:pStyle w:val="58"/>
                    <w:widowControl w:val="0"/>
                    <w:topLinePunct/>
                    <w:rPr>
                      <w:rFonts w:ascii="Times New Roman" w:hAnsi="Times New Roman"/>
                    </w:rPr>
                  </w:pPr>
                  <w:r>
                    <w:rPr>
                      <w:rFonts w:ascii="Times New Roman" w:hAnsi="Times New Roman"/>
                    </w:rPr>
                    <w:t>豁免</w:t>
                  </w:r>
                </w:p>
              </w:tc>
              <w:tc>
                <w:tcPr>
                  <w:tcW w:w="1512" w:type="dxa"/>
                  <w:vAlign w:val="center"/>
                </w:tcPr>
                <w:p w14:paraId="553F5AB4">
                  <w:pPr>
                    <w:pStyle w:val="58"/>
                    <w:widowControl w:val="0"/>
                    <w:topLinePunct/>
                    <w:rPr>
                      <w:rFonts w:ascii="Times New Roman" w:hAnsi="Times New Roman"/>
                    </w:rPr>
                  </w:pPr>
                  <w:r>
                    <w:rPr>
                      <w:rFonts w:ascii="Times New Roman" w:hAnsi="Times New Roman"/>
                    </w:rPr>
                    <w:t>核查后可豁免</w:t>
                  </w:r>
                </w:p>
              </w:tc>
              <w:tc>
                <w:tcPr>
                  <w:tcW w:w="1511" w:type="dxa"/>
                  <w:vAlign w:val="center"/>
                </w:tcPr>
                <w:p w14:paraId="23C3414B">
                  <w:pPr>
                    <w:pStyle w:val="58"/>
                    <w:widowControl w:val="0"/>
                    <w:topLinePunct/>
                    <w:rPr>
                      <w:rFonts w:ascii="Times New Roman" w:hAnsi="Times New Roman"/>
                    </w:rPr>
                  </w:pPr>
                  <w:r>
                    <w:rPr>
                      <w:rFonts w:ascii="Times New Roman" w:hAnsi="Times New Roman"/>
                    </w:rPr>
                    <w:t>核查后可豁免</w:t>
                  </w:r>
                </w:p>
              </w:tc>
              <w:tc>
                <w:tcPr>
                  <w:tcW w:w="1515" w:type="dxa"/>
                  <w:vAlign w:val="center"/>
                </w:tcPr>
                <w:p w14:paraId="35A65898">
                  <w:pPr>
                    <w:pStyle w:val="58"/>
                    <w:widowControl w:val="0"/>
                    <w:topLinePunct/>
                    <w:rPr>
                      <w:rFonts w:ascii="Times New Roman" w:hAnsi="Times New Roman"/>
                    </w:rPr>
                  </w:pPr>
                  <w:r>
                    <w:rPr>
                      <w:rFonts w:ascii="Times New Roman" w:hAnsi="Times New Roman"/>
                    </w:rPr>
                    <w:t>不豁免</w:t>
                  </w:r>
                </w:p>
              </w:tc>
            </w:tr>
            <w:tr w14:paraId="3AD16E3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30" w:type="dxa"/>
                  <w:vMerge w:val="continue"/>
                  <w:vAlign w:val="center"/>
                </w:tcPr>
                <w:p w14:paraId="75CB68F0">
                  <w:pPr>
                    <w:pStyle w:val="58"/>
                    <w:widowControl w:val="0"/>
                    <w:topLinePunct/>
                    <w:rPr>
                      <w:rFonts w:ascii="Times New Roman" w:hAnsi="Times New Roman"/>
                    </w:rPr>
                  </w:pPr>
                </w:p>
              </w:tc>
              <w:tc>
                <w:tcPr>
                  <w:tcW w:w="1218" w:type="dxa"/>
                  <w:vAlign w:val="center"/>
                </w:tcPr>
                <w:p w14:paraId="7CD0BBC5">
                  <w:pPr>
                    <w:pStyle w:val="58"/>
                    <w:widowControl w:val="0"/>
                    <w:topLinePunct/>
                    <w:rPr>
                      <w:rFonts w:ascii="Times New Roman" w:hAnsi="Times New Roman"/>
                    </w:rPr>
                  </w:pPr>
                  <w:r>
                    <w:rPr>
                      <w:rFonts w:ascii="Times New Roman" w:hAnsi="Times New Roman"/>
                    </w:rPr>
                    <w:t>0.5≤Q&lt;1</w:t>
                  </w:r>
                </w:p>
              </w:tc>
              <w:tc>
                <w:tcPr>
                  <w:tcW w:w="1511" w:type="dxa"/>
                  <w:vAlign w:val="center"/>
                </w:tcPr>
                <w:p w14:paraId="523DC400">
                  <w:pPr>
                    <w:pStyle w:val="58"/>
                    <w:widowControl w:val="0"/>
                    <w:topLinePunct/>
                    <w:rPr>
                      <w:rFonts w:ascii="Times New Roman" w:hAnsi="Times New Roman"/>
                    </w:rPr>
                  </w:pPr>
                  <w:r>
                    <w:rPr>
                      <w:rFonts w:ascii="Times New Roman" w:hAnsi="Times New Roman"/>
                    </w:rPr>
                    <w:t>核查后可豁免</w:t>
                  </w:r>
                </w:p>
              </w:tc>
              <w:tc>
                <w:tcPr>
                  <w:tcW w:w="1512" w:type="dxa"/>
                  <w:vAlign w:val="center"/>
                </w:tcPr>
                <w:p w14:paraId="556D1AAF">
                  <w:pPr>
                    <w:pStyle w:val="58"/>
                    <w:widowControl w:val="0"/>
                    <w:topLinePunct/>
                    <w:rPr>
                      <w:rFonts w:ascii="Times New Roman" w:hAnsi="Times New Roman"/>
                    </w:rPr>
                  </w:pPr>
                  <w:r>
                    <w:rPr>
                      <w:rFonts w:ascii="Times New Roman" w:hAnsi="Times New Roman"/>
                    </w:rPr>
                    <w:t>核查后可豁免</w:t>
                  </w:r>
                </w:p>
              </w:tc>
              <w:tc>
                <w:tcPr>
                  <w:tcW w:w="1511" w:type="dxa"/>
                  <w:vAlign w:val="center"/>
                </w:tcPr>
                <w:p w14:paraId="07102994">
                  <w:pPr>
                    <w:pStyle w:val="58"/>
                    <w:widowControl w:val="0"/>
                    <w:topLinePunct/>
                    <w:rPr>
                      <w:rFonts w:ascii="Times New Roman" w:hAnsi="Times New Roman"/>
                    </w:rPr>
                  </w:pPr>
                  <w:r>
                    <w:rPr>
                      <w:rFonts w:ascii="Times New Roman" w:hAnsi="Times New Roman"/>
                    </w:rPr>
                    <w:t>不豁免</w:t>
                  </w:r>
                </w:p>
              </w:tc>
              <w:tc>
                <w:tcPr>
                  <w:tcW w:w="1515" w:type="dxa"/>
                  <w:vAlign w:val="center"/>
                </w:tcPr>
                <w:p w14:paraId="11A4093F">
                  <w:pPr>
                    <w:pStyle w:val="58"/>
                    <w:widowControl w:val="0"/>
                    <w:topLinePunct/>
                    <w:rPr>
                      <w:rFonts w:ascii="Times New Roman" w:hAnsi="Times New Roman"/>
                    </w:rPr>
                  </w:pPr>
                  <w:r>
                    <w:rPr>
                      <w:rFonts w:ascii="Times New Roman" w:hAnsi="Times New Roman"/>
                    </w:rPr>
                    <w:t>不豁免</w:t>
                  </w:r>
                </w:p>
              </w:tc>
            </w:tr>
            <w:tr w14:paraId="0D504C3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297" w:type="dxa"/>
                  <w:gridSpan w:val="6"/>
                  <w:vAlign w:val="center"/>
                </w:tcPr>
                <w:p w14:paraId="1FE02F34">
                  <w:pPr>
                    <w:pStyle w:val="58"/>
                    <w:widowControl w:val="0"/>
                    <w:topLinePunct/>
                    <w:jc w:val="left"/>
                    <w:rPr>
                      <w:rFonts w:ascii="Times New Roman" w:hAnsi="Times New Roman"/>
                    </w:rPr>
                  </w:pPr>
                  <w:r>
                    <w:rPr>
                      <w:rFonts w:ascii="Times New Roman" w:hAnsi="Times New Roman"/>
                    </w:rPr>
                    <w:t>备注：</w:t>
                  </w:r>
                </w:p>
                <w:p w14:paraId="3220A1C3">
                  <w:pPr>
                    <w:pStyle w:val="58"/>
                    <w:widowControl w:val="0"/>
                    <w:topLinePunct/>
                    <w:jc w:val="left"/>
                    <w:rPr>
                      <w:rFonts w:ascii="Times New Roman" w:hAnsi="Times New Roman"/>
                    </w:rPr>
                  </w:pPr>
                  <w:r>
                    <w:rPr>
                      <w:rFonts w:ascii="Times New Roman" w:hAnsi="Times New Roman"/>
                    </w:rPr>
                    <w:t>（1）豁免指这类企业事业单位虽然涉及环境风险物质，但环境风险小、不强制性要求编制突发环境事件应急预案；</w:t>
                  </w:r>
                </w:p>
                <w:p w14:paraId="0AB99797">
                  <w:pPr>
                    <w:pStyle w:val="58"/>
                    <w:widowControl w:val="0"/>
                    <w:topLinePunct/>
                    <w:jc w:val="left"/>
                    <w:rPr>
                      <w:rFonts w:ascii="Times New Roman" w:hAnsi="Times New Roman"/>
                    </w:rPr>
                  </w:pPr>
                  <w:r>
                    <w:rPr>
                      <w:rFonts w:ascii="Times New Roman" w:hAnsi="Times New Roman"/>
                    </w:rPr>
                    <w:t>（2）不豁免指这类企业事业单位虽然Q小，但M偏大或E敏感，应依照相关法律法规编制突发环境事件应急预案并备案；</w:t>
                  </w:r>
                </w:p>
                <w:p w14:paraId="17926033">
                  <w:pPr>
                    <w:pStyle w:val="58"/>
                    <w:widowControl w:val="0"/>
                    <w:topLinePunct/>
                    <w:jc w:val="left"/>
                    <w:rPr>
                      <w:rFonts w:ascii="Times New Roman" w:hAnsi="Times New Roman"/>
                    </w:rPr>
                  </w:pPr>
                  <w:r>
                    <w:rPr>
                      <w:rFonts w:ascii="Times New Roman" w:hAnsi="Times New Roman"/>
                    </w:rPr>
                    <w:t>（3）核查后可豁免指这类企业事业单位存在一定的环境风险隐患，根据市州及以上环境应急专家核查后、视情况确定是否豁免；</w:t>
                  </w:r>
                </w:p>
                <w:p w14:paraId="6788013B">
                  <w:pPr>
                    <w:pStyle w:val="58"/>
                    <w:widowControl w:val="0"/>
                    <w:topLinePunct/>
                    <w:jc w:val="left"/>
                    <w:rPr>
                      <w:rFonts w:ascii="Times New Roman" w:hAnsi="Times New Roman"/>
                    </w:rPr>
                  </w:pPr>
                  <w:r>
                    <w:rPr>
                      <w:rFonts w:ascii="Times New Roman" w:hAnsi="Times New Roman"/>
                    </w:rPr>
                    <w:t>Q、M、E值判定以《企业突发环境事件风险分级方法》为准。</w:t>
                  </w:r>
                </w:p>
              </w:tc>
            </w:tr>
          </w:tbl>
          <w:p w14:paraId="3D942D8D">
            <w:pPr>
              <w:topLinePunct/>
              <w:adjustRightInd w:val="0"/>
              <w:spacing w:line="360" w:lineRule="auto"/>
              <w:ind w:firstLine="480" w:firstLineChars="200"/>
              <w:jc w:val="left"/>
              <w:rPr>
                <w:snapToGrid w:val="0"/>
                <w:kern w:val="0"/>
                <w:sz w:val="24"/>
              </w:rPr>
            </w:pPr>
            <w:r>
              <w:rPr>
                <w:snapToGrid w:val="0"/>
                <w:kern w:val="0"/>
                <w:sz w:val="24"/>
              </w:rPr>
              <w:t>经判定后，如不属于可豁免管理企业，建设单位应参照《企业突发环境事件风险评估指南（试行）》的有关内容，自行或者委托专业机构编制《突发环境事件应急预案》，并送相关生态环境主管部门备案。</w:t>
            </w:r>
          </w:p>
          <w:p w14:paraId="7E5B805F">
            <w:pPr>
              <w:spacing w:line="360" w:lineRule="auto"/>
              <w:ind w:firstLine="482" w:firstLineChars="200"/>
              <w:rPr>
                <w:b/>
                <w:bCs/>
                <w:sz w:val="24"/>
              </w:rPr>
            </w:pPr>
            <w:r>
              <w:rPr>
                <w:rFonts w:hint="eastAsia"/>
                <w:b/>
                <w:bCs/>
                <w:sz w:val="24"/>
              </w:rPr>
              <w:t>8</w:t>
            </w:r>
            <w:r>
              <w:rPr>
                <w:b/>
                <w:bCs/>
                <w:sz w:val="24"/>
              </w:rPr>
              <w:t>、排污口规范化管理</w:t>
            </w:r>
          </w:p>
          <w:p w14:paraId="107748E7">
            <w:pPr>
              <w:pStyle w:val="17"/>
              <w:spacing w:after="0" w:line="360" w:lineRule="auto"/>
              <w:ind w:left="0" w:leftChars="0" w:firstLine="480" w:firstLineChars="200"/>
              <w:jc w:val="left"/>
              <w:rPr>
                <w:kern w:val="2"/>
                <w:szCs w:val="24"/>
              </w:rPr>
            </w:pPr>
            <w:r>
              <w:rPr>
                <w:kern w:val="2"/>
                <w:szCs w:val="24"/>
              </w:rPr>
              <w:t>本环评按照原国家环境保护总局环发〔1999〕24号《关于开展排放口规范化整治工作的通知》中的相关规定，并按照《污染源监测技术规范》要求，排放口须设置规范的、便于测量流量、流速的测流段和采样点。上述内容作为本项目竣工环保验收的重要内容之一，排放口规范化的工作需要由具有专业资质的单位负责施工建设，具体要求如下：</w:t>
            </w:r>
          </w:p>
          <w:p w14:paraId="5367EE7B">
            <w:pPr>
              <w:pStyle w:val="17"/>
              <w:spacing w:after="0" w:line="360" w:lineRule="auto"/>
              <w:ind w:left="0" w:leftChars="0" w:firstLine="480" w:firstLineChars="200"/>
              <w:jc w:val="left"/>
              <w:rPr>
                <w:kern w:val="2"/>
                <w:szCs w:val="24"/>
              </w:rPr>
            </w:pPr>
            <w:r>
              <w:rPr>
                <w:kern w:val="2"/>
                <w:szCs w:val="24"/>
              </w:rPr>
              <w:t>废气排放口必须符合规定的高度和按《污染源监测技术规范》便于采样、监测的要求，设置直径不小于75mm的采样口。如无法满足要求的，其采样口与环境监测部门共同确认。</w:t>
            </w:r>
          </w:p>
          <w:p w14:paraId="1983F253">
            <w:pPr>
              <w:pStyle w:val="17"/>
              <w:spacing w:after="0" w:line="360" w:lineRule="auto"/>
              <w:ind w:left="0" w:leftChars="0" w:firstLine="480" w:firstLineChars="200"/>
              <w:jc w:val="left"/>
              <w:rPr>
                <w:kern w:val="2"/>
                <w:szCs w:val="24"/>
              </w:rPr>
            </w:pPr>
            <w:r>
              <w:rPr>
                <w:kern w:val="2"/>
                <w:szCs w:val="24"/>
              </w:rPr>
              <w:t>废水排放口按照《排污口规范化整治技术要求(试行)》和《地表水和污水监测技</w:t>
            </w:r>
            <w:bookmarkStart w:id="13" w:name="六、结论"/>
            <w:bookmarkEnd w:id="13"/>
            <w:r>
              <w:rPr>
                <w:kern w:val="2"/>
                <w:szCs w:val="24"/>
              </w:rPr>
              <w:t>术规范》(HJ/T91)的要求规范设置废水外排口。</w:t>
            </w:r>
          </w:p>
          <w:p w14:paraId="55E92AAF">
            <w:pPr>
              <w:pStyle w:val="17"/>
              <w:spacing w:after="0" w:line="360" w:lineRule="auto"/>
              <w:ind w:left="0" w:leftChars="0" w:firstLine="480" w:firstLineChars="200"/>
              <w:jc w:val="left"/>
              <w:rPr>
                <w:kern w:val="2"/>
                <w:szCs w:val="24"/>
              </w:rPr>
            </w:pPr>
            <w:r>
              <w:rPr>
                <w:kern w:val="2"/>
                <w:szCs w:val="24"/>
              </w:rPr>
              <w:t>排放口按照国家标准《环境保护图形标志》（GB15562.1-1995）（GB15562.2-1995）的规定，设置规范的环境保护图形标志牌。</w:t>
            </w:r>
          </w:p>
          <w:p w14:paraId="77DCB48E">
            <w:pPr>
              <w:pStyle w:val="17"/>
              <w:spacing w:after="0" w:line="360" w:lineRule="auto"/>
              <w:ind w:left="0" w:leftChars="0" w:firstLine="480" w:firstLineChars="200"/>
              <w:jc w:val="left"/>
              <w:rPr>
                <w:b/>
                <w:szCs w:val="24"/>
              </w:rPr>
            </w:pPr>
            <w:r>
              <w:rPr>
                <w:kern w:val="2"/>
                <w:szCs w:val="24"/>
              </w:rPr>
              <w:t>污染物排放口，应按照国家《环境保护图形标志排放口（源）》（GB1556.2-1995）、《环境保护图形标志固体废物贮存（处置）场》（GB15562.2-1995）</w:t>
            </w:r>
            <w:r>
              <w:rPr>
                <w:rFonts w:hint="eastAsia"/>
                <w:kern w:val="2"/>
                <w:szCs w:val="24"/>
              </w:rPr>
              <w:t>修改单、</w:t>
            </w:r>
            <w:r>
              <w:rPr>
                <w:kern w:val="2"/>
                <w:szCs w:val="24"/>
              </w:rPr>
              <w:t> </w:t>
            </w:r>
            <w:r>
              <w:fldChar w:fldCharType="begin"/>
            </w:r>
            <w:r>
              <w:instrText xml:space="preserve"> HYPERLINK "https://www.mee.gov.cn/ywgz/fgbz/bz/bzwb/gthw/wxfwjbffbz/202302/W020230224650971041729.pdf" </w:instrText>
            </w:r>
            <w:r>
              <w:fldChar w:fldCharType="separate"/>
            </w:r>
            <w:r>
              <w:rPr>
                <w:rFonts w:hint="eastAsia"/>
                <w:kern w:val="2"/>
                <w:szCs w:val="24"/>
              </w:rPr>
              <w:t>危险废物识别标志设置技术规范（HJ1276—2022）</w:t>
            </w:r>
            <w:r>
              <w:rPr>
                <w:rFonts w:hint="eastAsia"/>
                <w:kern w:val="2"/>
                <w:szCs w:val="24"/>
              </w:rPr>
              <w:fldChar w:fldCharType="end"/>
            </w:r>
            <w:r>
              <w:rPr>
                <w:kern w:val="2"/>
                <w:szCs w:val="24"/>
              </w:rPr>
              <w:t>的规定，设置原国家环保总局统一制作的环境保护标志牌，排放口图像标志见表</w:t>
            </w:r>
            <w:r>
              <w:rPr>
                <w:rFonts w:hint="eastAsia"/>
                <w:kern w:val="2"/>
                <w:szCs w:val="24"/>
              </w:rPr>
              <w:t>4-21</w:t>
            </w:r>
          </w:p>
          <w:p w14:paraId="4181F686">
            <w:pPr>
              <w:pStyle w:val="89"/>
              <w:spacing w:line="240" w:lineRule="auto"/>
              <w:rPr>
                <w:sz w:val="21"/>
                <w:szCs w:val="21"/>
              </w:rPr>
            </w:pPr>
            <w:r>
              <w:rPr>
                <w:szCs w:val="24"/>
              </w:rPr>
              <w:t>表</w:t>
            </w:r>
            <w:r>
              <w:rPr>
                <w:rFonts w:hint="eastAsia"/>
                <w:szCs w:val="24"/>
              </w:rPr>
              <w:t xml:space="preserve">4-21     </w:t>
            </w:r>
            <w:r>
              <w:rPr>
                <w:szCs w:val="24"/>
              </w:rPr>
              <w:t>排放口环境保护标志</w:t>
            </w:r>
          </w:p>
          <w:tbl>
            <w:tblPr>
              <w:tblStyle w:val="36"/>
              <w:tblW w:w="8274" w:type="dxa"/>
              <w:tblInd w:w="0" w:type="dxa"/>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Layout w:type="fixed"/>
              <w:tblCellMar>
                <w:top w:w="0" w:type="dxa"/>
                <w:left w:w="0" w:type="dxa"/>
                <w:bottom w:w="0" w:type="dxa"/>
                <w:right w:w="0" w:type="dxa"/>
              </w:tblCellMar>
            </w:tblPr>
            <w:tblGrid>
              <w:gridCol w:w="1531"/>
              <w:gridCol w:w="1834"/>
              <w:gridCol w:w="1574"/>
              <w:gridCol w:w="3335"/>
            </w:tblGrid>
            <w:tr w14:paraId="46BA4942">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531" w:type="dxa"/>
                </w:tcPr>
                <w:p w14:paraId="5E0BF26A">
                  <w:pPr>
                    <w:pStyle w:val="174"/>
                    <w:spacing w:before="68"/>
                    <w:ind w:firstLine="0" w:firstLineChars="0"/>
                    <w:jc w:val="center"/>
                    <w:rPr>
                      <w:sz w:val="20"/>
                    </w:rPr>
                  </w:pPr>
                  <w:r>
                    <w:rPr>
                      <w:spacing w:val="-2"/>
                      <w:sz w:val="20"/>
                    </w:rPr>
                    <w:t>提示图形</w:t>
                  </w:r>
                  <w:r>
                    <w:rPr>
                      <w:spacing w:val="-6"/>
                      <w:sz w:val="20"/>
                    </w:rPr>
                    <w:t>符号</w:t>
                  </w:r>
                </w:p>
              </w:tc>
              <w:tc>
                <w:tcPr>
                  <w:tcW w:w="1834" w:type="dxa"/>
                </w:tcPr>
                <w:p w14:paraId="1D72D048">
                  <w:pPr>
                    <w:pStyle w:val="174"/>
                    <w:spacing w:before="68"/>
                    <w:ind w:firstLine="392"/>
                    <w:jc w:val="center"/>
                    <w:rPr>
                      <w:sz w:val="20"/>
                    </w:rPr>
                  </w:pPr>
                  <w:r>
                    <w:rPr>
                      <w:spacing w:val="-2"/>
                      <w:sz w:val="20"/>
                    </w:rPr>
                    <w:t>警告图形</w:t>
                  </w:r>
                  <w:r>
                    <w:rPr>
                      <w:spacing w:val="-6"/>
                      <w:sz w:val="20"/>
                    </w:rPr>
                    <w:t>符号</w:t>
                  </w:r>
                </w:p>
              </w:tc>
              <w:tc>
                <w:tcPr>
                  <w:tcW w:w="1574" w:type="dxa"/>
                  <w:vAlign w:val="center"/>
                </w:tcPr>
                <w:p w14:paraId="6B2B3756">
                  <w:pPr>
                    <w:jc w:val="center"/>
                  </w:pPr>
                  <w:r>
                    <w:t>名称</w:t>
                  </w:r>
                </w:p>
              </w:tc>
              <w:tc>
                <w:tcPr>
                  <w:tcW w:w="3335" w:type="dxa"/>
                  <w:vAlign w:val="center"/>
                </w:tcPr>
                <w:p w14:paraId="1298BE3C">
                  <w:pPr>
                    <w:jc w:val="center"/>
                  </w:pPr>
                  <w:r>
                    <w:t>功能</w:t>
                  </w:r>
                </w:p>
              </w:tc>
            </w:tr>
            <w:tr w14:paraId="450811ED">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1361" w:hRule="atLeast"/>
              </w:trPr>
              <w:tc>
                <w:tcPr>
                  <w:tcW w:w="1531" w:type="dxa"/>
                  <w:tcBorders>
                    <w:bottom w:val="single" w:color="auto" w:sz="4" w:space="0"/>
                  </w:tcBorders>
                </w:tcPr>
                <w:p w14:paraId="75F6116F">
                  <w:pPr>
                    <w:pStyle w:val="174"/>
                    <w:ind w:firstLine="0" w:firstLineChars="0"/>
                    <w:rPr>
                      <w:rFonts w:ascii="黑体"/>
                      <w:sz w:val="20"/>
                    </w:rPr>
                  </w:pPr>
                  <w:r>
                    <w:rPr>
                      <w:rFonts w:ascii="黑体"/>
                      <w:sz w:val="20"/>
                      <w:lang w:eastAsia="zh-CN"/>
                    </w:rPr>
                    <w:drawing>
                      <wp:inline distT="0" distB="0" distL="114300" distR="114300">
                        <wp:extent cx="853440" cy="894715"/>
                        <wp:effectExtent l="0" t="0" r="3810" b="635"/>
                        <wp:docPr id="1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0"/>
                                <pic:cNvPicPr>
                                  <a:picLocks noChangeAspect="1"/>
                                </pic:cNvPicPr>
                              </pic:nvPicPr>
                              <pic:blipFill>
                                <a:blip r:embed="rId35" cstate="print"/>
                                <a:stretch>
                                  <a:fillRect/>
                                </a:stretch>
                              </pic:blipFill>
                              <pic:spPr>
                                <a:xfrm>
                                  <a:off x="0" y="0"/>
                                  <a:ext cx="853440" cy="894715"/>
                                </a:xfrm>
                                <a:prstGeom prst="rect">
                                  <a:avLst/>
                                </a:prstGeom>
                                <a:noFill/>
                                <a:ln>
                                  <a:noFill/>
                                </a:ln>
                              </pic:spPr>
                            </pic:pic>
                          </a:graphicData>
                        </a:graphic>
                      </wp:inline>
                    </w:drawing>
                  </w:r>
                </w:p>
              </w:tc>
              <w:tc>
                <w:tcPr>
                  <w:tcW w:w="1834" w:type="dxa"/>
                  <w:tcBorders>
                    <w:bottom w:val="single" w:color="auto" w:sz="4" w:space="0"/>
                  </w:tcBorders>
                </w:tcPr>
                <w:p w14:paraId="0FE32012">
                  <w:pPr>
                    <w:pStyle w:val="174"/>
                    <w:ind w:right="-44" w:firstLine="0" w:firstLineChars="0"/>
                    <w:rPr>
                      <w:rFonts w:ascii="黑体"/>
                      <w:sz w:val="20"/>
                    </w:rPr>
                  </w:pPr>
                  <w:r>
                    <w:rPr>
                      <w:rFonts w:ascii="黑体"/>
                      <w:sz w:val="20"/>
                      <w:lang w:eastAsia="zh-CN"/>
                    </w:rPr>
                    <w:drawing>
                      <wp:inline distT="0" distB="0" distL="114300" distR="114300">
                        <wp:extent cx="967740" cy="800735"/>
                        <wp:effectExtent l="0" t="0" r="3810" b="18415"/>
                        <wp:docPr id="1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1"/>
                                <pic:cNvPicPr>
                                  <a:picLocks noChangeAspect="1"/>
                                </pic:cNvPicPr>
                              </pic:nvPicPr>
                              <pic:blipFill>
                                <a:blip r:embed="rId36" cstate="print"/>
                                <a:stretch>
                                  <a:fillRect/>
                                </a:stretch>
                              </pic:blipFill>
                              <pic:spPr>
                                <a:xfrm>
                                  <a:off x="0" y="0"/>
                                  <a:ext cx="967740" cy="800735"/>
                                </a:xfrm>
                                <a:prstGeom prst="rect">
                                  <a:avLst/>
                                </a:prstGeom>
                                <a:noFill/>
                                <a:ln>
                                  <a:noFill/>
                                </a:ln>
                              </pic:spPr>
                            </pic:pic>
                          </a:graphicData>
                        </a:graphic>
                      </wp:inline>
                    </w:drawing>
                  </w:r>
                </w:p>
              </w:tc>
              <w:tc>
                <w:tcPr>
                  <w:tcW w:w="1574" w:type="dxa"/>
                  <w:tcBorders>
                    <w:bottom w:val="single" w:color="auto" w:sz="4" w:space="0"/>
                  </w:tcBorders>
                </w:tcPr>
                <w:p w14:paraId="74E1F800">
                  <w:pPr>
                    <w:jc w:val="center"/>
                  </w:pPr>
                </w:p>
                <w:p w14:paraId="34EB3204">
                  <w:pPr>
                    <w:jc w:val="center"/>
                  </w:pPr>
                </w:p>
                <w:p w14:paraId="3DBADD18">
                  <w:pPr>
                    <w:jc w:val="center"/>
                  </w:pPr>
                </w:p>
                <w:p w14:paraId="1C7D7C56">
                  <w:pPr>
                    <w:jc w:val="center"/>
                  </w:pPr>
                  <w:r>
                    <w:t>废气排放口</w:t>
                  </w:r>
                </w:p>
              </w:tc>
              <w:tc>
                <w:tcPr>
                  <w:tcW w:w="3335" w:type="dxa"/>
                  <w:tcBorders>
                    <w:bottom w:val="single" w:color="auto" w:sz="4" w:space="0"/>
                  </w:tcBorders>
                </w:tcPr>
                <w:p w14:paraId="0D312969">
                  <w:pPr>
                    <w:jc w:val="center"/>
                  </w:pPr>
                </w:p>
                <w:p w14:paraId="5C48AE28">
                  <w:pPr>
                    <w:jc w:val="center"/>
                  </w:pPr>
                </w:p>
                <w:p w14:paraId="28A8F122">
                  <w:pPr>
                    <w:jc w:val="center"/>
                  </w:pPr>
                  <w:r>
                    <w:t>表示废气向大气环境排放</w:t>
                  </w:r>
                </w:p>
              </w:tc>
            </w:tr>
            <w:tr w14:paraId="05D370EB">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1549" w:hRule="atLeast"/>
              </w:trPr>
              <w:tc>
                <w:tcPr>
                  <w:tcW w:w="1531" w:type="dxa"/>
                  <w:tcBorders>
                    <w:top w:val="single" w:color="auto" w:sz="4" w:space="0"/>
                    <w:bottom w:val="single" w:color="auto" w:sz="4" w:space="0"/>
                  </w:tcBorders>
                </w:tcPr>
                <w:p w14:paraId="44B9C748">
                  <w:pPr>
                    <w:pStyle w:val="174"/>
                    <w:ind w:firstLine="0" w:firstLineChars="0"/>
                    <w:jc w:val="center"/>
                    <w:rPr>
                      <w:rFonts w:ascii="黑体"/>
                      <w:color w:val="FF0000"/>
                      <w:sz w:val="20"/>
                    </w:rPr>
                  </w:pPr>
                  <w:r>
                    <w:rPr>
                      <w:color w:val="FF0000"/>
                      <w:lang w:eastAsia="zh-CN"/>
                    </w:rPr>
                    <w:drawing>
                      <wp:inline distT="0" distB="0" distL="114300" distR="114300">
                        <wp:extent cx="894715" cy="943610"/>
                        <wp:effectExtent l="0" t="0" r="635" b="8890"/>
                        <wp:docPr id="14" name="图片 45" descr="1760964052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5" descr="1760964052946"/>
                                <pic:cNvPicPr>
                                  <a:picLocks noChangeAspect="1"/>
                                </pic:cNvPicPr>
                              </pic:nvPicPr>
                              <pic:blipFill>
                                <a:blip r:embed="rId37" cstate="print"/>
                                <a:stretch>
                                  <a:fillRect/>
                                </a:stretch>
                              </pic:blipFill>
                              <pic:spPr>
                                <a:xfrm>
                                  <a:off x="0" y="0"/>
                                  <a:ext cx="894715" cy="943610"/>
                                </a:xfrm>
                                <a:prstGeom prst="rect">
                                  <a:avLst/>
                                </a:prstGeom>
                                <a:noFill/>
                                <a:ln>
                                  <a:noFill/>
                                </a:ln>
                              </pic:spPr>
                            </pic:pic>
                          </a:graphicData>
                        </a:graphic>
                      </wp:inline>
                    </w:drawing>
                  </w:r>
                  <w:r>
                    <w:rPr>
                      <w:color w:val="FF0000"/>
                    </w:rPr>
                    <mc:AlternateContent>
                      <mc:Choice Requires="wps">
                        <w:drawing>
                          <wp:anchor distT="0" distB="0" distL="114300" distR="114300" simplePos="0" relativeHeight="251660288" behindDoc="0" locked="0" layoutInCell="1" allowOverlap="1">
                            <wp:simplePos x="0" y="0"/>
                            <wp:positionH relativeFrom="column">
                              <wp:posOffset>-761365</wp:posOffset>
                            </wp:positionH>
                            <wp:positionV relativeFrom="paragraph">
                              <wp:posOffset>81280</wp:posOffset>
                            </wp:positionV>
                            <wp:extent cx="125095" cy="344805"/>
                            <wp:effectExtent l="12700" t="12700" r="14605" b="23495"/>
                            <wp:wrapNone/>
                            <wp:docPr id="2" name="自选图形 3"/>
                            <wp:cNvGraphicFramePr/>
                            <a:graphic xmlns:a="http://schemas.openxmlformats.org/drawingml/2006/main">
                              <a:graphicData uri="http://schemas.microsoft.com/office/word/2010/wordprocessingShape">
                                <wps:wsp>
                                  <wps:cNvSpPr/>
                                  <wps:spPr>
                                    <a:xfrm>
                                      <a:off x="0" y="0"/>
                                      <a:ext cx="125095" cy="344805"/>
                                    </a:xfrm>
                                    <a:custGeom>
                                      <a:avLst/>
                                      <a:gdLst>
                                        <a:gd name="A1" fmla="val 0"/>
                                        <a:gd name="A2" fmla="val 0"/>
                                      </a:gdLst>
                                      <a:ahLst/>
                                      <a:cxnLst>
                                        <a:cxn ang="0">
                                          <a:pos x="125095" y="327025"/>
                                        </a:cxn>
                                        <a:cxn ang="0">
                                          <a:pos x="119380" y="0"/>
                                        </a:cxn>
                                        <a:cxn ang="0">
                                          <a:pos x="0" y="0"/>
                                        </a:cxn>
                                        <a:cxn ang="0">
                                          <a:pos x="0" y="47625"/>
                                        </a:cxn>
                                        <a:cxn ang="0">
                                          <a:pos x="101600" y="53340"/>
                                        </a:cxn>
                                        <a:cxn ang="0">
                                          <a:pos x="95250" y="285750"/>
                                        </a:cxn>
                                        <a:cxn ang="0">
                                          <a:pos x="83185" y="303530"/>
                                        </a:cxn>
                                        <a:cxn ang="0">
                                          <a:pos x="17780" y="303530"/>
                                        </a:cxn>
                                        <a:cxn ang="0">
                                          <a:pos x="24130" y="344805"/>
                                        </a:cxn>
                                        <a:cxn ang="0">
                                          <a:pos x="125095" y="327025"/>
                                        </a:cxn>
                                      </a:cxnLst>
                                      <a:pathLst>
                                        <a:path w="125095" h="344805">
                                          <a:moveTo>
                                            <a:pt x="125095" y="327025"/>
                                          </a:moveTo>
                                          <a:lnTo>
                                            <a:pt x="119380" y="0"/>
                                          </a:lnTo>
                                          <a:lnTo>
                                            <a:pt x="0" y="0"/>
                                          </a:lnTo>
                                          <a:lnTo>
                                            <a:pt x="0" y="47625"/>
                                          </a:lnTo>
                                          <a:lnTo>
                                            <a:pt x="101600" y="53340"/>
                                          </a:lnTo>
                                          <a:lnTo>
                                            <a:pt x="95250" y="285750"/>
                                          </a:lnTo>
                                          <a:lnTo>
                                            <a:pt x="83185" y="303530"/>
                                          </a:lnTo>
                                          <a:lnTo>
                                            <a:pt x="17780" y="303530"/>
                                          </a:lnTo>
                                          <a:lnTo>
                                            <a:pt x="24130" y="344805"/>
                                          </a:lnTo>
                                          <a:lnTo>
                                            <a:pt x="125095" y="327025"/>
                                          </a:lnTo>
                                          <a:close/>
                                        </a:path>
                                      </a:pathLst>
                                    </a:custGeom>
                                    <a:solidFill>
                                      <a:srgbClr val="FFFFFF"/>
                                    </a:solidFill>
                                    <a:ln w="25400" cap="flat" cmpd="sng">
                                      <a:solidFill>
                                        <a:srgbClr val="FFFFFF"/>
                                      </a:solidFill>
                                      <a:prstDash val="solid"/>
                                      <a:round/>
                                      <a:headEnd type="none" w="med" len="med"/>
                                      <a:tailEnd type="none" w="med" len="med"/>
                                    </a:ln>
                                  </wps:spPr>
                                  <wps:bodyPr upright="1"/>
                                </wps:wsp>
                              </a:graphicData>
                            </a:graphic>
                          </wp:anchor>
                        </w:drawing>
                      </mc:Choice>
                      <mc:Fallback>
                        <w:pict>
                          <v:shape id="自选图形 3" o:spid="_x0000_s1026" o:spt="100" style="position:absolute;left:0pt;margin-left:-59.95pt;margin-top:6.4pt;height:27.15pt;width:9.85pt;z-index:251660288;mso-width-relative:page;mso-height-relative:page;" fillcolor="#FFFFFF" filled="t" stroked="t" coordsize="125095,344805" o:gfxdata="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" path="m125095,327025l119380,0,0,0,0,47625,101600,53340,95250,285750,83185,303530,17780,303530,24130,344805,125095,327025xe">
                            <v:path o:connectlocs="125095,327025;119380,0;0,0;0,47625;101600,53340;95250,285750;83185,303530;17780,303530;24130,344805;125095,327025" o:connectangles="0,0,0,0,0,0,0,0,0,0"/>
                            <v:fill on="t" focussize="0,0"/>
                            <v:stroke weight="2pt" color="#FFFFFF" joinstyle="round"/>
                            <v:imagedata o:title=""/>
                            <o:lock v:ext="edit" aspectratio="f"/>
                          </v:shape>
                        </w:pict>
                      </mc:Fallback>
                    </mc:AlternateContent>
                  </w:r>
                </w:p>
              </w:tc>
              <w:tc>
                <w:tcPr>
                  <w:tcW w:w="1834" w:type="dxa"/>
                  <w:tcBorders>
                    <w:top w:val="single" w:color="auto" w:sz="4" w:space="0"/>
                    <w:bottom w:val="single" w:color="auto" w:sz="4" w:space="0"/>
                  </w:tcBorders>
                </w:tcPr>
                <w:p w14:paraId="21DA6B9A">
                  <w:pPr>
                    <w:pStyle w:val="174"/>
                    <w:ind w:right="-44" w:firstLine="0" w:firstLineChars="0"/>
                    <w:rPr>
                      <w:rFonts w:ascii="黑体"/>
                      <w:color w:val="FF0000"/>
                      <w:sz w:val="20"/>
                    </w:rPr>
                  </w:pPr>
                  <w:r>
                    <w:rPr>
                      <w:color w:val="FF0000"/>
                      <w:lang w:eastAsia="zh-CN"/>
                    </w:rPr>
                    <w:drawing>
                      <wp:inline distT="0" distB="0" distL="114300" distR="114300">
                        <wp:extent cx="1180465" cy="1002030"/>
                        <wp:effectExtent l="0" t="0" r="635" b="7620"/>
                        <wp:docPr id="1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6"/>
                                <pic:cNvPicPr>
                                  <a:picLocks noChangeAspect="1"/>
                                </pic:cNvPicPr>
                              </pic:nvPicPr>
                              <pic:blipFill>
                                <a:blip r:embed="rId38" cstate="print"/>
                                <a:stretch>
                                  <a:fillRect/>
                                </a:stretch>
                              </pic:blipFill>
                              <pic:spPr>
                                <a:xfrm>
                                  <a:off x="0" y="0"/>
                                  <a:ext cx="1180465" cy="1002030"/>
                                </a:xfrm>
                                <a:prstGeom prst="rect">
                                  <a:avLst/>
                                </a:prstGeom>
                                <a:noFill/>
                                <a:ln>
                                  <a:noFill/>
                                </a:ln>
                              </pic:spPr>
                            </pic:pic>
                          </a:graphicData>
                        </a:graphic>
                      </wp:inline>
                    </w:drawing>
                  </w:r>
                </w:p>
              </w:tc>
              <w:tc>
                <w:tcPr>
                  <w:tcW w:w="1574" w:type="dxa"/>
                  <w:tcBorders>
                    <w:top w:val="single" w:color="auto" w:sz="4" w:space="0"/>
                    <w:bottom w:val="single" w:color="auto" w:sz="4" w:space="0"/>
                  </w:tcBorders>
                </w:tcPr>
                <w:p w14:paraId="0DF2BCCE">
                  <w:pPr>
                    <w:jc w:val="center"/>
                  </w:pPr>
                </w:p>
                <w:p w14:paraId="784BA5D1">
                  <w:pPr>
                    <w:jc w:val="center"/>
                  </w:pPr>
                </w:p>
                <w:p w14:paraId="2003506D">
                  <w:pPr>
                    <w:jc w:val="center"/>
                  </w:pPr>
                </w:p>
                <w:p w14:paraId="16F60351">
                  <w:pPr>
                    <w:jc w:val="center"/>
                  </w:pPr>
                  <w:r>
                    <w:rPr>
                      <w:rFonts w:hint="eastAsia"/>
                    </w:rPr>
                    <w:t>污水排放口</w:t>
                  </w:r>
                </w:p>
              </w:tc>
              <w:tc>
                <w:tcPr>
                  <w:tcW w:w="3335" w:type="dxa"/>
                  <w:tcBorders>
                    <w:top w:val="single" w:color="auto" w:sz="4" w:space="0"/>
                    <w:bottom w:val="single" w:color="auto" w:sz="4" w:space="0"/>
                  </w:tcBorders>
                </w:tcPr>
                <w:p w14:paraId="50ED24E5">
                  <w:pPr>
                    <w:jc w:val="center"/>
                  </w:pPr>
                </w:p>
                <w:p w14:paraId="715A244F">
                  <w:pPr>
                    <w:jc w:val="center"/>
                  </w:pPr>
                </w:p>
                <w:p w14:paraId="67723DB0">
                  <w:pPr>
                    <w:jc w:val="center"/>
                  </w:pPr>
                </w:p>
                <w:p w14:paraId="6327BE48">
                  <w:pPr>
                    <w:jc w:val="center"/>
                  </w:pPr>
                  <w:r>
                    <w:t>表示</w:t>
                  </w:r>
                  <w:r>
                    <w:rPr>
                      <w:rFonts w:hint="eastAsia"/>
                    </w:rPr>
                    <w:t>废水</w:t>
                  </w:r>
                  <w:r>
                    <w:t>向</w:t>
                  </w:r>
                  <w:r>
                    <w:rPr>
                      <w:rFonts w:hint="eastAsia"/>
                    </w:rPr>
                    <w:t>地表水</w:t>
                  </w:r>
                  <w:r>
                    <w:t>环境排放</w:t>
                  </w:r>
                </w:p>
              </w:tc>
            </w:tr>
            <w:tr w14:paraId="68F4AA94">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1354" w:hRule="atLeast"/>
              </w:trPr>
              <w:tc>
                <w:tcPr>
                  <w:tcW w:w="1531" w:type="dxa"/>
                  <w:tcBorders>
                    <w:top w:val="single" w:color="auto" w:sz="4" w:space="0"/>
                  </w:tcBorders>
                </w:tcPr>
                <w:p w14:paraId="534E16ED">
                  <w:pPr>
                    <w:pStyle w:val="174"/>
                    <w:ind w:firstLine="0" w:firstLineChars="0"/>
                    <w:rPr>
                      <w:rFonts w:ascii="黑体"/>
                      <w:sz w:val="20"/>
                    </w:rPr>
                  </w:pPr>
                  <w:r>
                    <w:rPr>
                      <w:rFonts w:ascii="黑体"/>
                      <w:sz w:val="20"/>
                      <w:lang w:eastAsia="zh-CN"/>
                    </w:rPr>
                    <w:drawing>
                      <wp:inline distT="0" distB="0" distL="114300" distR="114300">
                        <wp:extent cx="848360" cy="895350"/>
                        <wp:effectExtent l="0" t="0" r="8890" b="0"/>
                        <wp:docPr id="16"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2"/>
                                <pic:cNvPicPr>
                                  <a:picLocks noChangeAspect="1"/>
                                </pic:cNvPicPr>
                              </pic:nvPicPr>
                              <pic:blipFill>
                                <a:blip r:embed="rId39" cstate="print"/>
                                <a:stretch>
                                  <a:fillRect/>
                                </a:stretch>
                              </pic:blipFill>
                              <pic:spPr>
                                <a:xfrm>
                                  <a:off x="0" y="0"/>
                                  <a:ext cx="848360" cy="895350"/>
                                </a:xfrm>
                                <a:prstGeom prst="rect">
                                  <a:avLst/>
                                </a:prstGeom>
                                <a:noFill/>
                                <a:ln>
                                  <a:noFill/>
                                </a:ln>
                              </pic:spPr>
                            </pic:pic>
                          </a:graphicData>
                        </a:graphic>
                      </wp:inline>
                    </w:drawing>
                  </w:r>
                </w:p>
              </w:tc>
              <w:tc>
                <w:tcPr>
                  <w:tcW w:w="1834" w:type="dxa"/>
                  <w:tcBorders>
                    <w:top w:val="single" w:color="auto" w:sz="4" w:space="0"/>
                  </w:tcBorders>
                </w:tcPr>
                <w:p w14:paraId="69184977">
                  <w:pPr>
                    <w:pStyle w:val="174"/>
                    <w:ind w:firstLine="60"/>
                    <w:rPr>
                      <w:rFonts w:ascii="黑体"/>
                      <w:sz w:val="3"/>
                    </w:rPr>
                  </w:pPr>
                </w:p>
                <w:p w14:paraId="70D7446A">
                  <w:pPr>
                    <w:pStyle w:val="174"/>
                    <w:ind w:right="-44" w:firstLine="0" w:firstLineChars="0"/>
                    <w:rPr>
                      <w:rFonts w:ascii="黑体"/>
                      <w:sz w:val="20"/>
                    </w:rPr>
                  </w:pPr>
                  <w:r>
                    <w:rPr>
                      <w:rFonts w:ascii="黑体"/>
                      <w:sz w:val="20"/>
                      <w:lang w:eastAsia="zh-CN"/>
                    </w:rPr>
                    <w:drawing>
                      <wp:inline distT="0" distB="0" distL="114300" distR="114300">
                        <wp:extent cx="967740" cy="800735"/>
                        <wp:effectExtent l="0" t="0" r="3810" b="18415"/>
                        <wp:docPr id="17"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3"/>
                                <pic:cNvPicPr>
                                  <a:picLocks noChangeAspect="1"/>
                                </pic:cNvPicPr>
                              </pic:nvPicPr>
                              <pic:blipFill>
                                <a:blip r:embed="rId40" cstate="print"/>
                                <a:stretch>
                                  <a:fillRect/>
                                </a:stretch>
                              </pic:blipFill>
                              <pic:spPr>
                                <a:xfrm>
                                  <a:off x="0" y="0"/>
                                  <a:ext cx="967740" cy="800735"/>
                                </a:xfrm>
                                <a:prstGeom prst="rect">
                                  <a:avLst/>
                                </a:prstGeom>
                                <a:noFill/>
                                <a:ln>
                                  <a:noFill/>
                                </a:ln>
                              </pic:spPr>
                            </pic:pic>
                          </a:graphicData>
                        </a:graphic>
                      </wp:inline>
                    </w:drawing>
                  </w:r>
                </w:p>
              </w:tc>
              <w:tc>
                <w:tcPr>
                  <w:tcW w:w="1574" w:type="dxa"/>
                  <w:tcBorders>
                    <w:top w:val="single" w:color="auto" w:sz="4" w:space="0"/>
                  </w:tcBorders>
                </w:tcPr>
                <w:p w14:paraId="0764F825">
                  <w:pPr>
                    <w:jc w:val="center"/>
                  </w:pPr>
                </w:p>
                <w:p w14:paraId="30134FCA">
                  <w:pPr>
                    <w:jc w:val="center"/>
                  </w:pPr>
                </w:p>
                <w:p w14:paraId="23A803B1">
                  <w:pPr>
                    <w:jc w:val="center"/>
                  </w:pPr>
                  <w:r>
                    <w:t>一般固体废物</w:t>
                  </w:r>
                </w:p>
              </w:tc>
              <w:tc>
                <w:tcPr>
                  <w:tcW w:w="3335" w:type="dxa"/>
                  <w:tcBorders>
                    <w:top w:val="single" w:color="auto" w:sz="4" w:space="0"/>
                  </w:tcBorders>
                  <w:vAlign w:val="center"/>
                </w:tcPr>
                <w:p w14:paraId="2B790782">
                  <w:pPr>
                    <w:jc w:val="center"/>
                  </w:pPr>
                </w:p>
                <w:p w14:paraId="007B9119">
                  <w:pPr>
                    <w:jc w:val="center"/>
                  </w:pPr>
                  <w:r>
                    <w:t>表示一般固体废物贮存、处置场</w:t>
                  </w:r>
                </w:p>
              </w:tc>
            </w:tr>
            <w:tr w14:paraId="2ADE0ECB">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1118" w:hRule="atLeast"/>
              </w:trPr>
              <w:tc>
                <w:tcPr>
                  <w:tcW w:w="1531" w:type="dxa"/>
                  <w:vAlign w:val="center"/>
                </w:tcPr>
                <w:p w14:paraId="67B08A7D">
                  <w:pPr>
                    <w:pStyle w:val="174"/>
                    <w:ind w:firstLine="440"/>
                    <w:jc w:val="center"/>
                    <w:rPr>
                      <w:rFonts w:ascii="黑体"/>
                    </w:rPr>
                  </w:pPr>
                </w:p>
                <w:p w14:paraId="7B2D1263">
                  <w:pPr>
                    <w:pStyle w:val="174"/>
                    <w:spacing w:before="162"/>
                    <w:ind w:left="107" w:firstLine="394"/>
                    <w:jc w:val="center"/>
                    <w:rPr>
                      <w:rFonts w:ascii="Times New Roman"/>
                      <w:sz w:val="20"/>
                    </w:rPr>
                  </w:pPr>
                  <w:r>
                    <w:rPr>
                      <w:rFonts w:ascii="Times New Roman"/>
                      <w:w w:val="99"/>
                      <w:sz w:val="20"/>
                    </w:rPr>
                    <w:t>/</w:t>
                  </w:r>
                </w:p>
              </w:tc>
              <w:tc>
                <w:tcPr>
                  <w:tcW w:w="1834" w:type="dxa"/>
                </w:tcPr>
                <w:p w14:paraId="7EF662A9">
                  <w:pPr>
                    <w:pStyle w:val="174"/>
                    <w:ind w:firstLine="100"/>
                    <w:rPr>
                      <w:rFonts w:ascii="黑体"/>
                      <w:sz w:val="5"/>
                    </w:rPr>
                  </w:pPr>
                </w:p>
                <w:p w14:paraId="6ABF8237">
                  <w:pPr>
                    <w:pStyle w:val="174"/>
                    <w:ind w:firstLine="0" w:firstLineChars="0"/>
                    <w:rPr>
                      <w:rFonts w:ascii="黑体"/>
                      <w:sz w:val="20"/>
                    </w:rPr>
                  </w:pPr>
                  <w:r>
                    <w:rPr>
                      <w:rFonts w:ascii="黑体"/>
                      <w:sz w:val="20"/>
                      <w:lang w:eastAsia="zh-CN"/>
                    </w:rPr>
                    <w:drawing>
                      <wp:inline distT="0" distB="0" distL="114300" distR="114300">
                        <wp:extent cx="982980" cy="834390"/>
                        <wp:effectExtent l="0" t="0" r="7620" b="3810"/>
                        <wp:docPr id="18"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4"/>
                                <pic:cNvPicPr>
                                  <a:picLocks noChangeAspect="1"/>
                                </pic:cNvPicPr>
                              </pic:nvPicPr>
                              <pic:blipFill>
                                <a:blip r:embed="rId41" cstate="print"/>
                                <a:stretch>
                                  <a:fillRect/>
                                </a:stretch>
                              </pic:blipFill>
                              <pic:spPr>
                                <a:xfrm>
                                  <a:off x="0" y="0"/>
                                  <a:ext cx="982980" cy="834390"/>
                                </a:xfrm>
                                <a:prstGeom prst="rect">
                                  <a:avLst/>
                                </a:prstGeom>
                                <a:noFill/>
                                <a:ln>
                                  <a:noFill/>
                                </a:ln>
                              </pic:spPr>
                            </pic:pic>
                          </a:graphicData>
                        </a:graphic>
                      </wp:inline>
                    </w:drawing>
                  </w:r>
                </w:p>
              </w:tc>
              <w:tc>
                <w:tcPr>
                  <w:tcW w:w="1574" w:type="dxa"/>
                  <w:vAlign w:val="center"/>
                </w:tcPr>
                <w:p w14:paraId="0E223CCE">
                  <w:pPr>
                    <w:jc w:val="center"/>
                  </w:pPr>
                </w:p>
                <w:p w14:paraId="40AB7CE7">
                  <w:pPr>
                    <w:jc w:val="center"/>
                  </w:pPr>
                  <w:r>
                    <w:t>危险废物</w:t>
                  </w:r>
                </w:p>
              </w:tc>
              <w:tc>
                <w:tcPr>
                  <w:tcW w:w="3335" w:type="dxa"/>
                  <w:vAlign w:val="center"/>
                </w:tcPr>
                <w:p w14:paraId="2CCDC222">
                  <w:pPr>
                    <w:jc w:val="center"/>
                  </w:pPr>
                </w:p>
                <w:p w14:paraId="4B171D77">
                  <w:pPr>
                    <w:jc w:val="center"/>
                  </w:pPr>
                  <w:r>
                    <w:t>表示危险废物贮存、处置场所</w:t>
                  </w:r>
                </w:p>
              </w:tc>
            </w:tr>
            <w:tr w14:paraId="640AB1D4">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1343" w:hRule="atLeast"/>
              </w:trPr>
              <w:tc>
                <w:tcPr>
                  <w:tcW w:w="1531" w:type="dxa"/>
                </w:tcPr>
                <w:p w14:paraId="393C38F1">
                  <w:pPr>
                    <w:pStyle w:val="174"/>
                    <w:ind w:firstLine="0" w:firstLineChars="0"/>
                    <w:rPr>
                      <w:rFonts w:ascii="黑体"/>
                      <w:sz w:val="20"/>
                    </w:rPr>
                  </w:pPr>
                  <w:r>
                    <w:rPr>
                      <w:rFonts w:ascii="黑体"/>
                      <w:sz w:val="20"/>
                      <w:lang w:eastAsia="zh-CN"/>
                    </w:rPr>
                    <w:drawing>
                      <wp:inline distT="0" distB="0" distL="114300" distR="114300">
                        <wp:extent cx="847725" cy="881380"/>
                        <wp:effectExtent l="0" t="0" r="9525" b="13970"/>
                        <wp:docPr id="2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5"/>
                                <pic:cNvPicPr>
                                  <a:picLocks noChangeAspect="1"/>
                                </pic:cNvPicPr>
                              </pic:nvPicPr>
                              <pic:blipFill>
                                <a:blip r:embed="rId42" cstate="print"/>
                                <a:stretch>
                                  <a:fillRect/>
                                </a:stretch>
                              </pic:blipFill>
                              <pic:spPr>
                                <a:xfrm>
                                  <a:off x="0" y="0"/>
                                  <a:ext cx="847725" cy="881380"/>
                                </a:xfrm>
                                <a:prstGeom prst="rect">
                                  <a:avLst/>
                                </a:prstGeom>
                                <a:noFill/>
                                <a:ln>
                                  <a:noFill/>
                                </a:ln>
                              </pic:spPr>
                            </pic:pic>
                          </a:graphicData>
                        </a:graphic>
                      </wp:inline>
                    </w:drawing>
                  </w:r>
                </w:p>
              </w:tc>
              <w:tc>
                <w:tcPr>
                  <w:tcW w:w="1834" w:type="dxa"/>
                </w:tcPr>
                <w:p w14:paraId="3173D364">
                  <w:pPr>
                    <w:pStyle w:val="174"/>
                    <w:ind w:right="-15" w:firstLine="0" w:firstLineChars="0"/>
                    <w:rPr>
                      <w:rFonts w:ascii="黑体"/>
                      <w:sz w:val="20"/>
                    </w:rPr>
                  </w:pPr>
                  <w:r>
                    <w:rPr>
                      <w:rFonts w:ascii="黑体"/>
                      <w:sz w:val="20"/>
                      <w:lang w:eastAsia="zh-CN"/>
                    </w:rPr>
                    <w:drawing>
                      <wp:inline distT="0" distB="0" distL="114300" distR="114300">
                        <wp:extent cx="952500" cy="847725"/>
                        <wp:effectExtent l="0" t="0" r="0" b="9525"/>
                        <wp:docPr id="2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6"/>
                                <pic:cNvPicPr>
                                  <a:picLocks noChangeAspect="1"/>
                                </pic:cNvPicPr>
                              </pic:nvPicPr>
                              <pic:blipFill>
                                <a:blip r:embed="rId43" cstate="print"/>
                                <a:stretch>
                                  <a:fillRect/>
                                </a:stretch>
                              </pic:blipFill>
                              <pic:spPr>
                                <a:xfrm>
                                  <a:off x="0" y="0"/>
                                  <a:ext cx="952500" cy="847725"/>
                                </a:xfrm>
                                <a:prstGeom prst="rect">
                                  <a:avLst/>
                                </a:prstGeom>
                                <a:noFill/>
                                <a:ln>
                                  <a:noFill/>
                                </a:ln>
                              </pic:spPr>
                            </pic:pic>
                          </a:graphicData>
                        </a:graphic>
                      </wp:inline>
                    </w:drawing>
                  </w:r>
                </w:p>
              </w:tc>
              <w:tc>
                <w:tcPr>
                  <w:tcW w:w="1574" w:type="dxa"/>
                </w:tcPr>
                <w:p w14:paraId="5F51BB2D">
                  <w:pPr>
                    <w:jc w:val="center"/>
                  </w:pPr>
                </w:p>
                <w:p w14:paraId="3CB95B42">
                  <w:pPr>
                    <w:jc w:val="center"/>
                  </w:pPr>
                </w:p>
                <w:p w14:paraId="2E8D4F79">
                  <w:pPr>
                    <w:jc w:val="center"/>
                  </w:pPr>
                  <w:r>
                    <w:t>车间噪声源</w:t>
                  </w:r>
                </w:p>
              </w:tc>
              <w:tc>
                <w:tcPr>
                  <w:tcW w:w="3335" w:type="dxa"/>
                  <w:vAlign w:val="center"/>
                </w:tcPr>
                <w:p w14:paraId="11B56AD0">
                  <w:pPr>
                    <w:jc w:val="center"/>
                  </w:pPr>
                  <w:r>
                    <w:t>表示噪声向外环境排放</w:t>
                  </w:r>
                </w:p>
              </w:tc>
            </w:tr>
          </w:tbl>
          <w:p w14:paraId="362959A5">
            <w:pPr>
              <w:pStyle w:val="15"/>
              <w:spacing w:before="2"/>
              <w:jc w:val="left"/>
            </w:pPr>
            <w:r>
              <w:rPr>
                <w:spacing w:val="-5"/>
              </w:rPr>
              <w:t>注：新的危废警告标识</w:t>
            </w:r>
            <w:r>
              <w:rPr>
                <w:rFonts w:eastAsia="Times New Roman"/>
              </w:rPr>
              <w:t>2023</w:t>
            </w:r>
            <w:r>
              <w:rPr>
                <w:spacing w:val="-27"/>
              </w:rPr>
              <w:t>年</w:t>
            </w:r>
            <w:r>
              <w:rPr>
                <w:rFonts w:eastAsia="Times New Roman"/>
              </w:rPr>
              <w:t>07</w:t>
            </w:r>
            <w:r>
              <w:rPr>
                <w:spacing w:val="-25"/>
              </w:rPr>
              <w:t>月</w:t>
            </w:r>
            <w:r>
              <w:rPr>
                <w:rFonts w:eastAsia="Times New Roman"/>
              </w:rPr>
              <w:t>01</w:t>
            </w:r>
            <w:r>
              <w:rPr>
                <w:spacing w:val="-3"/>
              </w:rPr>
              <w:t>日执行。</w:t>
            </w:r>
          </w:p>
          <w:p w14:paraId="4D513126">
            <w:pPr>
              <w:pStyle w:val="17"/>
              <w:spacing w:after="0" w:line="360" w:lineRule="auto"/>
              <w:ind w:left="0" w:leftChars="0" w:firstLine="480" w:firstLineChars="200"/>
              <w:jc w:val="left"/>
              <w:rPr>
                <w:kern w:val="2"/>
                <w:szCs w:val="24"/>
              </w:rPr>
            </w:pPr>
            <w:r>
              <w:rPr>
                <w:rFonts w:hint="eastAsia"/>
                <w:kern w:val="2"/>
                <w:szCs w:val="24"/>
              </w:rPr>
              <w:t>①</w:t>
            </w:r>
            <w:r>
              <w:rPr>
                <w:kern w:val="2"/>
                <w:szCs w:val="24"/>
              </w:rPr>
              <w:t>排放口的环境保护标志牌应设置在靠近采样点的醒目处，标志牌设置高度为其上缘距地面约2m。</w:t>
            </w:r>
          </w:p>
          <w:p w14:paraId="3C380E8A">
            <w:pPr>
              <w:pStyle w:val="17"/>
              <w:spacing w:after="0" w:line="360" w:lineRule="auto"/>
              <w:ind w:left="0" w:leftChars="0" w:firstLine="480" w:firstLineChars="200"/>
              <w:jc w:val="left"/>
              <w:rPr>
                <w:kern w:val="2"/>
                <w:szCs w:val="24"/>
              </w:rPr>
            </w:pPr>
            <w:r>
              <w:rPr>
                <w:rFonts w:hint="eastAsia"/>
                <w:kern w:val="2"/>
                <w:szCs w:val="24"/>
              </w:rPr>
              <w:t>②</w:t>
            </w:r>
            <w:r>
              <w:rPr>
                <w:kern w:val="2"/>
                <w:szCs w:val="24"/>
              </w:rPr>
              <w:t>图形颜色及装置颜色</w:t>
            </w:r>
          </w:p>
          <w:p w14:paraId="02524B8E">
            <w:pPr>
              <w:pStyle w:val="17"/>
              <w:spacing w:after="0" w:line="360" w:lineRule="auto"/>
              <w:ind w:left="0" w:leftChars="0" w:firstLine="480" w:firstLineChars="200"/>
              <w:jc w:val="left"/>
              <w:rPr>
                <w:kern w:val="2"/>
                <w:szCs w:val="24"/>
              </w:rPr>
            </w:pPr>
            <w:r>
              <w:rPr>
                <w:kern w:val="2"/>
                <w:szCs w:val="24"/>
              </w:rPr>
              <w:t>提示标志：底和立柱为绿色，图案、边框、支架和文字为白色；警告标志：底和立柱为黄色，图案、边框、支架和文字为黑色</w:t>
            </w:r>
          </w:p>
          <w:p w14:paraId="08C15C98">
            <w:pPr>
              <w:pStyle w:val="17"/>
              <w:spacing w:after="0" w:line="360" w:lineRule="auto"/>
              <w:ind w:left="0" w:leftChars="0" w:firstLine="480" w:firstLineChars="200"/>
              <w:jc w:val="left"/>
              <w:rPr>
                <w:kern w:val="2"/>
                <w:szCs w:val="24"/>
              </w:rPr>
            </w:pPr>
            <w:r>
              <w:rPr>
                <w:kern w:val="2"/>
                <w:szCs w:val="24"/>
              </w:rPr>
              <w:t>（二）日常环境管理制度</w:t>
            </w:r>
          </w:p>
          <w:p w14:paraId="01E6FB59">
            <w:pPr>
              <w:pStyle w:val="17"/>
              <w:spacing w:after="0" w:line="360" w:lineRule="auto"/>
              <w:ind w:left="0" w:leftChars="0" w:firstLine="480" w:firstLineChars="200"/>
              <w:jc w:val="left"/>
              <w:rPr>
                <w:kern w:val="2"/>
                <w:szCs w:val="24"/>
              </w:rPr>
            </w:pPr>
            <w:r>
              <w:rPr>
                <w:kern w:val="2"/>
                <w:szCs w:val="24"/>
              </w:rPr>
              <w:t>（1）企业应建立日常环境管理制度。</w:t>
            </w:r>
          </w:p>
          <w:p w14:paraId="29653741">
            <w:pPr>
              <w:pStyle w:val="17"/>
              <w:spacing w:after="0" w:line="360" w:lineRule="auto"/>
              <w:ind w:left="0" w:leftChars="0" w:firstLine="480" w:firstLineChars="200"/>
              <w:jc w:val="left"/>
              <w:rPr>
                <w:kern w:val="2"/>
                <w:szCs w:val="24"/>
              </w:rPr>
            </w:pPr>
            <w:r>
              <w:rPr>
                <w:kern w:val="2"/>
                <w:szCs w:val="24"/>
              </w:rPr>
              <w:t>（2）建立日常环境管理</w:t>
            </w:r>
            <w:r>
              <w:rPr>
                <w:rFonts w:hint="eastAsia"/>
                <w:kern w:val="2"/>
                <w:szCs w:val="24"/>
                <w:lang w:eastAsia="zh-CN"/>
              </w:rPr>
              <w:t>台账</w:t>
            </w:r>
            <w:r>
              <w:rPr>
                <w:kern w:val="2"/>
                <w:szCs w:val="24"/>
              </w:rPr>
              <w:t>。针对项目运行过程产生的废水、噪声、固废、环境风险等方面建立规范的环境管理台账，台账内容应包括环保设施设备清单、专业操作及维护人员配备、环保设施运行及维护费用、环保设施运行记录、事故检修计划、耗材消耗、污染物排放或处置量、环保设施稳定运行保障计划等。</w:t>
            </w:r>
          </w:p>
          <w:p w14:paraId="4EA7ED7B">
            <w:pPr>
              <w:pStyle w:val="17"/>
              <w:spacing w:after="0" w:line="360" w:lineRule="auto"/>
              <w:ind w:left="0" w:leftChars="0" w:firstLine="480" w:firstLineChars="200"/>
              <w:jc w:val="left"/>
              <w:rPr>
                <w:kern w:val="2"/>
                <w:szCs w:val="24"/>
              </w:rPr>
            </w:pPr>
            <w:r>
              <w:rPr>
                <w:kern w:val="2"/>
                <w:szCs w:val="24"/>
              </w:rPr>
              <w:t>（3）进行各类固废</w:t>
            </w:r>
            <w:r>
              <w:rPr>
                <w:rFonts w:hint="eastAsia"/>
                <w:kern w:val="2"/>
                <w:szCs w:val="24"/>
                <w:lang w:eastAsia="zh-CN"/>
              </w:rPr>
              <w:t>台账</w:t>
            </w:r>
            <w:r>
              <w:rPr>
                <w:kern w:val="2"/>
                <w:szCs w:val="24"/>
              </w:rPr>
              <w:t>统计。</w:t>
            </w:r>
          </w:p>
          <w:p w14:paraId="23A52C3A">
            <w:pPr>
              <w:pStyle w:val="17"/>
              <w:spacing w:after="0" w:line="360" w:lineRule="auto"/>
              <w:ind w:left="0" w:leftChars="0" w:firstLine="480" w:firstLineChars="200"/>
              <w:jc w:val="left"/>
              <w:rPr>
                <w:kern w:val="2"/>
                <w:szCs w:val="24"/>
              </w:rPr>
            </w:pPr>
            <w:r>
              <w:rPr>
                <w:kern w:val="2"/>
                <w:szCs w:val="24"/>
              </w:rPr>
              <w:t>（4）做好各项环保设施日常运行、维护及费用记录；建立定期检查、维修和维修后验收制度，保证设备、设施完好，运转率达到考核要求。</w:t>
            </w:r>
          </w:p>
          <w:p w14:paraId="487DF87E">
            <w:pPr>
              <w:pStyle w:val="17"/>
              <w:spacing w:after="0" w:line="360" w:lineRule="auto"/>
              <w:ind w:left="0" w:leftChars="0" w:firstLine="480" w:firstLineChars="200"/>
              <w:jc w:val="left"/>
            </w:pPr>
            <w:r>
              <w:rPr>
                <w:kern w:val="2"/>
                <w:szCs w:val="24"/>
              </w:rPr>
              <w:t>（5）对员工进行环保法律、法规教育和宣传，提高员工环保意识，对环保岗位进行培训考核。</w:t>
            </w:r>
          </w:p>
          <w:p w14:paraId="6CC5F2A4">
            <w:pPr>
              <w:ind w:firstLine="546" w:firstLineChars="200"/>
              <w:rPr>
                <w:rFonts w:ascii="宋体" w:hAnsi="宋体" w:cs="宋体"/>
                <w:sz w:val="28"/>
                <w:szCs w:val="28"/>
              </w:rPr>
            </w:pPr>
            <w:r>
              <w:rPr>
                <w:rFonts w:hint="eastAsia"/>
                <w:b/>
                <w:bCs/>
                <w:spacing w:val="-4"/>
                <w:position w:val="19"/>
                <w:sz w:val="28"/>
                <w:szCs w:val="28"/>
              </w:rPr>
              <w:t>9</w:t>
            </w:r>
            <w:r>
              <w:rPr>
                <w:rFonts w:eastAsia="Times New Roman"/>
                <w:b/>
                <w:bCs/>
                <w:spacing w:val="-39"/>
                <w:position w:val="19"/>
                <w:sz w:val="28"/>
                <w:szCs w:val="28"/>
              </w:rPr>
              <w:t xml:space="preserve"> </w:t>
            </w:r>
            <w:r>
              <w:rPr>
                <w:rFonts w:ascii="宋体" w:hAnsi="宋体" w:cs="宋体"/>
                <w:spacing w:val="-4"/>
                <w:position w:val="19"/>
                <w:sz w:val="28"/>
                <w:szCs w:val="28"/>
              </w:rPr>
              <w:t>、排污许可管理</w:t>
            </w:r>
          </w:p>
          <w:p w14:paraId="41E38E27">
            <w:pPr>
              <w:spacing w:line="360" w:lineRule="auto"/>
              <w:ind w:firstLine="470" w:firstLineChars="200"/>
              <w:rPr>
                <w:rFonts w:ascii="宋体" w:hAnsi="宋体" w:cs="宋体"/>
                <w:sz w:val="24"/>
              </w:rPr>
            </w:pPr>
            <w:r>
              <w:rPr>
                <w:rFonts w:hint="eastAsia"/>
                <w:b/>
                <w:bCs/>
                <w:spacing w:val="-3"/>
                <w:sz w:val="24"/>
              </w:rPr>
              <w:t>9</w:t>
            </w:r>
            <w:r>
              <w:rPr>
                <w:rFonts w:eastAsia="Times New Roman"/>
                <w:b/>
                <w:bCs/>
                <w:spacing w:val="-3"/>
                <w:sz w:val="24"/>
              </w:rPr>
              <w:t>.1</w:t>
            </w:r>
            <w:r>
              <w:rPr>
                <w:rFonts w:eastAsia="Times New Roman"/>
                <w:b/>
                <w:bCs/>
                <w:spacing w:val="7"/>
                <w:sz w:val="24"/>
              </w:rPr>
              <w:t xml:space="preserve">  </w:t>
            </w:r>
            <w:r>
              <w:rPr>
                <w:rFonts w:ascii="宋体" w:hAnsi="宋体" w:cs="宋体"/>
                <w:spacing w:val="-3"/>
                <w:sz w:val="24"/>
              </w:rPr>
              <w:t>管理类别</w:t>
            </w:r>
          </w:p>
          <w:p w14:paraId="20A5AA19">
            <w:pPr>
              <w:spacing w:line="360" w:lineRule="auto"/>
              <w:ind w:firstLine="472" w:firstLineChars="200"/>
              <w:rPr>
                <w:rFonts w:ascii="宋体" w:hAnsi="宋体" w:cs="宋体"/>
                <w:sz w:val="24"/>
              </w:rPr>
            </w:pPr>
            <w:r>
              <w:rPr>
                <w:spacing w:val="-2"/>
                <w:sz w:val="24"/>
              </w:rPr>
              <w:t>参照根据《固定源排污许可分类管理名录》（2019版）</w:t>
            </w:r>
            <w:r>
              <w:rPr>
                <w:rFonts w:hint="eastAsia"/>
                <w:spacing w:val="-2"/>
                <w:sz w:val="24"/>
                <w:lang w:eastAsia="zh-CN"/>
              </w:rPr>
              <w:t>，</w:t>
            </w:r>
            <w:r>
              <w:rPr>
                <w:rFonts w:hint="eastAsia"/>
                <w:spacing w:val="-2"/>
                <w:sz w:val="24"/>
                <w:lang w:val="en-US" w:eastAsia="zh-CN"/>
              </w:rPr>
              <w:t>本项目同时属于</w:t>
            </w:r>
            <w:r>
              <w:rPr>
                <w:spacing w:val="-2"/>
                <w:sz w:val="24"/>
              </w:rPr>
              <w:t>中 “二十</w:t>
            </w:r>
            <w:r>
              <w:rPr>
                <w:rFonts w:hint="eastAsia"/>
                <w:spacing w:val="-2"/>
                <w:sz w:val="24"/>
                <w:lang w:val="en-US" w:eastAsia="zh-CN"/>
              </w:rPr>
              <w:t>六</w:t>
            </w:r>
            <w:r>
              <w:rPr>
                <w:spacing w:val="-2"/>
                <w:sz w:val="24"/>
              </w:rPr>
              <w:t>、橡胶和塑料制品业 29—塑料制品业292—塑料零件及其他塑料制品制造2929</w:t>
            </w:r>
            <w:r>
              <w:rPr>
                <w:rFonts w:hint="eastAsia"/>
                <w:spacing w:val="-2"/>
                <w:sz w:val="24"/>
                <w:lang w:eastAsia="zh-CN"/>
              </w:rPr>
              <w:t>，”</w:t>
            </w:r>
            <w:r>
              <w:rPr>
                <w:rFonts w:hint="eastAsia"/>
                <w:spacing w:val="-2"/>
                <w:sz w:val="24"/>
                <w:lang w:val="en-US" w:eastAsia="zh-CN"/>
              </w:rPr>
              <w:t>行业类别和“三十、金属制品业中C3360金属表面处理及热处理加工</w:t>
            </w:r>
            <w:r>
              <w:rPr>
                <w:rFonts w:hint="eastAsia"/>
                <w:spacing w:val="1"/>
                <w:sz w:val="24"/>
              </w:rPr>
              <w:t>”</w:t>
            </w:r>
            <w:r>
              <w:rPr>
                <w:rFonts w:hint="eastAsia"/>
                <w:spacing w:val="1"/>
                <w:sz w:val="24"/>
                <w:lang w:val="en-US" w:eastAsia="zh-CN"/>
              </w:rPr>
              <w:t>行业类别</w:t>
            </w:r>
            <w:r>
              <w:rPr>
                <w:rFonts w:ascii="宋体" w:hAnsi="宋体" w:cs="宋体"/>
                <w:spacing w:val="-2"/>
                <w:sz w:val="24"/>
              </w:rPr>
              <w:t>，</w:t>
            </w:r>
            <w:r>
              <w:rPr>
                <w:rFonts w:hint="eastAsia" w:ascii="宋体" w:hAnsi="宋体" w:cs="宋体"/>
                <w:spacing w:val="-2"/>
                <w:sz w:val="24"/>
                <w:lang w:val="en-US" w:eastAsia="zh-CN"/>
              </w:rPr>
              <w:t>在塑料制品业中</w:t>
            </w:r>
            <w:r>
              <w:rPr>
                <w:rFonts w:ascii="宋体" w:hAnsi="宋体" w:cs="宋体"/>
                <w:spacing w:val="-2"/>
                <w:sz w:val="24"/>
              </w:rPr>
              <w:t>本项目</w:t>
            </w:r>
            <w:r>
              <w:rPr>
                <w:rFonts w:hint="eastAsia" w:ascii="宋体" w:hAnsi="宋体" w:cs="宋体"/>
                <w:spacing w:val="-2"/>
                <w:sz w:val="24"/>
              </w:rPr>
              <w:t>属于</w:t>
            </w:r>
            <w:r>
              <w:rPr>
                <w:rFonts w:hint="eastAsia" w:ascii="宋体" w:hAnsi="宋体" w:cs="宋体"/>
                <w:spacing w:val="-2"/>
                <w:sz w:val="24"/>
                <w:lang w:val="en-US" w:eastAsia="zh-CN"/>
              </w:rPr>
              <w:t>简化管理，在金属制品业中本项目属于登记管理，</w:t>
            </w:r>
            <w:r>
              <w:rPr>
                <w:rFonts w:hint="eastAsia"/>
                <w:spacing w:val="-2"/>
                <w:sz w:val="24"/>
                <w:lang w:val="en-US" w:eastAsia="zh-CN"/>
              </w:rPr>
              <w:t>因此本项目排污许可证</w:t>
            </w:r>
            <w:r>
              <w:rPr>
                <w:rFonts w:hint="eastAsia"/>
                <w:sz w:val="24"/>
              </w:rPr>
              <w:t>为简化管理</w:t>
            </w:r>
            <w:r>
              <w:rPr>
                <w:rFonts w:ascii="宋体" w:hAnsi="宋体" w:cs="宋体"/>
                <w:spacing w:val="-3"/>
                <w:sz w:val="24"/>
              </w:rPr>
              <w:t>。</w:t>
            </w:r>
          </w:p>
          <w:p w14:paraId="4E22811C">
            <w:pPr>
              <w:spacing w:line="360" w:lineRule="auto"/>
              <w:ind w:firstLine="470" w:firstLineChars="200"/>
              <w:rPr>
                <w:rFonts w:ascii="宋体" w:hAnsi="宋体" w:cs="宋体"/>
                <w:sz w:val="24"/>
              </w:rPr>
            </w:pPr>
            <w:r>
              <w:rPr>
                <w:rFonts w:hint="eastAsia"/>
                <w:b/>
                <w:bCs/>
                <w:spacing w:val="-3"/>
                <w:sz w:val="24"/>
              </w:rPr>
              <w:t>9</w:t>
            </w:r>
            <w:r>
              <w:rPr>
                <w:rFonts w:eastAsia="Times New Roman"/>
                <w:b/>
                <w:bCs/>
                <w:spacing w:val="-3"/>
                <w:sz w:val="24"/>
              </w:rPr>
              <w:t>.2</w:t>
            </w:r>
            <w:r>
              <w:rPr>
                <w:rFonts w:eastAsia="Times New Roman"/>
                <w:b/>
                <w:bCs/>
                <w:spacing w:val="7"/>
                <w:sz w:val="24"/>
              </w:rPr>
              <w:t xml:space="preserve">  </w:t>
            </w:r>
            <w:r>
              <w:rPr>
                <w:rFonts w:ascii="宋体" w:hAnsi="宋体" w:cs="宋体"/>
                <w:spacing w:val="-3"/>
                <w:sz w:val="24"/>
              </w:rPr>
              <w:t>管理要求</w:t>
            </w:r>
          </w:p>
          <w:p w14:paraId="07B91A41">
            <w:pPr>
              <w:spacing w:line="360" w:lineRule="auto"/>
              <w:ind w:firstLine="484" w:firstLineChars="200"/>
              <w:rPr>
                <w:rFonts w:ascii="宋体" w:hAnsi="宋体" w:cs="宋体"/>
                <w:sz w:val="24"/>
              </w:rPr>
            </w:pPr>
            <w:r>
              <w:rPr>
                <w:rFonts w:ascii="宋体" w:hAnsi="宋体" w:cs="宋体"/>
                <w:spacing w:val="1"/>
                <w:position w:val="17"/>
                <w:sz w:val="24"/>
              </w:rPr>
              <w:t>根据《关于印发&lt;固定污染源排污登记工作指南(试行)</w:t>
            </w:r>
            <w:r>
              <w:rPr>
                <w:rFonts w:hint="eastAsia" w:ascii="宋体" w:hAnsi="宋体" w:cs="宋体"/>
                <w:spacing w:val="1"/>
                <w:position w:val="17"/>
                <w:sz w:val="24"/>
                <w:lang w:eastAsia="zh-CN"/>
              </w:rPr>
              <w:t>〉</w:t>
            </w:r>
            <w:r>
              <w:rPr>
                <w:rFonts w:ascii="宋体" w:hAnsi="宋体" w:cs="宋体"/>
                <w:spacing w:val="1"/>
                <w:position w:val="17"/>
                <w:sz w:val="24"/>
              </w:rPr>
              <w:t>的通知》，项目</w:t>
            </w:r>
          </w:p>
          <w:p w14:paraId="711DF736">
            <w:pPr>
              <w:spacing w:line="360" w:lineRule="auto"/>
              <w:ind w:firstLine="468" w:firstLineChars="200"/>
              <w:rPr>
                <w:rFonts w:ascii="宋体" w:hAnsi="宋体" w:cs="宋体"/>
                <w:sz w:val="24"/>
              </w:rPr>
            </w:pPr>
            <w:r>
              <w:rPr>
                <w:rFonts w:ascii="宋体" w:hAnsi="宋体" w:cs="宋体"/>
                <w:spacing w:val="-3"/>
                <w:sz w:val="24"/>
              </w:rPr>
              <w:t>管理要求如下：</w:t>
            </w:r>
          </w:p>
          <w:p w14:paraId="16BFBDE7">
            <w:pPr>
              <w:spacing w:line="360" w:lineRule="auto"/>
              <w:ind w:firstLine="460" w:firstLineChars="200"/>
              <w:rPr>
                <w:rFonts w:ascii="宋体" w:hAnsi="宋体" w:cs="宋体"/>
                <w:sz w:val="24"/>
              </w:rPr>
            </w:pPr>
            <w:r>
              <w:rPr>
                <w:rFonts w:ascii="宋体" w:hAnsi="宋体" w:cs="宋体"/>
                <w:spacing w:val="-5"/>
                <w:sz w:val="24"/>
              </w:rPr>
              <w:t>（</w:t>
            </w:r>
            <w:r>
              <w:rPr>
                <w:rFonts w:eastAsia="Times New Roman"/>
                <w:spacing w:val="-5"/>
                <w:sz w:val="24"/>
              </w:rPr>
              <w:t>1</w:t>
            </w:r>
            <w:r>
              <w:rPr>
                <w:rFonts w:ascii="宋体" w:hAnsi="宋体" w:cs="宋体"/>
                <w:spacing w:val="-5"/>
                <w:sz w:val="24"/>
              </w:rPr>
              <w:t>）登记</w:t>
            </w:r>
          </w:p>
          <w:p w14:paraId="089747D9">
            <w:pPr>
              <w:spacing w:line="360" w:lineRule="auto"/>
              <w:ind w:firstLine="472" w:firstLineChars="200"/>
              <w:rPr>
                <w:rFonts w:ascii="宋体" w:hAnsi="宋体" w:cs="宋体"/>
                <w:spacing w:val="-1"/>
                <w:sz w:val="24"/>
              </w:rPr>
            </w:pPr>
            <w:r>
              <w:rPr>
                <w:rFonts w:ascii="宋体" w:hAnsi="宋体" w:cs="宋体"/>
                <w:spacing w:val="-2"/>
                <w:sz w:val="24"/>
              </w:rPr>
              <w:t>根据排污登记表的内容包括排污单位名称、注册地址、法定代表人或者实际负责人、联系方式、生产经营场所地址、行业类别、统一社会信用代码或组</w:t>
            </w:r>
            <w:r>
              <w:rPr>
                <w:rFonts w:ascii="宋体" w:hAnsi="宋体" w:cs="宋体"/>
                <w:spacing w:val="15"/>
                <w:sz w:val="24"/>
              </w:rPr>
              <w:t xml:space="preserve"> </w:t>
            </w:r>
            <w:r>
              <w:rPr>
                <w:rFonts w:ascii="宋体" w:hAnsi="宋体" w:cs="宋体"/>
                <w:spacing w:val="-2"/>
                <w:sz w:val="24"/>
              </w:rPr>
              <w:t>织机构代码、主要产品及产能等排污单位基本情况，污染物排放去向，执行的</w:t>
            </w:r>
            <w:r>
              <w:rPr>
                <w:rFonts w:ascii="宋体" w:hAnsi="宋体" w:cs="宋体"/>
                <w:spacing w:val="-1"/>
                <w:sz w:val="24"/>
              </w:rPr>
              <w:t>污染物排放标准以及采取的污染防治措施等信息。</w:t>
            </w:r>
          </w:p>
          <w:p w14:paraId="765096A2">
            <w:pPr>
              <w:spacing w:line="360" w:lineRule="auto"/>
              <w:ind w:firstLine="472" w:firstLineChars="200"/>
              <w:rPr>
                <w:rFonts w:ascii="宋体" w:hAnsi="宋体" w:cs="宋体"/>
                <w:spacing w:val="-2"/>
                <w:sz w:val="24"/>
              </w:rPr>
            </w:pPr>
            <w:r>
              <w:rPr>
                <w:rFonts w:ascii="宋体" w:hAnsi="宋体" w:cs="宋体"/>
                <w:spacing w:val="-2"/>
                <w:sz w:val="24"/>
              </w:rPr>
              <w:t>排污单位应当遵守国家和地方相关生态环境保护法律法规、政策、标准等要求。排污单位对填报信息的真实性、准确性和完整性负责。</w:t>
            </w:r>
          </w:p>
          <w:p w14:paraId="7B8FFA7F">
            <w:pPr>
              <w:spacing w:line="360" w:lineRule="auto"/>
              <w:ind w:firstLine="468" w:firstLineChars="200"/>
              <w:rPr>
                <w:rFonts w:ascii="宋体" w:hAnsi="宋体" w:cs="宋体"/>
                <w:sz w:val="24"/>
              </w:rPr>
            </w:pPr>
            <w:r>
              <w:rPr>
                <w:rFonts w:ascii="宋体" w:hAnsi="宋体" w:cs="宋体"/>
                <w:spacing w:val="-3"/>
                <w:sz w:val="24"/>
              </w:rPr>
              <w:t>（</w:t>
            </w:r>
            <w:r>
              <w:rPr>
                <w:rFonts w:eastAsia="Times New Roman"/>
                <w:spacing w:val="-3"/>
                <w:sz w:val="24"/>
              </w:rPr>
              <w:t>2</w:t>
            </w:r>
            <w:r>
              <w:rPr>
                <w:rFonts w:ascii="宋体" w:hAnsi="宋体" w:cs="宋体"/>
                <w:spacing w:val="-3"/>
                <w:sz w:val="24"/>
              </w:rPr>
              <w:t>）定期更新</w:t>
            </w:r>
          </w:p>
          <w:p w14:paraId="486624FB">
            <w:pPr>
              <w:spacing w:line="360" w:lineRule="auto"/>
              <w:ind w:firstLine="472" w:firstLineChars="200"/>
              <w:rPr>
                <w:rFonts w:ascii="宋体" w:hAnsi="宋体" w:cs="宋体"/>
                <w:sz w:val="24"/>
              </w:rPr>
            </w:pPr>
            <w:r>
              <w:rPr>
                <w:rFonts w:ascii="宋体" w:hAnsi="宋体" w:cs="宋体"/>
                <w:spacing w:val="-2"/>
                <w:sz w:val="24"/>
              </w:rPr>
              <w:t>排污登记表自登记编号之日起生效。对已登记排污单位，自其登记之日起满</w:t>
            </w:r>
            <w:r>
              <w:rPr>
                <w:rFonts w:ascii="宋体" w:hAnsi="宋体" w:cs="宋体"/>
                <w:spacing w:val="-39"/>
                <w:sz w:val="24"/>
              </w:rPr>
              <w:t xml:space="preserve"> </w:t>
            </w:r>
            <w:r>
              <w:rPr>
                <w:rFonts w:eastAsia="Times New Roman"/>
                <w:spacing w:val="-2"/>
                <w:sz w:val="24"/>
              </w:rPr>
              <w:t>5</w:t>
            </w:r>
            <w:r>
              <w:rPr>
                <w:rFonts w:ascii="宋体" w:hAnsi="宋体" w:cs="宋体"/>
                <w:spacing w:val="-2"/>
                <w:sz w:val="24"/>
              </w:rPr>
              <w:t>年的，排污许可证管理信息平台自动发送登记信息更新提醒。地方各级生</w:t>
            </w:r>
            <w:r>
              <w:rPr>
                <w:rFonts w:ascii="宋体" w:hAnsi="宋体" w:cs="宋体"/>
                <w:spacing w:val="-1"/>
                <w:sz w:val="24"/>
              </w:rPr>
              <w:t>态环境主管部门要督促登记信息发生变化的排污单位及时更新。</w:t>
            </w:r>
          </w:p>
          <w:p w14:paraId="51A436E9">
            <w:pPr>
              <w:spacing w:line="360" w:lineRule="auto"/>
              <w:ind w:firstLine="460" w:firstLineChars="200"/>
              <w:rPr>
                <w:rFonts w:ascii="宋体" w:hAnsi="宋体" w:cs="宋体"/>
                <w:spacing w:val="-5"/>
                <w:sz w:val="24"/>
              </w:rPr>
            </w:pPr>
            <w:r>
              <w:rPr>
                <w:rFonts w:ascii="宋体" w:hAnsi="宋体" w:cs="宋体"/>
                <w:spacing w:val="-5"/>
                <w:sz w:val="24"/>
              </w:rPr>
              <w:t>（</w:t>
            </w:r>
            <w:r>
              <w:rPr>
                <w:rFonts w:eastAsia="Times New Roman"/>
                <w:spacing w:val="-5"/>
                <w:sz w:val="24"/>
              </w:rPr>
              <w:t>3</w:t>
            </w:r>
            <w:r>
              <w:rPr>
                <w:rFonts w:ascii="宋体" w:hAnsi="宋体" w:cs="宋体"/>
                <w:spacing w:val="-5"/>
                <w:sz w:val="24"/>
              </w:rPr>
              <w:t>）变更</w:t>
            </w:r>
          </w:p>
          <w:p w14:paraId="5CFE146B">
            <w:pPr>
              <w:spacing w:line="360" w:lineRule="auto"/>
              <w:ind w:firstLine="472" w:firstLineChars="200"/>
              <w:rPr>
                <w:spacing w:val="-2"/>
                <w:sz w:val="24"/>
              </w:rPr>
            </w:pPr>
            <w:r>
              <w:rPr>
                <w:spacing w:val="-2"/>
                <w:sz w:val="24"/>
              </w:rPr>
              <w:t>排污登记表有效期内，排污登记信息发生变动的，应当自发生变动之日起20日内进行变更登记。</w:t>
            </w:r>
          </w:p>
          <w:p w14:paraId="23069901">
            <w:pPr>
              <w:spacing w:line="360" w:lineRule="auto"/>
              <w:ind w:firstLine="478" w:firstLineChars="200"/>
              <w:rPr>
                <w:rFonts w:ascii="宋体" w:hAnsi="宋体" w:cs="宋体"/>
                <w:sz w:val="24"/>
              </w:rPr>
            </w:pPr>
            <w:r>
              <w:rPr>
                <w:rFonts w:hint="eastAsia"/>
                <w:b/>
                <w:bCs/>
                <w:spacing w:val="-1"/>
                <w:sz w:val="24"/>
              </w:rPr>
              <w:t>9</w:t>
            </w:r>
            <w:r>
              <w:rPr>
                <w:rFonts w:eastAsia="Times New Roman"/>
                <w:b/>
                <w:bCs/>
                <w:spacing w:val="-1"/>
                <w:sz w:val="24"/>
              </w:rPr>
              <w:t xml:space="preserve">.3  </w:t>
            </w:r>
            <w:r>
              <w:rPr>
                <w:rFonts w:ascii="宋体" w:hAnsi="宋体" w:cs="宋体"/>
                <w:spacing w:val="-1"/>
                <w:sz w:val="24"/>
              </w:rPr>
              <w:t>排污许可管理内容</w:t>
            </w:r>
          </w:p>
          <w:p w14:paraId="63EC1D12">
            <w:pPr>
              <w:spacing w:line="360" w:lineRule="auto"/>
              <w:ind w:firstLine="472" w:firstLineChars="200"/>
              <w:rPr>
                <w:rFonts w:ascii="宋体" w:hAnsi="宋体" w:cs="宋体"/>
                <w:sz w:val="24"/>
              </w:rPr>
            </w:pPr>
            <w:r>
              <w:rPr>
                <w:rFonts w:ascii="宋体" w:hAnsi="宋体" w:cs="宋体"/>
                <w:spacing w:val="-2"/>
                <w:sz w:val="24"/>
              </w:rPr>
              <w:t>本项目主要管理内容为设施和排放口，即污染防治设施类型、数量，排放口的数量、编号和类型(主要排放口或一般</w:t>
            </w:r>
            <w:r>
              <w:rPr>
                <w:rFonts w:ascii="宋体" w:hAnsi="宋体" w:cs="宋体"/>
                <w:spacing w:val="-3"/>
                <w:sz w:val="24"/>
              </w:rPr>
              <w:t>排放口)，污染物排放方式和去向。</w:t>
            </w:r>
            <w:r>
              <w:rPr>
                <w:rFonts w:ascii="宋体" w:hAnsi="宋体" w:cs="宋体"/>
                <w:spacing w:val="-1"/>
                <w:sz w:val="24"/>
              </w:rPr>
              <w:t>排污许可管理设施和排口信息见</w:t>
            </w:r>
            <w:r>
              <w:rPr>
                <w:spacing w:val="-1"/>
                <w:sz w:val="24"/>
              </w:rPr>
              <w:t>表4-</w:t>
            </w:r>
            <w:r>
              <w:rPr>
                <w:rFonts w:hint="eastAsia"/>
                <w:spacing w:val="-1"/>
                <w:sz w:val="24"/>
              </w:rPr>
              <w:t>22</w:t>
            </w:r>
            <w:r>
              <w:rPr>
                <w:spacing w:val="-1"/>
                <w:sz w:val="24"/>
              </w:rPr>
              <w:t>。</w:t>
            </w:r>
          </w:p>
          <w:p w14:paraId="52139423">
            <w:pPr>
              <w:jc w:val="center"/>
              <w:rPr>
                <w:rFonts w:ascii="宋体" w:hAnsi="宋体" w:cs="宋体"/>
                <w:szCs w:val="21"/>
              </w:rPr>
            </w:pPr>
            <w:r>
              <w:rPr>
                <w:rFonts w:ascii="宋体" w:hAnsi="宋体" w:cs="宋体"/>
                <w:sz w:val="24"/>
              </w:rPr>
              <w:t>表</w:t>
            </w:r>
            <w:r>
              <w:rPr>
                <w:rFonts w:ascii="宋体" w:hAnsi="宋体" w:cs="宋体"/>
                <w:spacing w:val="-54"/>
                <w:sz w:val="24"/>
              </w:rPr>
              <w:t xml:space="preserve"> </w:t>
            </w:r>
            <w:r>
              <w:rPr>
                <w:rFonts w:eastAsia="Times New Roman"/>
                <w:b/>
                <w:bCs/>
                <w:sz w:val="24"/>
              </w:rPr>
              <w:t>4-</w:t>
            </w:r>
            <w:r>
              <w:rPr>
                <w:rFonts w:hint="eastAsia"/>
                <w:b/>
                <w:bCs/>
                <w:sz w:val="24"/>
              </w:rPr>
              <w:t>22</w:t>
            </w:r>
            <w:r>
              <w:rPr>
                <w:rFonts w:eastAsia="Times New Roman"/>
                <w:b/>
                <w:bCs/>
                <w:sz w:val="24"/>
              </w:rPr>
              <w:t xml:space="preserve"> </w:t>
            </w:r>
            <w:r>
              <w:rPr>
                <w:rFonts w:hint="eastAsia"/>
                <w:b/>
                <w:bCs/>
                <w:sz w:val="24"/>
              </w:rPr>
              <w:t xml:space="preserve">    </w:t>
            </w:r>
            <w:r>
              <w:rPr>
                <w:rFonts w:eastAsia="Times New Roman"/>
                <w:b/>
                <w:bCs/>
                <w:sz w:val="24"/>
              </w:rPr>
              <w:t xml:space="preserve"> </w:t>
            </w:r>
            <w:r>
              <w:rPr>
                <w:rFonts w:ascii="宋体" w:hAnsi="宋体" w:cs="宋体"/>
                <w:sz w:val="24"/>
              </w:rPr>
              <w:t>排污许可管理设施和排口信</w:t>
            </w:r>
            <w:r>
              <w:rPr>
                <w:rFonts w:ascii="宋体" w:hAnsi="宋体" w:cs="宋体"/>
                <w:spacing w:val="-1"/>
                <w:sz w:val="24"/>
              </w:rPr>
              <w:t>息表</w:t>
            </w:r>
          </w:p>
          <w:tbl>
            <w:tblPr>
              <w:tblStyle w:val="538"/>
              <w:tblW w:w="8274" w:type="dxa"/>
              <w:tblInd w:w="0" w:type="dxa"/>
              <w:tblBorders>
                <w:top w:val="single" w:color="auto" w:sz="12" w:space="0"/>
                <w:left w:val="single" w:color="auto" w:sz="12" w:space="0"/>
                <w:bottom w:val="single" w:color="auto" w:sz="12" w:space="0"/>
                <w:right w:val="single" w:color="auto" w:sz="12" w:space="0"/>
                <w:insideH w:val="single" w:color="000000" w:sz="2" w:space="0"/>
                <w:insideV w:val="single" w:color="000000" w:sz="2" w:space="0"/>
              </w:tblBorders>
              <w:tblLayout w:type="fixed"/>
              <w:tblCellMar>
                <w:top w:w="0" w:type="dxa"/>
                <w:left w:w="0" w:type="dxa"/>
                <w:bottom w:w="0" w:type="dxa"/>
                <w:right w:w="0" w:type="dxa"/>
              </w:tblCellMar>
            </w:tblPr>
            <w:tblGrid>
              <w:gridCol w:w="1750"/>
              <w:gridCol w:w="1738"/>
              <w:gridCol w:w="594"/>
              <w:gridCol w:w="586"/>
              <w:gridCol w:w="866"/>
              <w:gridCol w:w="1141"/>
              <w:gridCol w:w="1599"/>
            </w:tblGrid>
            <w:tr w14:paraId="06BB700D">
              <w:tblPrEx>
                <w:tblBorders>
                  <w:top w:val="single" w:color="auto" w:sz="12" w:space="0"/>
                  <w:left w:val="single" w:color="auto" w:sz="12" w:space="0"/>
                  <w:bottom w:val="single" w:color="auto" w:sz="12" w:space="0"/>
                  <w:right w:val="single" w:color="auto" w:sz="12" w:space="0"/>
                  <w:insideH w:val="single" w:color="000000" w:sz="2" w:space="0"/>
                  <w:insideV w:val="single" w:color="000000" w:sz="2" w:space="0"/>
                </w:tblBorders>
                <w:tblCellMar>
                  <w:top w:w="0" w:type="dxa"/>
                  <w:left w:w="0" w:type="dxa"/>
                  <w:bottom w:w="0" w:type="dxa"/>
                  <w:right w:w="0" w:type="dxa"/>
                </w:tblCellMar>
              </w:tblPrEx>
              <w:trPr>
                <w:trHeight w:val="379" w:hRule="atLeast"/>
              </w:trPr>
              <w:tc>
                <w:tcPr>
                  <w:tcW w:w="1750" w:type="dxa"/>
                  <w:vMerge w:val="restart"/>
                  <w:tcBorders>
                    <w:bottom w:val="nil"/>
                  </w:tcBorders>
                </w:tcPr>
                <w:p w14:paraId="26FC2B75">
                  <w:pPr>
                    <w:spacing w:before="277" w:line="229" w:lineRule="auto"/>
                    <w:jc w:val="center"/>
                    <w:rPr>
                      <w:rFonts w:ascii="宋体" w:hAnsi="宋体" w:cs="宋体"/>
                      <w:szCs w:val="21"/>
                    </w:rPr>
                  </w:pPr>
                  <w:r>
                    <w:rPr>
                      <w:rFonts w:ascii="宋体" w:hAnsi="宋体" w:cs="宋体"/>
                      <w:spacing w:val="6"/>
                      <w:szCs w:val="21"/>
                    </w:rPr>
                    <w:t>污染工序</w:t>
                  </w:r>
                </w:p>
              </w:tc>
              <w:tc>
                <w:tcPr>
                  <w:tcW w:w="2332" w:type="dxa"/>
                  <w:gridSpan w:val="2"/>
                </w:tcPr>
                <w:p w14:paraId="0694FB40">
                  <w:pPr>
                    <w:spacing w:before="82" w:line="229" w:lineRule="auto"/>
                    <w:ind w:left="332"/>
                    <w:jc w:val="center"/>
                    <w:rPr>
                      <w:rFonts w:ascii="宋体" w:hAnsi="宋体" w:cs="宋体"/>
                      <w:szCs w:val="21"/>
                    </w:rPr>
                  </w:pPr>
                  <w:r>
                    <w:rPr>
                      <w:rFonts w:ascii="宋体" w:hAnsi="宋体" w:cs="宋体"/>
                      <w:spacing w:val="7"/>
                      <w:szCs w:val="21"/>
                    </w:rPr>
                    <w:t>污染防治设施</w:t>
                  </w:r>
                </w:p>
              </w:tc>
              <w:tc>
                <w:tcPr>
                  <w:tcW w:w="2593" w:type="dxa"/>
                  <w:gridSpan w:val="3"/>
                </w:tcPr>
                <w:p w14:paraId="4C458406">
                  <w:pPr>
                    <w:spacing w:before="82" w:line="230" w:lineRule="auto"/>
                    <w:ind w:left="1185"/>
                    <w:jc w:val="center"/>
                    <w:rPr>
                      <w:rFonts w:ascii="宋体" w:hAnsi="宋体" w:cs="宋体"/>
                      <w:szCs w:val="21"/>
                    </w:rPr>
                  </w:pPr>
                  <w:r>
                    <w:rPr>
                      <w:rFonts w:ascii="宋体" w:hAnsi="宋体" w:cs="宋体"/>
                      <w:spacing w:val="6"/>
                      <w:szCs w:val="21"/>
                    </w:rPr>
                    <w:t>排放口</w:t>
                  </w:r>
                </w:p>
              </w:tc>
              <w:tc>
                <w:tcPr>
                  <w:tcW w:w="1599" w:type="dxa"/>
                  <w:vMerge w:val="restart"/>
                  <w:tcBorders>
                    <w:bottom w:val="nil"/>
                  </w:tcBorders>
                </w:tcPr>
                <w:p w14:paraId="3DB6ED14">
                  <w:pPr>
                    <w:spacing w:before="142"/>
                    <w:ind w:left="166" w:right="159"/>
                    <w:rPr>
                      <w:rFonts w:ascii="宋体" w:hAnsi="宋体" w:cs="宋体"/>
                      <w:sz w:val="20"/>
                      <w:szCs w:val="20"/>
                    </w:rPr>
                  </w:pPr>
                  <w:r>
                    <w:rPr>
                      <w:rFonts w:ascii="宋体" w:hAnsi="宋体" w:cs="宋体"/>
                      <w:spacing w:val="7"/>
                      <w:szCs w:val="21"/>
                    </w:rPr>
                    <w:t>污染物排放</w:t>
                  </w:r>
                  <w:r>
                    <w:rPr>
                      <w:rFonts w:ascii="宋体" w:hAnsi="宋体" w:cs="宋体"/>
                      <w:spacing w:val="3"/>
                      <w:szCs w:val="21"/>
                    </w:rPr>
                    <w:t xml:space="preserve"> </w:t>
                  </w:r>
                  <w:r>
                    <w:rPr>
                      <w:rFonts w:ascii="宋体" w:hAnsi="宋体" w:cs="宋体"/>
                      <w:spacing w:val="7"/>
                      <w:szCs w:val="21"/>
                    </w:rPr>
                    <w:t>方式、去向</w:t>
                  </w:r>
                </w:p>
              </w:tc>
            </w:tr>
            <w:tr w14:paraId="44D59CFB">
              <w:tblPrEx>
                <w:tblBorders>
                  <w:top w:val="single" w:color="auto" w:sz="12" w:space="0"/>
                  <w:left w:val="single" w:color="auto" w:sz="12" w:space="0"/>
                  <w:bottom w:val="single" w:color="auto" w:sz="12" w:space="0"/>
                  <w:right w:val="single" w:color="auto" w:sz="12" w:space="0"/>
                  <w:insideH w:val="single" w:color="000000" w:sz="2" w:space="0"/>
                  <w:insideV w:val="single" w:color="000000" w:sz="2" w:space="0"/>
                </w:tblBorders>
                <w:tblCellMar>
                  <w:top w:w="0" w:type="dxa"/>
                  <w:left w:w="0" w:type="dxa"/>
                  <w:bottom w:w="0" w:type="dxa"/>
                  <w:right w:w="0" w:type="dxa"/>
                </w:tblCellMar>
              </w:tblPrEx>
              <w:trPr>
                <w:trHeight w:val="381" w:hRule="atLeast"/>
              </w:trPr>
              <w:tc>
                <w:tcPr>
                  <w:tcW w:w="1750" w:type="dxa"/>
                  <w:vMerge w:val="continue"/>
                  <w:tcBorders>
                    <w:top w:val="nil"/>
                  </w:tcBorders>
                </w:tcPr>
                <w:p w14:paraId="192115D7">
                  <w:pPr>
                    <w:jc w:val="center"/>
                    <w:rPr>
                      <w:rFonts w:ascii="Arial"/>
                      <w:szCs w:val="21"/>
                    </w:rPr>
                  </w:pPr>
                </w:p>
              </w:tc>
              <w:tc>
                <w:tcPr>
                  <w:tcW w:w="1738" w:type="dxa"/>
                  <w:vAlign w:val="center"/>
                </w:tcPr>
                <w:p w14:paraId="5C625DC3">
                  <w:pPr>
                    <w:jc w:val="center"/>
                    <w:rPr>
                      <w:rFonts w:ascii="宋体" w:hAnsi="宋体" w:cs="宋体"/>
                      <w:szCs w:val="21"/>
                    </w:rPr>
                  </w:pPr>
                  <w:r>
                    <w:rPr>
                      <w:rFonts w:ascii="宋体" w:hAnsi="宋体" w:cs="宋体"/>
                      <w:spacing w:val="4"/>
                      <w:szCs w:val="21"/>
                    </w:rPr>
                    <w:t>类型</w:t>
                  </w:r>
                </w:p>
              </w:tc>
              <w:tc>
                <w:tcPr>
                  <w:tcW w:w="594" w:type="dxa"/>
                  <w:vAlign w:val="center"/>
                </w:tcPr>
                <w:p w14:paraId="7371B8EB">
                  <w:pPr>
                    <w:jc w:val="center"/>
                    <w:rPr>
                      <w:rFonts w:ascii="宋体" w:hAnsi="宋体" w:cs="宋体"/>
                      <w:szCs w:val="21"/>
                    </w:rPr>
                  </w:pPr>
                  <w:r>
                    <w:rPr>
                      <w:rFonts w:ascii="宋体" w:hAnsi="宋体" w:cs="宋体"/>
                      <w:spacing w:val="3"/>
                      <w:szCs w:val="21"/>
                    </w:rPr>
                    <w:t>数量</w:t>
                  </w:r>
                </w:p>
              </w:tc>
              <w:tc>
                <w:tcPr>
                  <w:tcW w:w="586" w:type="dxa"/>
                  <w:vAlign w:val="center"/>
                </w:tcPr>
                <w:p w14:paraId="67897A55">
                  <w:pPr>
                    <w:jc w:val="center"/>
                    <w:rPr>
                      <w:rFonts w:ascii="宋体" w:hAnsi="宋体" w:cs="宋体"/>
                      <w:szCs w:val="21"/>
                    </w:rPr>
                  </w:pPr>
                  <w:r>
                    <w:rPr>
                      <w:rFonts w:ascii="宋体" w:hAnsi="宋体" w:cs="宋体"/>
                      <w:spacing w:val="3"/>
                      <w:szCs w:val="21"/>
                    </w:rPr>
                    <w:t>数量</w:t>
                  </w:r>
                </w:p>
              </w:tc>
              <w:tc>
                <w:tcPr>
                  <w:tcW w:w="866" w:type="dxa"/>
                  <w:vAlign w:val="center"/>
                </w:tcPr>
                <w:p w14:paraId="3E87540A">
                  <w:pPr>
                    <w:jc w:val="center"/>
                    <w:rPr>
                      <w:rFonts w:ascii="宋体" w:hAnsi="宋体" w:cs="宋体"/>
                      <w:szCs w:val="21"/>
                    </w:rPr>
                  </w:pPr>
                  <w:r>
                    <w:rPr>
                      <w:rFonts w:ascii="宋体" w:hAnsi="宋体" w:cs="宋体"/>
                      <w:spacing w:val="3"/>
                      <w:szCs w:val="21"/>
                    </w:rPr>
                    <w:t>编号</w:t>
                  </w:r>
                </w:p>
              </w:tc>
              <w:tc>
                <w:tcPr>
                  <w:tcW w:w="1141" w:type="dxa"/>
                  <w:vAlign w:val="center"/>
                </w:tcPr>
                <w:p w14:paraId="1E2A807E">
                  <w:pPr>
                    <w:jc w:val="center"/>
                    <w:rPr>
                      <w:rFonts w:ascii="宋体" w:hAnsi="宋体" w:cs="宋体"/>
                      <w:szCs w:val="21"/>
                    </w:rPr>
                  </w:pPr>
                  <w:r>
                    <w:rPr>
                      <w:rFonts w:ascii="宋体" w:hAnsi="宋体" w:cs="宋体"/>
                      <w:spacing w:val="4"/>
                      <w:szCs w:val="21"/>
                    </w:rPr>
                    <w:t>类型</w:t>
                  </w:r>
                </w:p>
              </w:tc>
              <w:tc>
                <w:tcPr>
                  <w:tcW w:w="1599" w:type="dxa"/>
                  <w:vMerge w:val="continue"/>
                  <w:tcBorders>
                    <w:top w:val="nil"/>
                  </w:tcBorders>
                </w:tcPr>
                <w:p w14:paraId="16745B14">
                  <w:pPr>
                    <w:rPr>
                      <w:rFonts w:ascii="Arial"/>
                    </w:rPr>
                  </w:pPr>
                </w:p>
              </w:tc>
            </w:tr>
            <w:tr w14:paraId="186A3788">
              <w:tblPrEx>
                <w:tblBorders>
                  <w:top w:val="single" w:color="auto" w:sz="12" w:space="0"/>
                  <w:left w:val="single" w:color="auto" w:sz="12" w:space="0"/>
                  <w:bottom w:val="single" w:color="auto" w:sz="12" w:space="0"/>
                  <w:right w:val="single" w:color="auto" w:sz="12" w:space="0"/>
                  <w:insideH w:val="single" w:color="000000" w:sz="2" w:space="0"/>
                  <w:insideV w:val="single" w:color="000000" w:sz="2" w:space="0"/>
                </w:tblBorders>
                <w:tblCellMar>
                  <w:top w:w="0" w:type="dxa"/>
                  <w:left w:w="0" w:type="dxa"/>
                  <w:bottom w:w="0" w:type="dxa"/>
                  <w:right w:w="0" w:type="dxa"/>
                </w:tblCellMar>
              </w:tblPrEx>
              <w:trPr>
                <w:trHeight w:val="253" w:hRule="atLeast"/>
              </w:trPr>
              <w:tc>
                <w:tcPr>
                  <w:tcW w:w="1750" w:type="dxa"/>
                  <w:vAlign w:val="center"/>
                </w:tcPr>
                <w:p w14:paraId="4B7AEBC4">
                  <w:pPr>
                    <w:jc w:val="center"/>
                    <w:rPr>
                      <w:szCs w:val="21"/>
                    </w:rPr>
                  </w:pPr>
                  <w:r>
                    <w:rPr>
                      <w:rFonts w:hint="eastAsia"/>
                      <w:szCs w:val="21"/>
                    </w:rPr>
                    <w:t>注塑废气</w:t>
                  </w:r>
                </w:p>
              </w:tc>
              <w:tc>
                <w:tcPr>
                  <w:tcW w:w="1738" w:type="dxa"/>
                  <w:vAlign w:val="center"/>
                </w:tcPr>
                <w:p w14:paraId="008E9250">
                  <w:pPr>
                    <w:jc w:val="center"/>
                    <w:rPr>
                      <w:szCs w:val="21"/>
                    </w:rPr>
                  </w:pPr>
                  <w:r>
                    <w:rPr>
                      <w:rFonts w:hint="eastAsia"/>
                      <w:szCs w:val="21"/>
                    </w:rPr>
                    <w:t>集气罩+两级活性炭吸附装置</w:t>
                  </w:r>
                  <w:r>
                    <w:rPr>
                      <w:szCs w:val="21"/>
                    </w:rPr>
                    <w:t>+</w:t>
                  </w:r>
                  <w:r>
                    <w:rPr>
                      <w:rFonts w:hint="eastAsia"/>
                      <w:szCs w:val="21"/>
                    </w:rPr>
                    <w:t>15</w:t>
                  </w:r>
                  <w:r>
                    <w:rPr>
                      <w:spacing w:val="3"/>
                      <w:szCs w:val="21"/>
                    </w:rPr>
                    <w:t>m</w:t>
                  </w:r>
                  <w:r>
                    <w:rPr>
                      <w:szCs w:val="21"/>
                    </w:rPr>
                    <w:t>排气筒</w:t>
                  </w:r>
                </w:p>
              </w:tc>
              <w:tc>
                <w:tcPr>
                  <w:tcW w:w="594" w:type="dxa"/>
                  <w:vAlign w:val="center"/>
                </w:tcPr>
                <w:p w14:paraId="38449C73">
                  <w:pPr>
                    <w:jc w:val="center"/>
                    <w:rPr>
                      <w:rFonts w:eastAsia="Times New Roman"/>
                      <w:szCs w:val="21"/>
                    </w:rPr>
                  </w:pPr>
                  <w:r>
                    <w:rPr>
                      <w:rFonts w:eastAsia="Times New Roman"/>
                      <w:szCs w:val="21"/>
                    </w:rPr>
                    <w:t>1</w:t>
                  </w:r>
                </w:p>
              </w:tc>
              <w:tc>
                <w:tcPr>
                  <w:tcW w:w="586" w:type="dxa"/>
                  <w:vAlign w:val="center"/>
                </w:tcPr>
                <w:p w14:paraId="368E5AD9">
                  <w:pPr>
                    <w:jc w:val="center"/>
                    <w:rPr>
                      <w:rFonts w:eastAsia="Times New Roman"/>
                      <w:szCs w:val="21"/>
                    </w:rPr>
                  </w:pPr>
                  <w:r>
                    <w:rPr>
                      <w:rFonts w:eastAsia="Times New Roman"/>
                      <w:szCs w:val="21"/>
                    </w:rPr>
                    <w:t>1</w:t>
                  </w:r>
                </w:p>
              </w:tc>
              <w:tc>
                <w:tcPr>
                  <w:tcW w:w="866" w:type="dxa"/>
                  <w:vAlign w:val="center"/>
                </w:tcPr>
                <w:p w14:paraId="40D1B28B">
                  <w:pPr>
                    <w:jc w:val="center"/>
                    <w:rPr>
                      <w:szCs w:val="21"/>
                    </w:rPr>
                  </w:pPr>
                  <w:r>
                    <w:rPr>
                      <w:rFonts w:hint="eastAsia"/>
                      <w:szCs w:val="21"/>
                    </w:rPr>
                    <w:t>DA001</w:t>
                  </w:r>
                </w:p>
              </w:tc>
              <w:tc>
                <w:tcPr>
                  <w:tcW w:w="1141" w:type="dxa"/>
                  <w:vAlign w:val="center"/>
                </w:tcPr>
                <w:p w14:paraId="393B3096">
                  <w:pPr>
                    <w:jc w:val="center"/>
                    <w:rPr>
                      <w:szCs w:val="21"/>
                    </w:rPr>
                  </w:pPr>
                  <w:r>
                    <w:rPr>
                      <w:spacing w:val="6"/>
                      <w:szCs w:val="21"/>
                    </w:rPr>
                    <w:t>一般排放</w:t>
                  </w:r>
                  <w:r>
                    <w:rPr>
                      <w:szCs w:val="21"/>
                    </w:rPr>
                    <w:t>口</w:t>
                  </w:r>
                </w:p>
              </w:tc>
              <w:tc>
                <w:tcPr>
                  <w:tcW w:w="1599" w:type="dxa"/>
                  <w:vAlign w:val="center"/>
                </w:tcPr>
                <w:p w14:paraId="799C5DA5">
                  <w:pPr>
                    <w:ind w:firstLine="13"/>
                    <w:jc w:val="center"/>
                    <w:rPr>
                      <w:szCs w:val="21"/>
                    </w:rPr>
                  </w:pPr>
                  <w:r>
                    <w:rPr>
                      <w:rFonts w:hint="eastAsia"/>
                      <w:spacing w:val="3"/>
                      <w:szCs w:val="21"/>
                    </w:rPr>
                    <w:t>15m</w:t>
                  </w:r>
                  <w:r>
                    <w:rPr>
                      <w:spacing w:val="3"/>
                      <w:szCs w:val="21"/>
                    </w:rPr>
                    <w:t>排气筒</w:t>
                  </w:r>
                </w:p>
              </w:tc>
            </w:tr>
            <w:tr w14:paraId="35F542C4">
              <w:tblPrEx>
                <w:tblBorders>
                  <w:top w:val="single" w:color="auto" w:sz="12" w:space="0"/>
                  <w:left w:val="single" w:color="auto" w:sz="12" w:space="0"/>
                  <w:bottom w:val="single" w:color="auto" w:sz="12" w:space="0"/>
                  <w:right w:val="single" w:color="auto" w:sz="12" w:space="0"/>
                  <w:insideH w:val="single" w:color="000000" w:sz="2" w:space="0"/>
                  <w:insideV w:val="single" w:color="000000" w:sz="2" w:space="0"/>
                </w:tblBorders>
                <w:tblCellMar>
                  <w:top w:w="0" w:type="dxa"/>
                  <w:left w:w="0" w:type="dxa"/>
                  <w:bottom w:w="0" w:type="dxa"/>
                  <w:right w:w="0" w:type="dxa"/>
                </w:tblCellMar>
              </w:tblPrEx>
              <w:trPr>
                <w:trHeight w:val="258" w:hRule="atLeast"/>
              </w:trPr>
              <w:tc>
                <w:tcPr>
                  <w:tcW w:w="1750" w:type="dxa"/>
                  <w:vAlign w:val="center"/>
                </w:tcPr>
                <w:p w14:paraId="422DFCF7">
                  <w:pPr>
                    <w:jc w:val="center"/>
                    <w:rPr>
                      <w:sz w:val="20"/>
                      <w:szCs w:val="20"/>
                    </w:rPr>
                  </w:pPr>
                  <w:r>
                    <w:rPr>
                      <w:rFonts w:hint="eastAsia"/>
                      <w:szCs w:val="21"/>
                    </w:rPr>
                    <w:t>喷塑粉尘</w:t>
                  </w:r>
                </w:p>
              </w:tc>
              <w:tc>
                <w:tcPr>
                  <w:tcW w:w="1738" w:type="dxa"/>
                  <w:vAlign w:val="center"/>
                </w:tcPr>
                <w:p w14:paraId="4F97A705">
                  <w:pPr>
                    <w:jc w:val="center"/>
                    <w:rPr>
                      <w:szCs w:val="21"/>
                    </w:rPr>
                  </w:pPr>
                  <w:r>
                    <w:rPr>
                      <w:rFonts w:hint="eastAsia"/>
                      <w:szCs w:val="21"/>
                      <w:lang w:val="en-US" w:eastAsia="zh-CN"/>
                    </w:rPr>
                    <w:t>旋风除尘+滤芯除尘器+</w:t>
                  </w:r>
                  <w:r>
                    <w:rPr>
                      <w:rFonts w:hint="eastAsia"/>
                      <w:szCs w:val="21"/>
                    </w:rPr>
                    <w:t>集气罩+两级活性炭吸附装置</w:t>
                  </w:r>
                  <w:r>
                    <w:rPr>
                      <w:szCs w:val="21"/>
                    </w:rPr>
                    <w:t>+</w:t>
                  </w:r>
                  <w:r>
                    <w:rPr>
                      <w:rFonts w:hint="eastAsia"/>
                      <w:szCs w:val="21"/>
                    </w:rPr>
                    <w:t>15</w:t>
                  </w:r>
                  <w:r>
                    <w:rPr>
                      <w:spacing w:val="3"/>
                      <w:szCs w:val="21"/>
                    </w:rPr>
                    <w:t>m</w:t>
                  </w:r>
                  <w:r>
                    <w:rPr>
                      <w:szCs w:val="21"/>
                    </w:rPr>
                    <w:t>排气筒</w:t>
                  </w:r>
                </w:p>
              </w:tc>
              <w:tc>
                <w:tcPr>
                  <w:tcW w:w="594" w:type="dxa"/>
                  <w:vAlign w:val="center"/>
                </w:tcPr>
                <w:p w14:paraId="24914622">
                  <w:pPr>
                    <w:jc w:val="center"/>
                    <w:rPr>
                      <w:rFonts w:eastAsia="Times New Roman"/>
                      <w:szCs w:val="21"/>
                    </w:rPr>
                  </w:pPr>
                  <w:r>
                    <w:rPr>
                      <w:rFonts w:eastAsia="Times New Roman"/>
                      <w:szCs w:val="21"/>
                    </w:rPr>
                    <w:t>1</w:t>
                  </w:r>
                </w:p>
              </w:tc>
              <w:tc>
                <w:tcPr>
                  <w:tcW w:w="586" w:type="dxa"/>
                  <w:vAlign w:val="center"/>
                </w:tcPr>
                <w:p w14:paraId="192E7570">
                  <w:pPr>
                    <w:jc w:val="center"/>
                    <w:rPr>
                      <w:rFonts w:eastAsia="Times New Roman"/>
                      <w:szCs w:val="21"/>
                    </w:rPr>
                  </w:pPr>
                  <w:r>
                    <w:rPr>
                      <w:rFonts w:eastAsia="Times New Roman"/>
                      <w:szCs w:val="21"/>
                    </w:rPr>
                    <w:t>1</w:t>
                  </w:r>
                </w:p>
              </w:tc>
              <w:tc>
                <w:tcPr>
                  <w:tcW w:w="866" w:type="dxa"/>
                  <w:vAlign w:val="center"/>
                </w:tcPr>
                <w:p w14:paraId="312B3270">
                  <w:pPr>
                    <w:jc w:val="center"/>
                    <w:rPr>
                      <w:szCs w:val="21"/>
                    </w:rPr>
                  </w:pPr>
                  <w:r>
                    <w:rPr>
                      <w:rFonts w:hint="eastAsia"/>
                      <w:szCs w:val="21"/>
                    </w:rPr>
                    <w:t>DA002</w:t>
                  </w:r>
                </w:p>
              </w:tc>
              <w:tc>
                <w:tcPr>
                  <w:tcW w:w="1141" w:type="dxa"/>
                  <w:vAlign w:val="center"/>
                </w:tcPr>
                <w:p w14:paraId="698342FD">
                  <w:pPr>
                    <w:jc w:val="center"/>
                    <w:rPr>
                      <w:szCs w:val="21"/>
                    </w:rPr>
                  </w:pPr>
                  <w:r>
                    <w:rPr>
                      <w:spacing w:val="6"/>
                      <w:szCs w:val="21"/>
                    </w:rPr>
                    <w:t>一般排放</w:t>
                  </w:r>
                  <w:r>
                    <w:rPr>
                      <w:szCs w:val="21"/>
                    </w:rPr>
                    <w:t>口</w:t>
                  </w:r>
                </w:p>
              </w:tc>
              <w:tc>
                <w:tcPr>
                  <w:tcW w:w="1599" w:type="dxa"/>
                  <w:vAlign w:val="center"/>
                </w:tcPr>
                <w:p w14:paraId="0A025EF2">
                  <w:pPr>
                    <w:ind w:firstLine="13"/>
                    <w:jc w:val="center"/>
                    <w:rPr>
                      <w:szCs w:val="21"/>
                    </w:rPr>
                  </w:pPr>
                  <w:r>
                    <w:rPr>
                      <w:rFonts w:hint="eastAsia"/>
                      <w:spacing w:val="3"/>
                      <w:szCs w:val="21"/>
                    </w:rPr>
                    <w:t>15m</w:t>
                  </w:r>
                  <w:r>
                    <w:rPr>
                      <w:spacing w:val="3"/>
                      <w:szCs w:val="21"/>
                    </w:rPr>
                    <w:t>排气筒</w:t>
                  </w:r>
                </w:p>
              </w:tc>
            </w:tr>
            <w:tr w14:paraId="0079D2AB">
              <w:tblPrEx>
                <w:tblBorders>
                  <w:top w:val="single" w:color="auto" w:sz="12" w:space="0"/>
                  <w:left w:val="single" w:color="auto" w:sz="12" w:space="0"/>
                  <w:bottom w:val="single" w:color="auto" w:sz="12" w:space="0"/>
                  <w:right w:val="single" w:color="auto" w:sz="12" w:space="0"/>
                  <w:insideH w:val="single" w:color="000000" w:sz="2" w:space="0"/>
                  <w:insideV w:val="single" w:color="000000" w:sz="2" w:space="0"/>
                </w:tblBorders>
                <w:tblCellMar>
                  <w:top w:w="0" w:type="dxa"/>
                  <w:left w:w="0" w:type="dxa"/>
                  <w:bottom w:w="0" w:type="dxa"/>
                  <w:right w:w="0" w:type="dxa"/>
                </w:tblCellMar>
              </w:tblPrEx>
              <w:trPr>
                <w:trHeight w:val="258" w:hRule="atLeast"/>
              </w:trPr>
              <w:tc>
                <w:tcPr>
                  <w:tcW w:w="1750" w:type="dxa"/>
                  <w:vAlign w:val="center"/>
                </w:tcPr>
                <w:p w14:paraId="35E7D0F9">
                  <w:pPr>
                    <w:jc w:val="center"/>
                    <w:rPr>
                      <w:szCs w:val="21"/>
                    </w:rPr>
                  </w:pPr>
                  <w:r>
                    <w:rPr>
                      <w:rFonts w:hint="eastAsia"/>
                      <w:szCs w:val="21"/>
                    </w:rPr>
                    <w:t>天然气燃烧机废气</w:t>
                  </w:r>
                </w:p>
              </w:tc>
              <w:tc>
                <w:tcPr>
                  <w:tcW w:w="1738" w:type="dxa"/>
                  <w:vAlign w:val="center"/>
                </w:tcPr>
                <w:p w14:paraId="2BF0FB72">
                  <w:pPr>
                    <w:jc w:val="center"/>
                    <w:rPr>
                      <w:szCs w:val="21"/>
                    </w:rPr>
                  </w:pPr>
                  <w:r>
                    <w:rPr>
                      <w:szCs w:val="21"/>
                    </w:rPr>
                    <w:t>排气管+8</w:t>
                  </w:r>
                  <w:r>
                    <w:rPr>
                      <w:spacing w:val="3"/>
                      <w:szCs w:val="21"/>
                    </w:rPr>
                    <w:t>m</w:t>
                  </w:r>
                  <w:r>
                    <w:rPr>
                      <w:szCs w:val="21"/>
                    </w:rPr>
                    <w:t>排气筒</w:t>
                  </w:r>
                </w:p>
              </w:tc>
              <w:tc>
                <w:tcPr>
                  <w:tcW w:w="594" w:type="dxa"/>
                  <w:vAlign w:val="center"/>
                </w:tcPr>
                <w:p w14:paraId="730FB197">
                  <w:pPr>
                    <w:jc w:val="center"/>
                    <w:rPr>
                      <w:rFonts w:eastAsia="Times New Roman"/>
                      <w:szCs w:val="21"/>
                    </w:rPr>
                  </w:pPr>
                  <w:r>
                    <w:rPr>
                      <w:rFonts w:eastAsia="Times New Roman"/>
                      <w:szCs w:val="21"/>
                    </w:rPr>
                    <w:t>1</w:t>
                  </w:r>
                </w:p>
              </w:tc>
              <w:tc>
                <w:tcPr>
                  <w:tcW w:w="586" w:type="dxa"/>
                  <w:vAlign w:val="center"/>
                </w:tcPr>
                <w:p w14:paraId="04415C54">
                  <w:pPr>
                    <w:jc w:val="center"/>
                    <w:rPr>
                      <w:rFonts w:eastAsia="Times New Roman"/>
                      <w:szCs w:val="21"/>
                    </w:rPr>
                  </w:pPr>
                  <w:r>
                    <w:rPr>
                      <w:rFonts w:eastAsia="Times New Roman"/>
                      <w:szCs w:val="21"/>
                    </w:rPr>
                    <w:t>1</w:t>
                  </w:r>
                </w:p>
              </w:tc>
              <w:tc>
                <w:tcPr>
                  <w:tcW w:w="866" w:type="dxa"/>
                  <w:vAlign w:val="center"/>
                </w:tcPr>
                <w:p w14:paraId="6D0BDA4A">
                  <w:pPr>
                    <w:jc w:val="center"/>
                    <w:rPr>
                      <w:szCs w:val="21"/>
                    </w:rPr>
                  </w:pPr>
                  <w:r>
                    <w:rPr>
                      <w:rFonts w:hint="eastAsia"/>
                      <w:szCs w:val="21"/>
                    </w:rPr>
                    <w:t>DA003</w:t>
                  </w:r>
                </w:p>
              </w:tc>
              <w:tc>
                <w:tcPr>
                  <w:tcW w:w="1141" w:type="dxa"/>
                  <w:vAlign w:val="center"/>
                </w:tcPr>
                <w:p w14:paraId="2FAE21EF">
                  <w:pPr>
                    <w:jc w:val="center"/>
                    <w:rPr>
                      <w:spacing w:val="6"/>
                      <w:szCs w:val="21"/>
                    </w:rPr>
                  </w:pPr>
                  <w:r>
                    <w:rPr>
                      <w:spacing w:val="6"/>
                      <w:szCs w:val="21"/>
                    </w:rPr>
                    <w:t>一般排放</w:t>
                  </w:r>
                  <w:r>
                    <w:rPr>
                      <w:szCs w:val="21"/>
                    </w:rPr>
                    <w:t>口</w:t>
                  </w:r>
                </w:p>
              </w:tc>
              <w:tc>
                <w:tcPr>
                  <w:tcW w:w="1599" w:type="dxa"/>
                  <w:vAlign w:val="center"/>
                </w:tcPr>
                <w:p w14:paraId="24D98547">
                  <w:pPr>
                    <w:ind w:firstLine="13"/>
                    <w:jc w:val="center"/>
                    <w:rPr>
                      <w:spacing w:val="3"/>
                      <w:szCs w:val="21"/>
                    </w:rPr>
                  </w:pPr>
                  <w:r>
                    <w:rPr>
                      <w:spacing w:val="3"/>
                      <w:szCs w:val="21"/>
                    </w:rPr>
                    <w:t>8m排气筒</w:t>
                  </w:r>
                </w:p>
              </w:tc>
            </w:tr>
          </w:tbl>
          <w:p w14:paraId="2528A27D">
            <w:pPr>
              <w:spacing w:line="360" w:lineRule="auto"/>
              <w:ind w:firstLine="478" w:firstLineChars="200"/>
              <w:rPr>
                <w:rFonts w:ascii="宋体" w:hAnsi="宋体" w:cs="宋体"/>
                <w:sz w:val="24"/>
              </w:rPr>
            </w:pPr>
            <w:r>
              <w:rPr>
                <w:rFonts w:hint="eastAsia"/>
                <w:b/>
                <w:bCs/>
                <w:spacing w:val="-1"/>
                <w:sz w:val="24"/>
              </w:rPr>
              <w:t>9</w:t>
            </w:r>
            <w:r>
              <w:rPr>
                <w:rFonts w:eastAsia="Times New Roman"/>
                <w:b/>
                <w:bCs/>
                <w:spacing w:val="-1"/>
                <w:sz w:val="24"/>
              </w:rPr>
              <w:t xml:space="preserve">.4  </w:t>
            </w:r>
            <w:r>
              <w:rPr>
                <w:rFonts w:ascii="宋体" w:hAnsi="宋体" w:cs="宋体"/>
                <w:spacing w:val="-1"/>
                <w:sz w:val="24"/>
              </w:rPr>
              <w:t>排污总量</w:t>
            </w:r>
          </w:p>
          <w:p w14:paraId="0361129E">
            <w:pPr>
              <w:spacing w:line="360" w:lineRule="auto"/>
              <w:ind w:firstLine="472" w:firstLineChars="200"/>
              <w:rPr>
                <w:rFonts w:ascii="宋体" w:hAnsi="宋体" w:cs="宋体"/>
                <w:sz w:val="24"/>
              </w:rPr>
            </w:pPr>
            <w:r>
              <w:rPr>
                <w:rFonts w:ascii="宋体" w:hAnsi="宋体" w:cs="宋体"/>
                <w:spacing w:val="-2"/>
                <w:sz w:val="24"/>
              </w:rPr>
              <w:t>根据《关于印发&lt;固定污染源排污登记工作指南(试行)</w:t>
            </w:r>
            <w:r>
              <w:rPr>
                <w:rFonts w:hint="eastAsia" w:ascii="宋体" w:hAnsi="宋体" w:cs="宋体"/>
                <w:spacing w:val="-2"/>
                <w:sz w:val="24"/>
                <w:lang w:eastAsia="zh-CN"/>
              </w:rPr>
              <w:t>〉</w:t>
            </w:r>
            <w:r>
              <w:rPr>
                <w:rFonts w:ascii="宋体" w:hAnsi="宋体" w:cs="宋体"/>
                <w:spacing w:val="-2"/>
                <w:sz w:val="24"/>
              </w:rPr>
              <w:t>的通知》，</w:t>
            </w:r>
            <w:r>
              <w:rPr>
                <w:rFonts w:ascii="宋体" w:hAnsi="宋体" w:cs="宋体"/>
                <w:spacing w:val="-49"/>
                <w:sz w:val="24"/>
              </w:rPr>
              <w:t xml:space="preserve"> </w:t>
            </w:r>
            <w:r>
              <w:rPr>
                <w:rFonts w:ascii="宋体" w:hAnsi="宋体" w:cs="宋体"/>
                <w:spacing w:val="-2"/>
                <w:sz w:val="24"/>
              </w:rPr>
              <w:t>项目</w:t>
            </w:r>
          </w:p>
          <w:p w14:paraId="477D00E7">
            <w:pPr>
              <w:spacing w:line="360" w:lineRule="auto"/>
              <w:rPr>
                <w:rFonts w:ascii="宋体" w:hAnsi="宋体" w:cs="宋体"/>
                <w:sz w:val="24"/>
              </w:rPr>
            </w:pPr>
            <w:r>
              <w:rPr>
                <w:rFonts w:ascii="宋体" w:hAnsi="宋体" w:cs="宋体"/>
                <w:spacing w:val="-2"/>
                <w:sz w:val="24"/>
              </w:rPr>
              <w:t>无需许可总量。</w:t>
            </w:r>
          </w:p>
          <w:p w14:paraId="64466AB6">
            <w:pPr>
              <w:spacing w:line="360" w:lineRule="auto"/>
              <w:ind w:firstLine="478" w:firstLineChars="200"/>
              <w:rPr>
                <w:rFonts w:ascii="宋体" w:hAnsi="宋体" w:cs="宋体"/>
                <w:sz w:val="24"/>
              </w:rPr>
            </w:pPr>
            <w:r>
              <w:rPr>
                <w:rFonts w:hint="eastAsia"/>
                <w:b/>
                <w:bCs/>
                <w:spacing w:val="-1"/>
                <w:sz w:val="24"/>
              </w:rPr>
              <w:t>9</w:t>
            </w:r>
            <w:r>
              <w:rPr>
                <w:rFonts w:eastAsia="Times New Roman"/>
                <w:b/>
                <w:bCs/>
                <w:spacing w:val="-1"/>
                <w:sz w:val="24"/>
              </w:rPr>
              <w:t xml:space="preserve">.5  </w:t>
            </w:r>
            <w:r>
              <w:rPr>
                <w:rFonts w:ascii="宋体" w:hAnsi="宋体" w:cs="宋体"/>
                <w:spacing w:val="-1"/>
                <w:sz w:val="24"/>
              </w:rPr>
              <w:t>排污许可管理排放标准</w:t>
            </w:r>
          </w:p>
          <w:p w14:paraId="2327958C">
            <w:pPr>
              <w:spacing w:line="360" w:lineRule="auto"/>
              <w:ind w:firstLine="476" w:firstLineChars="200"/>
              <w:rPr>
                <w:rFonts w:ascii="宋体" w:hAnsi="宋体" w:cs="宋体"/>
                <w:spacing w:val="-1"/>
                <w:sz w:val="24"/>
              </w:rPr>
            </w:pPr>
            <w:r>
              <w:rPr>
                <w:rFonts w:ascii="宋体" w:hAnsi="宋体" w:cs="宋体"/>
                <w:spacing w:val="-1"/>
                <w:sz w:val="24"/>
              </w:rPr>
              <w:t>排污许可管理排放标准见表</w:t>
            </w:r>
            <w:r>
              <w:rPr>
                <w:spacing w:val="-1"/>
                <w:sz w:val="24"/>
              </w:rPr>
              <w:t>4-</w:t>
            </w:r>
            <w:r>
              <w:rPr>
                <w:rFonts w:hint="eastAsia"/>
                <w:spacing w:val="-1"/>
                <w:sz w:val="24"/>
              </w:rPr>
              <w:t>23</w:t>
            </w:r>
            <w:r>
              <w:rPr>
                <w:spacing w:val="-1"/>
                <w:sz w:val="24"/>
              </w:rPr>
              <w:t>。</w:t>
            </w:r>
          </w:p>
          <w:p w14:paraId="32409AC6">
            <w:pPr>
              <w:jc w:val="center"/>
              <w:rPr>
                <w:rFonts w:ascii="宋体" w:hAnsi="宋体" w:cs="宋体"/>
                <w:szCs w:val="21"/>
              </w:rPr>
            </w:pPr>
            <w:r>
              <w:rPr>
                <w:rFonts w:ascii="宋体" w:hAnsi="宋体" w:cs="宋体"/>
                <w:spacing w:val="-1"/>
                <w:sz w:val="24"/>
              </w:rPr>
              <w:t>表</w:t>
            </w:r>
            <w:r>
              <w:rPr>
                <w:rFonts w:ascii="宋体" w:hAnsi="宋体" w:cs="宋体"/>
                <w:spacing w:val="-43"/>
                <w:sz w:val="24"/>
              </w:rPr>
              <w:t xml:space="preserve"> </w:t>
            </w:r>
            <w:r>
              <w:rPr>
                <w:rFonts w:eastAsia="Times New Roman"/>
                <w:b/>
                <w:bCs/>
                <w:spacing w:val="-1"/>
                <w:sz w:val="24"/>
              </w:rPr>
              <w:t>4-</w:t>
            </w:r>
            <w:r>
              <w:rPr>
                <w:rFonts w:hint="eastAsia"/>
                <w:b/>
                <w:bCs/>
                <w:spacing w:val="-1"/>
                <w:sz w:val="24"/>
              </w:rPr>
              <w:t>23</w:t>
            </w:r>
            <w:r>
              <w:rPr>
                <w:rFonts w:eastAsia="Times New Roman"/>
                <w:b/>
                <w:bCs/>
                <w:spacing w:val="-1"/>
                <w:sz w:val="24"/>
              </w:rPr>
              <w:t xml:space="preserve">  </w:t>
            </w:r>
            <w:r>
              <w:rPr>
                <w:rFonts w:hint="eastAsia"/>
                <w:b/>
                <w:bCs/>
                <w:spacing w:val="-1"/>
                <w:sz w:val="24"/>
              </w:rPr>
              <w:t xml:space="preserve">    </w:t>
            </w:r>
            <w:r>
              <w:rPr>
                <w:rFonts w:ascii="宋体" w:hAnsi="宋体" w:cs="宋体"/>
                <w:spacing w:val="-1"/>
                <w:sz w:val="24"/>
              </w:rPr>
              <w:t>排污许可管理排放标准表</w:t>
            </w:r>
          </w:p>
          <w:tbl>
            <w:tblPr>
              <w:tblStyle w:val="538"/>
              <w:tblW w:w="8274"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997"/>
              <w:gridCol w:w="1000"/>
              <w:gridCol w:w="1187"/>
              <w:gridCol w:w="5090"/>
            </w:tblGrid>
            <w:tr w14:paraId="77EA550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90" w:hRule="atLeast"/>
              </w:trPr>
              <w:tc>
                <w:tcPr>
                  <w:tcW w:w="997" w:type="dxa"/>
                </w:tcPr>
                <w:p w14:paraId="6C1272AB">
                  <w:pPr>
                    <w:jc w:val="center"/>
                    <w:rPr>
                      <w:rFonts w:ascii="宋体" w:hAnsi="宋体" w:cs="宋体"/>
                      <w:szCs w:val="21"/>
                    </w:rPr>
                  </w:pPr>
                  <w:r>
                    <w:rPr>
                      <w:rFonts w:ascii="宋体" w:hAnsi="宋体" w:cs="宋体"/>
                      <w:spacing w:val="7"/>
                      <w:szCs w:val="21"/>
                    </w:rPr>
                    <w:t>监测点位</w:t>
                  </w:r>
                </w:p>
              </w:tc>
              <w:tc>
                <w:tcPr>
                  <w:tcW w:w="1000" w:type="dxa"/>
                </w:tcPr>
                <w:p w14:paraId="2B26B637">
                  <w:pPr>
                    <w:jc w:val="center"/>
                    <w:rPr>
                      <w:rFonts w:ascii="宋体" w:hAnsi="宋体" w:cs="宋体"/>
                      <w:szCs w:val="21"/>
                    </w:rPr>
                  </w:pPr>
                  <w:r>
                    <w:rPr>
                      <w:rFonts w:ascii="宋体" w:hAnsi="宋体" w:cs="宋体"/>
                      <w:spacing w:val="6"/>
                      <w:szCs w:val="21"/>
                    </w:rPr>
                    <w:t>污染源</w:t>
                  </w:r>
                </w:p>
              </w:tc>
              <w:tc>
                <w:tcPr>
                  <w:tcW w:w="1187" w:type="dxa"/>
                </w:tcPr>
                <w:p w14:paraId="76D31222">
                  <w:pPr>
                    <w:jc w:val="center"/>
                    <w:rPr>
                      <w:rFonts w:ascii="宋体" w:hAnsi="宋体" w:cs="宋体"/>
                      <w:szCs w:val="21"/>
                    </w:rPr>
                  </w:pPr>
                  <w:r>
                    <w:rPr>
                      <w:rFonts w:ascii="宋体" w:hAnsi="宋体" w:cs="宋体"/>
                      <w:spacing w:val="6"/>
                      <w:szCs w:val="21"/>
                    </w:rPr>
                    <w:t>污染因子</w:t>
                  </w:r>
                </w:p>
              </w:tc>
              <w:tc>
                <w:tcPr>
                  <w:tcW w:w="5090" w:type="dxa"/>
                  <w:vAlign w:val="center"/>
                </w:tcPr>
                <w:p w14:paraId="494350E8">
                  <w:pPr>
                    <w:jc w:val="center"/>
                    <w:rPr>
                      <w:rFonts w:ascii="宋体" w:hAnsi="宋体" w:cs="宋体"/>
                      <w:szCs w:val="21"/>
                    </w:rPr>
                  </w:pPr>
                  <w:r>
                    <w:rPr>
                      <w:rFonts w:ascii="宋体" w:hAnsi="宋体" w:cs="宋体"/>
                      <w:spacing w:val="7"/>
                      <w:szCs w:val="21"/>
                    </w:rPr>
                    <w:t>执行标准</w:t>
                  </w:r>
                </w:p>
              </w:tc>
            </w:tr>
            <w:tr w14:paraId="03B76C6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00" w:hRule="atLeast"/>
              </w:trPr>
              <w:tc>
                <w:tcPr>
                  <w:tcW w:w="997" w:type="dxa"/>
                  <w:vAlign w:val="center"/>
                </w:tcPr>
                <w:p w14:paraId="0D8BCBD3">
                  <w:pPr>
                    <w:jc w:val="center"/>
                    <w:rPr>
                      <w:sz w:val="20"/>
                      <w:szCs w:val="20"/>
                    </w:rPr>
                  </w:pPr>
                  <w:r>
                    <w:rPr>
                      <w:rFonts w:hint="eastAsia"/>
                      <w:sz w:val="20"/>
                      <w:szCs w:val="20"/>
                    </w:rPr>
                    <w:t>DA001</w:t>
                  </w:r>
                </w:p>
              </w:tc>
              <w:tc>
                <w:tcPr>
                  <w:tcW w:w="1000" w:type="dxa"/>
                  <w:vAlign w:val="center"/>
                </w:tcPr>
                <w:p w14:paraId="2EC4F246">
                  <w:pPr>
                    <w:jc w:val="center"/>
                    <w:rPr>
                      <w:szCs w:val="21"/>
                    </w:rPr>
                  </w:pPr>
                  <w:r>
                    <w:rPr>
                      <w:rFonts w:hint="eastAsia"/>
                      <w:szCs w:val="21"/>
                    </w:rPr>
                    <w:t>注塑废气</w:t>
                  </w:r>
                </w:p>
              </w:tc>
              <w:tc>
                <w:tcPr>
                  <w:tcW w:w="1187" w:type="dxa"/>
                  <w:vAlign w:val="center"/>
                </w:tcPr>
                <w:p w14:paraId="2F61CB1E">
                  <w:pPr>
                    <w:pStyle w:val="198"/>
                    <w:tabs>
                      <w:tab w:val="left" w:pos="1021"/>
                    </w:tabs>
                  </w:pPr>
                  <w:r>
                    <w:rPr>
                      <w:rFonts w:hint="eastAsia"/>
                    </w:rPr>
                    <w:t>非甲烷总烃</w:t>
                  </w:r>
                </w:p>
              </w:tc>
              <w:tc>
                <w:tcPr>
                  <w:tcW w:w="5090" w:type="dxa"/>
                  <w:vAlign w:val="center"/>
                </w:tcPr>
                <w:p w14:paraId="65A26898">
                  <w:pPr>
                    <w:jc w:val="left"/>
                  </w:pPr>
                  <w:r>
                    <w:rPr>
                      <w:rFonts w:hint="eastAsia"/>
                      <w:szCs w:val="21"/>
                    </w:rPr>
                    <w:t>《合成树脂工业污染物排放标准》（GB31572-2015）表4大气污染物排放限值</w:t>
                  </w:r>
                </w:p>
              </w:tc>
            </w:tr>
            <w:tr w14:paraId="1964C42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49" w:hRule="atLeast"/>
              </w:trPr>
              <w:tc>
                <w:tcPr>
                  <w:tcW w:w="997" w:type="dxa"/>
                  <w:vAlign w:val="center"/>
                </w:tcPr>
                <w:p w14:paraId="74B18D02">
                  <w:pPr>
                    <w:jc w:val="center"/>
                    <w:rPr>
                      <w:sz w:val="20"/>
                      <w:szCs w:val="20"/>
                    </w:rPr>
                  </w:pPr>
                  <w:r>
                    <w:rPr>
                      <w:rFonts w:hint="eastAsia"/>
                      <w:sz w:val="20"/>
                      <w:szCs w:val="20"/>
                    </w:rPr>
                    <w:t>DA002</w:t>
                  </w:r>
                </w:p>
              </w:tc>
              <w:tc>
                <w:tcPr>
                  <w:tcW w:w="1000" w:type="dxa"/>
                  <w:vAlign w:val="center"/>
                </w:tcPr>
                <w:p w14:paraId="53DD66FD">
                  <w:pPr>
                    <w:jc w:val="center"/>
                    <w:rPr>
                      <w:szCs w:val="21"/>
                    </w:rPr>
                  </w:pPr>
                  <w:r>
                    <w:rPr>
                      <w:rFonts w:hint="eastAsia"/>
                      <w:szCs w:val="21"/>
                    </w:rPr>
                    <w:t>喷塑粉尘</w:t>
                  </w:r>
                </w:p>
              </w:tc>
              <w:tc>
                <w:tcPr>
                  <w:tcW w:w="1187" w:type="dxa"/>
                  <w:vAlign w:val="center"/>
                </w:tcPr>
                <w:p w14:paraId="0F9ACDC3">
                  <w:pPr>
                    <w:pStyle w:val="198"/>
                    <w:tabs>
                      <w:tab w:val="left" w:pos="1021"/>
                    </w:tabs>
                  </w:pPr>
                  <w:r>
                    <w:rPr>
                      <w:rFonts w:hint="eastAsia"/>
                    </w:rPr>
                    <w:t>颗粒物</w:t>
                  </w:r>
                </w:p>
              </w:tc>
              <w:tc>
                <w:tcPr>
                  <w:tcW w:w="5090" w:type="dxa"/>
                  <w:vAlign w:val="center"/>
                </w:tcPr>
                <w:p w14:paraId="5F48CCF5">
                  <w:pPr>
                    <w:jc w:val="left"/>
                    <w:rPr>
                      <w:szCs w:val="21"/>
                    </w:rPr>
                  </w:pPr>
                  <w:r>
                    <w:rPr>
                      <w:rFonts w:hint="eastAsia"/>
                      <w:szCs w:val="21"/>
                    </w:rPr>
                    <w:t>《合成树脂工业污染物排放标准》（GB31572-2015）表4大气污染物排放限值</w:t>
                  </w:r>
                </w:p>
              </w:tc>
            </w:tr>
            <w:tr w14:paraId="3B0AAE6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19" w:hRule="atLeast"/>
              </w:trPr>
              <w:tc>
                <w:tcPr>
                  <w:tcW w:w="997" w:type="dxa"/>
                  <w:vMerge w:val="restart"/>
                  <w:vAlign w:val="center"/>
                </w:tcPr>
                <w:p w14:paraId="524D06EA">
                  <w:pPr>
                    <w:jc w:val="center"/>
                    <w:rPr>
                      <w:sz w:val="20"/>
                      <w:szCs w:val="20"/>
                    </w:rPr>
                  </w:pPr>
                  <w:r>
                    <w:rPr>
                      <w:rFonts w:hint="eastAsia"/>
                      <w:sz w:val="20"/>
                      <w:szCs w:val="20"/>
                    </w:rPr>
                    <w:t>DA001</w:t>
                  </w:r>
                </w:p>
              </w:tc>
              <w:tc>
                <w:tcPr>
                  <w:tcW w:w="1000" w:type="dxa"/>
                  <w:vMerge w:val="restart"/>
                  <w:vAlign w:val="center"/>
                </w:tcPr>
                <w:p w14:paraId="66D147D3">
                  <w:pPr>
                    <w:jc w:val="center"/>
                    <w:rPr>
                      <w:szCs w:val="21"/>
                    </w:rPr>
                  </w:pPr>
                  <w:r>
                    <w:rPr>
                      <w:rFonts w:hint="eastAsia"/>
                      <w:szCs w:val="21"/>
                    </w:rPr>
                    <w:t>天然气燃烧机废气</w:t>
                  </w:r>
                </w:p>
              </w:tc>
              <w:tc>
                <w:tcPr>
                  <w:tcW w:w="1187" w:type="dxa"/>
                  <w:vAlign w:val="center"/>
                </w:tcPr>
                <w:p w14:paraId="385D23D6">
                  <w:pPr>
                    <w:pStyle w:val="198"/>
                    <w:tabs>
                      <w:tab w:val="left" w:pos="1021"/>
                    </w:tabs>
                  </w:pPr>
                  <w:r>
                    <w:t>SO</w:t>
                  </w:r>
                  <w:r>
                    <w:rPr>
                      <w:vertAlign w:val="subscript"/>
                    </w:rPr>
                    <w:t>2</w:t>
                  </w:r>
                </w:p>
              </w:tc>
              <w:tc>
                <w:tcPr>
                  <w:tcW w:w="5090" w:type="dxa"/>
                  <w:vMerge w:val="restart"/>
                  <w:vAlign w:val="center"/>
                </w:tcPr>
                <w:p w14:paraId="48BDA1E0">
                  <w:pPr>
                    <w:jc w:val="left"/>
                    <w:rPr>
                      <w:rFonts w:hint="eastAsia" w:eastAsia="宋体"/>
                      <w:lang w:eastAsia="zh-CN"/>
                    </w:rPr>
                  </w:pPr>
                  <w:r>
                    <w:rPr>
                      <w:rFonts w:hint="eastAsia" w:cs="Times New Roman"/>
                      <w:szCs w:val="21"/>
                      <w:u w:val="none"/>
                      <w:lang w:eastAsia="zh-CN"/>
                    </w:rPr>
                    <w:t>《湖南省工业炉窑大气污染综合治理实施方案》（DB43/3082-2024）中附件1工业炉窑大气污染物排放浓度限值</w:t>
                  </w:r>
                </w:p>
              </w:tc>
            </w:tr>
            <w:tr w14:paraId="1B0EA32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18" w:hRule="atLeast"/>
              </w:trPr>
              <w:tc>
                <w:tcPr>
                  <w:tcW w:w="997" w:type="dxa"/>
                  <w:vMerge w:val="continue"/>
                  <w:vAlign w:val="center"/>
                </w:tcPr>
                <w:p w14:paraId="3A75B84E">
                  <w:pPr>
                    <w:jc w:val="center"/>
                    <w:rPr>
                      <w:rFonts w:eastAsia="Times New Roman"/>
                      <w:sz w:val="20"/>
                      <w:szCs w:val="20"/>
                    </w:rPr>
                  </w:pPr>
                </w:p>
              </w:tc>
              <w:tc>
                <w:tcPr>
                  <w:tcW w:w="1000" w:type="dxa"/>
                  <w:vMerge w:val="continue"/>
                  <w:vAlign w:val="center"/>
                </w:tcPr>
                <w:p w14:paraId="4468AE87">
                  <w:pPr>
                    <w:jc w:val="center"/>
                    <w:rPr>
                      <w:rFonts w:ascii="宋体" w:hAnsi="宋体" w:cs="宋体"/>
                      <w:sz w:val="20"/>
                      <w:szCs w:val="20"/>
                    </w:rPr>
                  </w:pPr>
                </w:p>
              </w:tc>
              <w:tc>
                <w:tcPr>
                  <w:tcW w:w="1187" w:type="dxa"/>
                  <w:vAlign w:val="center"/>
                </w:tcPr>
                <w:p w14:paraId="562ABCE7">
                  <w:pPr>
                    <w:pStyle w:val="198"/>
                    <w:tabs>
                      <w:tab w:val="left" w:pos="1021"/>
                    </w:tabs>
                  </w:pPr>
                  <w:r>
                    <w:t>NO</w:t>
                  </w:r>
                  <w:r>
                    <w:rPr>
                      <w:vertAlign w:val="subscript"/>
                    </w:rPr>
                    <w:t>X</w:t>
                  </w:r>
                </w:p>
              </w:tc>
              <w:tc>
                <w:tcPr>
                  <w:tcW w:w="5090" w:type="dxa"/>
                  <w:vMerge w:val="continue"/>
                  <w:vAlign w:val="center"/>
                </w:tcPr>
                <w:p w14:paraId="164B2DDE">
                  <w:pPr>
                    <w:jc w:val="left"/>
                  </w:pPr>
                </w:p>
              </w:tc>
            </w:tr>
            <w:tr w14:paraId="333F2CA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997" w:type="dxa"/>
                  <w:vMerge w:val="restart"/>
                  <w:vAlign w:val="center"/>
                </w:tcPr>
                <w:p w14:paraId="08EF9A4A">
                  <w:pPr>
                    <w:jc w:val="center"/>
                    <w:rPr>
                      <w:rFonts w:ascii="Arial"/>
                    </w:rPr>
                  </w:pPr>
                  <w:r>
                    <w:rPr>
                      <w:rFonts w:hint="eastAsia" w:ascii="Arial"/>
                    </w:rPr>
                    <w:t>厂界</w:t>
                  </w:r>
                </w:p>
              </w:tc>
              <w:tc>
                <w:tcPr>
                  <w:tcW w:w="1000" w:type="dxa"/>
                  <w:vAlign w:val="center"/>
                </w:tcPr>
                <w:p w14:paraId="0AAB0322">
                  <w:pPr>
                    <w:jc w:val="center"/>
                    <w:rPr>
                      <w:rFonts w:ascii="Arial"/>
                    </w:rPr>
                  </w:pPr>
                  <w:r>
                    <w:rPr>
                      <w:rFonts w:hint="eastAsia" w:ascii="Arial"/>
                    </w:rPr>
                    <w:t>注塑废气</w:t>
                  </w:r>
                </w:p>
              </w:tc>
              <w:tc>
                <w:tcPr>
                  <w:tcW w:w="1187" w:type="dxa"/>
                  <w:vAlign w:val="center"/>
                </w:tcPr>
                <w:p w14:paraId="220AE0FD">
                  <w:pPr>
                    <w:jc w:val="center"/>
                  </w:pPr>
                  <w:r>
                    <w:t>非甲烷总烃</w:t>
                  </w:r>
                </w:p>
              </w:tc>
              <w:tc>
                <w:tcPr>
                  <w:tcW w:w="5090" w:type="dxa"/>
                  <w:vAlign w:val="center"/>
                </w:tcPr>
                <w:p w14:paraId="62B2F5BF">
                  <w:pPr>
                    <w:jc w:val="left"/>
                  </w:pPr>
                  <w:r>
                    <w:rPr>
                      <w:rFonts w:hint="eastAsia"/>
                      <w:szCs w:val="21"/>
                    </w:rPr>
                    <w:t>《合成树脂工业污染物排放标准》（GB31572-2015）表9企业边界污染物浓度限值</w:t>
                  </w:r>
                </w:p>
              </w:tc>
            </w:tr>
            <w:tr w14:paraId="7022FBB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66" w:hRule="atLeast"/>
              </w:trPr>
              <w:tc>
                <w:tcPr>
                  <w:tcW w:w="997" w:type="dxa"/>
                  <w:vMerge w:val="continue"/>
                  <w:vAlign w:val="center"/>
                </w:tcPr>
                <w:p w14:paraId="6A16EC06">
                  <w:pPr>
                    <w:jc w:val="center"/>
                    <w:rPr>
                      <w:rFonts w:ascii="Arial"/>
                    </w:rPr>
                  </w:pPr>
                </w:p>
              </w:tc>
              <w:tc>
                <w:tcPr>
                  <w:tcW w:w="1000" w:type="dxa"/>
                  <w:vAlign w:val="center"/>
                </w:tcPr>
                <w:p w14:paraId="4055A752">
                  <w:pPr>
                    <w:jc w:val="center"/>
                    <w:rPr>
                      <w:rFonts w:ascii="Arial"/>
                    </w:rPr>
                  </w:pPr>
                  <w:r>
                    <w:rPr>
                      <w:rFonts w:hint="eastAsia" w:ascii="Arial"/>
                    </w:rPr>
                    <w:t>喷塑粉尘</w:t>
                  </w:r>
                </w:p>
              </w:tc>
              <w:tc>
                <w:tcPr>
                  <w:tcW w:w="1187" w:type="dxa"/>
                  <w:vAlign w:val="center"/>
                </w:tcPr>
                <w:p w14:paraId="36A8F19A">
                  <w:pPr>
                    <w:jc w:val="center"/>
                  </w:pPr>
                  <w:r>
                    <w:rPr>
                      <w:rFonts w:hint="eastAsia"/>
                    </w:rPr>
                    <w:t>颗粒物</w:t>
                  </w:r>
                </w:p>
              </w:tc>
              <w:tc>
                <w:tcPr>
                  <w:tcW w:w="5090" w:type="dxa"/>
                  <w:vAlign w:val="center"/>
                </w:tcPr>
                <w:p w14:paraId="2E378454">
                  <w:pPr>
                    <w:tabs>
                      <w:tab w:val="center" w:pos="2585"/>
                    </w:tabs>
                    <w:jc w:val="left"/>
                  </w:pPr>
                  <w:r>
                    <w:rPr>
                      <w:rFonts w:hint="eastAsia"/>
                      <w:szCs w:val="21"/>
                    </w:rPr>
                    <w:t>《合成树脂工业污染物排放标准》（GB31572-2015）表9企业边界污染物浓度限值</w:t>
                  </w:r>
                </w:p>
              </w:tc>
            </w:tr>
            <w:tr w14:paraId="200C27B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24" w:hRule="atLeast"/>
              </w:trPr>
              <w:tc>
                <w:tcPr>
                  <w:tcW w:w="997" w:type="dxa"/>
                  <w:vMerge w:val="continue"/>
                  <w:vAlign w:val="center"/>
                </w:tcPr>
                <w:p w14:paraId="17C98AC0">
                  <w:pPr>
                    <w:jc w:val="center"/>
                    <w:rPr>
                      <w:rFonts w:ascii="Arial"/>
                    </w:rPr>
                  </w:pPr>
                </w:p>
              </w:tc>
              <w:tc>
                <w:tcPr>
                  <w:tcW w:w="1000" w:type="dxa"/>
                  <w:vAlign w:val="center"/>
                </w:tcPr>
                <w:p w14:paraId="0303AAA8">
                  <w:pPr>
                    <w:jc w:val="center"/>
                    <w:rPr>
                      <w:rFonts w:ascii="Arial"/>
                    </w:rPr>
                  </w:pPr>
                  <w:r>
                    <w:rPr>
                      <w:rFonts w:hint="eastAsia" w:ascii="Arial"/>
                    </w:rPr>
                    <w:t>焊接烟尘</w:t>
                  </w:r>
                </w:p>
              </w:tc>
              <w:tc>
                <w:tcPr>
                  <w:tcW w:w="1187" w:type="dxa"/>
                  <w:vAlign w:val="center"/>
                </w:tcPr>
                <w:p w14:paraId="28C58D3F">
                  <w:pPr>
                    <w:jc w:val="center"/>
                  </w:pPr>
                  <w:r>
                    <w:rPr>
                      <w:rFonts w:hint="eastAsia"/>
                    </w:rPr>
                    <w:t>烟尘</w:t>
                  </w:r>
                </w:p>
              </w:tc>
              <w:tc>
                <w:tcPr>
                  <w:tcW w:w="5090" w:type="dxa"/>
                  <w:vAlign w:val="center"/>
                </w:tcPr>
                <w:p w14:paraId="3566DEFB">
                  <w:pPr>
                    <w:tabs>
                      <w:tab w:val="center" w:pos="2585"/>
                    </w:tabs>
                    <w:jc w:val="left"/>
                    <w:rPr>
                      <w:szCs w:val="21"/>
                    </w:rPr>
                  </w:pPr>
                  <w:r>
                    <w:rPr>
                      <w:rFonts w:hint="eastAsia"/>
                      <w:szCs w:val="21"/>
                    </w:rPr>
                    <w:t>《大气污染物综合排放标准》（GB16297-1996）表2新污染物大气污染物综合排放标准限值</w:t>
                  </w:r>
                </w:p>
              </w:tc>
            </w:tr>
            <w:tr w14:paraId="51EC8E7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27" w:hRule="atLeast"/>
              </w:trPr>
              <w:tc>
                <w:tcPr>
                  <w:tcW w:w="997" w:type="dxa"/>
                  <w:vMerge w:val="continue"/>
                  <w:vAlign w:val="center"/>
                </w:tcPr>
                <w:p w14:paraId="0CD6FBA1">
                  <w:pPr>
                    <w:jc w:val="center"/>
                    <w:rPr>
                      <w:rFonts w:ascii="Arial"/>
                    </w:rPr>
                  </w:pPr>
                </w:p>
              </w:tc>
              <w:tc>
                <w:tcPr>
                  <w:tcW w:w="1000" w:type="dxa"/>
                  <w:vAlign w:val="center"/>
                </w:tcPr>
                <w:p w14:paraId="295FB9CC">
                  <w:pPr>
                    <w:jc w:val="center"/>
                    <w:rPr>
                      <w:rFonts w:ascii="Arial"/>
                    </w:rPr>
                  </w:pPr>
                  <w:r>
                    <w:rPr>
                      <w:rFonts w:hint="eastAsia" w:ascii="Arial"/>
                    </w:rPr>
                    <w:t>机加工粉尘</w:t>
                  </w:r>
                </w:p>
              </w:tc>
              <w:tc>
                <w:tcPr>
                  <w:tcW w:w="1187" w:type="dxa"/>
                  <w:vAlign w:val="center"/>
                </w:tcPr>
                <w:p w14:paraId="42965742">
                  <w:pPr>
                    <w:jc w:val="center"/>
                  </w:pPr>
                  <w:r>
                    <w:rPr>
                      <w:rFonts w:hint="eastAsia"/>
                    </w:rPr>
                    <w:t>颗粒物</w:t>
                  </w:r>
                </w:p>
              </w:tc>
              <w:tc>
                <w:tcPr>
                  <w:tcW w:w="5090" w:type="dxa"/>
                  <w:vAlign w:val="center"/>
                </w:tcPr>
                <w:p w14:paraId="6D6B80AF">
                  <w:pPr>
                    <w:tabs>
                      <w:tab w:val="center" w:pos="2585"/>
                    </w:tabs>
                    <w:jc w:val="left"/>
                    <w:rPr>
                      <w:szCs w:val="21"/>
                    </w:rPr>
                  </w:pPr>
                  <w:r>
                    <w:rPr>
                      <w:rFonts w:hint="eastAsia"/>
                      <w:szCs w:val="21"/>
                    </w:rPr>
                    <w:t>《大气污染物综合排放标准》（GB16297-1996）表2新污染物大气污染物综合排放标准限值</w:t>
                  </w:r>
                </w:p>
              </w:tc>
            </w:tr>
            <w:tr w14:paraId="0E9A419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20" w:hRule="atLeast"/>
              </w:trPr>
              <w:tc>
                <w:tcPr>
                  <w:tcW w:w="997" w:type="dxa"/>
                  <w:vAlign w:val="center"/>
                </w:tcPr>
                <w:p w14:paraId="4AD51F12">
                  <w:pPr>
                    <w:jc w:val="center"/>
                    <w:rPr>
                      <w:rFonts w:ascii="Arial"/>
                    </w:rPr>
                  </w:pPr>
                  <w:r>
                    <w:rPr>
                      <w:rFonts w:hint="eastAsia" w:ascii="Arial"/>
                    </w:rPr>
                    <w:t>厂界四周</w:t>
                  </w:r>
                </w:p>
              </w:tc>
              <w:tc>
                <w:tcPr>
                  <w:tcW w:w="1000" w:type="dxa"/>
                  <w:vAlign w:val="center"/>
                </w:tcPr>
                <w:p w14:paraId="76AD1826">
                  <w:pPr>
                    <w:jc w:val="center"/>
                    <w:rPr>
                      <w:rFonts w:ascii="Arial"/>
                    </w:rPr>
                  </w:pPr>
                  <w:r>
                    <w:rPr>
                      <w:rFonts w:hint="eastAsia" w:ascii="Arial"/>
                    </w:rPr>
                    <w:t>噪声</w:t>
                  </w:r>
                </w:p>
              </w:tc>
              <w:tc>
                <w:tcPr>
                  <w:tcW w:w="1187" w:type="dxa"/>
                  <w:vAlign w:val="center"/>
                </w:tcPr>
                <w:p w14:paraId="3D5D240D">
                  <w:pPr>
                    <w:jc w:val="center"/>
                  </w:pPr>
                  <w:r>
                    <w:t>等效A声级</w:t>
                  </w:r>
                </w:p>
              </w:tc>
              <w:tc>
                <w:tcPr>
                  <w:tcW w:w="5090" w:type="dxa"/>
                  <w:vAlign w:val="center"/>
                </w:tcPr>
                <w:p w14:paraId="753AF3B2">
                  <w:pPr>
                    <w:jc w:val="left"/>
                  </w:pPr>
                  <w:r>
                    <w:t>《工业企业厂界环境噪声排放标准》 (GB12348-2008) 中的3类标准</w:t>
                  </w:r>
                </w:p>
              </w:tc>
            </w:tr>
          </w:tbl>
          <w:p w14:paraId="412C1EB4">
            <w:pPr>
              <w:spacing w:line="360" w:lineRule="auto"/>
              <w:ind w:firstLine="478" w:firstLineChars="200"/>
              <w:rPr>
                <w:rFonts w:ascii="宋体" w:hAnsi="宋体" w:cs="宋体"/>
                <w:sz w:val="24"/>
              </w:rPr>
            </w:pPr>
            <w:r>
              <w:rPr>
                <w:rFonts w:hint="eastAsia"/>
                <w:b/>
                <w:bCs/>
                <w:spacing w:val="-1"/>
                <w:sz w:val="24"/>
              </w:rPr>
              <w:t>9</w:t>
            </w:r>
            <w:r>
              <w:rPr>
                <w:rFonts w:eastAsia="Times New Roman"/>
                <w:b/>
                <w:bCs/>
                <w:spacing w:val="-1"/>
                <w:sz w:val="24"/>
              </w:rPr>
              <w:t xml:space="preserve">.6  </w:t>
            </w:r>
            <w:r>
              <w:rPr>
                <w:rFonts w:ascii="宋体" w:hAnsi="宋体" w:cs="宋体"/>
                <w:spacing w:val="-1"/>
                <w:sz w:val="24"/>
              </w:rPr>
              <w:t>后续运行管理要求</w:t>
            </w:r>
          </w:p>
          <w:p w14:paraId="32670CE9">
            <w:pPr>
              <w:spacing w:line="360" w:lineRule="auto"/>
              <w:ind w:firstLine="464"/>
              <w:rPr>
                <w:rFonts w:ascii="宋体" w:hAnsi="宋体" w:cs="宋体"/>
                <w:spacing w:val="-4"/>
                <w:sz w:val="24"/>
              </w:rPr>
            </w:pPr>
            <w:r>
              <w:rPr>
                <w:rFonts w:ascii="宋体" w:hAnsi="宋体" w:cs="宋体"/>
                <w:spacing w:val="1"/>
                <w:sz w:val="24"/>
              </w:rPr>
              <w:t>《关于印发&lt;固定污染源排污登记工作指南（试行）</w:t>
            </w:r>
            <w:r>
              <w:rPr>
                <w:rFonts w:hint="eastAsia" w:ascii="宋体" w:hAnsi="宋体" w:cs="宋体"/>
                <w:spacing w:val="1"/>
                <w:sz w:val="24"/>
                <w:lang w:eastAsia="zh-CN"/>
              </w:rPr>
              <w:t>〉</w:t>
            </w:r>
            <w:r>
              <w:rPr>
                <w:rFonts w:ascii="宋体" w:hAnsi="宋体" w:cs="宋体"/>
                <w:spacing w:val="33"/>
                <w:sz w:val="24"/>
              </w:rPr>
              <w:t xml:space="preserve"> </w:t>
            </w:r>
            <w:r>
              <w:rPr>
                <w:rFonts w:ascii="宋体" w:hAnsi="宋体" w:cs="宋体"/>
                <w:spacing w:val="1"/>
                <w:sz w:val="24"/>
              </w:rPr>
              <w:t>的通知》已经明确</w:t>
            </w:r>
            <w:r>
              <w:rPr>
                <w:rFonts w:ascii="宋体" w:hAnsi="宋体" w:cs="宋体"/>
                <w:sz w:val="24"/>
              </w:rPr>
              <w:t xml:space="preserve"> </w:t>
            </w:r>
            <w:r>
              <w:rPr>
                <w:rFonts w:ascii="宋体" w:hAnsi="宋体" w:cs="宋体"/>
                <w:spacing w:val="-2"/>
                <w:sz w:val="24"/>
              </w:rPr>
              <w:t>了排污单位登记内容，对登记管理排污单位不做</w:t>
            </w:r>
            <w:r>
              <w:rPr>
                <w:rFonts w:hint="eastAsia" w:ascii="宋体" w:hAnsi="宋体" w:cs="宋体"/>
                <w:spacing w:val="-2"/>
                <w:sz w:val="24"/>
                <w:lang w:eastAsia="zh-CN"/>
              </w:rPr>
              <w:t>台账管理</w:t>
            </w:r>
            <w:r>
              <w:rPr>
                <w:rFonts w:ascii="宋体" w:hAnsi="宋体" w:cs="宋体"/>
                <w:spacing w:val="-2"/>
                <w:sz w:val="24"/>
              </w:rPr>
              <w:t>、自行监测和</w:t>
            </w:r>
            <w:r>
              <w:rPr>
                <w:rFonts w:ascii="宋体" w:hAnsi="宋体" w:cs="宋体"/>
                <w:spacing w:val="-3"/>
                <w:sz w:val="24"/>
              </w:rPr>
              <w:t>执行报</w:t>
            </w:r>
            <w:r>
              <w:rPr>
                <w:rFonts w:ascii="宋体" w:hAnsi="宋体" w:cs="宋体"/>
                <w:spacing w:val="-4"/>
                <w:sz w:val="24"/>
              </w:rPr>
              <w:t>告等要求。</w:t>
            </w:r>
          </w:p>
          <w:p w14:paraId="54E90B3B">
            <w:pPr>
              <w:spacing w:line="360" w:lineRule="auto"/>
              <w:ind w:firstLine="484" w:firstLineChars="200"/>
              <w:rPr>
                <w:rFonts w:hint="eastAsia" w:ascii="宋体" w:hAnsi="宋体" w:cs="宋体"/>
                <w:spacing w:val="1"/>
                <w:sz w:val="24"/>
              </w:rPr>
            </w:pPr>
            <w:r>
              <w:rPr>
                <w:rFonts w:ascii="宋体" w:hAnsi="宋体" w:cs="宋体"/>
                <w:spacing w:val="1"/>
                <w:sz w:val="24"/>
              </w:rPr>
              <w:t>企业必须在启动生产设施或者发生实际排污之前申请取填报排污登记表，并按证排污，且不得超标、超总量排污。</w:t>
            </w:r>
          </w:p>
          <w:p w14:paraId="20D85556">
            <w:pPr>
              <w:spacing w:line="360" w:lineRule="auto"/>
              <w:ind w:firstLine="482"/>
              <w:rPr>
                <w:b/>
                <w:bCs/>
                <w:color w:val="FF0000"/>
              </w:rPr>
            </w:pPr>
            <w:r>
              <w:rPr>
                <w:rFonts w:hint="eastAsia"/>
                <w:b/>
                <w:bCs/>
                <w:color w:val="FF0000"/>
              </w:rPr>
              <w:t>10、“三本账”情况</w:t>
            </w:r>
          </w:p>
          <w:p w14:paraId="3EB6B92E">
            <w:pPr>
              <w:keepNext w:val="0"/>
              <w:keepLines w:val="0"/>
              <w:pageBreakBefore w:val="0"/>
              <w:widowControl w:val="0"/>
              <w:kinsoku/>
              <w:wordWrap/>
              <w:overflowPunct/>
              <w:topLinePunct w:val="0"/>
              <w:autoSpaceDE/>
              <w:autoSpaceDN/>
              <w:bidi w:val="0"/>
              <w:adjustRightInd/>
              <w:snapToGrid/>
              <w:spacing w:line="360" w:lineRule="auto"/>
              <w:ind w:firstLine="484" w:firstLineChars="200"/>
              <w:jc w:val="left"/>
              <w:textAlignment w:val="auto"/>
              <w:rPr>
                <w:rFonts w:hint="default" w:ascii="Times New Roman" w:hAnsi="Times New Roman" w:eastAsia="宋体" w:cs="Times New Roman"/>
                <w:color w:val="FF0000"/>
                <w:spacing w:val="1"/>
                <w:sz w:val="24"/>
              </w:rPr>
            </w:pPr>
            <w:r>
              <w:rPr>
                <w:rFonts w:hint="default" w:ascii="Times New Roman" w:hAnsi="Times New Roman" w:eastAsia="宋体" w:cs="Times New Roman"/>
                <w:color w:val="FF0000"/>
                <w:spacing w:val="1"/>
                <w:sz w:val="24"/>
              </w:rPr>
              <w:t>项目</w:t>
            </w:r>
            <w:r>
              <w:rPr>
                <w:rFonts w:hint="eastAsia" w:ascii="Times New Roman" w:hAnsi="Times New Roman" w:eastAsia="宋体" w:cs="Times New Roman"/>
                <w:color w:val="FF0000"/>
                <w:spacing w:val="1"/>
                <w:sz w:val="24"/>
                <w:lang w:val="en-US" w:eastAsia="zh-CN"/>
              </w:rPr>
              <w:t>改建</w:t>
            </w:r>
            <w:r>
              <w:rPr>
                <w:rFonts w:hint="default" w:ascii="Times New Roman" w:hAnsi="Times New Roman" w:eastAsia="宋体" w:cs="Times New Roman"/>
                <w:color w:val="FF0000"/>
                <w:spacing w:val="1"/>
                <w:sz w:val="24"/>
              </w:rPr>
              <w:t>前后污染物排放“三本账”情况见表</w:t>
            </w:r>
            <w:r>
              <w:rPr>
                <w:rFonts w:hint="default" w:ascii="Times New Roman" w:hAnsi="Times New Roman" w:eastAsia="宋体" w:cs="Times New Roman"/>
                <w:color w:val="FF0000"/>
                <w:spacing w:val="1"/>
                <w:sz w:val="24"/>
                <w:lang w:val="en-US" w:eastAsia="zh-CN"/>
              </w:rPr>
              <w:t>4</w:t>
            </w:r>
            <w:r>
              <w:rPr>
                <w:rFonts w:hint="default" w:ascii="Times New Roman" w:hAnsi="Times New Roman" w:eastAsia="宋体" w:cs="Times New Roman"/>
                <w:color w:val="FF0000"/>
                <w:spacing w:val="1"/>
                <w:sz w:val="24"/>
              </w:rPr>
              <w:t>-</w:t>
            </w:r>
            <w:r>
              <w:rPr>
                <w:rFonts w:hint="default" w:ascii="Times New Roman" w:hAnsi="Times New Roman" w:eastAsia="宋体" w:cs="Times New Roman"/>
                <w:color w:val="FF0000"/>
                <w:spacing w:val="1"/>
                <w:sz w:val="24"/>
                <w:lang w:val="en-US" w:eastAsia="zh-CN"/>
              </w:rPr>
              <w:t>23</w:t>
            </w:r>
            <w:r>
              <w:rPr>
                <w:rFonts w:hint="default" w:ascii="Times New Roman" w:hAnsi="Times New Roman" w:eastAsia="宋体" w:cs="Times New Roman"/>
                <w:color w:val="FF0000"/>
                <w:spacing w:val="1"/>
                <w:sz w:val="24"/>
              </w:rPr>
              <w:t>。</w:t>
            </w:r>
          </w:p>
          <w:p w14:paraId="6A7AB14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FF0000"/>
                <w:spacing w:val="1"/>
                <w:sz w:val="24"/>
              </w:rPr>
            </w:pPr>
            <w:r>
              <w:rPr>
                <w:rFonts w:hint="default" w:ascii="Times New Roman" w:hAnsi="Times New Roman" w:eastAsia="宋体" w:cs="Times New Roman"/>
                <w:b/>
                <w:bCs/>
                <w:color w:val="FF0000"/>
                <w:spacing w:val="1"/>
                <w:sz w:val="24"/>
              </w:rPr>
              <w:t>表4-</w:t>
            </w:r>
            <w:r>
              <w:rPr>
                <w:rFonts w:hint="default" w:ascii="Times New Roman" w:hAnsi="Times New Roman" w:eastAsia="宋体" w:cs="Times New Roman"/>
                <w:b/>
                <w:bCs/>
                <w:color w:val="FF0000"/>
                <w:spacing w:val="1"/>
                <w:sz w:val="24"/>
                <w:lang w:val="en-US" w:eastAsia="zh-CN"/>
              </w:rPr>
              <w:t>23</w:t>
            </w:r>
            <w:r>
              <w:rPr>
                <w:rFonts w:hint="default" w:ascii="Times New Roman" w:hAnsi="Times New Roman" w:eastAsia="宋体" w:cs="Times New Roman"/>
                <w:b/>
                <w:bCs/>
                <w:color w:val="FF0000"/>
                <w:spacing w:val="1"/>
                <w:sz w:val="24"/>
              </w:rPr>
              <w:t xml:space="preserve">  本项目</w:t>
            </w:r>
            <w:r>
              <w:rPr>
                <w:rFonts w:hint="eastAsia" w:ascii="Times New Roman" w:hAnsi="Times New Roman" w:eastAsia="宋体" w:cs="Times New Roman"/>
                <w:b/>
                <w:bCs/>
                <w:color w:val="FF0000"/>
                <w:spacing w:val="1"/>
                <w:sz w:val="24"/>
                <w:lang w:val="en-US" w:eastAsia="zh-CN"/>
              </w:rPr>
              <w:t>改建</w:t>
            </w:r>
            <w:r>
              <w:rPr>
                <w:rFonts w:hint="default" w:ascii="Times New Roman" w:hAnsi="Times New Roman" w:eastAsia="宋体" w:cs="Times New Roman"/>
                <w:b/>
                <w:bCs/>
                <w:color w:val="FF0000"/>
                <w:spacing w:val="1"/>
                <w:sz w:val="24"/>
              </w:rPr>
              <w:t>前后“三本账”一览表</w:t>
            </w:r>
          </w:p>
          <w:tbl>
            <w:tblPr>
              <w:tblStyle w:val="36"/>
              <w:tblW w:w="8297" w:type="dxa"/>
              <w:tblInd w:w="-1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88"/>
              <w:gridCol w:w="1161"/>
              <w:gridCol w:w="810"/>
              <w:gridCol w:w="904"/>
              <w:gridCol w:w="687"/>
              <w:gridCol w:w="650"/>
              <w:gridCol w:w="731"/>
              <w:gridCol w:w="819"/>
              <w:gridCol w:w="930"/>
              <w:gridCol w:w="817"/>
            </w:tblGrid>
            <w:tr w14:paraId="1DA74FB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949" w:type="dxa"/>
                  <w:gridSpan w:val="2"/>
                  <w:tcBorders>
                    <w:tl2br w:val="nil"/>
                    <w:tr2bl w:val="nil"/>
                  </w:tcBorders>
                  <w:tcMar>
                    <w:top w:w="0" w:type="dxa"/>
                    <w:left w:w="0" w:type="dxa"/>
                    <w:bottom w:w="0" w:type="dxa"/>
                    <w:right w:w="0" w:type="dxa"/>
                  </w:tcMar>
                  <w:vAlign w:val="center"/>
                </w:tcPr>
                <w:p w14:paraId="0A0FDB56">
                  <w:pPr>
                    <w:bidi w:val="0"/>
                    <w:jc w:val="center"/>
                    <w:rPr>
                      <w:color w:val="FF0000"/>
                    </w:rPr>
                  </w:pPr>
                  <w:r>
                    <w:rPr>
                      <w:color w:val="FF0000"/>
                    </w:rPr>
                    <w:t>主要污染物</w:t>
                  </w:r>
                </w:p>
              </w:tc>
              <w:tc>
                <w:tcPr>
                  <w:tcW w:w="810" w:type="dxa"/>
                  <w:tcBorders>
                    <w:tl2br w:val="nil"/>
                    <w:tr2bl w:val="nil"/>
                  </w:tcBorders>
                  <w:tcMar>
                    <w:top w:w="0" w:type="dxa"/>
                    <w:left w:w="0" w:type="dxa"/>
                    <w:bottom w:w="0" w:type="dxa"/>
                    <w:right w:w="0" w:type="dxa"/>
                  </w:tcMar>
                  <w:vAlign w:val="center"/>
                </w:tcPr>
                <w:p w14:paraId="4C2B633B">
                  <w:pPr>
                    <w:bidi w:val="0"/>
                    <w:jc w:val="center"/>
                    <w:rPr>
                      <w:color w:val="FF0000"/>
                    </w:rPr>
                  </w:pPr>
                  <w:r>
                    <w:rPr>
                      <w:color w:val="FF0000"/>
                    </w:rPr>
                    <w:t>单位</w:t>
                  </w:r>
                </w:p>
              </w:tc>
              <w:tc>
                <w:tcPr>
                  <w:tcW w:w="904" w:type="dxa"/>
                  <w:tcBorders>
                    <w:tl2br w:val="nil"/>
                    <w:tr2bl w:val="nil"/>
                  </w:tcBorders>
                  <w:tcMar>
                    <w:top w:w="0" w:type="dxa"/>
                    <w:left w:w="0" w:type="dxa"/>
                    <w:bottom w:w="0" w:type="dxa"/>
                    <w:right w:w="0" w:type="dxa"/>
                  </w:tcMar>
                  <w:vAlign w:val="center"/>
                </w:tcPr>
                <w:p w14:paraId="3A66921F">
                  <w:pPr>
                    <w:bidi w:val="0"/>
                    <w:jc w:val="center"/>
                    <w:rPr>
                      <w:color w:val="FF0000"/>
                    </w:rPr>
                  </w:pPr>
                  <w:r>
                    <w:rPr>
                      <w:color w:val="FF0000"/>
                    </w:rPr>
                    <w:t>原有项目排放量</w:t>
                  </w:r>
                </w:p>
              </w:tc>
              <w:tc>
                <w:tcPr>
                  <w:tcW w:w="687" w:type="dxa"/>
                  <w:tcBorders>
                    <w:tl2br w:val="nil"/>
                    <w:tr2bl w:val="nil"/>
                  </w:tcBorders>
                  <w:tcMar>
                    <w:top w:w="0" w:type="dxa"/>
                    <w:left w:w="0" w:type="dxa"/>
                    <w:bottom w:w="0" w:type="dxa"/>
                    <w:right w:w="0" w:type="dxa"/>
                  </w:tcMar>
                  <w:vAlign w:val="center"/>
                </w:tcPr>
                <w:p w14:paraId="31949083">
                  <w:pPr>
                    <w:bidi w:val="0"/>
                    <w:jc w:val="center"/>
                    <w:rPr>
                      <w:color w:val="FF0000"/>
                    </w:rPr>
                  </w:pPr>
                  <w:r>
                    <w:rPr>
                      <w:rFonts w:hint="eastAsia"/>
                      <w:color w:val="FF0000"/>
                      <w:lang w:val="en-US" w:eastAsia="zh-CN"/>
                    </w:rPr>
                    <w:t>改建</w:t>
                  </w:r>
                  <w:r>
                    <w:rPr>
                      <w:color w:val="FF0000"/>
                    </w:rPr>
                    <w:t>项目产生量</w:t>
                  </w:r>
                </w:p>
              </w:tc>
              <w:tc>
                <w:tcPr>
                  <w:tcW w:w="650" w:type="dxa"/>
                  <w:tcBorders>
                    <w:tl2br w:val="nil"/>
                    <w:tr2bl w:val="nil"/>
                  </w:tcBorders>
                  <w:tcMar>
                    <w:top w:w="0" w:type="dxa"/>
                    <w:left w:w="0" w:type="dxa"/>
                    <w:bottom w:w="0" w:type="dxa"/>
                    <w:right w:w="0" w:type="dxa"/>
                  </w:tcMar>
                  <w:vAlign w:val="center"/>
                </w:tcPr>
                <w:p w14:paraId="392FCCCF">
                  <w:pPr>
                    <w:bidi w:val="0"/>
                    <w:jc w:val="center"/>
                    <w:rPr>
                      <w:color w:val="FF0000"/>
                    </w:rPr>
                  </w:pPr>
                  <w:r>
                    <w:rPr>
                      <w:rFonts w:hint="eastAsia"/>
                      <w:color w:val="FF0000"/>
                      <w:lang w:val="en-US" w:eastAsia="zh-CN"/>
                    </w:rPr>
                    <w:t>改建</w:t>
                  </w:r>
                  <w:r>
                    <w:rPr>
                      <w:color w:val="FF0000"/>
                    </w:rPr>
                    <w:t>项目削减量</w:t>
                  </w:r>
                </w:p>
              </w:tc>
              <w:tc>
                <w:tcPr>
                  <w:tcW w:w="731" w:type="dxa"/>
                  <w:tcBorders>
                    <w:tl2br w:val="nil"/>
                    <w:tr2bl w:val="nil"/>
                  </w:tcBorders>
                  <w:tcMar>
                    <w:top w:w="0" w:type="dxa"/>
                    <w:left w:w="0" w:type="dxa"/>
                    <w:bottom w:w="0" w:type="dxa"/>
                    <w:right w:w="0" w:type="dxa"/>
                  </w:tcMar>
                  <w:vAlign w:val="center"/>
                </w:tcPr>
                <w:p w14:paraId="470182D7">
                  <w:pPr>
                    <w:bidi w:val="0"/>
                    <w:jc w:val="center"/>
                    <w:rPr>
                      <w:color w:val="FF0000"/>
                    </w:rPr>
                  </w:pPr>
                  <w:r>
                    <w:rPr>
                      <w:rFonts w:hint="eastAsia"/>
                      <w:color w:val="FF0000"/>
                      <w:lang w:val="en-US" w:eastAsia="zh-CN"/>
                    </w:rPr>
                    <w:t>改建</w:t>
                  </w:r>
                  <w:r>
                    <w:rPr>
                      <w:color w:val="FF0000"/>
                    </w:rPr>
                    <w:t>项目排放量</w:t>
                  </w:r>
                </w:p>
              </w:tc>
              <w:tc>
                <w:tcPr>
                  <w:tcW w:w="819" w:type="dxa"/>
                  <w:tcBorders>
                    <w:tl2br w:val="nil"/>
                    <w:tr2bl w:val="nil"/>
                  </w:tcBorders>
                  <w:tcMar>
                    <w:top w:w="0" w:type="dxa"/>
                    <w:left w:w="0" w:type="dxa"/>
                    <w:bottom w:w="0" w:type="dxa"/>
                    <w:right w:w="0" w:type="dxa"/>
                  </w:tcMar>
                  <w:vAlign w:val="center"/>
                </w:tcPr>
                <w:p w14:paraId="4542075A">
                  <w:pPr>
                    <w:bidi w:val="0"/>
                    <w:jc w:val="center"/>
                    <w:rPr>
                      <w:color w:val="FF0000"/>
                    </w:rPr>
                  </w:pPr>
                  <w:r>
                    <w:rPr>
                      <w:rFonts w:hint="eastAsia"/>
                      <w:color w:val="FF0000"/>
                    </w:rPr>
                    <w:t>“以新带老”削减量</w:t>
                  </w:r>
                </w:p>
              </w:tc>
              <w:tc>
                <w:tcPr>
                  <w:tcW w:w="930" w:type="dxa"/>
                  <w:tcBorders>
                    <w:tl2br w:val="nil"/>
                    <w:tr2bl w:val="nil"/>
                  </w:tcBorders>
                  <w:tcMar>
                    <w:top w:w="0" w:type="dxa"/>
                    <w:left w:w="0" w:type="dxa"/>
                    <w:bottom w:w="0" w:type="dxa"/>
                    <w:right w:w="0" w:type="dxa"/>
                  </w:tcMar>
                  <w:vAlign w:val="center"/>
                </w:tcPr>
                <w:p w14:paraId="09B8B902">
                  <w:pPr>
                    <w:bidi w:val="0"/>
                    <w:jc w:val="center"/>
                    <w:rPr>
                      <w:color w:val="FF0000"/>
                    </w:rPr>
                  </w:pPr>
                  <w:r>
                    <w:rPr>
                      <w:rFonts w:hint="eastAsia"/>
                      <w:color w:val="FF0000"/>
                      <w:lang w:val="en-US" w:eastAsia="zh-CN"/>
                    </w:rPr>
                    <w:t>改建</w:t>
                  </w:r>
                  <w:r>
                    <w:rPr>
                      <w:color w:val="FF0000"/>
                    </w:rPr>
                    <w:t>后全厂总排放量</w:t>
                  </w:r>
                </w:p>
              </w:tc>
              <w:tc>
                <w:tcPr>
                  <w:tcW w:w="817" w:type="dxa"/>
                  <w:tcBorders>
                    <w:tl2br w:val="nil"/>
                    <w:tr2bl w:val="nil"/>
                  </w:tcBorders>
                  <w:tcMar>
                    <w:top w:w="0" w:type="dxa"/>
                    <w:left w:w="0" w:type="dxa"/>
                    <w:bottom w:w="0" w:type="dxa"/>
                    <w:right w:w="0" w:type="dxa"/>
                  </w:tcMar>
                  <w:vAlign w:val="center"/>
                </w:tcPr>
                <w:p w14:paraId="00DA21F6">
                  <w:pPr>
                    <w:bidi w:val="0"/>
                    <w:jc w:val="center"/>
                    <w:rPr>
                      <w:color w:val="FF0000"/>
                    </w:rPr>
                  </w:pPr>
                  <w:r>
                    <w:rPr>
                      <w:color w:val="FF0000"/>
                    </w:rPr>
                    <w:t>全厂排放增减量</w:t>
                  </w:r>
                </w:p>
              </w:tc>
            </w:tr>
            <w:tr w14:paraId="467C00B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88" w:type="dxa"/>
                  <w:vMerge w:val="restart"/>
                  <w:tcBorders>
                    <w:tl2br w:val="nil"/>
                    <w:tr2bl w:val="nil"/>
                  </w:tcBorders>
                  <w:tcMar>
                    <w:top w:w="0" w:type="dxa"/>
                    <w:left w:w="0" w:type="dxa"/>
                    <w:bottom w:w="0" w:type="dxa"/>
                    <w:right w:w="0" w:type="dxa"/>
                  </w:tcMar>
                  <w:vAlign w:val="center"/>
                </w:tcPr>
                <w:p w14:paraId="62D19EA4">
                  <w:pPr>
                    <w:bidi w:val="0"/>
                    <w:jc w:val="center"/>
                    <w:rPr>
                      <w:color w:val="FF0000"/>
                    </w:rPr>
                  </w:pPr>
                  <w:r>
                    <w:rPr>
                      <w:color w:val="FF0000"/>
                    </w:rPr>
                    <w:t>工艺废气</w:t>
                  </w:r>
                </w:p>
                <w:p w14:paraId="4DD9990B">
                  <w:pPr>
                    <w:bidi w:val="0"/>
                    <w:jc w:val="center"/>
                    <w:rPr>
                      <w:color w:val="FF0000"/>
                    </w:rPr>
                  </w:pPr>
                  <w:r>
                    <w:rPr>
                      <w:color w:val="FF0000"/>
                    </w:rPr>
                    <w:t>（有组织排放）</w:t>
                  </w:r>
                </w:p>
              </w:tc>
              <w:tc>
                <w:tcPr>
                  <w:tcW w:w="1161" w:type="dxa"/>
                  <w:tcBorders>
                    <w:tl2br w:val="nil"/>
                    <w:tr2bl w:val="nil"/>
                  </w:tcBorders>
                  <w:tcMar>
                    <w:top w:w="0" w:type="dxa"/>
                    <w:left w:w="0" w:type="dxa"/>
                    <w:bottom w:w="0" w:type="dxa"/>
                    <w:right w:w="0" w:type="dxa"/>
                  </w:tcMar>
                  <w:vAlign w:val="center"/>
                </w:tcPr>
                <w:p w14:paraId="5774BDB5">
                  <w:pPr>
                    <w:bidi w:val="0"/>
                    <w:jc w:val="center"/>
                    <w:rPr>
                      <w:color w:val="FF0000"/>
                    </w:rPr>
                  </w:pPr>
                  <w:r>
                    <w:rPr>
                      <w:color w:val="FF0000"/>
                    </w:rPr>
                    <w:t>废气</w:t>
                  </w:r>
                  <w:r>
                    <w:rPr>
                      <w:rFonts w:hint="eastAsia"/>
                      <w:color w:val="FF0000"/>
                    </w:rPr>
                    <w:t>量</w:t>
                  </w:r>
                </w:p>
              </w:tc>
              <w:tc>
                <w:tcPr>
                  <w:tcW w:w="810" w:type="dxa"/>
                  <w:tcBorders>
                    <w:tl2br w:val="nil"/>
                    <w:tr2bl w:val="nil"/>
                  </w:tcBorders>
                  <w:tcMar>
                    <w:top w:w="0" w:type="dxa"/>
                    <w:left w:w="0" w:type="dxa"/>
                    <w:bottom w:w="0" w:type="dxa"/>
                    <w:right w:w="0" w:type="dxa"/>
                  </w:tcMar>
                  <w:vAlign w:val="center"/>
                </w:tcPr>
                <w:p w14:paraId="134EA853">
                  <w:pPr>
                    <w:bidi w:val="0"/>
                    <w:jc w:val="center"/>
                    <w:rPr>
                      <w:color w:val="FF0000"/>
                    </w:rPr>
                  </w:pPr>
                  <w:r>
                    <w:rPr>
                      <w:color w:val="FF0000"/>
                    </w:rPr>
                    <w:t>万</w:t>
                  </w:r>
                  <w:r>
                    <w:rPr>
                      <w:rFonts w:hint="eastAsia"/>
                      <w:color w:val="FF0000"/>
                    </w:rPr>
                    <w:t>m³</w:t>
                  </w:r>
                  <w:r>
                    <w:rPr>
                      <w:color w:val="FF0000"/>
                    </w:rPr>
                    <w:t>/a</w:t>
                  </w:r>
                </w:p>
              </w:tc>
              <w:tc>
                <w:tcPr>
                  <w:tcW w:w="904" w:type="dxa"/>
                  <w:tcBorders>
                    <w:tl2br w:val="nil"/>
                    <w:tr2bl w:val="nil"/>
                  </w:tcBorders>
                  <w:tcMar>
                    <w:top w:w="0" w:type="dxa"/>
                    <w:left w:w="0" w:type="dxa"/>
                    <w:bottom w:w="0" w:type="dxa"/>
                    <w:right w:w="0" w:type="dxa"/>
                  </w:tcMar>
                  <w:vAlign w:val="center"/>
                </w:tcPr>
                <w:p w14:paraId="7AFEE9A3">
                  <w:pPr>
                    <w:bidi w:val="0"/>
                    <w:jc w:val="center"/>
                    <w:rPr>
                      <w:rFonts w:hint="default" w:eastAsia="宋体"/>
                      <w:color w:val="FF0000"/>
                      <w:lang w:val="en-US" w:eastAsia="zh-CN"/>
                    </w:rPr>
                  </w:pPr>
                  <w:r>
                    <w:rPr>
                      <w:rFonts w:hint="eastAsia"/>
                      <w:color w:val="FF0000"/>
                      <w:lang w:val="en-US" w:eastAsia="zh-CN"/>
                    </w:rPr>
                    <w:t>54.9540</w:t>
                  </w:r>
                </w:p>
              </w:tc>
              <w:tc>
                <w:tcPr>
                  <w:tcW w:w="687" w:type="dxa"/>
                  <w:tcBorders>
                    <w:tl2br w:val="nil"/>
                    <w:tr2bl w:val="nil"/>
                  </w:tcBorders>
                  <w:tcMar>
                    <w:top w:w="0" w:type="dxa"/>
                    <w:left w:w="0" w:type="dxa"/>
                    <w:bottom w:w="0" w:type="dxa"/>
                    <w:right w:w="0" w:type="dxa"/>
                  </w:tcMar>
                  <w:vAlign w:val="center"/>
                </w:tcPr>
                <w:p w14:paraId="787199FD">
                  <w:pPr>
                    <w:bidi w:val="0"/>
                    <w:jc w:val="center"/>
                    <w:rPr>
                      <w:rFonts w:hint="default" w:eastAsia="宋体"/>
                      <w:color w:val="FF0000"/>
                      <w:lang w:val="en-US" w:eastAsia="zh-CN"/>
                    </w:rPr>
                  </w:pPr>
                  <w:r>
                    <w:rPr>
                      <w:rFonts w:hint="eastAsia"/>
                      <w:color w:val="FF0000"/>
                      <w:lang w:val="en-US" w:eastAsia="zh-CN"/>
                    </w:rPr>
                    <w:t>43.9632</w:t>
                  </w:r>
                </w:p>
              </w:tc>
              <w:tc>
                <w:tcPr>
                  <w:tcW w:w="650" w:type="dxa"/>
                  <w:tcBorders>
                    <w:tl2br w:val="nil"/>
                    <w:tr2bl w:val="nil"/>
                  </w:tcBorders>
                  <w:tcMar>
                    <w:top w:w="0" w:type="dxa"/>
                    <w:left w:w="0" w:type="dxa"/>
                    <w:bottom w:w="0" w:type="dxa"/>
                    <w:right w:w="0" w:type="dxa"/>
                  </w:tcMar>
                  <w:vAlign w:val="center"/>
                </w:tcPr>
                <w:p w14:paraId="7C37FA82">
                  <w:pPr>
                    <w:bidi w:val="0"/>
                    <w:jc w:val="center"/>
                    <w:rPr>
                      <w:rFonts w:hint="eastAsia" w:eastAsia="宋体"/>
                      <w:color w:val="FF0000"/>
                      <w:lang w:val="en-US" w:eastAsia="zh-CN"/>
                    </w:rPr>
                  </w:pPr>
                  <w:r>
                    <w:rPr>
                      <w:rFonts w:hint="eastAsia"/>
                      <w:color w:val="FF0000"/>
                      <w:lang w:val="en-US" w:eastAsia="zh-CN"/>
                    </w:rPr>
                    <w:t>/</w:t>
                  </w:r>
                </w:p>
              </w:tc>
              <w:tc>
                <w:tcPr>
                  <w:tcW w:w="731" w:type="dxa"/>
                  <w:tcBorders>
                    <w:tl2br w:val="nil"/>
                    <w:tr2bl w:val="nil"/>
                  </w:tcBorders>
                  <w:tcMar>
                    <w:top w:w="0" w:type="dxa"/>
                    <w:left w:w="0" w:type="dxa"/>
                    <w:bottom w:w="0" w:type="dxa"/>
                    <w:right w:w="0" w:type="dxa"/>
                  </w:tcMar>
                  <w:vAlign w:val="center"/>
                </w:tcPr>
                <w:p w14:paraId="0CB5C185">
                  <w:pPr>
                    <w:bidi w:val="0"/>
                    <w:jc w:val="center"/>
                    <w:rPr>
                      <w:color w:val="FF0000"/>
                    </w:rPr>
                  </w:pPr>
                  <w:r>
                    <w:rPr>
                      <w:rFonts w:hint="eastAsia"/>
                      <w:color w:val="FF0000"/>
                      <w:lang w:val="en-US" w:eastAsia="zh-CN"/>
                    </w:rPr>
                    <w:t>43.9632</w:t>
                  </w:r>
                </w:p>
              </w:tc>
              <w:tc>
                <w:tcPr>
                  <w:tcW w:w="819" w:type="dxa"/>
                  <w:tcBorders>
                    <w:tl2br w:val="nil"/>
                    <w:tr2bl w:val="nil"/>
                  </w:tcBorders>
                  <w:tcMar>
                    <w:top w:w="0" w:type="dxa"/>
                    <w:left w:w="0" w:type="dxa"/>
                    <w:bottom w:w="0" w:type="dxa"/>
                    <w:right w:w="0" w:type="dxa"/>
                  </w:tcMar>
                  <w:vAlign w:val="center"/>
                </w:tcPr>
                <w:p w14:paraId="6CEFA8D3">
                  <w:pPr>
                    <w:bidi w:val="0"/>
                    <w:jc w:val="center"/>
                    <w:rPr>
                      <w:rFonts w:hint="eastAsia" w:eastAsia="宋体"/>
                      <w:color w:val="FF0000"/>
                      <w:lang w:val="en-US" w:eastAsia="zh-CN"/>
                    </w:rPr>
                  </w:pPr>
                  <w:r>
                    <w:rPr>
                      <w:rFonts w:hint="eastAsia"/>
                      <w:color w:val="FF0000"/>
                      <w:lang w:val="en-US" w:eastAsia="zh-CN"/>
                    </w:rPr>
                    <w:t>/</w:t>
                  </w:r>
                </w:p>
              </w:tc>
              <w:tc>
                <w:tcPr>
                  <w:tcW w:w="930" w:type="dxa"/>
                  <w:tcBorders>
                    <w:tl2br w:val="nil"/>
                    <w:tr2bl w:val="nil"/>
                  </w:tcBorders>
                  <w:tcMar>
                    <w:top w:w="0" w:type="dxa"/>
                    <w:left w:w="0" w:type="dxa"/>
                    <w:bottom w:w="0" w:type="dxa"/>
                    <w:right w:w="0" w:type="dxa"/>
                  </w:tcMar>
                  <w:vAlign w:val="center"/>
                </w:tcPr>
                <w:p w14:paraId="632F32C5">
                  <w:pPr>
                    <w:bidi w:val="0"/>
                    <w:jc w:val="center"/>
                    <w:rPr>
                      <w:color w:val="FF0000"/>
                    </w:rPr>
                  </w:pPr>
                  <w:r>
                    <w:rPr>
                      <w:rFonts w:hint="eastAsia"/>
                      <w:color w:val="FF0000"/>
                      <w:lang w:val="en-US" w:eastAsia="zh-CN"/>
                    </w:rPr>
                    <w:t>43.9632</w:t>
                  </w:r>
                </w:p>
              </w:tc>
              <w:tc>
                <w:tcPr>
                  <w:tcW w:w="817" w:type="dxa"/>
                  <w:tcBorders>
                    <w:tl2br w:val="nil"/>
                    <w:tr2bl w:val="nil"/>
                  </w:tcBorders>
                  <w:tcMar>
                    <w:top w:w="0" w:type="dxa"/>
                    <w:left w:w="0" w:type="dxa"/>
                    <w:bottom w:w="0" w:type="dxa"/>
                    <w:right w:w="0" w:type="dxa"/>
                  </w:tcMar>
                  <w:vAlign w:val="center"/>
                </w:tcPr>
                <w:p w14:paraId="7BBF157B">
                  <w:pPr>
                    <w:bidi w:val="0"/>
                    <w:jc w:val="center"/>
                    <w:rPr>
                      <w:rFonts w:hint="default" w:eastAsia="宋体"/>
                      <w:color w:val="FF0000"/>
                      <w:lang w:val="en-US" w:eastAsia="zh-CN"/>
                    </w:rPr>
                  </w:pPr>
                  <w:r>
                    <w:rPr>
                      <w:rFonts w:hint="eastAsia"/>
                      <w:color w:val="FF0000"/>
                      <w:lang w:val="en-US" w:eastAsia="zh-CN"/>
                    </w:rPr>
                    <w:t>-10.9908</w:t>
                  </w:r>
                </w:p>
              </w:tc>
            </w:tr>
            <w:tr w14:paraId="4E82BF6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54" w:hRule="atLeast"/>
              </w:trPr>
              <w:tc>
                <w:tcPr>
                  <w:tcW w:w="788" w:type="dxa"/>
                  <w:vMerge w:val="continue"/>
                  <w:tcBorders>
                    <w:tl2br w:val="nil"/>
                    <w:tr2bl w:val="nil"/>
                  </w:tcBorders>
                  <w:tcMar>
                    <w:top w:w="0" w:type="dxa"/>
                    <w:left w:w="0" w:type="dxa"/>
                    <w:bottom w:w="0" w:type="dxa"/>
                    <w:right w:w="0" w:type="dxa"/>
                  </w:tcMar>
                  <w:vAlign w:val="center"/>
                </w:tcPr>
                <w:p w14:paraId="4A05EF1B">
                  <w:pPr>
                    <w:bidi w:val="0"/>
                    <w:jc w:val="center"/>
                    <w:rPr>
                      <w:color w:val="FF0000"/>
                    </w:rPr>
                  </w:pPr>
                </w:p>
              </w:tc>
              <w:tc>
                <w:tcPr>
                  <w:tcW w:w="1161" w:type="dxa"/>
                  <w:tcBorders>
                    <w:tl2br w:val="nil"/>
                    <w:tr2bl w:val="nil"/>
                  </w:tcBorders>
                  <w:tcMar>
                    <w:top w:w="0" w:type="dxa"/>
                    <w:left w:w="0" w:type="dxa"/>
                    <w:bottom w:w="0" w:type="dxa"/>
                    <w:right w:w="0" w:type="dxa"/>
                  </w:tcMar>
                  <w:vAlign w:val="center"/>
                </w:tcPr>
                <w:p w14:paraId="5512F64C">
                  <w:pPr>
                    <w:jc w:val="center"/>
                    <w:rPr>
                      <w:color w:val="FF0000"/>
                    </w:rPr>
                  </w:pPr>
                  <w:r>
                    <w:rPr>
                      <w:rFonts w:hint="eastAsia"/>
                      <w:color w:val="FF0000"/>
                      <w:szCs w:val="21"/>
                    </w:rPr>
                    <w:t>SO</w:t>
                  </w:r>
                  <w:r>
                    <w:rPr>
                      <w:rFonts w:hint="eastAsia"/>
                      <w:color w:val="FF0000"/>
                      <w:szCs w:val="21"/>
                      <w:vertAlign w:val="subscript"/>
                    </w:rPr>
                    <w:t>2</w:t>
                  </w:r>
                </w:p>
              </w:tc>
              <w:tc>
                <w:tcPr>
                  <w:tcW w:w="810" w:type="dxa"/>
                  <w:tcBorders>
                    <w:tl2br w:val="nil"/>
                    <w:tr2bl w:val="nil"/>
                  </w:tcBorders>
                  <w:tcMar>
                    <w:top w:w="0" w:type="dxa"/>
                    <w:left w:w="0" w:type="dxa"/>
                    <w:bottom w:w="0" w:type="dxa"/>
                    <w:right w:w="0" w:type="dxa"/>
                  </w:tcMar>
                  <w:vAlign w:val="center"/>
                </w:tcPr>
                <w:p w14:paraId="481295C1">
                  <w:pPr>
                    <w:bidi w:val="0"/>
                    <w:jc w:val="center"/>
                    <w:rPr>
                      <w:color w:val="FF0000"/>
                    </w:rPr>
                  </w:pPr>
                  <w:r>
                    <w:rPr>
                      <w:color w:val="FF0000"/>
                    </w:rPr>
                    <w:t>t/a</w:t>
                  </w:r>
                </w:p>
              </w:tc>
              <w:tc>
                <w:tcPr>
                  <w:tcW w:w="904" w:type="dxa"/>
                  <w:tcBorders>
                    <w:tl2br w:val="nil"/>
                    <w:tr2bl w:val="nil"/>
                  </w:tcBorders>
                  <w:tcMar>
                    <w:top w:w="0" w:type="dxa"/>
                    <w:left w:w="0" w:type="dxa"/>
                    <w:bottom w:w="0" w:type="dxa"/>
                    <w:right w:w="0" w:type="dxa"/>
                  </w:tcMar>
                  <w:vAlign w:val="center"/>
                </w:tcPr>
                <w:p w14:paraId="51A775E8">
                  <w:pPr>
                    <w:pStyle w:val="198"/>
                    <w:tabs>
                      <w:tab w:val="left" w:pos="1021"/>
                    </w:tabs>
                    <w:rPr>
                      <w:color w:val="FF0000"/>
                    </w:rPr>
                  </w:pPr>
                  <w:r>
                    <w:rPr>
                      <w:rFonts w:hint="eastAsia"/>
                      <w:color w:val="FF0000"/>
                    </w:rPr>
                    <w:t>0.0002</w:t>
                  </w:r>
                </w:p>
              </w:tc>
              <w:tc>
                <w:tcPr>
                  <w:tcW w:w="687" w:type="dxa"/>
                  <w:tcBorders>
                    <w:tl2br w:val="nil"/>
                    <w:tr2bl w:val="nil"/>
                  </w:tcBorders>
                  <w:tcMar>
                    <w:top w:w="0" w:type="dxa"/>
                    <w:left w:w="0" w:type="dxa"/>
                    <w:bottom w:w="0" w:type="dxa"/>
                    <w:right w:w="0" w:type="dxa"/>
                  </w:tcMar>
                  <w:vAlign w:val="center"/>
                </w:tcPr>
                <w:p w14:paraId="207A525A">
                  <w:pPr>
                    <w:bidi w:val="0"/>
                    <w:jc w:val="center"/>
                    <w:rPr>
                      <w:rFonts w:hint="default" w:eastAsia="宋体"/>
                      <w:color w:val="FF0000"/>
                      <w:lang w:val="en-US" w:eastAsia="zh-CN"/>
                    </w:rPr>
                  </w:pPr>
                  <w:r>
                    <w:rPr>
                      <w:rFonts w:hint="eastAsia"/>
                      <w:color w:val="FF0000"/>
                      <w:lang w:val="en-US" w:eastAsia="zh-CN"/>
                    </w:rPr>
                    <w:t>0.000016</w:t>
                  </w:r>
                </w:p>
              </w:tc>
              <w:tc>
                <w:tcPr>
                  <w:tcW w:w="650" w:type="dxa"/>
                  <w:tcBorders>
                    <w:tl2br w:val="nil"/>
                    <w:tr2bl w:val="nil"/>
                  </w:tcBorders>
                  <w:tcMar>
                    <w:top w:w="0" w:type="dxa"/>
                    <w:left w:w="0" w:type="dxa"/>
                    <w:bottom w:w="0" w:type="dxa"/>
                    <w:right w:w="0" w:type="dxa"/>
                  </w:tcMar>
                  <w:vAlign w:val="center"/>
                </w:tcPr>
                <w:p w14:paraId="5F622CC0">
                  <w:pPr>
                    <w:bidi w:val="0"/>
                    <w:jc w:val="center"/>
                    <w:rPr>
                      <w:rFonts w:hint="eastAsia" w:eastAsia="宋体"/>
                      <w:color w:val="FF0000"/>
                      <w:lang w:val="en-US" w:eastAsia="zh-CN"/>
                    </w:rPr>
                  </w:pPr>
                  <w:r>
                    <w:rPr>
                      <w:rFonts w:hint="eastAsia"/>
                      <w:color w:val="FF0000"/>
                      <w:lang w:val="en-US" w:eastAsia="zh-CN"/>
                    </w:rPr>
                    <w:t>/</w:t>
                  </w:r>
                </w:p>
              </w:tc>
              <w:tc>
                <w:tcPr>
                  <w:tcW w:w="731" w:type="dxa"/>
                  <w:tcBorders>
                    <w:tl2br w:val="nil"/>
                    <w:tr2bl w:val="nil"/>
                  </w:tcBorders>
                  <w:tcMar>
                    <w:top w:w="0" w:type="dxa"/>
                    <w:left w:w="0" w:type="dxa"/>
                    <w:bottom w:w="0" w:type="dxa"/>
                    <w:right w:w="0" w:type="dxa"/>
                  </w:tcMar>
                  <w:vAlign w:val="center"/>
                </w:tcPr>
                <w:p w14:paraId="5713F622">
                  <w:pPr>
                    <w:bidi w:val="0"/>
                    <w:jc w:val="center"/>
                    <w:rPr>
                      <w:color w:val="FF0000"/>
                    </w:rPr>
                  </w:pPr>
                  <w:r>
                    <w:rPr>
                      <w:rFonts w:hint="eastAsia"/>
                      <w:color w:val="FF0000"/>
                      <w:lang w:val="en-US" w:eastAsia="zh-CN"/>
                    </w:rPr>
                    <w:t>0.00016</w:t>
                  </w:r>
                </w:p>
              </w:tc>
              <w:tc>
                <w:tcPr>
                  <w:tcW w:w="819" w:type="dxa"/>
                  <w:tcBorders>
                    <w:tl2br w:val="nil"/>
                    <w:tr2bl w:val="nil"/>
                  </w:tcBorders>
                  <w:tcMar>
                    <w:top w:w="0" w:type="dxa"/>
                    <w:left w:w="0" w:type="dxa"/>
                    <w:bottom w:w="0" w:type="dxa"/>
                    <w:right w:w="0" w:type="dxa"/>
                  </w:tcMar>
                  <w:vAlign w:val="center"/>
                </w:tcPr>
                <w:p w14:paraId="2D16522D">
                  <w:pPr>
                    <w:bidi w:val="0"/>
                    <w:jc w:val="center"/>
                    <w:rPr>
                      <w:rFonts w:hint="eastAsia" w:eastAsia="宋体"/>
                      <w:color w:val="FF0000"/>
                      <w:lang w:val="en-US" w:eastAsia="zh-CN"/>
                    </w:rPr>
                  </w:pPr>
                  <w:r>
                    <w:rPr>
                      <w:rFonts w:hint="eastAsia"/>
                      <w:color w:val="FF0000"/>
                      <w:lang w:val="en-US" w:eastAsia="zh-CN"/>
                    </w:rPr>
                    <w:t>/</w:t>
                  </w:r>
                </w:p>
              </w:tc>
              <w:tc>
                <w:tcPr>
                  <w:tcW w:w="930" w:type="dxa"/>
                  <w:tcBorders>
                    <w:tl2br w:val="nil"/>
                    <w:tr2bl w:val="nil"/>
                  </w:tcBorders>
                  <w:tcMar>
                    <w:top w:w="0" w:type="dxa"/>
                    <w:left w:w="0" w:type="dxa"/>
                    <w:bottom w:w="0" w:type="dxa"/>
                    <w:right w:w="0" w:type="dxa"/>
                  </w:tcMar>
                  <w:vAlign w:val="center"/>
                </w:tcPr>
                <w:p w14:paraId="49099EF9">
                  <w:pPr>
                    <w:bidi w:val="0"/>
                    <w:jc w:val="center"/>
                    <w:rPr>
                      <w:color w:val="FF0000"/>
                    </w:rPr>
                  </w:pPr>
                  <w:r>
                    <w:rPr>
                      <w:rFonts w:hint="eastAsia"/>
                      <w:color w:val="FF0000"/>
                      <w:lang w:val="en-US" w:eastAsia="zh-CN"/>
                    </w:rPr>
                    <w:t>0.00016</w:t>
                  </w:r>
                </w:p>
              </w:tc>
              <w:tc>
                <w:tcPr>
                  <w:tcW w:w="817" w:type="dxa"/>
                  <w:tcBorders>
                    <w:tl2br w:val="nil"/>
                    <w:tr2bl w:val="nil"/>
                  </w:tcBorders>
                  <w:tcMar>
                    <w:top w:w="0" w:type="dxa"/>
                    <w:left w:w="0" w:type="dxa"/>
                    <w:bottom w:w="0" w:type="dxa"/>
                    <w:right w:w="0" w:type="dxa"/>
                  </w:tcMar>
                  <w:vAlign w:val="center"/>
                </w:tcPr>
                <w:p w14:paraId="348C5BF7">
                  <w:pPr>
                    <w:bidi w:val="0"/>
                    <w:jc w:val="center"/>
                    <w:rPr>
                      <w:rFonts w:hint="default" w:eastAsia="宋体"/>
                      <w:color w:val="FF0000"/>
                      <w:lang w:val="en-US" w:eastAsia="zh-CN"/>
                    </w:rPr>
                  </w:pPr>
                  <w:r>
                    <w:rPr>
                      <w:rFonts w:hint="eastAsia"/>
                      <w:color w:val="FF0000"/>
                      <w:lang w:val="en-US" w:eastAsia="zh-CN"/>
                    </w:rPr>
                    <w:t>-0.00004</w:t>
                  </w:r>
                </w:p>
              </w:tc>
            </w:tr>
            <w:tr w14:paraId="24FF2EC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34" w:hRule="atLeast"/>
              </w:trPr>
              <w:tc>
                <w:tcPr>
                  <w:tcW w:w="788" w:type="dxa"/>
                  <w:vMerge w:val="continue"/>
                  <w:tcBorders>
                    <w:tl2br w:val="nil"/>
                    <w:tr2bl w:val="nil"/>
                  </w:tcBorders>
                  <w:tcMar>
                    <w:top w:w="0" w:type="dxa"/>
                    <w:left w:w="0" w:type="dxa"/>
                    <w:bottom w:w="0" w:type="dxa"/>
                    <w:right w:w="0" w:type="dxa"/>
                  </w:tcMar>
                  <w:vAlign w:val="center"/>
                </w:tcPr>
                <w:p w14:paraId="6518CA40">
                  <w:pPr>
                    <w:bidi w:val="0"/>
                    <w:jc w:val="center"/>
                    <w:rPr>
                      <w:color w:val="FF0000"/>
                    </w:rPr>
                  </w:pPr>
                </w:p>
              </w:tc>
              <w:tc>
                <w:tcPr>
                  <w:tcW w:w="1161" w:type="dxa"/>
                  <w:tcBorders>
                    <w:tl2br w:val="nil"/>
                    <w:tr2bl w:val="nil"/>
                  </w:tcBorders>
                  <w:tcMar>
                    <w:top w:w="0" w:type="dxa"/>
                    <w:left w:w="0" w:type="dxa"/>
                    <w:bottom w:w="0" w:type="dxa"/>
                    <w:right w:w="0" w:type="dxa"/>
                  </w:tcMar>
                  <w:vAlign w:val="center"/>
                </w:tcPr>
                <w:p w14:paraId="46C5E9BE">
                  <w:pPr>
                    <w:jc w:val="center"/>
                    <w:rPr>
                      <w:color w:val="FF0000"/>
                    </w:rPr>
                  </w:pPr>
                  <w:r>
                    <w:rPr>
                      <w:rFonts w:hint="eastAsia"/>
                      <w:color w:val="FF0000"/>
                      <w:szCs w:val="21"/>
                    </w:rPr>
                    <w:t>NO</w:t>
                  </w:r>
                  <w:r>
                    <w:rPr>
                      <w:rFonts w:hint="eastAsia"/>
                      <w:color w:val="FF0000"/>
                      <w:szCs w:val="21"/>
                      <w:vertAlign w:val="subscript"/>
                    </w:rPr>
                    <w:t>X</w:t>
                  </w:r>
                  <w:r>
                    <w:rPr>
                      <w:rFonts w:hint="eastAsia"/>
                      <w:color w:val="FF0000"/>
                      <w:szCs w:val="21"/>
                    </w:rPr>
                    <w:t xml:space="preserve"> </w:t>
                  </w:r>
                </w:p>
              </w:tc>
              <w:tc>
                <w:tcPr>
                  <w:tcW w:w="810" w:type="dxa"/>
                  <w:tcBorders>
                    <w:tl2br w:val="nil"/>
                    <w:tr2bl w:val="nil"/>
                  </w:tcBorders>
                  <w:tcMar>
                    <w:top w:w="0" w:type="dxa"/>
                    <w:left w:w="0" w:type="dxa"/>
                    <w:bottom w:w="0" w:type="dxa"/>
                    <w:right w:w="0" w:type="dxa"/>
                  </w:tcMar>
                  <w:vAlign w:val="center"/>
                </w:tcPr>
                <w:p w14:paraId="57B1332A">
                  <w:pPr>
                    <w:bidi w:val="0"/>
                    <w:jc w:val="center"/>
                    <w:rPr>
                      <w:color w:val="FF0000"/>
                    </w:rPr>
                  </w:pPr>
                  <w:r>
                    <w:rPr>
                      <w:color w:val="FF0000"/>
                    </w:rPr>
                    <w:t>t/a</w:t>
                  </w:r>
                </w:p>
              </w:tc>
              <w:tc>
                <w:tcPr>
                  <w:tcW w:w="904" w:type="dxa"/>
                  <w:tcBorders>
                    <w:tl2br w:val="nil"/>
                    <w:tr2bl w:val="nil"/>
                  </w:tcBorders>
                  <w:tcMar>
                    <w:top w:w="0" w:type="dxa"/>
                    <w:left w:w="0" w:type="dxa"/>
                    <w:bottom w:w="0" w:type="dxa"/>
                    <w:right w:w="0" w:type="dxa"/>
                  </w:tcMar>
                  <w:vAlign w:val="center"/>
                </w:tcPr>
                <w:p w14:paraId="3FCE9D13">
                  <w:pPr>
                    <w:pStyle w:val="198"/>
                    <w:tabs>
                      <w:tab w:val="left" w:pos="1021"/>
                    </w:tabs>
                    <w:rPr>
                      <w:rFonts w:hint="eastAsia"/>
                      <w:color w:val="FF0000"/>
                    </w:rPr>
                  </w:pPr>
                  <w:r>
                    <w:rPr>
                      <w:rFonts w:hint="eastAsia"/>
                      <w:color w:val="FF0000"/>
                    </w:rPr>
                    <w:t>0.08</w:t>
                  </w:r>
                </w:p>
              </w:tc>
              <w:tc>
                <w:tcPr>
                  <w:tcW w:w="687" w:type="dxa"/>
                  <w:tcBorders>
                    <w:tl2br w:val="nil"/>
                    <w:tr2bl w:val="nil"/>
                  </w:tcBorders>
                  <w:tcMar>
                    <w:top w:w="0" w:type="dxa"/>
                    <w:left w:w="0" w:type="dxa"/>
                    <w:bottom w:w="0" w:type="dxa"/>
                    <w:right w:w="0" w:type="dxa"/>
                  </w:tcMar>
                  <w:vAlign w:val="center"/>
                </w:tcPr>
                <w:p w14:paraId="152C6D30">
                  <w:pPr>
                    <w:bidi w:val="0"/>
                    <w:jc w:val="center"/>
                    <w:rPr>
                      <w:rFonts w:hint="default" w:eastAsia="宋体"/>
                      <w:color w:val="FF0000"/>
                      <w:lang w:val="en-US" w:eastAsia="zh-CN"/>
                    </w:rPr>
                  </w:pPr>
                  <w:r>
                    <w:rPr>
                      <w:rFonts w:hint="eastAsia"/>
                      <w:color w:val="FF0000"/>
                      <w:lang w:val="en-US" w:eastAsia="zh-CN"/>
                    </w:rPr>
                    <w:t>0.065</w:t>
                  </w:r>
                </w:p>
              </w:tc>
              <w:tc>
                <w:tcPr>
                  <w:tcW w:w="650" w:type="dxa"/>
                  <w:tcBorders>
                    <w:tl2br w:val="nil"/>
                    <w:tr2bl w:val="nil"/>
                  </w:tcBorders>
                  <w:tcMar>
                    <w:top w:w="0" w:type="dxa"/>
                    <w:left w:w="0" w:type="dxa"/>
                    <w:bottom w:w="0" w:type="dxa"/>
                    <w:right w:w="0" w:type="dxa"/>
                  </w:tcMar>
                  <w:vAlign w:val="center"/>
                </w:tcPr>
                <w:p w14:paraId="432ACFAD">
                  <w:pPr>
                    <w:bidi w:val="0"/>
                    <w:jc w:val="center"/>
                    <w:rPr>
                      <w:rFonts w:hint="eastAsia" w:eastAsia="宋体"/>
                      <w:color w:val="FF0000"/>
                      <w:lang w:val="en-US" w:eastAsia="zh-CN"/>
                    </w:rPr>
                  </w:pPr>
                  <w:r>
                    <w:rPr>
                      <w:rFonts w:hint="eastAsia"/>
                      <w:color w:val="FF0000"/>
                      <w:lang w:val="en-US" w:eastAsia="zh-CN"/>
                    </w:rPr>
                    <w:t>/</w:t>
                  </w:r>
                </w:p>
              </w:tc>
              <w:tc>
                <w:tcPr>
                  <w:tcW w:w="731" w:type="dxa"/>
                  <w:tcBorders>
                    <w:tl2br w:val="nil"/>
                    <w:tr2bl w:val="nil"/>
                  </w:tcBorders>
                  <w:tcMar>
                    <w:top w:w="0" w:type="dxa"/>
                    <w:left w:w="0" w:type="dxa"/>
                    <w:bottom w:w="0" w:type="dxa"/>
                    <w:right w:w="0" w:type="dxa"/>
                  </w:tcMar>
                  <w:vAlign w:val="center"/>
                </w:tcPr>
                <w:p w14:paraId="1C4839C1">
                  <w:pPr>
                    <w:bidi w:val="0"/>
                    <w:jc w:val="center"/>
                    <w:rPr>
                      <w:rFonts w:hint="eastAsia"/>
                      <w:color w:val="FF0000"/>
                    </w:rPr>
                  </w:pPr>
                  <w:r>
                    <w:rPr>
                      <w:rFonts w:hint="eastAsia"/>
                      <w:color w:val="FF0000"/>
                      <w:lang w:val="en-US" w:eastAsia="zh-CN"/>
                    </w:rPr>
                    <w:t>0.065</w:t>
                  </w:r>
                </w:p>
              </w:tc>
              <w:tc>
                <w:tcPr>
                  <w:tcW w:w="819" w:type="dxa"/>
                  <w:tcBorders>
                    <w:tl2br w:val="nil"/>
                    <w:tr2bl w:val="nil"/>
                  </w:tcBorders>
                  <w:tcMar>
                    <w:top w:w="0" w:type="dxa"/>
                    <w:left w:w="0" w:type="dxa"/>
                    <w:bottom w:w="0" w:type="dxa"/>
                    <w:right w:w="0" w:type="dxa"/>
                  </w:tcMar>
                  <w:vAlign w:val="center"/>
                </w:tcPr>
                <w:p w14:paraId="2733AFC0">
                  <w:pPr>
                    <w:bidi w:val="0"/>
                    <w:jc w:val="center"/>
                    <w:rPr>
                      <w:rFonts w:hint="eastAsia" w:eastAsia="宋体"/>
                      <w:color w:val="FF0000"/>
                      <w:lang w:val="en-US" w:eastAsia="zh-CN"/>
                    </w:rPr>
                  </w:pPr>
                  <w:r>
                    <w:rPr>
                      <w:rFonts w:hint="eastAsia"/>
                      <w:color w:val="FF0000"/>
                      <w:lang w:val="en-US" w:eastAsia="zh-CN"/>
                    </w:rPr>
                    <w:t>/</w:t>
                  </w:r>
                </w:p>
              </w:tc>
              <w:tc>
                <w:tcPr>
                  <w:tcW w:w="930" w:type="dxa"/>
                  <w:tcBorders>
                    <w:tl2br w:val="nil"/>
                    <w:tr2bl w:val="nil"/>
                  </w:tcBorders>
                  <w:tcMar>
                    <w:top w:w="0" w:type="dxa"/>
                    <w:left w:w="0" w:type="dxa"/>
                    <w:bottom w:w="0" w:type="dxa"/>
                    <w:right w:w="0" w:type="dxa"/>
                  </w:tcMar>
                  <w:vAlign w:val="center"/>
                </w:tcPr>
                <w:p w14:paraId="19407206">
                  <w:pPr>
                    <w:bidi w:val="0"/>
                    <w:jc w:val="center"/>
                    <w:rPr>
                      <w:rFonts w:hint="eastAsia"/>
                      <w:color w:val="FF0000"/>
                    </w:rPr>
                  </w:pPr>
                  <w:r>
                    <w:rPr>
                      <w:rFonts w:hint="eastAsia"/>
                      <w:color w:val="FF0000"/>
                      <w:lang w:val="en-US" w:eastAsia="zh-CN"/>
                    </w:rPr>
                    <w:t>0.065</w:t>
                  </w:r>
                </w:p>
              </w:tc>
              <w:tc>
                <w:tcPr>
                  <w:tcW w:w="817" w:type="dxa"/>
                  <w:tcBorders>
                    <w:tl2br w:val="nil"/>
                    <w:tr2bl w:val="nil"/>
                  </w:tcBorders>
                  <w:tcMar>
                    <w:top w:w="0" w:type="dxa"/>
                    <w:left w:w="0" w:type="dxa"/>
                    <w:bottom w:w="0" w:type="dxa"/>
                    <w:right w:w="0" w:type="dxa"/>
                  </w:tcMar>
                  <w:vAlign w:val="center"/>
                </w:tcPr>
                <w:p w14:paraId="7E3A5A0D">
                  <w:pPr>
                    <w:bidi w:val="0"/>
                    <w:jc w:val="center"/>
                    <w:rPr>
                      <w:rFonts w:hint="default" w:eastAsia="宋体"/>
                      <w:color w:val="FF0000"/>
                      <w:lang w:val="en-US" w:eastAsia="zh-CN"/>
                    </w:rPr>
                  </w:pPr>
                  <w:r>
                    <w:rPr>
                      <w:rFonts w:hint="eastAsia"/>
                      <w:color w:val="FF0000"/>
                      <w:lang w:val="en-US" w:eastAsia="zh-CN"/>
                    </w:rPr>
                    <w:t>-0.15</w:t>
                  </w:r>
                </w:p>
              </w:tc>
            </w:tr>
            <w:tr w14:paraId="525F7E4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62" w:hRule="atLeast"/>
              </w:trPr>
              <w:tc>
                <w:tcPr>
                  <w:tcW w:w="788" w:type="dxa"/>
                  <w:vMerge w:val="continue"/>
                  <w:tcBorders>
                    <w:tl2br w:val="nil"/>
                    <w:tr2bl w:val="nil"/>
                  </w:tcBorders>
                  <w:tcMar>
                    <w:top w:w="0" w:type="dxa"/>
                    <w:left w:w="0" w:type="dxa"/>
                    <w:bottom w:w="0" w:type="dxa"/>
                    <w:right w:w="0" w:type="dxa"/>
                  </w:tcMar>
                  <w:vAlign w:val="center"/>
                </w:tcPr>
                <w:p w14:paraId="79D6D363">
                  <w:pPr>
                    <w:bidi w:val="0"/>
                    <w:jc w:val="center"/>
                    <w:rPr>
                      <w:color w:val="FF0000"/>
                    </w:rPr>
                  </w:pPr>
                </w:p>
              </w:tc>
              <w:tc>
                <w:tcPr>
                  <w:tcW w:w="1161" w:type="dxa"/>
                  <w:tcBorders>
                    <w:tl2br w:val="nil"/>
                    <w:tr2bl w:val="nil"/>
                  </w:tcBorders>
                  <w:tcMar>
                    <w:top w:w="0" w:type="dxa"/>
                    <w:left w:w="0" w:type="dxa"/>
                    <w:bottom w:w="0" w:type="dxa"/>
                    <w:right w:w="0" w:type="dxa"/>
                  </w:tcMar>
                  <w:vAlign w:val="center"/>
                </w:tcPr>
                <w:p w14:paraId="38E27C78">
                  <w:pPr>
                    <w:jc w:val="center"/>
                    <w:rPr>
                      <w:color w:val="FF0000"/>
                    </w:rPr>
                  </w:pPr>
                  <w:r>
                    <w:rPr>
                      <w:rFonts w:hint="eastAsia"/>
                      <w:color w:val="FF0000"/>
                      <w:szCs w:val="21"/>
                    </w:rPr>
                    <w:t>颗粒物</w:t>
                  </w:r>
                </w:p>
              </w:tc>
              <w:tc>
                <w:tcPr>
                  <w:tcW w:w="810" w:type="dxa"/>
                  <w:tcBorders>
                    <w:tl2br w:val="nil"/>
                    <w:tr2bl w:val="nil"/>
                  </w:tcBorders>
                  <w:tcMar>
                    <w:top w:w="0" w:type="dxa"/>
                    <w:left w:w="0" w:type="dxa"/>
                    <w:bottom w:w="0" w:type="dxa"/>
                    <w:right w:w="0" w:type="dxa"/>
                  </w:tcMar>
                  <w:vAlign w:val="center"/>
                </w:tcPr>
                <w:p w14:paraId="2F9080CB">
                  <w:pPr>
                    <w:bidi w:val="0"/>
                    <w:jc w:val="center"/>
                    <w:rPr>
                      <w:color w:val="FF0000"/>
                    </w:rPr>
                  </w:pPr>
                  <w:r>
                    <w:rPr>
                      <w:color w:val="FF0000"/>
                    </w:rPr>
                    <w:t>t/a</w:t>
                  </w:r>
                </w:p>
              </w:tc>
              <w:tc>
                <w:tcPr>
                  <w:tcW w:w="904" w:type="dxa"/>
                  <w:tcBorders>
                    <w:tl2br w:val="nil"/>
                    <w:tr2bl w:val="nil"/>
                  </w:tcBorders>
                  <w:tcMar>
                    <w:top w:w="0" w:type="dxa"/>
                    <w:left w:w="0" w:type="dxa"/>
                    <w:bottom w:w="0" w:type="dxa"/>
                    <w:right w:w="0" w:type="dxa"/>
                  </w:tcMar>
                  <w:vAlign w:val="center"/>
                </w:tcPr>
                <w:p w14:paraId="5C17D33D">
                  <w:pPr>
                    <w:bidi w:val="0"/>
                    <w:jc w:val="center"/>
                    <w:rPr>
                      <w:rFonts w:hint="default" w:eastAsia="宋体"/>
                      <w:color w:val="FF0000"/>
                      <w:lang w:val="en-US" w:eastAsia="zh-CN"/>
                    </w:rPr>
                  </w:pPr>
                  <w:r>
                    <w:rPr>
                      <w:rFonts w:hint="eastAsia"/>
                      <w:color w:val="FF0000"/>
                      <w:lang w:val="en-US" w:eastAsia="zh-CN"/>
                    </w:rPr>
                    <w:t>0.5</w:t>
                  </w:r>
                </w:p>
              </w:tc>
              <w:tc>
                <w:tcPr>
                  <w:tcW w:w="687" w:type="dxa"/>
                  <w:tcBorders>
                    <w:tl2br w:val="nil"/>
                    <w:tr2bl w:val="nil"/>
                  </w:tcBorders>
                  <w:tcMar>
                    <w:top w:w="0" w:type="dxa"/>
                    <w:left w:w="0" w:type="dxa"/>
                    <w:bottom w:w="0" w:type="dxa"/>
                    <w:right w:w="0" w:type="dxa"/>
                  </w:tcMar>
                  <w:vAlign w:val="center"/>
                </w:tcPr>
                <w:p w14:paraId="52530BB3">
                  <w:pPr>
                    <w:bidi w:val="0"/>
                    <w:jc w:val="center"/>
                    <w:rPr>
                      <w:rFonts w:hint="default" w:eastAsia="宋体"/>
                      <w:color w:val="FF0000"/>
                      <w:lang w:val="en-US" w:eastAsia="zh-CN"/>
                    </w:rPr>
                  </w:pPr>
                  <w:r>
                    <w:rPr>
                      <w:rFonts w:hint="eastAsia"/>
                      <w:color w:val="FF0000"/>
                      <w:lang w:val="en-US" w:eastAsia="zh-CN"/>
                    </w:rPr>
                    <w:t>3.491</w:t>
                  </w:r>
                </w:p>
              </w:tc>
              <w:tc>
                <w:tcPr>
                  <w:tcW w:w="650" w:type="dxa"/>
                  <w:tcBorders>
                    <w:tl2br w:val="nil"/>
                    <w:tr2bl w:val="nil"/>
                  </w:tcBorders>
                  <w:tcMar>
                    <w:top w:w="0" w:type="dxa"/>
                    <w:left w:w="0" w:type="dxa"/>
                    <w:bottom w:w="0" w:type="dxa"/>
                    <w:right w:w="0" w:type="dxa"/>
                  </w:tcMar>
                  <w:vAlign w:val="center"/>
                </w:tcPr>
                <w:p w14:paraId="3D5F24F8">
                  <w:pPr>
                    <w:bidi w:val="0"/>
                    <w:jc w:val="center"/>
                    <w:rPr>
                      <w:rFonts w:hint="eastAsia" w:eastAsia="宋体"/>
                      <w:color w:val="FF0000"/>
                      <w:lang w:val="en-US" w:eastAsia="zh-CN"/>
                    </w:rPr>
                  </w:pPr>
                  <w:r>
                    <w:rPr>
                      <w:rFonts w:hint="eastAsia"/>
                      <w:color w:val="FF0000"/>
                      <w:lang w:val="en-US" w:eastAsia="zh-CN"/>
                    </w:rPr>
                    <w:t>/</w:t>
                  </w:r>
                </w:p>
              </w:tc>
              <w:tc>
                <w:tcPr>
                  <w:tcW w:w="731" w:type="dxa"/>
                  <w:tcBorders>
                    <w:tl2br w:val="nil"/>
                    <w:tr2bl w:val="nil"/>
                  </w:tcBorders>
                  <w:tcMar>
                    <w:top w:w="0" w:type="dxa"/>
                    <w:left w:w="0" w:type="dxa"/>
                    <w:bottom w:w="0" w:type="dxa"/>
                    <w:right w:w="0" w:type="dxa"/>
                  </w:tcMar>
                  <w:vAlign w:val="center"/>
                </w:tcPr>
                <w:p w14:paraId="6C570432">
                  <w:pPr>
                    <w:bidi w:val="0"/>
                    <w:jc w:val="center"/>
                    <w:rPr>
                      <w:rFonts w:hint="default" w:eastAsia="宋体"/>
                      <w:color w:val="FF0000"/>
                      <w:lang w:val="en-US" w:eastAsia="zh-CN"/>
                    </w:rPr>
                  </w:pPr>
                  <w:r>
                    <w:rPr>
                      <w:rFonts w:hint="eastAsia"/>
                      <w:color w:val="FF0000"/>
                      <w:lang w:val="en-US" w:eastAsia="zh-CN"/>
                    </w:rPr>
                    <w:t>0.212</w:t>
                  </w:r>
                </w:p>
              </w:tc>
              <w:tc>
                <w:tcPr>
                  <w:tcW w:w="819" w:type="dxa"/>
                  <w:tcBorders>
                    <w:tl2br w:val="nil"/>
                    <w:tr2bl w:val="nil"/>
                  </w:tcBorders>
                  <w:tcMar>
                    <w:top w:w="0" w:type="dxa"/>
                    <w:left w:w="0" w:type="dxa"/>
                    <w:bottom w:w="0" w:type="dxa"/>
                    <w:right w:w="0" w:type="dxa"/>
                  </w:tcMar>
                  <w:vAlign w:val="center"/>
                </w:tcPr>
                <w:p w14:paraId="53F531C5">
                  <w:pPr>
                    <w:bidi w:val="0"/>
                    <w:jc w:val="center"/>
                    <w:rPr>
                      <w:rFonts w:hint="eastAsia" w:eastAsia="宋体"/>
                      <w:color w:val="FF0000"/>
                      <w:lang w:val="en-US" w:eastAsia="zh-CN"/>
                    </w:rPr>
                  </w:pPr>
                  <w:r>
                    <w:rPr>
                      <w:rFonts w:hint="eastAsia"/>
                      <w:color w:val="FF0000"/>
                      <w:lang w:val="en-US" w:eastAsia="zh-CN"/>
                    </w:rPr>
                    <w:t>/</w:t>
                  </w:r>
                </w:p>
              </w:tc>
              <w:tc>
                <w:tcPr>
                  <w:tcW w:w="930" w:type="dxa"/>
                  <w:tcBorders>
                    <w:tl2br w:val="nil"/>
                    <w:tr2bl w:val="nil"/>
                  </w:tcBorders>
                  <w:tcMar>
                    <w:top w:w="0" w:type="dxa"/>
                    <w:left w:w="0" w:type="dxa"/>
                    <w:bottom w:w="0" w:type="dxa"/>
                    <w:right w:w="0" w:type="dxa"/>
                  </w:tcMar>
                  <w:vAlign w:val="center"/>
                </w:tcPr>
                <w:p w14:paraId="54019825">
                  <w:pPr>
                    <w:bidi w:val="0"/>
                    <w:jc w:val="center"/>
                    <w:rPr>
                      <w:rFonts w:hint="eastAsia"/>
                      <w:color w:val="FF0000"/>
                    </w:rPr>
                  </w:pPr>
                  <w:r>
                    <w:rPr>
                      <w:rFonts w:hint="eastAsia"/>
                      <w:color w:val="FF0000"/>
                      <w:lang w:val="en-US" w:eastAsia="zh-CN"/>
                    </w:rPr>
                    <w:t>0.212</w:t>
                  </w:r>
                </w:p>
              </w:tc>
              <w:tc>
                <w:tcPr>
                  <w:tcW w:w="817" w:type="dxa"/>
                  <w:tcBorders>
                    <w:tl2br w:val="nil"/>
                    <w:tr2bl w:val="nil"/>
                  </w:tcBorders>
                  <w:tcMar>
                    <w:top w:w="0" w:type="dxa"/>
                    <w:left w:w="0" w:type="dxa"/>
                    <w:bottom w:w="0" w:type="dxa"/>
                    <w:right w:w="0" w:type="dxa"/>
                  </w:tcMar>
                  <w:vAlign w:val="center"/>
                </w:tcPr>
                <w:p w14:paraId="0A271275">
                  <w:pPr>
                    <w:bidi w:val="0"/>
                    <w:jc w:val="center"/>
                    <w:rPr>
                      <w:rFonts w:hint="default" w:eastAsia="宋体"/>
                      <w:color w:val="FF0000"/>
                      <w:lang w:val="en-US" w:eastAsia="zh-CN"/>
                    </w:rPr>
                  </w:pPr>
                  <w:r>
                    <w:rPr>
                      <w:rFonts w:hint="eastAsia"/>
                      <w:color w:val="FF0000"/>
                      <w:lang w:val="en-US" w:eastAsia="zh-CN"/>
                    </w:rPr>
                    <w:t>-0.288</w:t>
                  </w:r>
                </w:p>
              </w:tc>
            </w:tr>
            <w:tr w14:paraId="42F58C7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9" w:hRule="atLeast"/>
              </w:trPr>
              <w:tc>
                <w:tcPr>
                  <w:tcW w:w="788" w:type="dxa"/>
                  <w:vMerge w:val="continue"/>
                  <w:tcBorders>
                    <w:tl2br w:val="nil"/>
                    <w:tr2bl w:val="nil"/>
                  </w:tcBorders>
                  <w:tcMar>
                    <w:top w:w="0" w:type="dxa"/>
                    <w:left w:w="0" w:type="dxa"/>
                    <w:bottom w:w="0" w:type="dxa"/>
                    <w:right w:w="0" w:type="dxa"/>
                  </w:tcMar>
                  <w:vAlign w:val="center"/>
                </w:tcPr>
                <w:p w14:paraId="0878B71D">
                  <w:pPr>
                    <w:bidi w:val="0"/>
                    <w:jc w:val="center"/>
                    <w:rPr>
                      <w:color w:val="FF0000"/>
                    </w:rPr>
                  </w:pPr>
                </w:p>
              </w:tc>
              <w:tc>
                <w:tcPr>
                  <w:tcW w:w="1161" w:type="dxa"/>
                  <w:tcBorders>
                    <w:tl2br w:val="nil"/>
                    <w:tr2bl w:val="nil"/>
                  </w:tcBorders>
                  <w:tcMar>
                    <w:top w:w="0" w:type="dxa"/>
                    <w:left w:w="0" w:type="dxa"/>
                    <w:bottom w:w="0" w:type="dxa"/>
                    <w:right w:w="0" w:type="dxa"/>
                  </w:tcMar>
                  <w:vAlign w:val="center"/>
                </w:tcPr>
                <w:p w14:paraId="6D34480B">
                  <w:pPr>
                    <w:jc w:val="center"/>
                    <w:rPr>
                      <w:color w:val="FF0000"/>
                    </w:rPr>
                  </w:pPr>
                  <w:r>
                    <w:rPr>
                      <w:rFonts w:hint="eastAsia"/>
                      <w:color w:val="FF0000"/>
                      <w:szCs w:val="21"/>
                    </w:rPr>
                    <w:t>非甲烷总烃</w:t>
                  </w:r>
                </w:p>
              </w:tc>
              <w:tc>
                <w:tcPr>
                  <w:tcW w:w="810" w:type="dxa"/>
                  <w:tcBorders>
                    <w:tl2br w:val="nil"/>
                    <w:tr2bl w:val="nil"/>
                  </w:tcBorders>
                  <w:tcMar>
                    <w:top w:w="0" w:type="dxa"/>
                    <w:left w:w="0" w:type="dxa"/>
                    <w:bottom w:w="0" w:type="dxa"/>
                    <w:right w:w="0" w:type="dxa"/>
                  </w:tcMar>
                  <w:vAlign w:val="center"/>
                </w:tcPr>
                <w:p w14:paraId="5EB4F618">
                  <w:pPr>
                    <w:bidi w:val="0"/>
                    <w:jc w:val="center"/>
                    <w:rPr>
                      <w:color w:val="FF0000"/>
                    </w:rPr>
                  </w:pPr>
                  <w:r>
                    <w:rPr>
                      <w:color w:val="FF0000"/>
                    </w:rPr>
                    <w:t>t/a</w:t>
                  </w:r>
                </w:p>
              </w:tc>
              <w:tc>
                <w:tcPr>
                  <w:tcW w:w="904" w:type="dxa"/>
                  <w:tcBorders>
                    <w:tl2br w:val="nil"/>
                    <w:tr2bl w:val="nil"/>
                  </w:tcBorders>
                  <w:tcMar>
                    <w:top w:w="0" w:type="dxa"/>
                    <w:left w:w="0" w:type="dxa"/>
                    <w:bottom w:w="0" w:type="dxa"/>
                    <w:right w:w="0" w:type="dxa"/>
                  </w:tcMar>
                  <w:vAlign w:val="center"/>
                </w:tcPr>
                <w:p w14:paraId="4E7920FF">
                  <w:pPr>
                    <w:bidi w:val="0"/>
                    <w:jc w:val="center"/>
                    <w:rPr>
                      <w:rFonts w:hint="default" w:eastAsia="宋体"/>
                      <w:color w:val="FF0000"/>
                      <w:lang w:val="en-US" w:eastAsia="zh-CN"/>
                    </w:rPr>
                  </w:pPr>
                  <w:r>
                    <w:rPr>
                      <w:rFonts w:hint="eastAsia"/>
                      <w:color w:val="FF0000"/>
                      <w:lang w:val="en-US" w:eastAsia="zh-CN"/>
                    </w:rPr>
                    <w:t>2.322</w:t>
                  </w:r>
                </w:p>
              </w:tc>
              <w:tc>
                <w:tcPr>
                  <w:tcW w:w="687" w:type="dxa"/>
                  <w:tcBorders>
                    <w:tl2br w:val="nil"/>
                    <w:tr2bl w:val="nil"/>
                  </w:tcBorders>
                  <w:tcMar>
                    <w:top w:w="0" w:type="dxa"/>
                    <w:left w:w="0" w:type="dxa"/>
                    <w:bottom w:w="0" w:type="dxa"/>
                    <w:right w:w="0" w:type="dxa"/>
                  </w:tcMar>
                  <w:vAlign w:val="center"/>
                </w:tcPr>
                <w:p w14:paraId="0F1C7E9F">
                  <w:pPr>
                    <w:bidi w:val="0"/>
                    <w:jc w:val="center"/>
                    <w:rPr>
                      <w:rFonts w:hint="default" w:eastAsia="宋体"/>
                      <w:color w:val="FF0000"/>
                      <w:lang w:val="en-US" w:eastAsia="zh-CN"/>
                    </w:rPr>
                  </w:pPr>
                  <w:r>
                    <w:rPr>
                      <w:rFonts w:hint="eastAsia"/>
                      <w:color w:val="FF0000"/>
                      <w:lang w:val="en-US" w:eastAsia="zh-CN"/>
                    </w:rPr>
                    <w:t>2.592</w:t>
                  </w:r>
                </w:p>
              </w:tc>
              <w:tc>
                <w:tcPr>
                  <w:tcW w:w="650" w:type="dxa"/>
                  <w:tcBorders>
                    <w:tl2br w:val="nil"/>
                    <w:tr2bl w:val="nil"/>
                  </w:tcBorders>
                  <w:tcMar>
                    <w:top w:w="0" w:type="dxa"/>
                    <w:left w:w="0" w:type="dxa"/>
                    <w:bottom w:w="0" w:type="dxa"/>
                    <w:right w:w="0" w:type="dxa"/>
                  </w:tcMar>
                  <w:vAlign w:val="center"/>
                </w:tcPr>
                <w:p w14:paraId="5551FF16">
                  <w:pPr>
                    <w:bidi w:val="0"/>
                    <w:jc w:val="center"/>
                    <w:rPr>
                      <w:rFonts w:hint="eastAsia" w:eastAsia="宋体"/>
                      <w:color w:val="FF0000"/>
                      <w:lang w:val="en-US" w:eastAsia="zh-CN"/>
                    </w:rPr>
                  </w:pPr>
                  <w:r>
                    <w:rPr>
                      <w:rFonts w:hint="eastAsia"/>
                      <w:color w:val="FF0000"/>
                      <w:lang w:val="en-US" w:eastAsia="zh-CN"/>
                    </w:rPr>
                    <w:t>/</w:t>
                  </w:r>
                </w:p>
              </w:tc>
              <w:tc>
                <w:tcPr>
                  <w:tcW w:w="731" w:type="dxa"/>
                  <w:tcBorders>
                    <w:tl2br w:val="nil"/>
                    <w:tr2bl w:val="nil"/>
                  </w:tcBorders>
                  <w:tcMar>
                    <w:top w:w="0" w:type="dxa"/>
                    <w:left w:w="0" w:type="dxa"/>
                    <w:bottom w:w="0" w:type="dxa"/>
                    <w:right w:w="0" w:type="dxa"/>
                  </w:tcMar>
                  <w:vAlign w:val="center"/>
                </w:tcPr>
                <w:p w14:paraId="4EAAC97E">
                  <w:pPr>
                    <w:bidi w:val="0"/>
                    <w:jc w:val="center"/>
                    <w:rPr>
                      <w:rFonts w:hint="default" w:eastAsia="宋体"/>
                      <w:color w:val="FF0000"/>
                      <w:lang w:val="en-US" w:eastAsia="zh-CN"/>
                    </w:rPr>
                  </w:pPr>
                  <w:r>
                    <w:rPr>
                      <w:rFonts w:hint="eastAsia"/>
                      <w:color w:val="FF0000"/>
                      <w:lang w:val="en-US" w:eastAsia="zh-CN"/>
                    </w:rPr>
                    <w:t>1.686</w:t>
                  </w:r>
                </w:p>
              </w:tc>
              <w:tc>
                <w:tcPr>
                  <w:tcW w:w="819" w:type="dxa"/>
                  <w:tcBorders>
                    <w:tl2br w:val="nil"/>
                    <w:tr2bl w:val="nil"/>
                  </w:tcBorders>
                  <w:tcMar>
                    <w:top w:w="0" w:type="dxa"/>
                    <w:left w:w="0" w:type="dxa"/>
                    <w:bottom w:w="0" w:type="dxa"/>
                    <w:right w:w="0" w:type="dxa"/>
                  </w:tcMar>
                  <w:vAlign w:val="center"/>
                </w:tcPr>
                <w:p w14:paraId="6B3E3270">
                  <w:pPr>
                    <w:bidi w:val="0"/>
                    <w:jc w:val="center"/>
                    <w:rPr>
                      <w:rFonts w:hint="eastAsia" w:eastAsia="宋体"/>
                      <w:color w:val="FF0000"/>
                      <w:lang w:val="en-US" w:eastAsia="zh-CN"/>
                    </w:rPr>
                  </w:pPr>
                  <w:r>
                    <w:rPr>
                      <w:rFonts w:hint="eastAsia"/>
                      <w:color w:val="FF0000"/>
                      <w:lang w:val="en-US" w:eastAsia="zh-CN"/>
                    </w:rPr>
                    <w:t>/</w:t>
                  </w:r>
                </w:p>
              </w:tc>
              <w:tc>
                <w:tcPr>
                  <w:tcW w:w="930" w:type="dxa"/>
                  <w:tcBorders>
                    <w:tl2br w:val="nil"/>
                    <w:tr2bl w:val="nil"/>
                  </w:tcBorders>
                  <w:tcMar>
                    <w:top w:w="0" w:type="dxa"/>
                    <w:left w:w="0" w:type="dxa"/>
                    <w:bottom w:w="0" w:type="dxa"/>
                    <w:right w:w="0" w:type="dxa"/>
                  </w:tcMar>
                  <w:vAlign w:val="center"/>
                </w:tcPr>
                <w:p w14:paraId="722BE50C">
                  <w:pPr>
                    <w:bidi w:val="0"/>
                    <w:jc w:val="center"/>
                    <w:rPr>
                      <w:rFonts w:hint="eastAsia"/>
                      <w:color w:val="FF0000"/>
                    </w:rPr>
                  </w:pPr>
                  <w:r>
                    <w:rPr>
                      <w:rFonts w:hint="eastAsia"/>
                      <w:color w:val="FF0000"/>
                      <w:lang w:val="en-US" w:eastAsia="zh-CN"/>
                    </w:rPr>
                    <w:t>1.686</w:t>
                  </w:r>
                </w:p>
              </w:tc>
              <w:tc>
                <w:tcPr>
                  <w:tcW w:w="817" w:type="dxa"/>
                  <w:tcBorders>
                    <w:tl2br w:val="nil"/>
                    <w:tr2bl w:val="nil"/>
                  </w:tcBorders>
                  <w:tcMar>
                    <w:top w:w="0" w:type="dxa"/>
                    <w:left w:w="0" w:type="dxa"/>
                    <w:bottom w:w="0" w:type="dxa"/>
                    <w:right w:w="0" w:type="dxa"/>
                  </w:tcMar>
                  <w:vAlign w:val="center"/>
                </w:tcPr>
                <w:p w14:paraId="0B3EF681">
                  <w:pPr>
                    <w:bidi w:val="0"/>
                    <w:jc w:val="center"/>
                    <w:rPr>
                      <w:rFonts w:hint="default" w:eastAsia="宋体"/>
                      <w:color w:val="FF0000"/>
                      <w:lang w:val="en-US" w:eastAsia="zh-CN"/>
                    </w:rPr>
                  </w:pPr>
                  <w:r>
                    <w:rPr>
                      <w:rFonts w:hint="eastAsia"/>
                      <w:color w:val="FF0000"/>
                      <w:lang w:val="en-US" w:eastAsia="zh-CN"/>
                    </w:rPr>
                    <w:t>-0.636</w:t>
                  </w:r>
                </w:p>
              </w:tc>
            </w:tr>
            <w:tr w14:paraId="02A0C51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88" w:type="dxa"/>
                  <w:tcBorders>
                    <w:tl2br w:val="nil"/>
                    <w:tr2bl w:val="nil"/>
                  </w:tcBorders>
                  <w:tcMar>
                    <w:top w:w="0" w:type="dxa"/>
                    <w:left w:w="0" w:type="dxa"/>
                    <w:bottom w:w="0" w:type="dxa"/>
                    <w:right w:w="0" w:type="dxa"/>
                  </w:tcMar>
                  <w:vAlign w:val="center"/>
                </w:tcPr>
                <w:p w14:paraId="6F4BD73A">
                  <w:pPr>
                    <w:bidi w:val="0"/>
                    <w:jc w:val="center"/>
                    <w:rPr>
                      <w:color w:val="FF0000"/>
                    </w:rPr>
                  </w:pPr>
                  <w:r>
                    <w:rPr>
                      <w:rFonts w:hint="eastAsia"/>
                      <w:color w:val="FF0000"/>
                    </w:rPr>
                    <w:t>废水</w:t>
                  </w:r>
                </w:p>
              </w:tc>
              <w:tc>
                <w:tcPr>
                  <w:tcW w:w="1161" w:type="dxa"/>
                  <w:tcBorders>
                    <w:tl2br w:val="nil"/>
                    <w:tr2bl w:val="nil"/>
                  </w:tcBorders>
                  <w:tcMar>
                    <w:top w:w="0" w:type="dxa"/>
                    <w:left w:w="0" w:type="dxa"/>
                    <w:bottom w:w="0" w:type="dxa"/>
                    <w:right w:w="0" w:type="dxa"/>
                  </w:tcMar>
                  <w:vAlign w:val="center"/>
                </w:tcPr>
                <w:p w14:paraId="0F9138D8">
                  <w:pPr>
                    <w:bidi w:val="0"/>
                    <w:jc w:val="center"/>
                    <w:rPr>
                      <w:color w:val="FF0000"/>
                    </w:rPr>
                  </w:pPr>
                  <w:r>
                    <w:rPr>
                      <w:rFonts w:hint="eastAsia"/>
                      <w:color w:val="FF0000"/>
                    </w:rPr>
                    <w:t>生活污水</w:t>
                  </w:r>
                </w:p>
              </w:tc>
              <w:tc>
                <w:tcPr>
                  <w:tcW w:w="810" w:type="dxa"/>
                  <w:tcBorders>
                    <w:tl2br w:val="nil"/>
                    <w:tr2bl w:val="nil"/>
                  </w:tcBorders>
                  <w:tcMar>
                    <w:top w:w="0" w:type="dxa"/>
                    <w:left w:w="0" w:type="dxa"/>
                    <w:bottom w:w="0" w:type="dxa"/>
                    <w:right w:w="0" w:type="dxa"/>
                  </w:tcMar>
                  <w:vAlign w:val="center"/>
                </w:tcPr>
                <w:p w14:paraId="43C97D0A">
                  <w:pPr>
                    <w:bidi w:val="0"/>
                    <w:jc w:val="center"/>
                    <w:rPr>
                      <w:color w:val="FF0000"/>
                    </w:rPr>
                  </w:pPr>
                  <w:r>
                    <w:rPr>
                      <w:rFonts w:hint="eastAsia"/>
                      <w:color w:val="FF0000"/>
                    </w:rPr>
                    <w:t>m</w:t>
                  </w:r>
                  <w:r>
                    <w:rPr>
                      <w:rFonts w:hint="eastAsia"/>
                      <w:color w:val="FF0000"/>
                      <w:sz w:val="24"/>
                      <w:szCs w:val="24"/>
                    </w:rPr>
                    <w:t>³</w:t>
                  </w:r>
                  <w:r>
                    <w:rPr>
                      <w:color w:val="FF0000"/>
                    </w:rPr>
                    <w:t>/a</w:t>
                  </w:r>
                </w:p>
              </w:tc>
              <w:tc>
                <w:tcPr>
                  <w:tcW w:w="904" w:type="dxa"/>
                  <w:tcBorders>
                    <w:tl2br w:val="nil"/>
                    <w:tr2bl w:val="nil"/>
                  </w:tcBorders>
                  <w:tcMar>
                    <w:top w:w="0" w:type="dxa"/>
                    <w:left w:w="0" w:type="dxa"/>
                    <w:bottom w:w="0" w:type="dxa"/>
                    <w:right w:w="0" w:type="dxa"/>
                  </w:tcMar>
                  <w:vAlign w:val="center"/>
                </w:tcPr>
                <w:p w14:paraId="2CC65D33">
                  <w:pPr>
                    <w:pStyle w:val="86"/>
                    <w:spacing w:line="240" w:lineRule="auto"/>
                    <w:ind w:firstLine="0" w:firstLineChars="0"/>
                    <w:jc w:val="center"/>
                    <w:rPr>
                      <w:rFonts w:hint="default" w:ascii="Times New Roman" w:hAnsi="Times New Roman" w:eastAsia="宋体" w:cs="宋体"/>
                      <w:color w:val="FF0000"/>
                      <w:sz w:val="21"/>
                      <w:szCs w:val="21"/>
                      <w:lang w:val="en-US" w:eastAsia="zh-CN"/>
                    </w:rPr>
                  </w:pPr>
                  <w:r>
                    <w:rPr>
                      <w:rFonts w:hint="eastAsia" w:ascii="Times New Roman" w:hAnsi="Times New Roman" w:eastAsia="宋体" w:cs="宋体"/>
                      <w:color w:val="FF0000"/>
                      <w:sz w:val="21"/>
                      <w:szCs w:val="21"/>
                      <w:lang w:val="en-US" w:eastAsia="zh-CN"/>
                    </w:rPr>
                    <w:t>432</w:t>
                  </w:r>
                </w:p>
              </w:tc>
              <w:tc>
                <w:tcPr>
                  <w:tcW w:w="687" w:type="dxa"/>
                  <w:tcBorders>
                    <w:tl2br w:val="nil"/>
                    <w:tr2bl w:val="nil"/>
                  </w:tcBorders>
                  <w:tcMar>
                    <w:top w:w="0" w:type="dxa"/>
                    <w:left w:w="0" w:type="dxa"/>
                    <w:bottom w:w="0" w:type="dxa"/>
                    <w:right w:w="0" w:type="dxa"/>
                  </w:tcMar>
                  <w:vAlign w:val="center"/>
                </w:tcPr>
                <w:p w14:paraId="64A49E01">
                  <w:pPr>
                    <w:bidi w:val="0"/>
                    <w:jc w:val="center"/>
                    <w:rPr>
                      <w:rFonts w:hint="default" w:eastAsia="宋体"/>
                      <w:color w:val="FF0000"/>
                      <w:lang w:val="en-US" w:eastAsia="zh-CN"/>
                    </w:rPr>
                  </w:pPr>
                  <w:r>
                    <w:rPr>
                      <w:rFonts w:hint="eastAsia"/>
                      <w:color w:val="FF0000"/>
                      <w:lang w:val="en-US" w:eastAsia="zh-CN"/>
                    </w:rPr>
                    <w:t>324</w:t>
                  </w:r>
                </w:p>
              </w:tc>
              <w:tc>
                <w:tcPr>
                  <w:tcW w:w="650" w:type="dxa"/>
                  <w:tcBorders>
                    <w:tl2br w:val="nil"/>
                    <w:tr2bl w:val="nil"/>
                  </w:tcBorders>
                  <w:tcMar>
                    <w:top w:w="0" w:type="dxa"/>
                    <w:left w:w="0" w:type="dxa"/>
                    <w:bottom w:w="0" w:type="dxa"/>
                    <w:right w:w="0" w:type="dxa"/>
                  </w:tcMar>
                  <w:vAlign w:val="center"/>
                </w:tcPr>
                <w:p w14:paraId="37DD7B9E">
                  <w:pPr>
                    <w:bidi w:val="0"/>
                    <w:jc w:val="center"/>
                    <w:rPr>
                      <w:color w:val="FF0000"/>
                    </w:rPr>
                  </w:pPr>
                  <w:r>
                    <w:rPr>
                      <w:rFonts w:hint="eastAsia"/>
                      <w:color w:val="FF0000"/>
                    </w:rPr>
                    <w:t>/</w:t>
                  </w:r>
                </w:p>
              </w:tc>
              <w:tc>
                <w:tcPr>
                  <w:tcW w:w="731" w:type="dxa"/>
                  <w:tcBorders>
                    <w:tl2br w:val="nil"/>
                    <w:tr2bl w:val="nil"/>
                  </w:tcBorders>
                  <w:tcMar>
                    <w:top w:w="0" w:type="dxa"/>
                    <w:left w:w="0" w:type="dxa"/>
                    <w:bottom w:w="0" w:type="dxa"/>
                    <w:right w:w="0" w:type="dxa"/>
                  </w:tcMar>
                  <w:vAlign w:val="center"/>
                </w:tcPr>
                <w:p w14:paraId="74129A6C">
                  <w:pPr>
                    <w:bidi w:val="0"/>
                    <w:jc w:val="center"/>
                    <w:rPr>
                      <w:color w:val="FF0000"/>
                    </w:rPr>
                  </w:pPr>
                  <w:r>
                    <w:rPr>
                      <w:rFonts w:hint="eastAsia"/>
                      <w:color w:val="FF0000"/>
                      <w:lang w:val="en-US" w:eastAsia="zh-CN"/>
                    </w:rPr>
                    <w:t>324</w:t>
                  </w:r>
                </w:p>
              </w:tc>
              <w:tc>
                <w:tcPr>
                  <w:tcW w:w="819" w:type="dxa"/>
                  <w:tcBorders>
                    <w:tl2br w:val="nil"/>
                    <w:tr2bl w:val="nil"/>
                  </w:tcBorders>
                  <w:tcMar>
                    <w:top w:w="0" w:type="dxa"/>
                    <w:left w:w="0" w:type="dxa"/>
                    <w:bottom w:w="0" w:type="dxa"/>
                    <w:right w:w="0" w:type="dxa"/>
                  </w:tcMar>
                  <w:vAlign w:val="center"/>
                </w:tcPr>
                <w:p w14:paraId="002F4A22">
                  <w:pPr>
                    <w:bidi w:val="0"/>
                    <w:jc w:val="center"/>
                    <w:rPr>
                      <w:color w:val="FF0000"/>
                    </w:rPr>
                  </w:pPr>
                  <w:r>
                    <w:rPr>
                      <w:rFonts w:hint="eastAsia"/>
                      <w:color w:val="FF0000"/>
                    </w:rPr>
                    <w:t>/</w:t>
                  </w:r>
                </w:p>
              </w:tc>
              <w:tc>
                <w:tcPr>
                  <w:tcW w:w="930" w:type="dxa"/>
                  <w:tcBorders>
                    <w:tl2br w:val="nil"/>
                    <w:tr2bl w:val="nil"/>
                  </w:tcBorders>
                  <w:tcMar>
                    <w:top w:w="0" w:type="dxa"/>
                    <w:left w:w="0" w:type="dxa"/>
                    <w:bottom w:w="0" w:type="dxa"/>
                    <w:right w:w="0" w:type="dxa"/>
                  </w:tcMar>
                  <w:vAlign w:val="center"/>
                </w:tcPr>
                <w:p w14:paraId="18972942">
                  <w:pPr>
                    <w:bidi w:val="0"/>
                    <w:jc w:val="center"/>
                    <w:rPr>
                      <w:rFonts w:hint="default" w:eastAsia="宋体"/>
                      <w:color w:val="FF0000"/>
                      <w:lang w:val="en-US" w:eastAsia="zh-CN"/>
                    </w:rPr>
                  </w:pPr>
                  <w:r>
                    <w:rPr>
                      <w:rFonts w:hint="eastAsia"/>
                      <w:color w:val="FF0000"/>
                      <w:lang w:val="en-US" w:eastAsia="zh-CN"/>
                    </w:rPr>
                    <w:t>324</w:t>
                  </w:r>
                </w:p>
              </w:tc>
              <w:tc>
                <w:tcPr>
                  <w:tcW w:w="817" w:type="dxa"/>
                  <w:tcBorders>
                    <w:tl2br w:val="nil"/>
                    <w:tr2bl w:val="nil"/>
                  </w:tcBorders>
                  <w:tcMar>
                    <w:top w:w="0" w:type="dxa"/>
                    <w:left w:w="0" w:type="dxa"/>
                    <w:bottom w:w="0" w:type="dxa"/>
                    <w:right w:w="0" w:type="dxa"/>
                  </w:tcMar>
                  <w:vAlign w:val="center"/>
                </w:tcPr>
                <w:p w14:paraId="4826BED9">
                  <w:pPr>
                    <w:bidi w:val="0"/>
                    <w:jc w:val="center"/>
                    <w:rPr>
                      <w:rFonts w:hint="default" w:eastAsia="宋体"/>
                      <w:color w:val="FF0000"/>
                      <w:lang w:val="en-US" w:eastAsia="zh-CN"/>
                    </w:rPr>
                  </w:pPr>
                  <w:r>
                    <w:rPr>
                      <w:rFonts w:hint="eastAsia"/>
                      <w:color w:val="FF0000"/>
                      <w:lang w:val="en-US" w:eastAsia="zh-CN"/>
                    </w:rPr>
                    <w:t>-108</w:t>
                  </w:r>
                </w:p>
              </w:tc>
            </w:tr>
            <w:tr w14:paraId="72E15D7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1" w:hRule="atLeast"/>
              </w:trPr>
              <w:tc>
                <w:tcPr>
                  <w:tcW w:w="788" w:type="dxa"/>
                  <w:vMerge w:val="restart"/>
                  <w:tcBorders>
                    <w:tl2br w:val="nil"/>
                    <w:tr2bl w:val="nil"/>
                  </w:tcBorders>
                  <w:tcMar>
                    <w:top w:w="0" w:type="dxa"/>
                    <w:left w:w="0" w:type="dxa"/>
                    <w:bottom w:w="0" w:type="dxa"/>
                    <w:right w:w="0" w:type="dxa"/>
                  </w:tcMar>
                  <w:vAlign w:val="center"/>
                </w:tcPr>
                <w:p w14:paraId="6B1C715F">
                  <w:pPr>
                    <w:bidi w:val="0"/>
                    <w:jc w:val="center"/>
                    <w:rPr>
                      <w:color w:val="FF0000"/>
                    </w:rPr>
                  </w:pPr>
                  <w:r>
                    <w:rPr>
                      <w:rFonts w:hint="eastAsia"/>
                      <w:color w:val="FF0000"/>
                      <w:lang w:val="en-US" w:eastAsia="zh-CN"/>
                    </w:rPr>
                    <w:t>一般</w:t>
                  </w:r>
                  <w:r>
                    <w:rPr>
                      <w:rFonts w:hint="eastAsia"/>
                      <w:color w:val="FF0000"/>
                    </w:rPr>
                    <w:t>固废</w:t>
                  </w:r>
                </w:p>
              </w:tc>
              <w:tc>
                <w:tcPr>
                  <w:tcW w:w="1161" w:type="dxa"/>
                  <w:tcBorders>
                    <w:tl2br w:val="nil"/>
                    <w:tr2bl w:val="nil"/>
                  </w:tcBorders>
                  <w:tcMar>
                    <w:top w:w="0" w:type="dxa"/>
                    <w:left w:w="0" w:type="dxa"/>
                    <w:bottom w:w="0" w:type="dxa"/>
                    <w:right w:w="0" w:type="dxa"/>
                  </w:tcMar>
                  <w:vAlign w:val="center"/>
                </w:tcPr>
                <w:p w14:paraId="36E4E533">
                  <w:pPr>
                    <w:pStyle w:val="86"/>
                    <w:spacing w:line="240" w:lineRule="auto"/>
                    <w:ind w:firstLine="0" w:firstLineChars="0"/>
                    <w:jc w:val="center"/>
                    <w:rPr>
                      <w:color w:val="FF0000"/>
                    </w:rPr>
                  </w:pPr>
                  <w:r>
                    <w:rPr>
                      <w:rFonts w:hint="eastAsia" w:cs="宋体"/>
                      <w:color w:val="FF0000"/>
                      <w:sz w:val="21"/>
                      <w:szCs w:val="21"/>
                    </w:rPr>
                    <w:t>废钢筋</w:t>
                  </w:r>
                </w:p>
              </w:tc>
              <w:tc>
                <w:tcPr>
                  <w:tcW w:w="810" w:type="dxa"/>
                  <w:tcBorders>
                    <w:tl2br w:val="nil"/>
                    <w:tr2bl w:val="nil"/>
                  </w:tcBorders>
                  <w:tcMar>
                    <w:top w:w="0" w:type="dxa"/>
                    <w:left w:w="0" w:type="dxa"/>
                    <w:bottom w:w="0" w:type="dxa"/>
                    <w:right w:w="0" w:type="dxa"/>
                  </w:tcMar>
                  <w:vAlign w:val="center"/>
                </w:tcPr>
                <w:p w14:paraId="38AAE87A">
                  <w:pPr>
                    <w:bidi w:val="0"/>
                    <w:jc w:val="center"/>
                    <w:rPr>
                      <w:color w:val="FF0000"/>
                    </w:rPr>
                  </w:pPr>
                  <w:r>
                    <w:rPr>
                      <w:color w:val="FF0000"/>
                    </w:rPr>
                    <w:t>t/a</w:t>
                  </w:r>
                </w:p>
              </w:tc>
              <w:tc>
                <w:tcPr>
                  <w:tcW w:w="904" w:type="dxa"/>
                  <w:tcBorders>
                    <w:tl2br w:val="nil"/>
                    <w:tr2bl w:val="nil"/>
                  </w:tcBorders>
                  <w:tcMar>
                    <w:top w:w="0" w:type="dxa"/>
                    <w:left w:w="0" w:type="dxa"/>
                    <w:bottom w:w="0" w:type="dxa"/>
                    <w:right w:w="0" w:type="dxa"/>
                  </w:tcMar>
                  <w:vAlign w:val="center"/>
                </w:tcPr>
                <w:p w14:paraId="34171639">
                  <w:pPr>
                    <w:pStyle w:val="86"/>
                    <w:spacing w:line="240" w:lineRule="auto"/>
                    <w:ind w:firstLine="0" w:firstLineChars="0"/>
                    <w:jc w:val="center"/>
                    <w:rPr>
                      <w:rFonts w:hint="eastAsia" w:ascii="Times New Roman" w:hAnsi="Times New Roman" w:eastAsia="宋体" w:cs="宋体"/>
                      <w:color w:val="FF0000"/>
                      <w:sz w:val="21"/>
                      <w:szCs w:val="21"/>
                      <w:lang w:val="en-US" w:eastAsia="zh-CN"/>
                    </w:rPr>
                  </w:pPr>
                  <w:r>
                    <w:rPr>
                      <w:rFonts w:hint="eastAsia" w:ascii="Times New Roman" w:hAnsi="Times New Roman" w:eastAsia="宋体" w:cs="宋体"/>
                      <w:color w:val="FF0000"/>
                      <w:sz w:val="21"/>
                      <w:szCs w:val="21"/>
                      <w:lang w:val="en-US" w:eastAsia="zh-CN"/>
                    </w:rPr>
                    <w:t>6</w:t>
                  </w:r>
                </w:p>
              </w:tc>
              <w:tc>
                <w:tcPr>
                  <w:tcW w:w="687" w:type="dxa"/>
                  <w:tcBorders>
                    <w:tl2br w:val="nil"/>
                    <w:tr2bl w:val="nil"/>
                  </w:tcBorders>
                  <w:tcMar>
                    <w:top w:w="0" w:type="dxa"/>
                    <w:left w:w="0" w:type="dxa"/>
                    <w:bottom w:w="0" w:type="dxa"/>
                    <w:right w:w="0" w:type="dxa"/>
                  </w:tcMar>
                  <w:vAlign w:val="center"/>
                </w:tcPr>
                <w:p w14:paraId="14DF9990">
                  <w:pPr>
                    <w:pStyle w:val="86"/>
                    <w:spacing w:line="240" w:lineRule="auto"/>
                    <w:ind w:firstLine="0" w:firstLineChars="0"/>
                    <w:jc w:val="center"/>
                    <w:rPr>
                      <w:color w:val="FF0000"/>
                    </w:rPr>
                  </w:pPr>
                  <w:r>
                    <w:rPr>
                      <w:rFonts w:hint="eastAsia"/>
                      <w:color w:val="FF0000"/>
                      <w:sz w:val="21"/>
                      <w:szCs w:val="21"/>
                      <w:lang w:val="en-US" w:eastAsia="zh-CN"/>
                    </w:rPr>
                    <w:t>4.8</w:t>
                  </w:r>
                </w:p>
              </w:tc>
              <w:tc>
                <w:tcPr>
                  <w:tcW w:w="650" w:type="dxa"/>
                  <w:tcBorders>
                    <w:tl2br w:val="nil"/>
                    <w:tr2bl w:val="nil"/>
                  </w:tcBorders>
                  <w:tcMar>
                    <w:top w:w="0" w:type="dxa"/>
                    <w:left w:w="0" w:type="dxa"/>
                    <w:bottom w:w="0" w:type="dxa"/>
                    <w:right w:w="0" w:type="dxa"/>
                  </w:tcMar>
                  <w:vAlign w:val="center"/>
                </w:tcPr>
                <w:p w14:paraId="4A8A8376">
                  <w:pPr>
                    <w:bidi w:val="0"/>
                    <w:jc w:val="center"/>
                    <w:rPr>
                      <w:rFonts w:hint="eastAsia" w:eastAsia="宋体"/>
                      <w:color w:val="FF0000"/>
                      <w:lang w:val="en-US" w:eastAsia="zh-CN"/>
                    </w:rPr>
                  </w:pPr>
                  <w:r>
                    <w:rPr>
                      <w:rFonts w:hint="eastAsia"/>
                      <w:color w:val="FF0000"/>
                      <w:lang w:val="en-US" w:eastAsia="zh-CN"/>
                    </w:rPr>
                    <w:t>/</w:t>
                  </w:r>
                </w:p>
              </w:tc>
              <w:tc>
                <w:tcPr>
                  <w:tcW w:w="731" w:type="dxa"/>
                  <w:tcBorders>
                    <w:tl2br w:val="nil"/>
                    <w:tr2bl w:val="nil"/>
                  </w:tcBorders>
                  <w:tcMar>
                    <w:top w:w="0" w:type="dxa"/>
                    <w:left w:w="0" w:type="dxa"/>
                    <w:bottom w:w="0" w:type="dxa"/>
                    <w:right w:w="0" w:type="dxa"/>
                  </w:tcMar>
                  <w:vAlign w:val="center"/>
                </w:tcPr>
                <w:p w14:paraId="64BC6B9E">
                  <w:pPr>
                    <w:pStyle w:val="86"/>
                    <w:spacing w:line="240" w:lineRule="auto"/>
                    <w:ind w:firstLine="0" w:firstLineChars="0"/>
                    <w:jc w:val="center"/>
                    <w:rPr>
                      <w:color w:val="FF0000"/>
                    </w:rPr>
                  </w:pPr>
                  <w:r>
                    <w:rPr>
                      <w:rFonts w:hint="eastAsia"/>
                      <w:color w:val="FF0000"/>
                      <w:sz w:val="21"/>
                      <w:szCs w:val="21"/>
                      <w:lang w:val="en-US" w:eastAsia="zh-CN"/>
                    </w:rPr>
                    <w:t>4.8</w:t>
                  </w:r>
                </w:p>
              </w:tc>
              <w:tc>
                <w:tcPr>
                  <w:tcW w:w="819" w:type="dxa"/>
                  <w:tcBorders>
                    <w:tl2br w:val="nil"/>
                    <w:tr2bl w:val="nil"/>
                  </w:tcBorders>
                  <w:tcMar>
                    <w:top w:w="0" w:type="dxa"/>
                    <w:left w:w="0" w:type="dxa"/>
                    <w:bottom w:w="0" w:type="dxa"/>
                    <w:right w:w="0" w:type="dxa"/>
                  </w:tcMar>
                  <w:vAlign w:val="center"/>
                </w:tcPr>
                <w:p w14:paraId="2A66FF97">
                  <w:pPr>
                    <w:bidi w:val="0"/>
                    <w:jc w:val="center"/>
                    <w:rPr>
                      <w:rFonts w:hint="eastAsia" w:eastAsia="宋体"/>
                      <w:color w:val="FF0000"/>
                      <w:lang w:val="en-US" w:eastAsia="zh-CN"/>
                    </w:rPr>
                  </w:pPr>
                  <w:r>
                    <w:rPr>
                      <w:rFonts w:hint="eastAsia"/>
                      <w:color w:val="FF0000"/>
                      <w:lang w:val="en-US" w:eastAsia="zh-CN"/>
                    </w:rPr>
                    <w:t>/</w:t>
                  </w:r>
                </w:p>
              </w:tc>
              <w:tc>
                <w:tcPr>
                  <w:tcW w:w="930" w:type="dxa"/>
                  <w:tcBorders>
                    <w:tl2br w:val="nil"/>
                    <w:tr2bl w:val="nil"/>
                  </w:tcBorders>
                  <w:tcMar>
                    <w:top w:w="0" w:type="dxa"/>
                    <w:left w:w="0" w:type="dxa"/>
                    <w:bottom w:w="0" w:type="dxa"/>
                    <w:right w:w="0" w:type="dxa"/>
                  </w:tcMar>
                  <w:vAlign w:val="center"/>
                </w:tcPr>
                <w:p w14:paraId="4BE519FB">
                  <w:pPr>
                    <w:pStyle w:val="86"/>
                    <w:spacing w:line="240" w:lineRule="auto"/>
                    <w:ind w:firstLine="0" w:firstLineChars="0"/>
                    <w:jc w:val="center"/>
                    <w:rPr>
                      <w:color w:val="FF0000"/>
                    </w:rPr>
                  </w:pPr>
                  <w:r>
                    <w:rPr>
                      <w:rFonts w:hint="eastAsia"/>
                      <w:color w:val="FF0000"/>
                      <w:sz w:val="21"/>
                      <w:szCs w:val="21"/>
                      <w:lang w:val="en-US" w:eastAsia="zh-CN"/>
                    </w:rPr>
                    <w:t>4.8</w:t>
                  </w:r>
                </w:p>
              </w:tc>
              <w:tc>
                <w:tcPr>
                  <w:tcW w:w="817" w:type="dxa"/>
                  <w:tcBorders>
                    <w:tl2br w:val="nil"/>
                    <w:tr2bl w:val="nil"/>
                  </w:tcBorders>
                  <w:tcMar>
                    <w:top w:w="0" w:type="dxa"/>
                    <w:left w:w="0" w:type="dxa"/>
                    <w:bottom w:w="0" w:type="dxa"/>
                    <w:right w:w="0" w:type="dxa"/>
                  </w:tcMar>
                  <w:vAlign w:val="center"/>
                </w:tcPr>
                <w:p w14:paraId="381661C1">
                  <w:pPr>
                    <w:bidi w:val="0"/>
                    <w:jc w:val="center"/>
                    <w:rPr>
                      <w:rFonts w:hint="default" w:eastAsia="宋体"/>
                      <w:color w:val="FF0000"/>
                      <w:lang w:val="en-US" w:eastAsia="zh-CN"/>
                    </w:rPr>
                  </w:pPr>
                  <w:r>
                    <w:rPr>
                      <w:rFonts w:hint="eastAsia"/>
                      <w:color w:val="FF0000"/>
                      <w:lang w:val="en-US" w:eastAsia="zh-CN"/>
                    </w:rPr>
                    <w:t>-1.2</w:t>
                  </w:r>
                </w:p>
              </w:tc>
            </w:tr>
            <w:tr w14:paraId="30340B7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8" w:type="dxa"/>
                  <w:vMerge w:val="continue"/>
                  <w:tcBorders>
                    <w:tl2br w:val="nil"/>
                    <w:tr2bl w:val="nil"/>
                  </w:tcBorders>
                  <w:tcMar>
                    <w:top w:w="0" w:type="dxa"/>
                    <w:left w:w="0" w:type="dxa"/>
                    <w:bottom w:w="0" w:type="dxa"/>
                    <w:right w:w="0" w:type="dxa"/>
                  </w:tcMar>
                  <w:vAlign w:val="center"/>
                </w:tcPr>
                <w:p w14:paraId="5F8F654C">
                  <w:pPr>
                    <w:bidi w:val="0"/>
                    <w:jc w:val="center"/>
                    <w:rPr>
                      <w:rFonts w:hint="eastAsia"/>
                      <w:color w:val="FF0000"/>
                    </w:rPr>
                  </w:pPr>
                </w:p>
              </w:tc>
              <w:tc>
                <w:tcPr>
                  <w:tcW w:w="1161" w:type="dxa"/>
                  <w:tcBorders>
                    <w:tl2br w:val="nil"/>
                    <w:tr2bl w:val="nil"/>
                  </w:tcBorders>
                  <w:tcMar>
                    <w:top w:w="0" w:type="dxa"/>
                    <w:left w:w="0" w:type="dxa"/>
                    <w:bottom w:w="0" w:type="dxa"/>
                    <w:right w:w="0" w:type="dxa"/>
                  </w:tcMar>
                  <w:vAlign w:val="center"/>
                </w:tcPr>
                <w:p w14:paraId="68ED223D">
                  <w:pPr>
                    <w:pStyle w:val="86"/>
                    <w:spacing w:line="240" w:lineRule="auto"/>
                    <w:ind w:firstLine="0" w:firstLineChars="0"/>
                    <w:jc w:val="center"/>
                    <w:rPr>
                      <w:rFonts w:hint="eastAsia"/>
                      <w:color w:val="FF0000"/>
                    </w:rPr>
                  </w:pPr>
                  <w:r>
                    <w:rPr>
                      <w:rFonts w:hint="eastAsia" w:cs="宋体"/>
                      <w:color w:val="FF0000"/>
                      <w:sz w:val="21"/>
                      <w:szCs w:val="21"/>
                    </w:rPr>
                    <w:t>废边角料</w:t>
                  </w:r>
                  <w:r>
                    <w:rPr>
                      <w:rFonts w:hint="eastAsia" w:cs="宋体"/>
                      <w:color w:val="FF0000"/>
                      <w:sz w:val="21"/>
                      <w:szCs w:val="21"/>
                      <w:lang w:val="en-US" w:eastAsia="zh-CN"/>
                    </w:rPr>
                    <w:t>及不合格品</w:t>
                  </w:r>
                </w:p>
              </w:tc>
              <w:tc>
                <w:tcPr>
                  <w:tcW w:w="810" w:type="dxa"/>
                  <w:tcBorders>
                    <w:tl2br w:val="nil"/>
                    <w:tr2bl w:val="nil"/>
                  </w:tcBorders>
                  <w:tcMar>
                    <w:top w:w="0" w:type="dxa"/>
                    <w:left w:w="0" w:type="dxa"/>
                    <w:bottom w:w="0" w:type="dxa"/>
                    <w:right w:w="0" w:type="dxa"/>
                  </w:tcMar>
                  <w:vAlign w:val="center"/>
                </w:tcPr>
                <w:p w14:paraId="5BBD9FC6">
                  <w:pPr>
                    <w:bidi w:val="0"/>
                    <w:jc w:val="center"/>
                    <w:rPr>
                      <w:color w:val="FF0000"/>
                    </w:rPr>
                  </w:pPr>
                  <w:r>
                    <w:rPr>
                      <w:color w:val="FF0000"/>
                    </w:rPr>
                    <w:t>t/a</w:t>
                  </w:r>
                </w:p>
              </w:tc>
              <w:tc>
                <w:tcPr>
                  <w:tcW w:w="904" w:type="dxa"/>
                  <w:tcBorders>
                    <w:tl2br w:val="nil"/>
                    <w:tr2bl w:val="nil"/>
                  </w:tcBorders>
                  <w:tcMar>
                    <w:top w:w="0" w:type="dxa"/>
                    <w:left w:w="0" w:type="dxa"/>
                    <w:bottom w:w="0" w:type="dxa"/>
                    <w:right w:w="0" w:type="dxa"/>
                  </w:tcMar>
                  <w:vAlign w:val="center"/>
                </w:tcPr>
                <w:p w14:paraId="40444A9E">
                  <w:pPr>
                    <w:pStyle w:val="86"/>
                    <w:spacing w:line="240" w:lineRule="auto"/>
                    <w:ind w:firstLine="0" w:firstLineChars="0"/>
                    <w:jc w:val="center"/>
                    <w:rPr>
                      <w:rFonts w:hint="default" w:ascii="Times New Roman" w:hAnsi="Times New Roman" w:eastAsia="宋体" w:cs="宋体"/>
                      <w:color w:val="FF0000"/>
                      <w:sz w:val="21"/>
                      <w:szCs w:val="21"/>
                      <w:lang w:val="en-US" w:eastAsia="zh-CN"/>
                    </w:rPr>
                  </w:pPr>
                  <w:r>
                    <w:rPr>
                      <w:rFonts w:hint="eastAsia" w:ascii="Times New Roman" w:hAnsi="Times New Roman" w:eastAsia="宋体" w:cs="宋体"/>
                      <w:color w:val="FF0000"/>
                      <w:sz w:val="21"/>
                      <w:szCs w:val="21"/>
                      <w:lang w:val="en-US" w:eastAsia="zh-CN"/>
                    </w:rPr>
                    <w:t>13.2</w:t>
                  </w:r>
                </w:p>
              </w:tc>
              <w:tc>
                <w:tcPr>
                  <w:tcW w:w="687" w:type="dxa"/>
                  <w:tcBorders>
                    <w:tl2br w:val="nil"/>
                    <w:tr2bl w:val="nil"/>
                  </w:tcBorders>
                  <w:tcMar>
                    <w:top w:w="0" w:type="dxa"/>
                    <w:left w:w="0" w:type="dxa"/>
                    <w:bottom w:w="0" w:type="dxa"/>
                    <w:right w:w="0" w:type="dxa"/>
                  </w:tcMar>
                  <w:vAlign w:val="center"/>
                </w:tcPr>
                <w:p w14:paraId="368311E1">
                  <w:pPr>
                    <w:pStyle w:val="86"/>
                    <w:spacing w:line="240" w:lineRule="auto"/>
                    <w:ind w:firstLine="0" w:firstLineChars="0"/>
                    <w:jc w:val="center"/>
                    <w:rPr>
                      <w:rFonts w:hint="eastAsia"/>
                      <w:color w:val="FF0000"/>
                    </w:rPr>
                  </w:pPr>
                  <w:r>
                    <w:rPr>
                      <w:rFonts w:hint="eastAsia"/>
                      <w:color w:val="FF0000"/>
                      <w:sz w:val="21"/>
                      <w:szCs w:val="21"/>
                      <w:lang w:val="en-US" w:eastAsia="zh-CN"/>
                    </w:rPr>
                    <w:t>10.56</w:t>
                  </w:r>
                </w:p>
              </w:tc>
              <w:tc>
                <w:tcPr>
                  <w:tcW w:w="650" w:type="dxa"/>
                  <w:tcBorders>
                    <w:tl2br w:val="nil"/>
                    <w:tr2bl w:val="nil"/>
                  </w:tcBorders>
                  <w:tcMar>
                    <w:top w:w="0" w:type="dxa"/>
                    <w:left w:w="0" w:type="dxa"/>
                    <w:bottom w:w="0" w:type="dxa"/>
                    <w:right w:w="0" w:type="dxa"/>
                  </w:tcMar>
                  <w:vAlign w:val="center"/>
                </w:tcPr>
                <w:p w14:paraId="599462C8">
                  <w:pPr>
                    <w:bidi w:val="0"/>
                    <w:jc w:val="center"/>
                    <w:rPr>
                      <w:rFonts w:hint="eastAsia" w:eastAsia="宋体"/>
                      <w:color w:val="FF0000"/>
                      <w:lang w:val="en-US" w:eastAsia="zh-CN"/>
                    </w:rPr>
                  </w:pPr>
                  <w:r>
                    <w:rPr>
                      <w:rFonts w:hint="eastAsia"/>
                      <w:color w:val="FF0000"/>
                      <w:lang w:val="en-US" w:eastAsia="zh-CN"/>
                    </w:rPr>
                    <w:t>/</w:t>
                  </w:r>
                </w:p>
              </w:tc>
              <w:tc>
                <w:tcPr>
                  <w:tcW w:w="731" w:type="dxa"/>
                  <w:tcBorders>
                    <w:tl2br w:val="nil"/>
                    <w:tr2bl w:val="nil"/>
                  </w:tcBorders>
                  <w:tcMar>
                    <w:top w:w="0" w:type="dxa"/>
                    <w:left w:w="0" w:type="dxa"/>
                    <w:bottom w:w="0" w:type="dxa"/>
                    <w:right w:w="0" w:type="dxa"/>
                  </w:tcMar>
                  <w:vAlign w:val="center"/>
                </w:tcPr>
                <w:p w14:paraId="7803C0E7">
                  <w:pPr>
                    <w:pStyle w:val="86"/>
                    <w:spacing w:line="240" w:lineRule="auto"/>
                    <w:ind w:firstLine="0" w:firstLineChars="0"/>
                    <w:jc w:val="center"/>
                    <w:rPr>
                      <w:rFonts w:hint="eastAsia"/>
                      <w:color w:val="FF0000"/>
                    </w:rPr>
                  </w:pPr>
                  <w:r>
                    <w:rPr>
                      <w:rFonts w:hint="eastAsia"/>
                      <w:color w:val="FF0000"/>
                      <w:sz w:val="21"/>
                      <w:szCs w:val="21"/>
                      <w:lang w:val="en-US" w:eastAsia="zh-CN"/>
                    </w:rPr>
                    <w:t>10.56</w:t>
                  </w:r>
                </w:p>
              </w:tc>
              <w:tc>
                <w:tcPr>
                  <w:tcW w:w="819" w:type="dxa"/>
                  <w:tcBorders>
                    <w:tl2br w:val="nil"/>
                    <w:tr2bl w:val="nil"/>
                  </w:tcBorders>
                  <w:tcMar>
                    <w:top w:w="0" w:type="dxa"/>
                    <w:left w:w="0" w:type="dxa"/>
                    <w:bottom w:w="0" w:type="dxa"/>
                    <w:right w:w="0" w:type="dxa"/>
                  </w:tcMar>
                  <w:vAlign w:val="center"/>
                </w:tcPr>
                <w:p w14:paraId="76AFC433">
                  <w:pPr>
                    <w:bidi w:val="0"/>
                    <w:jc w:val="center"/>
                    <w:rPr>
                      <w:rFonts w:hint="default" w:eastAsia="宋体"/>
                      <w:color w:val="FF0000"/>
                      <w:lang w:val="en-US" w:eastAsia="zh-CN"/>
                    </w:rPr>
                  </w:pPr>
                  <w:r>
                    <w:rPr>
                      <w:rFonts w:hint="eastAsia"/>
                      <w:color w:val="FF0000"/>
                      <w:lang w:val="en-US" w:eastAsia="zh-CN"/>
                    </w:rPr>
                    <w:t>/</w:t>
                  </w:r>
                </w:p>
              </w:tc>
              <w:tc>
                <w:tcPr>
                  <w:tcW w:w="930" w:type="dxa"/>
                  <w:tcBorders>
                    <w:tl2br w:val="nil"/>
                    <w:tr2bl w:val="nil"/>
                  </w:tcBorders>
                  <w:tcMar>
                    <w:top w:w="0" w:type="dxa"/>
                    <w:left w:w="0" w:type="dxa"/>
                    <w:bottom w:w="0" w:type="dxa"/>
                    <w:right w:w="0" w:type="dxa"/>
                  </w:tcMar>
                  <w:vAlign w:val="center"/>
                </w:tcPr>
                <w:p w14:paraId="612F21A2">
                  <w:pPr>
                    <w:pStyle w:val="86"/>
                    <w:spacing w:line="240" w:lineRule="auto"/>
                    <w:ind w:firstLine="0" w:firstLineChars="0"/>
                    <w:jc w:val="center"/>
                    <w:rPr>
                      <w:rFonts w:hint="eastAsia"/>
                      <w:color w:val="FF0000"/>
                    </w:rPr>
                  </w:pPr>
                  <w:r>
                    <w:rPr>
                      <w:rFonts w:hint="eastAsia"/>
                      <w:color w:val="FF0000"/>
                      <w:sz w:val="21"/>
                      <w:szCs w:val="21"/>
                      <w:lang w:val="en-US" w:eastAsia="zh-CN"/>
                    </w:rPr>
                    <w:t>10.56</w:t>
                  </w:r>
                </w:p>
              </w:tc>
              <w:tc>
                <w:tcPr>
                  <w:tcW w:w="817" w:type="dxa"/>
                  <w:tcBorders>
                    <w:tl2br w:val="nil"/>
                    <w:tr2bl w:val="nil"/>
                  </w:tcBorders>
                  <w:tcMar>
                    <w:top w:w="0" w:type="dxa"/>
                    <w:left w:w="0" w:type="dxa"/>
                    <w:bottom w:w="0" w:type="dxa"/>
                    <w:right w:w="0" w:type="dxa"/>
                  </w:tcMar>
                  <w:vAlign w:val="center"/>
                </w:tcPr>
                <w:p w14:paraId="1C062BAC">
                  <w:pPr>
                    <w:bidi w:val="0"/>
                    <w:jc w:val="center"/>
                    <w:rPr>
                      <w:rFonts w:hint="default" w:eastAsia="宋体"/>
                      <w:color w:val="FF0000"/>
                      <w:lang w:val="en-US" w:eastAsia="zh-CN"/>
                    </w:rPr>
                  </w:pPr>
                  <w:r>
                    <w:rPr>
                      <w:rFonts w:hint="eastAsia"/>
                      <w:color w:val="FF0000"/>
                      <w:lang w:val="en-US" w:eastAsia="zh-CN"/>
                    </w:rPr>
                    <w:t>-2.64</w:t>
                  </w:r>
                </w:p>
              </w:tc>
            </w:tr>
            <w:tr w14:paraId="5702568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4" w:hRule="atLeast"/>
              </w:trPr>
              <w:tc>
                <w:tcPr>
                  <w:tcW w:w="788" w:type="dxa"/>
                  <w:vMerge w:val="continue"/>
                  <w:tcBorders>
                    <w:tl2br w:val="nil"/>
                    <w:tr2bl w:val="nil"/>
                  </w:tcBorders>
                  <w:tcMar>
                    <w:top w:w="0" w:type="dxa"/>
                    <w:left w:w="0" w:type="dxa"/>
                    <w:bottom w:w="0" w:type="dxa"/>
                    <w:right w:w="0" w:type="dxa"/>
                  </w:tcMar>
                  <w:vAlign w:val="center"/>
                </w:tcPr>
                <w:p w14:paraId="2C4ED5B6">
                  <w:pPr>
                    <w:bidi w:val="0"/>
                    <w:jc w:val="center"/>
                    <w:rPr>
                      <w:rFonts w:hint="eastAsia"/>
                      <w:color w:val="FF0000"/>
                    </w:rPr>
                  </w:pPr>
                </w:p>
              </w:tc>
              <w:tc>
                <w:tcPr>
                  <w:tcW w:w="1161" w:type="dxa"/>
                  <w:tcBorders>
                    <w:tl2br w:val="nil"/>
                    <w:tr2bl w:val="nil"/>
                  </w:tcBorders>
                  <w:tcMar>
                    <w:top w:w="0" w:type="dxa"/>
                    <w:left w:w="0" w:type="dxa"/>
                    <w:bottom w:w="0" w:type="dxa"/>
                    <w:right w:w="0" w:type="dxa"/>
                  </w:tcMar>
                  <w:vAlign w:val="center"/>
                </w:tcPr>
                <w:p w14:paraId="2F7A6968">
                  <w:pPr>
                    <w:pStyle w:val="86"/>
                    <w:spacing w:line="240" w:lineRule="auto"/>
                    <w:ind w:firstLine="0" w:firstLineChars="0"/>
                    <w:jc w:val="center"/>
                    <w:rPr>
                      <w:rFonts w:hint="eastAsia"/>
                      <w:color w:val="FF0000"/>
                    </w:rPr>
                  </w:pPr>
                  <w:r>
                    <w:rPr>
                      <w:rFonts w:hint="eastAsia" w:ascii="Times New Roman" w:hAnsi="Times New Roman" w:eastAsia="宋体" w:cs="宋体"/>
                      <w:color w:val="FF0000"/>
                      <w:sz w:val="21"/>
                      <w:szCs w:val="21"/>
                      <w:lang w:val="en-US" w:eastAsia="zh-CN"/>
                    </w:rPr>
                    <w:t>废焊渣</w:t>
                  </w:r>
                </w:p>
              </w:tc>
              <w:tc>
                <w:tcPr>
                  <w:tcW w:w="810" w:type="dxa"/>
                  <w:tcBorders>
                    <w:tl2br w:val="nil"/>
                    <w:tr2bl w:val="nil"/>
                  </w:tcBorders>
                  <w:tcMar>
                    <w:top w:w="0" w:type="dxa"/>
                    <w:left w:w="0" w:type="dxa"/>
                    <w:bottom w:w="0" w:type="dxa"/>
                    <w:right w:w="0" w:type="dxa"/>
                  </w:tcMar>
                  <w:vAlign w:val="center"/>
                </w:tcPr>
                <w:p w14:paraId="2D244F73">
                  <w:pPr>
                    <w:bidi w:val="0"/>
                    <w:jc w:val="center"/>
                    <w:rPr>
                      <w:color w:val="FF0000"/>
                    </w:rPr>
                  </w:pPr>
                  <w:r>
                    <w:rPr>
                      <w:color w:val="FF0000"/>
                    </w:rPr>
                    <w:t>t/a</w:t>
                  </w:r>
                </w:p>
              </w:tc>
              <w:tc>
                <w:tcPr>
                  <w:tcW w:w="904" w:type="dxa"/>
                  <w:tcBorders>
                    <w:tl2br w:val="nil"/>
                    <w:tr2bl w:val="nil"/>
                  </w:tcBorders>
                  <w:tcMar>
                    <w:top w:w="0" w:type="dxa"/>
                    <w:left w:w="0" w:type="dxa"/>
                    <w:bottom w:w="0" w:type="dxa"/>
                    <w:right w:w="0" w:type="dxa"/>
                  </w:tcMar>
                  <w:vAlign w:val="center"/>
                </w:tcPr>
                <w:p w14:paraId="2E18F642">
                  <w:pPr>
                    <w:pStyle w:val="86"/>
                    <w:spacing w:line="240" w:lineRule="auto"/>
                    <w:ind w:firstLine="0" w:firstLineChars="0"/>
                    <w:jc w:val="center"/>
                    <w:rPr>
                      <w:rFonts w:hint="default" w:ascii="Times New Roman" w:hAnsi="Times New Roman" w:eastAsia="宋体" w:cs="宋体"/>
                      <w:color w:val="FF0000"/>
                      <w:sz w:val="21"/>
                      <w:szCs w:val="21"/>
                      <w:lang w:val="en-US" w:eastAsia="zh-CN"/>
                    </w:rPr>
                  </w:pPr>
                  <w:r>
                    <w:rPr>
                      <w:rFonts w:hint="eastAsia" w:ascii="Times New Roman" w:hAnsi="Times New Roman" w:eastAsia="宋体" w:cs="宋体"/>
                      <w:color w:val="FF0000"/>
                      <w:sz w:val="21"/>
                      <w:szCs w:val="21"/>
                      <w:lang w:val="en-US" w:eastAsia="zh-CN"/>
                    </w:rPr>
                    <w:t>1.92</w:t>
                  </w:r>
                </w:p>
              </w:tc>
              <w:tc>
                <w:tcPr>
                  <w:tcW w:w="687" w:type="dxa"/>
                  <w:tcBorders>
                    <w:tl2br w:val="nil"/>
                    <w:tr2bl w:val="nil"/>
                  </w:tcBorders>
                  <w:tcMar>
                    <w:top w:w="0" w:type="dxa"/>
                    <w:left w:w="0" w:type="dxa"/>
                    <w:bottom w:w="0" w:type="dxa"/>
                    <w:right w:w="0" w:type="dxa"/>
                  </w:tcMar>
                  <w:vAlign w:val="center"/>
                </w:tcPr>
                <w:p w14:paraId="3FB89316">
                  <w:pPr>
                    <w:pStyle w:val="86"/>
                    <w:spacing w:line="240" w:lineRule="auto"/>
                    <w:ind w:firstLine="0" w:firstLineChars="0"/>
                    <w:jc w:val="center"/>
                    <w:rPr>
                      <w:rFonts w:hint="eastAsia"/>
                      <w:color w:val="FF0000"/>
                    </w:rPr>
                  </w:pPr>
                  <w:r>
                    <w:rPr>
                      <w:rFonts w:hint="eastAsia" w:ascii="Times New Roman" w:hAnsi="Times New Roman" w:eastAsia="宋体" w:cs="宋体"/>
                      <w:color w:val="FF0000"/>
                      <w:sz w:val="21"/>
                      <w:szCs w:val="21"/>
                      <w:lang w:val="en-US" w:eastAsia="zh-CN"/>
                    </w:rPr>
                    <w:t>1.536</w:t>
                  </w:r>
                </w:p>
              </w:tc>
              <w:tc>
                <w:tcPr>
                  <w:tcW w:w="650" w:type="dxa"/>
                  <w:tcBorders>
                    <w:tl2br w:val="nil"/>
                    <w:tr2bl w:val="nil"/>
                  </w:tcBorders>
                  <w:tcMar>
                    <w:top w:w="0" w:type="dxa"/>
                    <w:left w:w="0" w:type="dxa"/>
                    <w:bottom w:w="0" w:type="dxa"/>
                    <w:right w:w="0" w:type="dxa"/>
                  </w:tcMar>
                  <w:vAlign w:val="center"/>
                </w:tcPr>
                <w:p w14:paraId="71B5A840">
                  <w:pPr>
                    <w:bidi w:val="0"/>
                    <w:jc w:val="center"/>
                    <w:rPr>
                      <w:rFonts w:hint="eastAsia" w:eastAsia="宋体"/>
                      <w:color w:val="FF0000"/>
                      <w:lang w:val="en-US" w:eastAsia="zh-CN"/>
                    </w:rPr>
                  </w:pPr>
                  <w:r>
                    <w:rPr>
                      <w:rFonts w:hint="eastAsia"/>
                      <w:color w:val="FF0000"/>
                      <w:lang w:val="en-US" w:eastAsia="zh-CN"/>
                    </w:rPr>
                    <w:t>/</w:t>
                  </w:r>
                </w:p>
              </w:tc>
              <w:tc>
                <w:tcPr>
                  <w:tcW w:w="731" w:type="dxa"/>
                  <w:tcBorders>
                    <w:tl2br w:val="nil"/>
                    <w:tr2bl w:val="nil"/>
                  </w:tcBorders>
                  <w:tcMar>
                    <w:top w:w="0" w:type="dxa"/>
                    <w:left w:w="0" w:type="dxa"/>
                    <w:bottom w:w="0" w:type="dxa"/>
                    <w:right w:w="0" w:type="dxa"/>
                  </w:tcMar>
                  <w:vAlign w:val="center"/>
                </w:tcPr>
                <w:p w14:paraId="4DEC6957">
                  <w:pPr>
                    <w:pStyle w:val="86"/>
                    <w:spacing w:line="240" w:lineRule="auto"/>
                    <w:ind w:firstLine="0" w:firstLineChars="0"/>
                    <w:jc w:val="center"/>
                    <w:rPr>
                      <w:rFonts w:hint="eastAsia"/>
                      <w:color w:val="FF0000"/>
                    </w:rPr>
                  </w:pPr>
                  <w:r>
                    <w:rPr>
                      <w:rFonts w:hint="eastAsia" w:ascii="Times New Roman" w:hAnsi="Times New Roman" w:eastAsia="宋体" w:cs="宋体"/>
                      <w:color w:val="FF0000"/>
                      <w:sz w:val="21"/>
                      <w:szCs w:val="21"/>
                      <w:lang w:val="en-US" w:eastAsia="zh-CN"/>
                    </w:rPr>
                    <w:t>1.536</w:t>
                  </w:r>
                </w:p>
              </w:tc>
              <w:tc>
                <w:tcPr>
                  <w:tcW w:w="819" w:type="dxa"/>
                  <w:tcBorders>
                    <w:tl2br w:val="nil"/>
                    <w:tr2bl w:val="nil"/>
                  </w:tcBorders>
                  <w:tcMar>
                    <w:top w:w="0" w:type="dxa"/>
                    <w:left w:w="0" w:type="dxa"/>
                    <w:bottom w:w="0" w:type="dxa"/>
                    <w:right w:w="0" w:type="dxa"/>
                  </w:tcMar>
                  <w:vAlign w:val="center"/>
                </w:tcPr>
                <w:p w14:paraId="04821FCA">
                  <w:pPr>
                    <w:bidi w:val="0"/>
                    <w:jc w:val="center"/>
                    <w:rPr>
                      <w:rFonts w:hint="eastAsia" w:eastAsia="宋体"/>
                      <w:color w:val="FF0000"/>
                      <w:lang w:val="en-US" w:eastAsia="zh-CN"/>
                    </w:rPr>
                  </w:pPr>
                  <w:r>
                    <w:rPr>
                      <w:rFonts w:hint="eastAsia"/>
                      <w:color w:val="FF0000"/>
                      <w:lang w:val="en-US" w:eastAsia="zh-CN"/>
                    </w:rPr>
                    <w:t>/</w:t>
                  </w:r>
                </w:p>
              </w:tc>
              <w:tc>
                <w:tcPr>
                  <w:tcW w:w="930" w:type="dxa"/>
                  <w:tcBorders>
                    <w:tl2br w:val="nil"/>
                    <w:tr2bl w:val="nil"/>
                  </w:tcBorders>
                  <w:tcMar>
                    <w:top w:w="0" w:type="dxa"/>
                    <w:left w:w="0" w:type="dxa"/>
                    <w:bottom w:w="0" w:type="dxa"/>
                    <w:right w:w="0" w:type="dxa"/>
                  </w:tcMar>
                  <w:vAlign w:val="center"/>
                </w:tcPr>
                <w:p w14:paraId="56DD7407">
                  <w:pPr>
                    <w:pStyle w:val="86"/>
                    <w:spacing w:line="240" w:lineRule="auto"/>
                    <w:ind w:firstLine="0" w:firstLineChars="0"/>
                    <w:jc w:val="center"/>
                    <w:rPr>
                      <w:rFonts w:hint="eastAsia"/>
                      <w:color w:val="FF0000"/>
                    </w:rPr>
                  </w:pPr>
                  <w:r>
                    <w:rPr>
                      <w:rFonts w:hint="eastAsia" w:ascii="Times New Roman" w:hAnsi="Times New Roman" w:eastAsia="宋体" w:cs="宋体"/>
                      <w:color w:val="FF0000"/>
                      <w:sz w:val="21"/>
                      <w:szCs w:val="21"/>
                      <w:lang w:val="en-US" w:eastAsia="zh-CN"/>
                    </w:rPr>
                    <w:t>1.536</w:t>
                  </w:r>
                </w:p>
              </w:tc>
              <w:tc>
                <w:tcPr>
                  <w:tcW w:w="817" w:type="dxa"/>
                  <w:tcBorders>
                    <w:tl2br w:val="nil"/>
                    <w:tr2bl w:val="nil"/>
                  </w:tcBorders>
                  <w:tcMar>
                    <w:top w:w="0" w:type="dxa"/>
                    <w:left w:w="0" w:type="dxa"/>
                    <w:bottom w:w="0" w:type="dxa"/>
                    <w:right w:w="0" w:type="dxa"/>
                  </w:tcMar>
                  <w:vAlign w:val="center"/>
                </w:tcPr>
                <w:p w14:paraId="0FD1EE81">
                  <w:pPr>
                    <w:bidi w:val="0"/>
                    <w:jc w:val="center"/>
                    <w:rPr>
                      <w:rFonts w:hint="default" w:eastAsia="宋体"/>
                      <w:color w:val="FF0000"/>
                      <w:lang w:val="en-US" w:eastAsia="zh-CN"/>
                    </w:rPr>
                  </w:pPr>
                  <w:r>
                    <w:rPr>
                      <w:rFonts w:hint="eastAsia"/>
                      <w:color w:val="FF0000"/>
                      <w:lang w:val="en-US" w:eastAsia="zh-CN"/>
                    </w:rPr>
                    <w:t>-0.384</w:t>
                  </w:r>
                </w:p>
              </w:tc>
            </w:tr>
            <w:tr w14:paraId="6AD0F9A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8" w:hRule="atLeast"/>
              </w:trPr>
              <w:tc>
                <w:tcPr>
                  <w:tcW w:w="788" w:type="dxa"/>
                  <w:vMerge w:val="continue"/>
                  <w:tcBorders>
                    <w:tl2br w:val="nil"/>
                    <w:tr2bl w:val="nil"/>
                  </w:tcBorders>
                  <w:tcMar>
                    <w:top w:w="0" w:type="dxa"/>
                    <w:left w:w="0" w:type="dxa"/>
                    <w:bottom w:w="0" w:type="dxa"/>
                    <w:right w:w="0" w:type="dxa"/>
                  </w:tcMar>
                  <w:vAlign w:val="center"/>
                </w:tcPr>
                <w:p w14:paraId="5D60A87D">
                  <w:pPr>
                    <w:bidi w:val="0"/>
                    <w:jc w:val="center"/>
                    <w:rPr>
                      <w:rFonts w:hint="eastAsia"/>
                      <w:color w:val="FF0000"/>
                    </w:rPr>
                  </w:pPr>
                </w:p>
              </w:tc>
              <w:tc>
                <w:tcPr>
                  <w:tcW w:w="1161" w:type="dxa"/>
                  <w:tcBorders>
                    <w:tl2br w:val="nil"/>
                    <w:tr2bl w:val="nil"/>
                  </w:tcBorders>
                  <w:tcMar>
                    <w:top w:w="0" w:type="dxa"/>
                    <w:left w:w="0" w:type="dxa"/>
                    <w:bottom w:w="0" w:type="dxa"/>
                    <w:right w:w="0" w:type="dxa"/>
                  </w:tcMar>
                  <w:vAlign w:val="center"/>
                </w:tcPr>
                <w:p w14:paraId="3D71F0AB">
                  <w:pPr>
                    <w:pStyle w:val="86"/>
                    <w:spacing w:line="240" w:lineRule="auto"/>
                    <w:ind w:firstLine="0" w:firstLineChars="0"/>
                    <w:jc w:val="center"/>
                    <w:rPr>
                      <w:rFonts w:hint="eastAsia"/>
                      <w:color w:val="FF0000"/>
                    </w:rPr>
                  </w:pPr>
                  <w:r>
                    <w:rPr>
                      <w:rFonts w:hint="eastAsia" w:ascii="Times New Roman" w:hAnsi="Times New Roman" w:eastAsia="宋体" w:cs="宋体"/>
                      <w:color w:val="FF0000"/>
                      <w:sz w:val="21"/>
                      <w:szCs w:val="21"/>
                      <w:lang w:val="en-US" w:eastAsia="zh-CN"/>
                    </w:rPr>
                    <w:t>收集的塑粉</w:t>
                  </w:r>
                </w:p>
              </w:tc>
              <w:tc>
                <w:tcPr>
                  <w:tcW w:w="810" w:type="dxa"/>
                  <w:tcBorders>
                    <w:tl2br w:val="nil"/>
                    <w:tr2bl w:val="nil"/>
                  </w:tcBorders>
                  <w:tcMar>
                    <w:top w:w="0" w:type="dxa"/>
                    <w:left w:w="0" w:type="dxa"/>
                    <w:bottom w:w="0" w:type="dxa"/>
                    <w:right w:w="0" w:type="dxa"/>
                  </w:tcMar>
                  <w:vAlign w:val="center"/>
                </w:tcPr>
                <w:p w14:paraId="4ABAB105">
                  <w:pPr>
                    <w:bidi w:val="0"/>
                    <w:jc w:val="center"/>
                    <w:rPr>
                      <w:color w:val="FF0000"/>
                    </w:rPr>
                  </w:pPr>
                  <w:r>
                    <w:rPr>
                      <w:color w:val="FF0000"/>
                    </w:rPr>
                    <w:t>t/a</w:t>
                  </w:r>
                </w:p>
              </w:tc>
              <w:tc>
                <w:tcPr>
                  <w:tcW w:w="904" w:type="dxa"/>
                  <w:tcBorders>
                    <w:tl2br w:val="nil"/>
                    <w:tr2bl w:val="nil"/>
                  </w:tcBorders>
                  <w:tcMar>
                    <w:top w:w="0" w:type="dxa"/>
                    <w:left w:w="0" w:type="dxa"/>
                    <w:bottom w:w="0" w:type="dxa"/>
                    <w:right w:w="0" w:type="dxa"/>
                  </w:tcMar>
                  <w:vAlign w:val="center"/>
                </w:tcPr>
                <w:p w14:paraId="6C0A9550">
                  <w:pPr>
                    <w:pStyle w:val="86"/>
                    <w:spacing w:line="240" w:lineRule="auto"/>
                    <w:ind w:firstLine="0" w:firstLineChars="0"/>
                    <w:jc w:val="center"/>
                    <w:rPr>
                      <w:rFonts w:hint="default" w:ascii="Times New Roman" w:hAnsi="Times New Roman" w:eastAsia="宋体" w:cs="宋体"/>
                      <w:color w:val="FF0000"/>
                      <w:sz w:val="21"/>
                      <w:szCs w:val="21"/>
                      <w:lang w:val="en-US" w:eastAsia="zh-CN"/>
                    </w:rPr>
                  </w:pPr>
                  <w:r>
                    <w:rPr>
                      <w:rFonts w:hint="eastAsia" w:ascii="Times New Roman" w:hAnsi="Times New Roman" w:eastAsia="宋体" w:cs="宋体"/>
                      <w:color w:val="FF0000"/>
                      <w:sz w:val="21"/>
                      <w:szCs w:val="21"/>
                      <w:lang w:val="en-US" w:eastAsia="zh-CN"/>
                    </w:rPr>
                    <w:t>2.94</w:t>
                  </w:r>
                </w:p>
              </w:tc>
              <w:tc>
                <w:tcPr>
                  <w:tcW w:w="687" w:type="dxa"/>
                  <w:tcBorders>
                    <w:tl2br w:val="nil"/>
                    <w:tr2bl w:val="nil"/>
                  </w:tcBorders>
                  <w:tcMar>
                    <w:top w:w="0" w:type="dxa"/>
                    <w:left w:w="0" w:type="dxa"/>
                    <w:bottom w:w="0" w:type="dxa"/>
                    <w:right w:w="0" w:type="dxa"/>
                  </w:tcMar>
                  <w:vAlign w:val="center"/>
                </w:tcPr>
                <w:p w14:paraId="23657BF5">
                  <w:pPr>
                    <w:pStyle w:val="86"/>
                    <w:spacing w:line="240" w:lineRule="auto"/>
                    <w:ind w:firstLine="0" w:firstLineChars="0"/>
                    <w:jc w:val="center"/>
                    <w:rPr>
                      <w:rFonts w:hint="eastAsia"/>
                      <w:color w:val="FF0000"/>
                    </w:rPr>
                  </w:pPr>
                  <w:r>
                    <w:rPr>
                      <w:rFonts w:hint="eastAsia" w:ascii="Times New Roman" w:hAnsi="Times New Roman" w:eastAsia="宋体" w:cs="宋体"/>
                      <w:color w:val="FF0000"/>
                      <w:sz w:val="21"/>
                      <w:szCs w:val="21"/>
                      <w:lang w:val="en-US" w:eastAsia="zh-CN"/>
                    </w:rPr>
                    <w:t>2.35</w:t>
                  </w:r>
                </w:p>
              </w:tc>
              <w:tc>
                <w:tcPr>
                  <w:tcW w:w="650" w:type="dxa"/>
                  <w:tcBorders>
                    <w:tl2br w:val="nil"/>
                    <w:tr2bl w:val="nil"/>
                  </w:tcBorders>
                  <w:tcMar>
                    <w:top w:w="0" w:type="dxa"/>
                    <w:left w:w="0" w:type="dxa"/>
                    <w:bottom w:w="0" w:type="dxa"/>
                    <w:right w:w="0" w:type="dxa"/>
                  </w:tcMar>
                  <w:vAlign w:val="center"/>
                </w:tcPr>
                <w:p w14:paraId="20B5C54D">
                  <w:pPr>
                    <w:bidi w:val="0"/>
                    <w:jc w:val="center"/>
                    <w:rPr>
                      <w:rFonts w:hint="eastAsia" w:eastAsia="宋体"/>
                      <w:color w:val="FF0000"/>
                      <w:lang w:val="en-US" w:eastAsia="zh-CN"/>
                    </w:rPr>
                  </w:pPr>
                  <w:r>
                    <w:rPr>
                      <w:rFonts w:hint="eastAsia"/>
                      <w:color w:val="FF0000"/>
                      <w:lang w:val="en-US" w:eastAsia="zh-CN"/>
                    </w:rPr>
                    <w:t>/</w:t>
                  </w:r>
                </w:p>
              </w:tc>
              <w:tc>
                <w:tcPr>
                  <w:tcW w:w="731" w:type="dxa"/>
                  <w:tcBorders>
                    <w:tl2br w:val="nil"/>
                    <w:tr2bl w:val="nil"/>
                  </w:tcBorders>
                  <w:tcMar>
                    <w:top w:w="0" w:type="dxa"/>
                    <w:left w:w="0" w:type="dxa"/>
                    <w:bottom w:w="0" w:type="dxa"/>
                    <w:right w:w="0" w:type="dxa"/>
                  </w:tcMar>
                  <w:vAlign w:val="center"/>
                </w:tcPr>
                <w:p w14:paraId="7963254C">
                  <w:pPr>
                    <w:pStyle w:val="86"/>
                    <w:spacing w:line="240" w:lineRule="auto"/>
                    <w:ind w:firstLine="0" w:firstLineChars="0"/>
                    <w:jc w:val="center"/>
                    <w:rPr>
                      <w:rFonts w:hint="eastAsia"/>
                      <w:color w:val="FF0000"/>
                    </w:rPr>
                  </w:pPr>
                  <w:r>
                    <w:rPr>
                      <w:rFonts w:hint="eastAsia" w:ascii="Times New Roman" w:hAnsi="Times New Roman" w:eastAsia="宋体" w:cs="宋体"/>
                      <w:color w:val="FF0000"/>
                      <w:sz w:val="21"/>
                      <w:szCs w:val="21"/>
                      <w:lang w:val="en-US" w:eastAsia="zh-CN"/>
                    </w:rPr>
                    <w:t>2.35</w:t>
                  </w:r>
                </w:p>
              </w:tc>
              <w:tc>
                <w:tcPr>
                  <w:tcW w:w="819" w:type="dxa"/>
                  <w:tcBorders>
                    <w:tl2br w:val="nil"/>
                    <w:tr2bl w:val="nil"/>
                  </w:tcBorders>
                  <w:tcMar>
                    <w:top w:w="0" w:type="dxa"/>
                    <w:left w:w="0" w:type="dxa"/>
                    <w:bottom w:w="0" w:type="dxa"/>
                    <w:right w:w="0" w:type="dxa"/>
                  </w:tcMar>
                  <w:vAlign w:val="center"/>
                </w:tcPr>
                <w:p w14:paraId="425B66D5">
                  <w:pPr>
                    <w:bidi w:val="0"/>
                    <w:jc w:val="center"/>
                    <w:rPr>
                      <w:rFonts w:hint="eastAsia" w:eastAsia="宋体"/>
                      <w:color w:val="FF0000"/>
                      <w:lang w:val="en-US" w:eastAsia="zh-CN"/>
                    </w:rPr>
                  </w:pPr>
                  <w:r>
                    <w:rPr>
                      <w:rFonts w:hint="eastAsia"/>
                      <w:color w:val="FF0000"/>
                      <w:lang w:val="en-US" w:eastAsia="zh-CN"/>
                    </w:rPr>
                    <w:t>/</w:t>
                  </w:r>
                </w:p>
              </w:tc>
              <w:tc>
                <w:tcPr>
                  <w:tcW w:w="930" w:type="dxa"/>
                  <w:tcBorders>
                    <w:tl2br w:val="nil"/>
                    <w:tr2bl w:val="nil"/>
                  </w:tcBorders>
                  <w:tcMar>
                    <w:top w:w="0" w:type="dxa"/>
                    <w:left w:w="0" w:type="dxa"/>
                    <w:bottom w:w="0" w:type="dxa"/>
                    <w:right w:w="0" w:type="dxa"/>
                  </w:tcMar>
                  <w:vAlign w:val="center"/>
                </w:tcPr>
                <w:p w14:paraId="7C8B0824">
                  <w:pPr>
                    <w:pStyle w:val="86"/>
                    <w:spacing w:line="240" w:lineRule="auto"/>
                    <w:ind w:firstLine="0" w:firstLineChars="0"/>
                    <w:jc w:val="center"/>
                    <w:rPr>
                      <w:rFonts w:hint="eastAsia"/>
                      <w:color w:val="FF0000"/>
                    </w:rPr>
                  </w:pPr>
                  <w:r>
                    <w:rPr>
                      <w:rFonts w:hint="eastAsia" w:ascii="Times New Roman" w:hAnsi="Times New Roman" w:eastAsia="宋体" w:cs="宋体"/>
                      <w:color w:val="FF0000"/>
                      <w:sz w:val="21"/>
                      <w:szCs w:val="21"/>
                      <w:lang w:val="en-US" w:eastAsia="zh-CN"/>
                    </w:rPr>
                    <w:t>2.35</w:t>
                  </w:r>
                </w:p>
              </w:tc>
              <w:tc>
                <w:tcPr>
                  <w:tcW w:w="817" w:type="dxa"/>
                  <w:tcBorders>
                    <w:tl2br w:val="nil"/>
                    <w:tr2bl w:val="nil"/>
                  </w:tcBorders>
                  <w:tcMar>
                    <w:top w:w="0" w:type="dxa"/>
                    <w:left w:w="0" w:type="dxa"/>
                    <w:bottom w:w="0" w:type="dxa"/>
                    <w:right w:w="0" w:type="dxa"/>
                  </w:tcMar>
                  <w:vAlign w:val="center"/>
                </w:tcPr>
                <w:p w14:paraId="623C407C">
                  <w:pPr>
                    <w:bidi w:val="0"/>
                    <w:jc w:val="center"/>
                    <w:rPr>
                      <w:rFonts w:hint="default" w:eastAsia="宋体"/>
                      <w:color w:val="FF0000"/>
                      <w:lang w:val="en-US" w:eastAsia="zh-CN"/>
                    </w:rPr>
                  </w:pPr>
                  <w:r>
                    <w:rPr>
                      <w:rFonts w:hint="eastAsia"/>
                      <w:color w:val="FF0000"/>
                      <w:lang w:val="en-US" w:eastAsia="zh-CN"/>
                    </w:rPr>
                    <w:t>-0.59</w:t>
                  </w:r>
                </w:p>
              </w:tc>
            </w:tr>
            <w:tr w14:paraId="6CF1865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62" w:hRule="atLeast"/>
              </w:trPr>
              <w:tc>
                <w:tcPr>
                  <w:tcW w:w="788" w:type="dxa"/>
                  <w:vMerge w:val="continue"/>
                  <w:tcBorders>
                    <w:tl2br w:val="nil"/>
                    <w:tr2bl w:val="nil"/>
                  </w:tcBorders>
                  <w:tcMar>
                    <w:top w:w="0" w:type="dxa"/>
                    <w:left w:w="0" w:type="dxa"/>
                    <w:bottom w:w="0" w:type="dxa"/>
                    <w:right w:w="0" w:type="dxa"/>
                  </w:tcMar>
                  <w:vAlign w:val="center"/>
                </w:tcPr>
                <w:p w14:paraId="7DE2AC06">
                  <w:pPr>
                    <w:bidi w:val="0"/>
                    <w:jc w:val="center"/>
                    <w:rPr>
                      <w:rFonts w:hint="eastAsia"/>
                      <w:color w:val="FF0000"/>
                    </w:rPr>
                  </w:pPr>
                </w:p>
              </w:tc>
              <w:tc>
                <w:tcPr>
                  <w:tcW w:w="1161" w:type="dxa"/>
                  <w:tcBorders>
                    <w:tl2br w:val="nil"/>
                    <w:tr2bl w:val="nil"/>
                  </w:tcBorders>
                  <w:tcMar>
                    <w:top w:w="0" w:type="dxa"/>
                    <w:left w:w="0" w:type="dxa"/>
                    <w:bottom w:w="0" w:type="dxa"/>
                    <w:right w:w="0" w:type="dxa"/>
                  </w:tcMar>
                  <w:vAlign w:val="center"/>
                </w:tcPr>
                <w:p w14:paraId="486901EC">
                  <w:pPr>
                    <w:pStyle w:val="86"/>
                    <w:spacing w:line="240" w:lineRule="auto"/>
                    <w:ind w:firstLine="0" w:firstLineChars="0"/>
                    <w:jc w:val="center"/>
                    <w:rPr>
                      <w:rFonts w:hint="eastAsia"/>
                      <w:color w:val="FF0000"/>
                    </w:rPr>
                  </w:pPr>
                  <w:r>
                    <w:rPr>
                      <w:rFonts w:hint="eastAsia" w:ascii="Times New Roman" w:hAnsi="Times New Roman" w:eastAsia="宋体" w:cs="宋体"/>
                      <w:color w:val="FF0000"/>
                      <w:sz w:val="21"/>
                      <w:szCs w:val="21"/>
                      <w:lang w:val="en-US" w:eastAsia="zh-CN"/>
                    </w:rPr>
                    <w:t>废包装袋</w:t>
                  </w:r>
                </w:p>
              </w:tc>
              <w:tc>
                <w:tcPr>
                  <w:tcW w:w="810" w:type="dxa"/>
                  <w:tcBorders>
                    <w:tl2br w:val="nil"/>
                    <w:tr2bl w:val="nil"/>
                  </w:tcBorders>
                  <w:tcMar>
                    <w:top w:w="0" w:type="dxa"/>
                    <w:left w:w="0" w:type="dxa"/>
                    <w:bottom w:w="0" w:type="dxa"/>
                    <w:right w:w="0" w:type="dxa"/>
                  </w:tcMar>
                  <w:vAlign w:val="center"/>
                </w:tcPr>
                <w:p w14:paraId="1D5177FA">
                  <w:pPr>
                    <w:bidi w:val="0"/>
                    <w:jc w:val="center"/>
                    <w:rPr>
                      <w:color w:val="FF0000"/>
                    </w:rPr>
                  </w:pPr>
                  <w:r>
                    <w:rPr>
                      <w:color w:val="FF0000"/>
                    </w:rPr>
                    <w:t>t/a</w:t>
                  </w:r>
                </w:p>
              </w:tc>
              <w:tc>
                <w:tcPr>
                  <w:tcW w:w="904" w:type="dxa"/>
                  <w:tcBorders>
                    <w:tl2br w:val="nil"/>
                    <w:tr2bl w:val="nil"/>
                  </w:tcBorders>
                  <w:tcMar>
                    <w:top w:w="0" w:type="dxa"/>
                    <w:left w:w="0" w:type="dxa"/>
                    <w:bottom w:w="0" w:type="dxa"/>
                    <w:right w:w="0" w:type="dxa"/>
                  </w:tcMar>
                  <w:vAlign w:val="center"/>
                </w:tcPr>
                <w:p w14:paraId="13015378">
                  <w:pPr>
                    <w:pStyle w:val="86"/>
                    <w:spacing w:line="240" w:lineRule="auto"/>
                    <w:ind w:firstLine="0" w:firstLineChars="0"/>
                    <w:jc w:val="center"/>
                    <w:rPr>
                      <w:rFonts w:hint="default" w:ascii="Times New Roman" w:hAnsi="Times New Roman" w:eastAsia="宋体" w:cs="宋体"/>
                      <w:color w:val="FF0000"/>
                      <w:sz w:val="21"/>
                      <w:szCs w:val="21"/>
                      <w:lang w:val="en-US" w:eastAsia="zh-CN"/>
                    </w:rPr>
                  </w:pPr>
                  <w:r>
                    <w:rPr>
                      <w:rFonts w:hint="eastAsia" w:ascii="Times New Roman" w:hAnsi="Times New Roman" w:eastAsia="宋体" w:cs="宋体"/>
                      <w:color w:val="FF0000"/>
                      <w:sz w:val="21"/>
                      <w:szCs w:val="21"/>
                      <w:lang w:val="en-US" w:eastAsia="zh-CN"/>
                    </w:rPr>
                    <w:t>0.32</w:t>
                  </w:r>
                </w:p>
              </w:tc>
              <w:tc>
                <w:tcPr>
                  <w:tcW w:w="687" w:type="dxa"/>
                  <w:tcBorders>
                    <w:tl2br w:val="nil"/>
                    <w:tr2bl w:val="nil"/>
                  </w:tcBorders>
                  <w:tcMar>
                    <w:top w:w="0" w:type="dxa"/>
                    <w:left w:w="0" w:type="dxa"/>
                    <w:bottom w:w="0" w:type="dxa"/>
                    <w:right w:w="0" w:type="dxa"/>
                  </w:tcMar>
                  <w:vAlign w:val="center"/>
                </w:tcPr>
                <w:p w14:paraId="15F34692">
                  <w:pPr>
                    <w:pStyle w:val="86"/>
                    <w:spacing w:line="240" w:lineRule="auto"/>
                    <w:ind w:firstLine="0" w:firstLineChars="0"/>
                    <w:jc w:val="center"/>
                    <w:rPr>
                      <w:rFonts w:hint="eastAsia"/>
                      <w:color w:val="FF0000"/>
                    </w:rPr>
                  </w:pPr>
                  <w:r>
                    <w:rPr>
                      <w:rFonts w:hint="eastAsia" w:ascii="Times New Roman" w:hAnsi="Times New Roman" w:eastAsia="宋体" w:cs="宋体"/>
                      <w:color w:val="FF0000"/>
                      <w:sz w:val="21"/>
                      <w:szCs w:val="21"/>
                      <w:lang w:val="en-US" w:eastAsia="zh-CN"/>
                    </w:rPr>
                    <w:t>0.3</w:t>
                  </w:r>
                </w:p>
              </w:tc>
              <w:tc>
                <w:tcPr>
                  <w:tcW w:w="650" w:type="dxa"/>
                  <w:tcBorders>
                    <w:tl2br w:val="nil"/>
                    <w:tr2bl w:val="nil"/>
                  </w:tcBorders>
                  <w:tcMar>
                    <w:top w:w="0" w:type="dxa"/>
                    <w:left w:w="0" w:type="dxa"/>
                    <w:bottom w:w="0" w:type="dxa"/>
                    <w:right w:w="0" w:type="dxa"/>
                  </w:tcMar>
                  <w:vAlign w:val="center"/>
                </w:tcPr>
                <w:p w14:paraId="36561C3D">
                  <w:pPr>
                    <w:bidi w:val="0"/>
                    <w:jc w:val="center"/>
                    <w:rPr>
                      <w:rFonts w:hint="eastAsia" w:eastAsia="宋体"/>
                      <w:color w:val="FF0000"/>
                      <w:lang w:val="en-US" w:eastAsia="zh-CN"/>
                    </w:rPr>
                  </w:pPr>
                  <w:r>
                    <w:rPr>
                      <w:rFonts w:hint="eastAsia"/>
                      <w:color w:val="FF0000"/>
                      <w:lang w:val="en-US" w:eastAsia="zh-CN"/>
                    </w:rPr>
                    <w:t>/</w:t>
                  </w:r>
                </w:p>
              </w:tc>
              <w:tc>
                <w:tcPr>
                  <w:tcW w:w="731" w:type="dxa"/>
                  <w:tcBorders>
                    <w:tl2br w:val="nil"/>
                    <w:tr2bl w:val="nil"/>
                  </w:tcBorders>
                  <w:tcMar>
                    <w:top w:w="0" w:type="dxa"/>
                    <w:left w:w="0" w:type="dxa"/>
                    <w:bottom w:w="0" w:type="dxa"/>
                    <w:right w:w="0" w:type="dxa"/>
                  </w:tcMar>
                  <w:vAlign w:val="center"/>
                </w:tcPr>
                <w:p w14:paraId="6A80A027">
                  <w:pPr>
                    <w:pStyle w:val="86"/>
                    <w:spacing w:line="240" w:lineRule="auto"/>
                    <w:ind w:firstLine="0" w:firstLineChars="0"/>
                    <w:jc w:val="center"/>
                    <w:rPr>
                      <w:rFonts w:hint="eastAsia"/>
                      <w:color w:val="FF0000"/>
                    </w:rPr>
                  </w:pPr>
                  <w:r>
                    <w:rPr>
                      <w:rFonts w:hint="eastAsia" w:ascii="Times New Roman" w:hAnsi="Times New Roman" w:eastAsia="宋体" w:cs="宋体"/>
                      <w:color w:val="FF0000"/>
                      <w:sz w:val="21"/>
                      <w:szCs w:val="21"/>
                      <w:lang w:val="en-US" w:eastAsia="zh-CN"/>
                    </w:rPr>
                    <w:t>0.3</w:t>
                  </w:r>
                </w:p>
              </w:tc>
              <w:tc>
                <w:tcPr>
                  <w:tcW w:w="819" w:type="dxa"/>
                  <w:tcBorders>
                    <w:tl2br w:val="nil"/>
                    <w:tr2bl w:val="nil"/>
                  </w:tcBorders>
                  <w:tcMar>
                    <w:top w:w="0" w:type="dxa"/>
                    <w:left w:w="0" w:type="dxa"/>
                    <w:bottom w:w="0" w:type="dxa"/>
                    <w:right w:w="0" w:type="dxa"/>
                  </w:tcMar>
                  <w:vAlign w:val="center"/>
                </w:tcPr>
                <w:p w14:paraId="0289F64A">
                  <w:pPr>
                    <w:bidi w:val="0"/>
                    <w:jc w:val="center"/>
                    <w:rPr>
                      <w:rFonts w:hint="eastAsia" w:eastAsia="宋体"/>
                      <w:color w:val="FF0000"/>
                      <w:lang w:val="en-US" w:eastAsia="zh-CN"/>
                    </w:rPr>
                  </w:pPr>
                  <w:r>
                    <w:rPr>
                      <w:rFonts w:hint="eastAsia"/>
                      <w:color w:val="FF0000"/>
                      <w:lang w:val="en-US" w:eastAsia="zh-CN"/>
                    </w:rPr>
                    <w:t>/</w:t>
                  </w:r>
                </w:p>
              </w:tc>
              <w:tc>
                <w:tcPr>
                  <w:tcW w:w="930" w:type="dxa"/>
                  <w:tcBorders>
                    <w:tl2br w:val="nil"/>
                    <w:tr2bl w:val="nil"/>
                  </w:tcBorders>
                  <w:tcMar>
                    <w:top w:w="0" w:type="dxa"/>
                    <w:left w:w="0" w:type="dxa"/>
                    <w:bottom w:w="0" w:type="dxa"/>
                    <w:right w:w="0" w:type="dxa"/>
                  </w:tcMar>
                  <w:vAlign w:val="center"/>
                </w:tcPr>
                <w:p w14:paraId="0243FF84">
                  <w:pPr>
                    <w:pStyle w:val="86"/>
                    <w:spacing w:line="240" w:lineRule="auto"/>
                    <w:ind w:firstLine="0" w:firstLineChars="0"/>
                    <w:jc w:val="center"/>
                    <w:rPr>
                      <w:rFonts w:hint="eastAsia"/>
                      <w:color w:val="FF0000"/>
                    </w:rPr>
                  </w:pPr>
                  <w:r>
                    <w:rPr>
                      <w:rFonts w:hint="eastAsia" w:ascii="Times New Roman" w:hAnsi="Times New Roman" w:eastAsia="宋体" w:cs="宋体"/>
                      <w:color w:val="FF0000"/>
                      <w:sz w:val="21"/>
                      <w:szCs w:val="21"/>
                      <w:lang w:val="en-US" w:eastAsia="zh-CN"/>
                    </w:rPr>
                    <w:t>0.3</w:t>
                  </w:r>
                </w:p>
              </w:tc>
              <w:tc>
                <w:tcPr>
                  <w:tcW w:w="817" w:type="dxa"/>
                  <w:tcBorders>
                    <w:tl2br w:val="nil"/>
                    <w:tr2bl w:val="nil"/>
                  </w:tcBorders>
                  <w:tcMar>
                    <w:top w:w="0" w:type="dxa"/>
                    <w:left w:w="0" w:type="dxa"/>
                    <w:bottom w:w="0" w:type="dxa"/>
                    <w:right w:w="0" w:type="dxa"/>
                  </w:tcMar>
                  <w:vAlign w:val="center"/>
                </w:tcPr>
                <w:p w14:paraId="72FC7021">
                  <w:pPr>
                    <w:bidi w:val="0"/>
                    <w:jc w:val="center"/>
                    <w:rPr>
                      <w:rFonts w:hint="default" w:eastAsia="宋体"/>
                      <w:color w:val="FF0000"/>
                      <w:lang w:val="en-US" w:eastAsia="zh-CN"/>
                    </w:rPr>
                  </w:pPr>
                  <w:r>
                    <w:rPr>
                      <w:rFonts w:hint="eastAsia"/>
                      <w:color w:val="FF0000"/>
                      <w:lang w:val="en-US" w:eastAsia="zh-CN"/>
                    </w:rPr>
                    <w:t>-0.02</w:t>
                  </w:r>
                </w:p>
              </w:tc>
            </w:tr>
            <w:tr w14:paraId="0EA34BF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20" w:hRule="atLeast"/>
              </w:trPr>
              <w:tc>
                <w:tcPr>
                  <w:tcW w:w="788" w:type="dxa"/>
                  <w:vMerge w:val="continue"/>
                  <w:tcBorders>
                    <w:tl2br w:val="nil"/>
                    <w:tr2bl w:val="nil"/>
                  </w:tcBorders>
                  <w:tcMar>
                    <w:top w:w="0" w:type="dxa"/>
                    <w:left w:w="0" w:type="dxa"/>
                    <w:bottom w:w="0" w:type="dxa"/>
                    <w:right w:w="0" w:type="dxa"/>
                  </w:tcMar>
                  <w:vAlign w:val="center"/>
                </w:tcPr>
                <w:p w14:paraId="22316ACC">
                  <w:pPr>
                    <w:bidi w:val="0"/>
                    <w:jc w:val="center"/>
                    <w:rPr>
                      <w:rFonts w:hint="eastAsia"/>
                      <w:color w:val="FF0000"/>
                    </w:rPr>
                  </w:pPr>
                </w:p>
              </w:tc>
              <w:tc>
                <w:tcPr>
                  <w:tcW w:w="1161" w:type="dxa"/>
                  <w:tcBorders>
                    <w:tl2br w:val="nil"/>
                    <w:tr2bl w:val="nil"/>
                  </w:tcBorders>
                  <w:tcMar>
                    <w:top w:w="0" w:type="dxa"/>
                    <w:left w:w="0" w:type="dxa"/>
                    <w:bottom w:w="0" w:type="dxa"/>
                    <w:right w:w="0" w:type="dxa"/>
                  </w:tcMar>
                  <w:vAlign w:val="center"/>
                </w:tcPr>
                <w:p w14:paraId="1B0E13C9">
                  <w:pPr>
                    <w:pStyle w:val="86"/>
                    <w:spacing w:line="240" w:lineRule="auto"/>
                    <w:ind w:firstLine="0" w:firstLineChars="0"/>
                    <w:jc w:val="center"/>
                    <w:rPr>
                      <w:rFonts w:hint="eastAsia" w:ascii="Times New Roman" w:hAnsi="Times New Roman" w:eastAsia="宋体" w:cs="宋体"/>
                      <w:color w:val="FF0000"/>
                      <w:sz w:val="21"/>
                      <w:szCs w:val="21"/>
                      <w:lang w:val="en-US" w:eastAsia="zh-CN"/>
                    </w:rPr>
                  </w:pPr>
                  <w:r>
                    <w:rPr>
                      <w:rFonts w:hint="eastAsia"/>
                      <w:color w:val="FF0000"/>
                      <w:sz w:val="21"/>
                      <w:szCs w:val="21"/>
                    </w:rPr>
                    <w:t>生活垃圾</w:t>
                  </w:r>
                </w:p>
              </w:tc>
              <w:tc>
                <w:tcPr>
                  <w:tcW w:w="810" w:type="dxa"/>
                  <w:tcBorders>
                    <w:tl2br w:val="nil"/>
                    <w:tr2bl w:val="nil"/>
                  </w:tcBorders>
                  <w:tcMar>
                    <w:top w:w="0" w:type="dxa"/>
                    <w:left w:w="0" w:type="dxa"/>
                    <w:bottom w:w="0" w:type="dxa"/>
                    <w:right w:w="0" w:type="dxa"/>
                  </w:tcMar>
                  <w:vAlign w:val="center"/>
                </w:tcPr>
                <w:p w14:paraId="677C1353">
                  <w:pPr>
                    <w:bidi w:val="0"/>
                    <w:jc w:val="center"/>
                    <w:rPr>
                      <w:color w:val="FF0000"/>
                    </w:rPr>
                  </w:pPr>
                  <w:r>
                    <w:rPr>
                      <w:color w:val="FF0000"/>
                    </w:rPr>
                    <w:t>t/a</w:t>
                  </w:r>
                </w:p>
              </w:tc>
              <w:tc>
                <w:tcPr>
                  <w:tcW w:w="904" w:type="dxa"/>
                  <w:tcBorders>
                    <w:tl2br w:val="nil"/>
                    <w:tr2bl w:val="nil"/>
                  </w:tcBorders>
                  <w:tcMar>
                    <w:top w:w="0" w:type="dxa"/>
                    <w:left w:w="0" w:type="dxa"/>
                    <w:bottom w:w="0" w:type="dxa"/>
                    <w:right w:w="0" w:type="dxa"/>
                  </w:tcMar>
                  <w:vAlign w:val="center"/>
                </w:tcPr>
                <w:p w14:paraId="5C0A9D5F">
                  <w:pPr>
                    <w:pStyle w:val="86"/>
                    <w:spacing w:line="240" w:lineRule="auto"/>
                    <w:ind w:firstLine="0" w:firstLineChars="0"/>
                    <w:jc w:val="center"/>
                    <w:rPr>
                      <w:rFonts w:hint="default" w:ascii="Times New Roman" w:hAnsi="Times New Roman" w:eastAsia="宋体" w:cs="宋体"/>
                      <w:color w:val="FF0000"/>
                      <w:sz w:val="21"/>
                      <w:szCs w:val="21"/>
                      <w:lang w:val="en-US" w:eastAsia="zh-CN"/>
                    </w:rPr>
                  </w:pPr>
                  <w:r>
                    <w:rPr>
                      <w:rFonts w:hint="eastAsia" w:ascii="Times New Roman" w:hAnsi="Times New Roman" w:eastAsia="宋体" w:cs="宋体"/>
                      <w:color w:val="FF0000"/>
                      <w:sz w:val="21"/>
                      <w:szCs w:val="21"/>
                      <w:lang w:val="en-US" w:eastAsia="zh-CN"/>
                    </w:rPr>
                    <w:t>6</w:t>
                  </w:r>
                </w:p>
              </w:tc>
              <w:tc>
                <w:tcPr>
                  <w:tcW w:w="687" w:type="dxa"/>
                  <w:tcBorders>
                    <w:tl2br w:val="nil"/>
                    <w:tr2bl w:val="nil"/>
                  </w:tcBorders>
                  <w:tcMar>
                    <w:top w:w="0" w:type="dxa"/>
                    <w:left w:w="0" w:type="dxa"/>
                    <w:bottom w:w="0" w:type="dxa"/>
                    <w:right w:w="0" w:type="dxa"/>
                  </w:tcMar>
                  <w:vAlign w:val="center"/>
                </w:tcPr>
                <w:p w14:paraId="1BF9A133">
                  <w:pPr>
                    <w:bidi w:val="0"/>
                    <w:jc w:val="center"/>
                    <w:rPr>
                      <w:rFonts w:hint="default" w:eastAsia="宋体"/>
                      <w:color w:val="FF0000"/>
                      <w:lang w:val="en-US" w:eastAsia="zh-CN"/>
                    </w:rPr>
                  </w:pPr>
                  <w:r>
                    <w:rPr>
                      <w:rFonts w:hint="eastAsia"/>
                      <w:color w:val="FF0000"/>
                      <w:lang w:val="en-US" w:eastAsia="zh-CN"/>
                    </w:rPr>
                    <w:t>4.5</w:t>
                  </w:r>
                </w:p>
              </w:tc>
              <w:tc>
                <w:tcPr>
                  <w:tcW w:w="650" w:type="dxa"/>
                  <w:tcBorders>
                    <w:tl2br w:val="nil"/>
                    <w:tr2bl w:val="nil"/>
                  </w:tcBorders>
                  <w:tcMar>
                    <w:top w:w="0" w:type="dxa"/>
                    <w:left w:w="0" w:type="dxa"/>
                    <w:bottom w:w="0" w:type="dxa"/>
                    <w:right w:w="0" w:type="dxa"/>
                  </w:tcMar>
                  <w:vAlign w:val="center"/>
                </w:tcPr>
                <w:p w14:paraId="3A23F8CB">
                  <w:pPr>
                    <w:bidi w:val="0"/>
                    <w:jc w:val="center"/>
                    <w:rPr>
                      <w:rFonts w:hint="eastAsia" w:eastAsia="宋体"/>
                      <w:color w:val="FF0000"/>
                      <w:lang w:val="en-US" w:eastAsia="zh-CN"/>
                    </w:rPr>
                  </w:pPr>
                  <w:r>
                    <w:rPr>
                      <w:rFonts w:hint="eastAsia"/>
                      <w:color w:val="FF0000"/>
                      <w:lang w:val="en-US" w:eastAsia="zh-CN"/>
                    </w:rPr>
                    <w:t>/</w:t>
                  </w:r>
                </w:p>
              </w:tc>
              <w:tc>
                <w:tcPr>
                  <w:tcW w:w="731" w:type="dxa"/>
                  <w:tcBorders>
                    <w:tl2br w:val="nil"/>
                    <w:tr2bl w:val="nil"/>
                  </w:tcBorders>
                  <w:tcMar>
                    <w:top w:w="0" w:type="dxa"/>
                    <w:left w:w="0" w:type="dxa"/>
                    <w:bottom w:w="0" w:type="dxa"/>
                    <w:right w:w="0" w:type="dxa"/>
                  </w:tcMar>
                  <w:vAlign w:val="center"/>
                </w:tcPr>
                <w:p w14:paraId="1AA418F6">
                  <w:pPr>
                    <w:bidi w:val="0"/>
                    <w:jc w:val="center"/>
                    <w:rPr>
                      <w:rFonts w:hint="eastAsia"/>
                      <w:color w:val="FF0000"/>
                    </w:rPr>
                  </w:pPr>
                  <w:r>
                    <w:rPr>
                      <w:rFonts w:hint="eastAsia"/>
                      <w:color w:val="FF0000"/>
                      <w:lang w:val="en-US" w:eastAsia="zh-CN"/>
                    </w:rPr>
                    <w:t>4.5</w:t>
                  </w:r>
                </w:p>
              </w:tc>
              <w:tc>
                <w:tcPr>
                  <w:tcW w:w="819" w:type="dxa"/>
                  <w:tcBorders>
                    <w:tl2br w:val="nil"/>
                    <w:tr2bl w:val="nil"/>
                  </w:tcBorders>
                  <w:tcMar>
                    <w:top w:w="0" w:type="dxa"/>
                    <w:left w:w="0" w:type="dxa"/>
                    <w:bottom w:w="0" w:type="dxa"/>
                    <w:right w:w="0" w:type="dxa"/>
                  </w:tcMar>
                  <w:vAlign w:val="center"/>
                </w:tcPr>
                <w:p w14:paraId="30A3C244">
                  <w:pPr>
                    <w:bidi w:val="0"/>
                    <w:jc w:val="center"/>
                    <w:rPr>
                      <w:rFonts w:hint="eastAsia" w:eastAsia="宋体"/>
                      <w:color w:val="FF0000"/>
                      <w:lang w:val="en-US" w:eastAsia="zh-CN"/>
                    </w:rPr>
                  </w:pPr>
                  <w:r>
                    <w:rPr>
                      <w:rFonts w:hint="eastAsia"/>
                      <w:color w:val="FF0000"/>
                      <w:lang w:val="en-US" w:eastAsia="zh-CN"/>
                    </w:rPr>
                    <w:t>/</w:t>
                  </w:r>
                </w:p>
              </w:tc>
              <w:tc>
                <w:tcPr>
                  <w:tcW w:w="930" w:type="dxa"/>
                  <w:tcBorders>
                    <w:tl2br w:val="nil"/>
                    <w:tr2bl w:val="nil"/>
                  </w:tcBorders>
                  <w:tcMar>
                    <w:top w:w="0" w:type="dxa"/>
                    <w:left w:w="0" w:type="dxa"/>
                    <w:bottom w:w="0" w:type="dxa"/>
                    <w:right w:w="0" w:type="dxa"/>
                  </w:tcMar>
                  <w:vAlign w:val="center"/>
                </w:tcPr>
                <w:p w14:paraId="4C3F8005">
                  <w:pPr>
                    <w:bidi w:val="0"/>
                    <w:jc w:val="center"/>
                    <w:rPr>
                      <w:rFonts w:hint="eastAsia"/>
                      <w:color w:val="FF0000"/>
                    </w:rPr>
                  </w:pPr>
                  <w:r>
                    <w:rPr>
                      <w:rFonts w:hint="eastAsia"/>
                      <w:color w:val="FF0000"/>
                      <w:lang w:val="en-US" w:eastAsia="zh-CN"/>
                    </w:rPr>
                    <w:t>4.5</w:t>
                  </w:r>
                </w:p>
              </w:tc>
              <w:tc>
                <w:tcPr>
                  <w:tcW w:w="817" w:type="dxa"/>
                  <w:tcBorders>
                    <w:tl2br w:val="nil"/>
                    <w:tr2bl w:val="nil"/>
                  </w:tcBorders>
                  <w:tcMar>
                    <w:top w:w="0" w:type="dxa"/>
                    <w:left w:w="0" w:type="dxa"/>
                    <w:bottom w:w="0" w:type="dxa"/>
                    <w:right w:w="0" w:type="dxa"/>
                  </w:tcMar>
                  <w:vAlign w:val="center"/>
                </w:tcPr>
                <w:p w14:paraId="07E80B65">
                  <w:pPr>
                    <w:bidi w:val="0"/>
                    <w:jc w:val="center"/>
                    <w:rPr>
                      <w:rFonts w:hint="default" w:eastAsia="宋体"/>
                      <w:color w:val="FF0000"/>
                      <w:lang w:val="en-US" w:eastAsia="zh-CN"/>
                    </w:rPr>
                  </w:pPr>
                  <w:r>
                    <w:rPr>
                      <w:rFonts w:hint="eastAsia"/>
                      <w:color w:val="FF0000"/>
                      <w:lang w:val="en-US" w:eastAsia="zh-CN"/>
                    </w:rPr>
                    <w:t>-1.5</w:t>
                  </w:r>
                </w:p>
              </w:tc>
            </w:tr>
            <w:tr w14:paraId="254996D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90" w:hRule="atLeast"/>
              </w:trPr>
              <w:tc>
                <w:tcPr>
                  <w:tcW w:w="788" w:type="dxa"/>
                  <w:vMerge w:val="restart"/>
                  <w:tcBorders>
                    <w:tl2br w:val="nil"/>
                    <w:tr2bl w:val="nil"/>
                  </w:tcBorders>
                  <w:tcMar>
                    <w:top w:w="0" w:type="dxa"/>
                    <w:left w:w="0" w:type="dxa"/>
                    <w:bottom w:w="0" w:type="dxa"/>
                    <w:right w:w="0" w:type="dxa"/>
                  </w:tcMar>
                  <w:vAlign w:val="center"/>
                </w:tcPr>
                <w:p w14:paraId="6850EA68">
                  <w:pPr>
                    <w:bidi w:val="0"/>
                    <w:jc w:val="center"/>
                    <w:rPr>
                      <w:rFonts w:hint="eastAsia" w:eastAsia="宋体"/>
                      <w:color w:val="FF0000"/>
                      <w:lang w:val="en-US" w:eastAsia="zh-CN"/>
                    </w:rPr>
                  </w:pPr>
                  <w:r>
                    <w:rPr>
                      <w:rFonts w:hint="eastAsia"/>
                      <w:color w:val="FF0000"/>
                      <w:lang w:val="en-US" w:eastAsia="zh-CN"/>
                    </w:rPr>
                    <w:t>危险废物</w:t>
                  </w:r>
                </w:p>
              </w:tc>
              <w:tc>
                <w:tcPr>
                  <w:tcW w:w="1161" w:type="dxa"/>
                  <w:tcBorders>
                    <w:tl2br w:val="nil"/>
                    <w:tr2bl w:val="nil"/>
                  </w:tcBorders>
                  <w:tcMar>
                    <w:top w:w="0" w:type="dxa"/>
                    <w:left w:w="0" w:type="dxa"/>
                    <w:bottom w:w="0" w:type="dxa"/>
                    <w:right w:w="0" w:type="dxa"/>
                  </w:tcMar>
                  <w:vAlign w:val="center"/>
                </w:tcPr>
                <w:p w14:paraId="75FE78BF">
                  <w:pPr>
                    <w:pStyle w:val="86"/>
                    <w:spacing w:line="240" w:lineRule="auto"/>
                    <w:ind w:firstLine="0" w:firstLineChars="0"/>
                    <w:jc w:val="center"/>
                    <w:rPr>
                      <w:rFonts w:hint="eastAsia"/>
                      <w:color w:val="FF0000"/>
                    </w:rPr>
                  </w:pPr>
                  <w:r>
                    <w:rPr>
                      <w:rFonts w:hint="eastAsia" w:ascii="Times New Roman" w:hAnsi="Times New Roman" w:eastAsia="宋体" w:cs="宋体"/>
                      <w:color w:val="FF0000"/>
                      <w:sz w:val="21"/>
                      <w:szCs w:val="21"/>
                    </w:rPr>
                    <w:t>废活性炭</w:t>
                  </w:r>
                </w:p>
              </w:tc>
              <w:tc>
                <w:tcPr>
                  <w:tcW w:w="810" w:type="dxa"/>
                  <w:tcBorders>
                    <w:tl2br w:val="nil"/>
                    <w:tr2bl w:val="nil"/>
                  </w:tcBorders>
                  <w:tcMar>
                    <w:top w:w="0" w:type="dxa"/>
                    <w:left w:w="0" w:type="dxa"/>
                    <w:bottom w:w="0" w:type="dxa"/>
                    <w:right w:w="0" w:type="dxa"/>
                  </w:tcMar>
                  <w:vAlign w:val="center"/>
                </w:tcPr>
                <w:p w14:paraId="2A097C61">
                  <w:pPr>
                    <w:bidi w:val="0"/>
                    <w:jc w:val="center"/>
                    <w:rPr>
                      <w:color w:val="FF0000"/>
                    </w:rPr>
                  </w:pPr>
                  <w:r>
                    <w:rPr>
                      <w:color w:val="FF0000"/>
                    </w:rPr>
                    <w:t>t/a</w:t>
                  </w:r>
                </w:p>
              </w:tc>
              <w:tc>
                <w:tcPr>
                  <w:tcW w:w="904" w:type="dxa"/>
                  <w:tcBorders>
                    <w:tl2br w:val="nil"/>
                    <w:tr2bl w:val="nil"/>
                  </w:tcBorders>
                  <w:tcMar>
                    <w:top w:w="0" w:type="dxa"/>
                    <w:left w:w="0" w:type="dxa"/>
                    <w:bottom w:w="0" w:type="dxa"/>
                    <w:right w:w="0" w:type="dxa"/>
                  </w:tcMar>
                  <w:vAlign w:val="center"/>
                </w:tcPr>
                <w:p w14:paraId="5FAC4857">
                  <w:pPr>
                    <w:pStyle w:val="86"/>
                    <w:spacing w:line="240" w:lineRule="auto"/>
                    <w:ind w:firstLine="0" w:firstLineChars="0"/>
                    <w:jc w:val="center"/>
                    <w:rPr>
                      <w:rFonts w:hint="eastAsia" w:ascii="Times New Roman" w:hAnsi="Times New Roman" w:eastAsia="宋体" w:cs="宋体"/>
                      <w:color w:val="FF0000"/>
                      <w:sz w:val="21"/>
                      <w:szCs w:val="21"/>
                      <w:lang w:val="en-US" w:eastAsia="zh-CN"/>
                    </w:rPr>
                  </w:pPr>
                  <w:r>
                    <w:rPr>
                      <w:rFonts w:hint="eastAsia" w:ascii="Times New Roman" w:hAnsi="Times New Roman" w:eastAsia="宋体" w:cs="宋体"/>
                      <w:color w:val="FF0000"/>
                      <w:sz w:val="21"/>
                      <w:szCs w:val="21"/>
                      <w:lang w:val="en-US" w:eastAsia="zh-CN"/>
                    </w:rPr>
                    <w:t>6.24</w:t>
                  </w:r>
                </w:p>
              </w:tc>
              <w:tc>
                <w:tcPr>
                  <w:tcW w:w="687" w:type="dxa"/>
                  <w:tcBorders>
                    <w:tl2br w:val="nil"/>
                    <w:tr2bl w:val="nil"/>
                  </w:tcBorders>
                  <w:tcMar>
                    <w:top w:w="0" w:type="dxa"/>
                    <w:left w:w="0" w:type="dxa"/>
                    <w:bottom w:w="0" w:type="dxa"/>
                    <w:right w:w="0" w:type="dxa"/>
                  </w:tcMar>
                  <w:vAlign w:val="center"/>
                </w:tcPr>
                <w:p w14:paraId="746A1A95">
                  <w:pPr>
                    <w:bidi w:val="0"/>
                    <w:jc w:val="center"/>
                    <w:rPr>
                      <w:rFonts w:hint="eastAsia"/>
                      <w:color w:val="FF0000"/>
                    </w:rPr>
                  </w:pPr>
                  <w:r>
                    <w:rPr>
                      <w:rFonts w:hint="eastAsia"/>
                      <w:color w:val="FF0000"/>
                      <w:sz w:val="21"/>
                      <w:szCs w:val="21"/>
                    </w:rPr>
                    <w:t>4.5</w:t>
                  </w:r>
                  <w:r>
                    <w:rPr>
                      <w:rFonts w:hint="eastAsia"/>
                      <w:color w:val="FF0000"/>
                      <w:sz w:val="21"/>
                      <w:szCs w:val="21"/>
                      <w:lang w:val="en-US" w:eastAsia="zh-CN"/>
                    </w:rPr>
                    <w:t>3</w:t>
                  </w:r>
                </w:p>
              </w:tc>
              <w:tc>
                <w:tcPr>
                  <w:tcW w:w="650" w:type="dxa"/>
                  <w:tcBorders>
                    <w:tl2br w:val="nil"/>
                    <w:tr2bl w:val="nil"/>
                  </w:tcBorders>
                  <w:tcMar>
                    <w:top w:w="0" w:type="dxa"/>
                    <w:left w:w="0" w:type="dxa"/>
                    <w:bottom w:w="0" w:type="dxa"/>
                    <w:right w:w="0" w:type="dxa"/>
                  </w:tcMar>
                  <w:vAlign w:val="center"/>
                </w:tcPr>
                <w:p w14:paraId="537389D5">
                  <w:pPr>
                    <w:bidi w:val="0"/>
                    <w:jc w:val="center"/>
                    <w:rPr>
                      <w:rFonts w:hint="eastAsia" w:eastAsia="宋体"/>
                      <w:color w:val="FF0000"/>
                      <w:lang w:val="en-US" w:eastAsia="zh-CN"/>
                    </w:rPr>
                  </w:pPr>
                  <w:r>
                    <w:rPr>
                      <w:rFonts w:hint="eastAsia"/>
                      <w:color w:val="FF0000"/>
                      <w:lang w:val="en-US" w:eastAsia="zh-CN"/>
                    </w:rPr>
                    <w:t>/</w:t>
                  </w:r>
                </w:p>
              </w:tc>
              <w:tc>
                <w:tcPr>
                  <w:tcW w:w="731" w:type="dxa"/>
                  <w:tcBorders>
                    <w:tl2br w:val="nil"/>
                    <w:tr2bl w:val="nil"/>
                  </w:tcBorders>
                  <w:tcMar>
                    <w:top w:w="0" w:type="dxa"/>
                    <w:left w:w="0" w:type="dxa"/>
                    <w:bottom w:w="0" w:type="dxa"/>
                    <w:right w:w="0" w:type="dxa"/>
                  </w:tcMar>
                  <w:vAlign w:val="center"/>
                </w:tcPr>
                <w:p w14:paraId="3569B5EC">
                  <w:pPr>
                    <w:bidi w:val="0"/>
                    <w:jc w:val="center"/>
                    <w:rPr>
                      <w:rFonts w:hint="eastAsia"/>
                      <w:color w:val="FF0000"/>
                    </w:rPr>
                  </w:pPr>
                  <w:r>
                    <w:rPr>
                      <w:rFonts w:hint="eastAsia"/>
                      <w:color w:val="FF0000"/>
                      <w:sz w:val="21"/>
                      <w:szCs w:val="21"/>
                    </w:rPr>
                    <w:t>4.5</w:t>
                  </w:r>
                  <w:r>
                    <w:rPr>
                      <w:rFonts w:hint="eastAsia"/>
                      <w:color w:val="FF0000"/>
                      <w:sz w:val="21"/>
                      <w:szCs w:val="21"/>
                      <w:lang w:val="en-US" w:eastAsia="zh-CN"/>
                    </w:rPr>
                    <w:t>3</w:t>
                  </w:r>
                </w:p>
              </w:tc>
              <w:tc>
                <w:tcPr>
                  <w:tcW w:w="819" w:type="dxa"/>
                  <w:tcBorders>
                    <w:tl2br w:val="nil"/>
                    <w:tr2bl w:val="nil"/>
                  </w:tcBorders>
                  <w:tcMar>
                    <w:top w:w="0" w:type="dxa"/>
                    <w:left w:w="0" w:type="dxa"/>
                    <w:bottom w:w="0" w:type="dxa"/>
                    <w:right w:w="0" w:type="dxa"/>
                  </w:tcMar>
                  <w:vAlign w:val="center"/>
                </w:tcPr>
                <w:p w14:paraId="45E8CD79">
                  <w:pPr>
                    <w:bidi w:val="0"/>
                    <w:jc w:val="center"/>
                    <w:rPr>
                      <w:rFonts w:hint="eastAsia" w:eastAsia="宋体"/>
                      <w:color w:val="FF0000"/>
                      <w:lang w:val="en-US" w:eastAsia="zh-CN"/>
                    </w:rPr>
                  </w:pPr>
                  <w:r>
                    <w:rPr>
                      <w:rFonts w:hint="eastAsia"/>
                      <w:color w:val="FF0000"/>
                      <w:lang w:val="en-US" w:eastAsia="zh-CN"/>
                    </w:rPr>
                    <w:t>/</w:t>
                  </w:r>
                </w:p>
              </w:tc>
              <w:tc>
                <w:tcPr>
                  <w:tcW w:w="930" w:type="dxa"/>
                  <w:tcBorders>
                    <w:tl2br w:val="nil"/>
                    <w:tr2bl w:val="nil"/>
                  </w:tcBorders>
                  <w:tcMar>
                    <w:top w:w="0" w:type="dxa"/>
                    <w:left w:w="0" w:type="dxa"/>
                    <w:bottom w:w="0" w:type="dxa"/>
                    <w:right w:w="0" w:type="dxa"/>
                  </w:tcMar>
                  <w:vAlign w:val="center"/>
                </w:tcPr>
                <w:p w14:paraId="2EE20A67">
                  <w:pPr>
                    <w:bidi w:val="0"/>
                    <w:jc w:val="center"/>
                    <w:rPr>
                      <w:rFonts w:hint="eastAsia"/>
                      <w:color w:val="FF0000"/>
                    </w:rPr>
                  </w:pPr>
                  <w:r>
                    <w:rPr>
                      <w:rFonts w:hint="eastAsia"/>
                      <w:color w:val="FF0000"/>
                      <w:sz w:val="21"/>
                      <w:szCs w:val="21"/>
                    </w:rPr>
                    <w:t>4.5</w:t>
                  </w:r>
                  <w:r>
                    <w:rPr>
                      <w:rFonts w:hint="eastAsia"/>
                      <w:color w:val="FF0000"/>
                      <w:sz w:val="21"/>
                      <w:szCs w:val="21"/>
                      <w:lang w:val="en-US" w:eastAsia="zh-CN"/>
                    </w:rPr>
                    <w:t>3</w:t>
                  </w:r>
                </w:p>
              </w:tc>
              <w:tc>
                <w:tcPr>
                  <w:tcW w:w="817" w:type="dxa"/>
                  <w:tcBorders>
                    <w:tl2br w:val="nil"/>
                    <w:tr2bl w:val="nil"/>
                  </w:tcBorders>
                  <w:tcMar>
                    <w:top w:w="0" w:type="dxa"/>
                    <w:left w:w="0" w:type="dxa"/>
                    <w:bottom w:w="0" w:type="dxa"/>
                    <w:right w:w="0" w:type="dxa"/>
                  </w:tcMar>
                  <w:vAlign w:val="center"/>
                </w:tcPr>
                <w:p w14:paraId="10742907">
                  <w:pPr>
                    <w:bidi w:val="0"/>
                    <w:jc w:val="center"/>
                    <w:rPr>
                      <w:rFonts w:hint="default" w:eastAsia="宋体"/>
                      <w:color w:val="FF0000"/>
                      <w:lang w:val="en-US" w:eastAsia="zh-CN"/>
                    </w:rPr>
                  </w:pPr>
                  <w:r>
                    <w:rPr>
                      <w:rFonts w:hint="eastAsia"/>
                      <w:color w:val="FF0000"/>
                      <w:lang w:val="en-US" w:eastAsia="zh-CN"/>
                    </w:rPr>
                    <w:t>-1.71</w:t>
                  </w:r>
                </w:p>
              </w:tc>
            </w:tr>
            <w:tr w14:paraId="5F167B1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55" w:hRule="atLeast"/>
              </w:trPr>
              <w:tc>
                <w:tcPr>
                  <w:tcW w:w="788" w:type="dxa"/>
                  <w:vMerge w:val="continue"/>
                  <w:tcBorders>
                    <w:tl2br w:val="nil"/>
                    <w:tr2bl w:val="nil"/>
                  </w:tcBorders>
                  <w:tcMar>
                    <w:top w:w="0" w:type="dxa"/>
                    <w:left w:w="0" w:type="dxa"/>
                    <w:bottom w:w="0" w:type="dxa"/>
                    <w:right w:w="0" w:type="dxa"/>
                  </w:tcMar>
                  <w:vAlign w:val="center"/>
                </w:tcPr>
                <w:p w14:paraId="0FCE1989">
                  <w:pPr>
                    <w:bidi w:val="0"/>
                    <w:jc w:val="center"/>
                    <w:rPr>
                      <w:rFonts w:hint="eastAsia"/>
                      <w:color w:val="FF0000"/>
                    </w:rPr>
                  </w:pPr>
                </w:p>
              </w:tc>
              <w:tc>
                <w:tcPr>
                  <w:tcW w:w="1161" w:type="dxa"/>
                  <w:tcBorders>
                    <w:tl2br w:val="nil"/>
                    <w:tr2bl w:val="nil"/>
                  </w:tcBorders>
                  <w:tcMar>
                    <w:top w:w="0" w:type="dxa"/>
                    <w:left w:w="0" w:type="dxa"/>
                    <w:bottom w:w="0" w:type="dxa"/>
                    <w:right w:w="0" w:type="dxa"/>
                  </w:tcMar>
                  <w:vAlign w:val="center"/>
                </w:tcPr>
                <w:p w14:paraId="4D1F59F8">
                  <w:pPr>
                    <w:pStyle w:val="86"/>
                    <w:spacing w:line="240" w:lineRule="auto"/>
                    <w:ind w:firstLine="0" w:firstLineChars="0"/>
                    <w:jc w:val="center"/>
                    <w:rPr>
                      <w:rFonts w:hint="eastAsia"/>
                      <w:color w:val="FF0000"/>
                    </w:rPr>
                  </w:pPr>
                  <w:r>
                    <w:rPr>
                      <w:rFonts w:hint="eastAsia" w:ascii="Times New Roman" w:hAnsi="Times New Roman" w:eastAsia="宋体" w:cs="宋体"/>
                      <w:color w:val="FF0000"/>
                      <w:sz w:val="21"/>
                      <w:szCs w:val="21"/>
                      <w:lang w:val="en-US" w:eastAsia="zh-CN"/>
                    </w:rPr>
                    <w:t>废矿物油</w:t>
                  </w:r>
                </w:p>
              </w:tc>
              <w:tc>
                <w:tcPr>
                  <w:tcW w:w="810" w:type="dxa"/>
                  <w:tcBorders>
                    <w:tl2br w:val="nil"/>
                    <w:tr2bl w:val="nil"/>
                  </w:tcBorders>
                  <w:tcMar>
                    <w:top w:w="0" w:type="dxa"/>
                    <w:left w:w="0" w:type="dxa"/>
                    <w:bottom w:w="0" w:type="dxa"/>
                    <w:right w:w="0" w:type="dxa"/>
                  </w:tcMar>
                  <w:vAlign w:val="center"/>
                </w:tcPr>
                <w:p w14:paraId="590690DD">
                  <w:pPr>
                    <w:bidi w:val="0"/>
                    <w:jc w:val="center"/>
                    <w:rPr>
                      <w:color w:val="FF0000"/>
                    </w:rPr>
                  </w:pPr>
                  <w:r>
                    <w:rPr>
                      <w:color w:val="FF0000"/>
                    </w:rPr>
                    <w:t>t/a</w:t>
                  </w:r>
                </w:p>
              </w:tc>
              <w:tc>
                <w:tcPr>
                  <w:tcW w:w="904" w:type="dxa"/>
                  <w:tcBorders>
                    <w:tl2br w:val="nil"/>
                    <w:tr2bl w:val="nil"/>
                  </w:tcBorders>
                  <w:tcMar>
                    <w:top w:w="0" w:type="dxa"/>
                    <w:left w:w="0" w:type="dxa"/>
                    <w:bottom w:w="0" w:type="dxa"/>
                    <w:right w:w="0" w:type="dxa"/>
                  </w:tcMar>
                  <w:vAlign w:val="center"/>
                </w:tcPr>
                <w:p w14:paraId="6DCC51AF">
                  <w:pPr>
                    <w:pStyle w:val="86"/>
                    <w:spacing w:line="240" w:lineRule="auto"/>
                    <w:ind w:firstLine="0" w:firstLineChars="0"/>
                    <w:jc w:val="center"/>
                    <w:rPr>
                      <w:rFonts w:hint="default" w:ascii="Times New Roman" w:hAnsi="Times New Roman" w:eastAsia="宋体" w:cs="宋体"/>
                      <w:color w:val="FF0000"/>
                      <w:sz w:val="21"/>
                      <w:szCs w:val="21"/>
                      <w:lang w:val="en-US" w:eastAsia="zh-CN"/>
                    </w:rPr>
                  </w:pPr>
                  <w:r>
                    <w:rPr>
                      <w:rFonts w:hint="eastAsia" w:ascii="Times New Roman" w:hAnsi="Times New Roman" w:eastAsia="宋体" w:cs="宋体"/>
                      <w:color w:val="FF0000"/>
                      <w:sz w:val="21"/>
                      <w:szCs w:val="21"/>
                      <w:lang w:val="en-US" w:eastAsia="zh-CN"/>
                    </w:rPr>
                    <w:t>0.4</w:t>
                  </w:r>
                </w:p>
              </w:tc>
              <w:tc>
                <w:tcPr>
                  <w:tcW w:w="687" w:type="dxa"/>
                  <w:tcBorders>
                    <w:tl2br w:val="nil"/>
                    <w:tr2bl w:val="nil"/>
                  </w:tcBorders>
                  <w:tcMar>
                    <w:top w:w="0" w:type="dxa"/>
                    <w:left w:w="0" w:type="dxa"/>
                    <w:bottom w:w="0" w:type="dxa"/>
                    <w:right w:w="0" w:type="dxa"/>
                  </w:tcMar>
                  <w:vAlign w:val="center"/>
                </w:tcPr>
                <w:p w14:paraId="653D183C">
                  <w:pPr>
                    <w:pStyle w:val="86"/>
                    <w:spacing w:line="240" w:lineRule="auto"/>
                    <w:ind w:firstLine="0" w:firstLineChars="0"/>
                    <w:jc w:val="center"/>
                    <w:rPr>
                      <w:rFonts w:hint="eastAsia"/>
                      <w:color w:val="FF0000"/>
                    </w:rPr>
                  </w:pPr>
                  <w:r>
                    <w:rPr>
                      <w:rFonts w:hint="eastAsia" w:ascii="Times New Roman" w:hAnsi="Times New Roman" w:eastAsia="宋体" w:cs="宋体"/>
                      <w:color w:val="FF0000"/>
                      <w:sz w:val="21"/>
                      <w:szCs w:val="21"/>
                      <w:lang w:val="en-US" w:eastAsia="zh-CN"/>
                    </w:rPr>
                    <w:t>0.35</w:t>
                  </w:r>
                </w:p>
              </w:tc>
              <w:tc>
                <w:tcPr>
                  <w:tcW w:w="650" w:type="dxa"/>
                  <w:tcBorders>
                    <w:tl2br w:val="nil"/>
                    <w:tr2bl w:val="nil"/>
                  </w:tcBorders>
                  <w:tcMar>
                    <w:top w:w="0" w:type="dxa"/>
                    <w:left w:w="0" w:type="dxa"/>
                    <w:bottom w:w="0" w:type="dxa"/>
                    <w:right w:w="0" w:type="dxa"/>
                  </w:tcMar>
                  <w:vAlign w:val="center"/>
                </w:tcPr>
                <w:p w14:paraId="21F59330">
                  <w:pPr>
                    <w:bidi w:val="0"/>
                    <w:jc w:val="center"/>
                    <w:rPr>
                      <w:rFonts w:hint="eastAsia" w:eastAsia="宋体"/>
                      <w:color w:val="FF0000"/>
                      <w:lang w:val="en-US" w:eastAsia="zh-CN"/>
                    </w:rPr>
                  </w:pPr>
                  <w:r>
                    <w:rPr>
                      <w:rFonts w:hint="eastAsia"/>
                      <w:color w:val="FF0000"/>
                      <w:lang w:val="en-US" w:eastAsia="zh-CN"/>
                    </w:rPr>
                    <w:t>/</w:t>
                  </w:r>
                </w:p>
              </w:tc>
              <w:tc>
                <w:tcPr>
                  <w:tcW w:w="731" w:type="dxa"/>
                  <w:tcBorders>
                    <w:tl2br w:val="nil"/>
                    <w:tr2bl w:val="nil"/>
                  </w:tcBorders>
                  <w:tcMar>
                    <w:top w:w="0" w:type="dxa"/>
                    <w:left w:w="0" w:type="dxa"/>
                    <w:bottom w:w="0" w:type="dxa"/>
                    <w:right w:w="0" w:type="dxa"/>
                  </w:tcMar>
                  <w:vAlign w:val="center"/>
                </w:tcPr>
                <w:p w14:paraId="7DAF1614">
                  <w:pPr>
                    <w:pStyle w:val="86"/>
                    <w:spacing w:line="240" w:lineRule="auto"/>
                    <w:ind w:firstLine="0" w:firstLineChars="0"/>
                    <w:jc w:val="center"/>
                    <w:rPr>
                      <w:rFonts w:hint="eastAsia"/>
                      <w:color w:val="FF0000"/>
                    </w:rPr>
                  </w:pPr>
                  <w:r>
                    <w:rPr>
                      <w:rFonts w:hint="eastAsia" w:ascii="Times New Roman" w:hAnsi="Times New Roman" w:eastAsia="宋体" w:cs="宋体"/>
                      <w:color w:val="FF0000"/>
                      <w:sz w:val="21"/>
                      <w:szCs w:val="21"/>
                      <w:lang w:val="en-US" w:eastAsia="zh-CN"/>
                    </w:rPr>
                    <w:t>0.35</w:t>
                  </w:r>
                </w:p>
              </w:tc>
              <w:tc>
                <w:tcPr>
                  <w:tcW w:w="819" w:type="dxa"/>
                  <w:tcBorders>
                    <w:tl2br w:val="nil"/>
                    <w:tr2bl w:val="nil"/>
                  </w:tcBorders>
                  <w:tcMar>
                    <w:top w:w="0" w:type="dxa"/>
                    <w:left w:w="0" w:type="dxa"/>
                    <w:bottom w:w="0" w:type="dxa"/>
                    <w:right w:w="0" w:type="dxa"/>
                  </w:tcMar>
                  <w:vAlign w:val="center"/>
                </w:tcPr>
                <w:p w14:paraId="090DAFF3">
                  <w:pPr>
                    <w:bidi w:val="0"/>
                    <w:jc w:val="center"/>
                    <w:rPr>
                      <w:rFonts w:hint="eastAsia" w:eastAsia="宋体"/>
                      <w:color w:val="FF0000"/>
                      <w:lang w:val="en-US" w:eastAsia="zh-CN"/>
                    </w:rPr>
                  </w:pPr>
                  <w:r>
                    <w:rPr>
                      <w:rFonts w:hint="eastAsia"/>
                      <w:color w:val="FF0000"/>
                      <w:lang w:val="en-US" w:eastAsia="zh-CN"/>
                    </w:rPr>
                    <w:t>/</w:t>
                  </w:r>
                </w:p>
              </w:tc>
              <w:tc>
                <w:tcPr>
                  <w:tcW w:w="930" w:type="dxa"/>
                  <w:tcBorders>
                    <w:tl2br w:val="nil"/>
                    <w:tr2bl w:val="nil"/>
                  </w:tcBorders>
                  <w:tcMar>
                    <w:top w:w="0" w:type="dxa"/>
                    <w:left w:w="0" w:type="dxa"/>
                    <w:bottom w:w="0" w:type="dxa"/>
                    <w:right w:w="0" w:type="dxa"/>
                  </w:tcMar>
                  <w:vAlign w:val="center"/>
                </w:tcPr>
                <w:p w14:paraId="39D493AD">
                  <w:pPr>
                    <w:pStyle w:val="86"/>
                    <w:spacing w:line="240" w:lineRule="auto"/>
                    <w:ind w:firstLine="0" w:firstLineChars="0"/>
                    <w:jc w:val="center"/>
                    <w:rPr>
                      <w:rFonts w:hint="eastAsia"/>
                      <w:color w:val="FF0000"/>
                    </w:rPr>
                  </w:pPr>
                  <w:r>
                    <w:rPr>
                      <w:rFonts w:hint="eastAsia" w:ascii="Times New Roman" w:hAnsi="Times New Roman" w:eastAsia="宋体" w:cs="宋体"/>
                      <w:color w:val="FF0000"/>
                      <w:sz w:val="21"/>
                      <w:szCs w:val="21"/>
                      <w:lang w:val="en-US" w:eastAsia="zh-CN"/>
                    </w:rPr>
                    <w:t>0.35</w:t>
                  </w:r>
                </w:p>
              </w:tc>
              <w:tc>
                <w:tcPr>
                  <w:tcW w:w="817" w:type="dxa"/>
                  <w:tcBorders>
                    <w:tl2br w:val="nil"/>
                    <w:tr2bl w:val="nil"/>
                  </w:tcBorders>
                  <w:tcMar>
                    <w:top w:w="0" w:type="dxa"/>
                    <w:left w:w="0" w:type="dxa"/>
                    <w:bottom w:w="0" w:type="dxa"/>
                    <w:right w:w="0" w:type="dxa"/>
                  </w:tcMar>
                  <w:vAlign w:val="center"/>
                </w:tcPr>
                <w:p w14:paraId="027DDD76">
                  <w:pPr>
                    <w:bidi w:val="0"/>
                    <w:jc w:val="center"/>
                    <w:rPr>
                      <w:rFonts w:hint="default" w:eastAsia="宋体"/>
                      <w:color w:val="FF0000"/>
                      <w:lang w:val="en-US" w:eastAsia="zh-CN"/>
                    </w:rPr>
                  </w:pPr>
                  <w:r>
                    <w:rPr>
                      <w:rFonts w:hint="eastAsia"/>
                      <w:color w:val="FF0000"/>
                      <w:lang w:val="en-US" w:eastAsia="zh-CN"/>
                    </w:rPr>
                    <w:t>-0.05</w:t>
                  </w:r>
                </w:p>
              </w:tc>
            </w:tr>
            <w:tr w14:paraId="2D53CCD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6" w:hRule="atLeast"/>
              </w:trPr>
              <w:tc>
                <w:tcPr>
                  <w:tcW w:w="788" w:type="dxa"/>
                  <w:vMerge w:val="continue"/>
                  <w:tcBorders>
                    <w:tl2br w:val="nil"/>
                    <w:tr2bl w:val="nil"/>
                  </w:tcBorders>
                  <w:tcMar>
                    <w:top w:w="0" w:type="dxa"/>
                    <w:left w:w="0" w:type="dxa"/>
                    <w:bottom w:w="0" w:type="dxa"/>
                    <w:right w:w="0" w:type="dxa"/>
                  </w:tcMar>
                  <w:vAlign w:val="center"/>
                </w:tcPr>
                <w:p w14:paraId="002ED621">
                  <w:pPr>
                    <w:bidi w:val="0"/>
                    <w:jc w:val="center"/>
                    <w:rPr>
                      <w:rFonts w:hint="eastAsia"/>
                      <w:color w:val="FF0000"/>
                    </w:rPr>
                  </w:pPr>
                </w:p>
              </w:tc>
              <w:tc>
                <w:tcPr>
                  <w:tcW w:w="1161" w:type="dxa"/>
                  <w:tcBorders>
                    <w:tl2br w:val="nil"/>
                    <w:tr2bl w:val="nil"/>
                  </w:tcBorders>
                  <w:tcMar>
                    <w:top w:w="0" w:type="dxa"/>
                    <w:left w:w="0" w:type="dxa"/>
                    <w:bottom w:w="0" w:type="dxa"/>
                    <w:right w:w="0" w:type="dxa"/>
                  </w:tcMar>
                  <w:vAlign w:val="center"/>
                </w:tcPr>
                <w:p w14:paraId="7293B72E">
                  <w:pPr>
                    <w:pStyle w:val="86"/>
                    <w:spacing w:line="240" w:lineRule="auto"/>
                    <w:ind w:firstLine="0" w:firstLineChars="0"/>
                    <w:jc w:val="center"/>
                    <w:rPr>
                      <w:rFonts w:hint="eastAsia"/>
                      <w:color w:val="FF0000"/>
                    </w:rPr>
                  </w:pPr>
                  <w:r>
                    <w:rPr>
                      <w:rFonts w:hint="eastAsia" w:ascii="Times New Roman" w:hAnsi="Times New Roman" w:eastAsia="宋体" w:cs="宋体"/>
                      <w:color w:val="FF0000"/>
                      <w:sz w:val="21"/>
                      <w:szCs w:val="21"/>
                    </w:rPr>
                    <w:t>废含油的抹布手套</w:t>
                  </w:r>
                </w:p>
              </w:tc>
              <w:tc>
                <w:tcPr>
                  <w:tcW w:w="810" w:type="dxa"/>
                  <w:tcBorders>
                    <w:tl2br w:val="nil"/>
                    <w:tr2bl w:val="nil"/>
                  </w:tcBorders>
                  <w:tcMar>
                    <w:top w:w="0" w:type="dxa"/>
                    <w:left w:w="0" w:type="dxa"/>
                    <w:bottom w:w="0" w:type="dxa"/>
                    <w:right w:w="0" w:type="dxa"/>
                  </w:tcMar>
                  <w:vAlign w:val="center"/>
                </w:tcPr>
                <w:p w14:paraId="13851BA3">
                  <w:pPr>
                    <w:bidi w:val="0"/>
                    <w:jc w:val="center"/>
                    <w:rPr>
                      <w:color w:val="FF0000"/>
                    </w:rPr>
                  </w:pPr>
                  <w:r>
                    <w:rPr>
                      <w:color w:val="FF0000"/>
                    </w:rPr>
                    <w:t>t/a</w:t>
                  </w:r>
                </w:p>
              </w:tc>
              <w:tc>
                <w:tcPr>
                  <w:tcW w:w="904" w:type="dxa"/>
                  <w:tcBorders>
                    <w:tl2br w:val="nil"/>
                    <w:tr2bl w:val="nil"/>
                  </w:tcBorders>
                  <w:tcMar>
                    <w:top w:w="0" w:type="dxa"/>
                    <w:left w:w="0" w:type="dxa"/>
                    <w:bottom w:w="0" w:type="dxa"/>
                    <w:right w:w="0" w:type="dxa"/>
                  </w:tcMar>
                  <w:vAlign w:val="center"/>
                </w:tcPr>
                <w:p w14:paraId="69B9C0E5">
                  <w:pPr>
                    <w:pStyle w:val="86"/>
                    <w:spacing w:line="240" w:lineRule="auto"/>
                    <w:ind w:firstLine="0" w:firstLineChars="0"/>
                    <w:jc w:val="center"/>
                    <w:rPr>
                      <w:rFonts w:hint="default" w:ascii="Times New Roman" w:hAnsi="Times New Roman" w:eastAsia="宋体" w:cs="宋体"/>
                      <w:color w:val="FF0000"/>
                      <w:sz w:val="21"/>
                      <w:szCs w:val="21"/>
                      <w:lang w:val="en-US" w:eastAsia="zh-CN"/>
                    </w:rPr>
                  </w:pPr>
                  <w:r>
                    <w:rPr>
                      <w:rFonts w:hint="eastAsia" w:ascii="Times New Roman" w:hAnsi="Times New Roman" w:eastAsia="宋体" w:cs="宋体"/>
                      <w:color w:val="FF0000"/>
                      <w:sz w:val="21"/>
                      <w:szCs w:val="21"/>
                      <w:lang w:val="en-US" w:eastAsia="zh-CN"/>
                    </w:rPr>
                    <w:t>0.07</w:t>
                  </w:r>
                </w:p>
              </w:tc>
              <w:tc>
                <w:tcPr>
                  <w:tcW w:w="687" w:type="dxa"/>
                  <w:tcBorders>
                    <w:tl2br w:val="nil"/>
                    <w:tr2bl w:val="nil"/>
                  </w:tcBorders>
                  <w:tcMar>
                    <w:top w:w="0" w:type="dxa"/>
                    <w:left w:w="0" w:type="dxa"/>
                    <w:bottom w:w="0" w:type="dxa"/>
                    <w:right w:w="0" w:type="dxa"/>
                  </w:tcMar>
                  <w:vAlign w:val="center"/>
                </w:tcPr>
                <w:p w14:paraId="221CDA2D">
                  <w:pPr>
                    <w:pStyle w:val="86"/>
                    <w:spacing w:line="240" w:lineRule="auto"/>
                    <w:ind w:firstLine="0" w:firstLineChars="0"/>
                    <w:jc w:val="center"/>
                    <w:rPr>
                      <w:rFonts w:hint="eastAsia"/>
                      <w:color w:val="FF0000"/>
                    </w:rPr>
                  </w:pPr>
                  <w:r>
                    <w:rPr>
                      <w:rFonts w:hint="eastAsia" w:ascii="Times New Roman" w:hAnsi="Times New Roman" w:eastAsia="宋体" w:cs="宋体"/>
                      <w:color w:val="FF0000"/>
                      <w:sz w:val="21"/>
                      <w:szCs w:val="21"/>
                      <w:lang w:val="en-US" w:eastAsia="zh-CN"/>
                    </w:rPr>
                    <w:t>0.05</w:t>
                  </w:r>
                </w:p>
              </w:tc>
              <w:tc>
                <w:tcPr>
                  <w:tcW w:w="650" w:type="dxa"/>
                  <w:tcBorders>
                    <w:tl2br w:val="nil"/>
                    <w:tr2bl w:val="nil"/>
                  </w:tcBorders>
                  <w:tcMar>
                    <w:top w:w="0" w:type="dxa"/>
                    <w:left w:w="0" w:type="dxa"/>
                    <w:bottom w:w="0" w:type="dxa"/>
                    <w:right w:w="0" w:type="dxa"/>
                  </w:tcMar>
                  <w:vAlign w:val="center"/>
                </w:tcPr>
                <w:p w14:paraId="2D58EF6E">
                  <w:pPr>
                    <w:bidi w:val="0"/>
                    <w:jc w:val="center"/>
                    <w:rPr>
                      <w:rFonts w:hint="eastAsia" w:eastAsia="宋体"/>
                      <w:color w:val="FF0000"/>
                      <w:lang w:val="en-US" w:eastAsia="zh-CN"/>
                    </w:rPr>
                  </w:pPr>
                  <w:r>
                    <w:rPr>
                      <w:rFonts w:hint="eastAsia"/>
                      <w:color w:val="FF0000"/>
                      <w:lang w:val="en-US" w:eastAsia="zh-CN"/>
                    </w:rPr>
                    <w:t>/</w:t>
                  </w:r>
                </w:p>
              </w:tc>
              <w:tc>
                <w:tcPr>
                  <w:tcW w:w="731" w:type="dxa"/>
                  <w:tcBorders>
                    <w:tl2br w:val="nil"/>
                    <w:tr2bl w:val="nil"/>
                  </w:tcBorders>
                  <w:tcMar>
                    <w:top w:w="0" w:type="dxa"/>
                    <w:left w:w="0" w:type="dxa"/>
                    <w:bottom w:w="0" w:type="dxa"/>
                    <w:right w:w="0" w:type="dxa"/>
                  </w:tcMar>
                  <w:vAlign w:val="center"/>
                </w:tcPr>
                <w:p w14:paraId="5EFA2051">
                  <w:pPr>
                    <w:pStyle w:val="86"/>
                    <w:spacing w:line="240" w:lineRule="auto"/>
                    <w:ind w:firstLine="0" w:firstLineChars="0"/>
                    <w:jc w:val="center"/>
                    <w:rPr>
                      <w:rFonts w:hint="eastAsia"/>
                      <w:color w:val="FF0000"/>
                    </w:rPr>
                  </w:pPr>
                  <w:r>
                    <w:rPr>
                      <w:rFonts w:hint="eastAsia" w:ascii="Times New Roman" w:hAnsi="Times New Roman" w:eastAsia="宋体" w:cs="宋体"/>
                      <w:color w:val="FF0000"/>
                      <w:sz w:val="21"/>
                      <w:szCs w:val="21"/>
                      <w:lang w:val="en-US" w:eastAsia="zh-CN"/>
                    </w:rPr>
                    <w:t>0.05</w:t>
                  </w:r>
                </w:p>
              </w:tc>
              <w:tc>
                <w:tcPr>
                  <w:tcW w:w="819" w:type="dxa"/>
                  <w:tcBorders>
                    <w:tl2br w:val="nil"/>
                    <w:tr2bl w:val="nil"/>
                  </w:tcBorders>
                  <w:tcMar>
                    <w:top w:w="0" w:type="dxa"/>
                    <w:left w:w="0" w:type="dxa"/>
                    <w:bottom w:w="0" w:type="dxa"/>
                    <w:right w:w="0" w:type="dxa"/>
                  </w:tcMar>
                  <w:vAlign w:val="center"/>
                </w:tcPr>
                <w:p w14:paraId="737AE6BF">
                  <w:pPr>
                    <w:bidi w:val="0"/>
                    <w:jc w:val="center"/>
                    <w:rPr>
                      <w:rFonts w:hint="eastAsia" w:eastAsia="宋体"/>
                      <w:color w:val="FF0000"/>
                      <w:lang w:val="en-US" w:eastAsia="zh-CN"/>
                    </w:rPr>
                  </w:pPr>
                  <w:r>
                    <w:rPr>
                      <w:rFonts w:hint="eastAsia"/>
                      <w:color w:val="FF0000"/>
                      <w:lang w:val="en-US" w:eastAsia="zh-CN"/>
                    </w:rPr>
                    <w:t>/</w:t>
                  </w:r>
                </w:p>
              </w:tc>
              <w:tc>
                <w:tcPr>
                  <w:tcW w:w="930" w:type="dxa"/>
                  <w:tcBorders>
                    <w:tl2br w:val="nil"/>
                    <w:tr2bl w:val="nil"/>
                  </w:tcBorders>
                  <w:tcMar>
                    <w:top w:w="0" w:type="dxa"/>
                    <w:left w:w="0" w:type="dxa"/>
                    <w:bottom w:w="0" w:type="dxa"/>
                    <w:right w:w="0" w:type="dxa"/>
                  </w:tcMar>
                  <w:vAlign w:val="center"/>
                </w:tcPr>
                <w:p w14:paraId="0767A842">
                  <w:pPr>
                    <w:pStyle w:val="86"/>
                    <w:spacing w:line="240" w:lineRule="auto"/>
                    <w:ind w:firstLine="0" w:firstLineChars="0"/>
                    <w:jc w:val="center"/>
                    <w:rPr>
                      <w:rFonts w:hint="eastAsia"/>
                      <w:color w:val="FF0000"/>
                    </w:rPr>
                  </w:pPr>
                  <w:r>
                    <w:rPr>
                      <w:rFonts w:hint="eastAsia" w:ascii="Times New Roman" w:hAnsi="Times New Roman" w:eastAsia="宋体" w:cs="宋体"/>
                      <w:color w:val="FF0000"/>
                      <w:sz w:val="21"/>
                      <w:szCs w:val="21"/>
                      <w:lang w:val="en-US" w:eastAsia="zh-CN"/>
                    </w:rPr>
                    <w:t>0.05</w:t>
                  </w:r>
                </w:p>
              </w:tc>
              <w:tc>
                <w:tcPr>
                  <w:tcW w:w="817" w:type="dxa"/>
                  <w:tcBorders>
                    <w:tl2br w:val="nil"/>
                    <w:tr2bl w:val="nil"/>
                  </w:tcBorders>
                  <w:tcMar>
                    <w:top w:w="0" w:type="dxa"/>
                    <w:left w:w="0" w:type="dxa"/>
                    <w:bottom w:w="0" w:type="dxa"/>
                    <w:right w:w="0" w:type="dxa"/>
                  </w:tcMar>
                  <w:vAlign w:val="center"/>
                </w:tcPr>
                <w:p w14:paraId="0A674E5E">
                  <w:pPr>
                    <w:bidi w:val="0"/>
                    <w:jc w:val="center"/>
                    <w:rPr>
                      <w:rFonts w:hint="default" w:eastAsia="宋体"/>
                      <w:color w:val="FF0000"/>
                      <w:lang w:val="en-US" w:eastAsia="zh-CN"/>
                    </w:rPr>
                  </w:pPr>
                  <w:r>
                    <w:rPr>
                      <w:rFonts w:hint="eastAsia"/>
                      <w:color w:val="FF0000"/>
                      <w:lang w:val="en-US" w:eastAsia="zh-CN"/>
                    </w:rPr>
                    <w:t>-0.02</w:t>
                  </w:r>
                </w:p>
              </w:tc>
            </w:tr>
            <w:tr w14:paraId="5966640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88" w:type="dxa"/>
                  <w:vMerge w:val="continue"/>
                  <w:tcBorders>
                    <w:tl2br w:val="nil"/>
                    <w:tr2bl w:val="nil"/>
                  </w:tcBorders>
                  <w:tcMar>
                    <w:top w:w="0" w:type="dxa"/>
                    <w:left w:w="0" w:type="dxa"/>
                    <w:bottom w:w="0" w:type="dxa"/>
                    <w:right w:w="0" w:type="dxa"/>
                  </w:tcMar>
                  <w:vAlign w:val="center"/>
                </w:tcPr>
                <w:p w14:paraId="1FB6760E">
                  <w:pPr>
                    <w:bidi w:val="0"/>
                    <w:jc w:val="center"/>
                    <w:rPr>
                      <w:color w:val="FF0000"/>
                    </w:rPr>
                  </w:pPr>
                </w:p>
              </w:tc>
              <w:tc>
                <w:tcPr>
                  <w:tcW w:w="1161" w:type="dxa"/>
                  <w:tcBorders>
                    <w:tl2br w:val="nil"/>
                    <w:tr2bl w:val="nil"/>
                  </w:tcBorders>
                  <w:tcMar>
                    <w:top w:w="0" w:type="dxa"/>
                    <w:left w:w="0" w:type="dxa"/>
                    <w:bottom w:w="0" w:type="dxa"/>
                    <w:right w:w="0" w:type="dxa"/>
                  </w:tcMar>
                  <w:vAlign w:val="center"/>
                </w:tcPr>
                <w:p w14:paraId="147509CB">
                  <w:pPr>
                    <w:pStyle w:val="86"/>
                    <w:spacing w:line="240" w:lineRule="auto"/>
                    <w:ind w:firstLine="0" w:firstLineChars="0"/>
                    <w:jc w:val="center"/>
                    <w:rPr>
                      <w:color w:val="FF0000"/>
                    </w:rPr>
                  </w:pPr>
                  <w:r>
                    <w:rPr>
                      <w:rFonts w:hint="eastAsia" w:ascii="Times New Roman" w:hAnsi="Times New Roman" w:eastAsia="宋体" w:cs="宋体"/>
                      <w:color w:val="FF0000"/>
                      <w:sz w:val="21"/>
                      <w:szCs w:val="21"/>
                    </w:rPr>
                    <w:t>废油桶</w:t>
                  </w:r>
                </w:p>
              </w:tc>
              <w:tc>
                <w:tcPr>
                  <w:tcW w:w="810" w:type="dxa"/>
                  <w:tcBorders>
                    <w:tl2br w:val="nil"/>
                    <w:tr2bl w:val="nil"/>
                  </w:tcBorders>
                  <w:tcMar>
                    <w:top w:w="0" w:type="dxa"/>
                    <w:left w:w="0" w:type="dxa"/>
                    <w:bottom w:w="0" w:type="dxa"/>
                    <w:right w:w="0" w:type="dxa"/>
                  </w:tcMar>
                  <w:vAlign w:val="center"/>
                </w:tcPr>
                <w:p w14:paraId="0E625E61">
                  <w:pPr>
                    <w:bidi w:val="0"/>
                    <w:jc w:val="center"/>
                    <w:rPr>
                      <w:color w:val="FF0000"/>
                    </w:rPr>
                  </w:pPr>
                  <w:r>
                    <w:rPr>
                      <w:color w:val="FF0000"/>
                    </w:rPr>
                    <w:t>t/a</w:t>
                  </w:r>
                </w:p>
              </w:tc>
              <w:tc>
                <w:tcPr>
                  <w:tcW w:w="904" w:type="dxa"/>
                  <w:tcBorders>
                    <w:tl2br w:val="nil"/>
                    <w:tr2bl w:val="nil"/>
                  </w:tcBorders>
                  <w:tcMar>
                    <w:top w:w="0" w:type="dxa"/>
                    <w:left w:w="0" w:type="dxa"/>
                    <w:bottom w:w="0" w:type="dxa"/>
                    <w:right w:w="0" w:type="dxa"/>
                  </w:tcMar>
                  <w:vAlign w:val="center"/>
                </w:tcPr>
                <w:p w14:paraId="30D9F111">
                  <w:pPr>
                    <w:pStyle w:val="86"/>
                    <w:spacing w:line="240" w:lineRule="auto"/>
                    <w:ind w:firstLine="0" w:firstLineChars="0"/>
                    <w:jc w:val="center"/>
                    <w:rPr>
                      <w:rFonts w:hint="default" w:ascii="Times New Roman" w:hAnsi="Times New Roman" w:eastAsia="宋体" w:cs="宋体"/>
                      <w:color w:val="FF0000"/>
                      <w:sz w:val="21"/>
                      <w:szCs w:val="21"/>
                      <w:lang w:val="en-US" w:eastAsia="zh-CN"/>
                    </w:rPr>
                  </w:pPr>
                  <w:r>
                    <w:rPr>
                      <w:rFonts w:hint="eastAsia" w:ascii="Times New Roman" w:hAnsi="Times New Roman" w:eastAsia="宋体" w:cs="宋体"/>
                      <w:color w:val="FF0000"/>
                      <w:sz w:val="21"/>
                      <w:szCs w:val="21"/>
                      <w:lang w:val="en-US" w:eastAsia="zh-CN"/>
                    </w:rPr>
                    <w:t>0.022</w:t>
                  </w:r>
                </w:p>
              </w:tc>
              <w:tc>
                <w:tcPr>
                  <w:tcW w:w="687" w:type="dxa"/>
                  <w:tcBorders>
                    <w:tl2br w:val="nil"/>
                    <w:tr2bl w:val="nil"/>
                  </w:tcBorders>
                  <w:tcMar>
                    <w:top w:w="0" w:type="dxa"/>
                    <w:left w:w="0" w:type="dxa"/>
                    <w:bottom w:w="0" w:type="dxa"/>
                    <w:right w:w="0" w:type="dxa"/>
                  </w:tcMar>
                  <w:vAlign w:val="center"/>
                </w:tcPr>
                <w:p w14:paraId="11CDE255">
                  <w:pPr>
                    <w:pStyle w:val="86"/>
                    <w:spacing w:line="240" w:lineRule="auto"/>
                    <w:ind w:firstLine="0" w:firstLineChars="0"/>
                    <w:jc w:val="center"/>
                    <w:rPr>
                      <w:color w:val="FF0000"/>
                    </w:rPr>
                  </w:pPr>
                  <w:r>
                    <w:rPr>
                      <w:rFonts w:hint="eastAsia" w:ascii="Times New Roman" w:hAnsi="Times New Roman" w:eastAsia="宋体" w:cs="宋体"/>
                      <w:color w:val="FF0000"/>
                      <w:sz w:val="21"/>
                      <w:szCs w:val="21"/>
                      <w:lang w:val="en-US" w:eastAsia="zh-CN"/>
                    </w:rPr>
                    <w:t>0.02</w:t>
                  </w:r>
                </w:p>
              </w:tc>
              <w:tc>
                <w:tcPr>
                  <w:tcW w:w="650" w:type="dxa"/>
                  <w:tcBorders>
                    <w:tl2br w:val="nil"/>
                    <w:tr2bl w:val="nil"/>
                  </w:tcBorders>
                  <w:tcMar>
                    <w:top w:w="0" w:type="dxa"/>
                    <w:left w:w="0" w:type="dxa"/>
                    <w:bottom w:w="0" w:type="dxa"/>
                    <w:right w:w="0" w:type="dxa"/>
                  </w:tcMar>
                  <w:vAlign w:val="center"/>
                </w:tcPr>
                <w:p w14:paraId="74EC82B0">
                  <w:pPr>
                    <w:bidi w:val="0"/>
                    <w:jc w:val="center"/>
                    <w:rPr>
                      <w:rFonts w:hint="eastAsia" w:eastAsia="宋体"/>
                      <w:color w:val="FF0000"/>
                      <w:lang w:val="en-US" w:eastAsia="zh-CN"/>
                    </w:rPr>
                  </w:pPr>
                  <w:r>
                    <w:rPr>
                      <w:rFonts w:hint="eastAsia"/>
                      <w:color w:val="FF0000"/>
                      <w:lang w:val="en-US" w:eastAsia="zh-CN"/>
                    </w:rPr>
                    <w:t>/</w:t>
                  </w:r>
                </w:p>
              </w:tc>
              <w:tc>
                <w:tcPr>
                  <w:tcW w:w="731" w:type="dxa"/>
                  <w:tcBorders>
                    <w:tl2br w:val="nil"/>
                    <w:tr2bl w:val="nil"/>
                  </w:tcBorders>
                  <w:tcMar>
                    <w:top w:w="0" w:type="dxa"/>
                    <w:left w:w="0" w:type="dxa"/>
                    <w:bottom w:w="0" w:type="dxa"/>
                    <w:right w:w="0" w:type="dxa"/>
                  </w:tcMar>
                  <w:vAlign w:val="center"/>
                </w:tcPr>
                <w:p w14:paraId="13FFA724">
                  <w:pPr>
                    <w:pStyle w:val="86"/>
                    <w:spacing w:line="240" w:lineRule="auto"/>
                    <w:ind w:firstLine="0" w:firstLineChars="0"/>
                    <w:jc w:val="center"/>
                    <w:rPr>
                      <w:color w:val="FF0000"/>
                    </w:rPr>
                  </w:pPr>
                  <w:r>
                    <w:rPr>
                      <w:rFonts w:hint="eastAsia" w:ascii="Times New Roman" w:hAnsi="Times New Roman" w:eastAsia="宋体" w:cs="宋体"/>
                      <w:color w:val="FF0000"/>
                      <w:sz w:val="21"/>
                      <w:szCs w:val="21"/>
                      <w:lang w:val="en-US" w:eastAsia="zh-CN"/>
                    </w:rPr>
                    <w:t>0.02</w:t>
                  </w:r>
                </w:p>
              </w:tc>
              <w:tc>
                <w:tcPr>
                  <w:tcW w:w="819" w:type="dxa"/>
                  <w:tcBorders>
                    <w:tl2br w:val="nil"/>
                    <w:tr2bl w:val="nil"/>
                  </w:tcBorders>
                  <w:tcMar>
                    <w:top w:w="0" w:type="dxa"/>
                    <w:left w:w="0" w:type="dxa"/>
                    <w:bottom w:w="0" w:type="dxa"/>
                    <w:right w:w="0" w:type="dxa"/>
                  </w:tcMar>
                  <w:vAlign w:val="center"/>
                </w:tcPr>
                <w:p w14:paraId="37BD233E">
                  <w:pPr>
                    <w:bidi w:val="0"/>
                    <w:jc w:val="center"/>
                    <w:rPr>
                      <w:rFonts w:hint="eastAsia" w:eastAsia="宋体"/>
                      <w:color w:val="FF0000"/>
                      <w:lang w:val="en-US" w:eastAsia="zh-CN"/>
                    </w:rPr>
                  </w:pPr>
                  <w:r>
                    <w:rPr>
                      <w:rFonts w:hint="eastAsia"/>
                      <w:color w:val="FF0000"/>
                      <w:lang w:val="en-US" w:eastAsia="zh-CN"/>
                    </w:rPr>
                    <w:t>/</w:t>
                  </w:r>
                </w:p>
              </w:tc>
              <w:tc>
                <w:tcPr>
                  <w:tcW w:w="930" w:type="dxa"/>
                  <w:tcBorders>
                    <w:tl2br w:val="nil"/>
                    <w:tr2bl w:val="nil"/>
                  </w:tcBorders>
                  <w:tcMar>
                    <w:top w:w="0" w:type="dxa"/>
                    <w:left w:w="0" w:type="dxa"/>
                    <w:bottom w:w="0" w:type="dxa"/>
                    <w:right w:w="0" w:type="dxa"/>
                  </w:tcMar>
                  <w:vAlign w:val="center"/>
                </w:tcPr>
                <w:p w14:paraId="5FD3756B">
                  <w:pPr>
                    <w:pStyle w:val="86"/>
                    <w:spacing w:line="240" w:lineRule="auto"/>
                    <w:ind w:firstLine="0" w:firstLineChars="0"/>
                    <w:jc w:val="center"/>
                    <w:rPr>
                      <w:color w:val="FF0000"/>
                    </w:rPr>
                  </w:pPr>
                  <w:r>
                    <w:rPr>
                      <w:rFonts w:hint="eastAsia" w:ascii="Times New Roman" w:hAnsi="Times New Roman" w:eastAsia="宋体" w:cs="宋体"/>
                      <w:color w:val="FF0000"/>
                      <w:sz w:val="21"/>
                      <w:szCs w:val="21"/>
                      <w:lang w:val="en-US" w:eastAsia="zh-CN"/>
                    </w:rPr>
                    <w:t>0.02</w:t>
                  </w:r>
                </w:p>
              </w:tc>
              <w:tc>
                <w:tcPr>
                  <w:tcW w:w="817" w:type="dxa"/>
                  <w:tcBorders>
                    <w:tl2br w:val="nil"/>
                    <w:tr2bl w:val="nil"/>
                  </w:tcBorders>
                  <w:tcMar>
                    <w:top w:w="0" w:type="dxa"/>
                    <w:left w:w="0" w:type="dxa"/>
                    <w:bottom w:w="0" w:type="dxa"/>
                    <w:right w:w="0" w:type="dxa"/>
                  </w:tcMar>
                  <w:vAlign w:val="center"/>
                </w:tcPr>
                <w:p w14:paraId="580BF39E">
                  <w:pPr>
                    <w:bidi w:val="0"/>
                    <w:jc w:val="center"/>
                    <w:rPr>
                      <w:rFonts w:hint="default" w:eastAsia="宋体"/>
                      <w:color w:val="FF0000"/>
                      <w:lang w:val="en-US" w:eastAsia="zh-CN"/>
                    </w:rPr>
                  </w:pPr>
                  <w:r>
                    <w:rPr>
                      <w:rFonts w:hint="eastAsia"/>
                      <w:color w:val="FF0000"/>
                      <w:lang w:val="en-US" w:eastAsia="zh-CN"/>
                    </w:rPr>
                    <w:t>-0.002</w:t>
                  </w:r>
                </w:p>
              </w:tc>
            </w:tr>
            <w:tr w14:paraId="0D1E5A8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88" w:type="dxa"/>
                  <w:vMerge w:val="continue"/>
                </w:tcPr>
                <w:p w14:paraId="12760ABD">
                  <w:pPr>
                    <w:bidi w:val="0"/>
                    <w:jc w:val="center"/>
                    <w:rPr>
                      <w:color w:val="FF0000"/>
                    </w:rPr>
                  </w:pPr>
                </w:p>
              </w:tc>
              <w:tc>
                <w:tcPr>
                  <w:tcW w:w="1161" w:type="dxa"/>
                  <w:vAlign w:val="center"/>
                </w:tcPr>
                <w:p w14:paraId="21DFAF0D">
                  <w:pPr>
                    <w:pStyle w:val="86"/>
                    <w:spacing w:line="240" w:lineRule="auto"/>
                    <w:ind w:firstLine="0" w:firstLineChars="0"/>
                    <w:jc w:val="center"/>
                    <w:rPr>
                      <w:color w:val="FF0000"/>
                    </w:rPr>
                  </w:pPr>
                  <w:r>
                    <w:rPr>
                      <w:rFonts w:hint="eastAsia" w:ascii="Times New Roman" w:hAnsi="Times New Roman" w:eastAsia="宋体" w:cs="宋体"/>
                      <w:color w:val="FF0000"/>
                      <w:sz w:val="21"/>
                      <w:szCs w:val="21"/>
                      <w:lang w:val="en-US" w:eastAsia="zh-CN"/>
                    </w:rPr>
                    <w:t>废滤网</w:t>
                  </w:r>
                </w:p>
              </w:tc>
              <w:tc>
                <w:tcPr>
                  <w:tcW w:w="810" w:type="dxa"/>
                  <w:vAlign w:val="center"/>
                </w:tcPr>
                <w:p w14:paraId="6AA6824F">
                  <w:pPr>
                    <w:bidi w:val="0"/>
                    <w:jc w:val="center"/>
                    <w:rPr>
                      <w:color w:val="FF0000"/>
                    </w:rPr>
                  </w:pPr>
                  <w:r>
                    <w:rPr>
                      <w:color w:val="FF0000"/>
                    </w:rPr>
                    <w:t>t/a</w:t>
                  </w:r>
                </w:p>
              </w:tc>
              <w:tc>
                <w:tcPr>
                  <w:tcW w:w="904" w:type="dxa"/>
                  <w:vAlign w:val="center"/>
                </w:tcPr>
                <w:p w14:paraId="23F0D66F">
                  <w:pPr>
                    <w:pStyle w:val="86"/>
                    <w:spacing w:line="240" w:lineRule="auto"/>
                    <w:ind w:firstLine="0" w:firstLineChars="0"/>
                    <w:jc w:val="center"/>
                    <w:rPr>
                      <w:rFonts w:hint="default" w:ascii="Times New Roman" w:hAnsi="Times New Roman" w:eastAsia="宋体" w:cs="宋体"/>
                      <w:color w:val="FF0000"/>
                      <w:sz w:val="21"/>
                      <w:szCs w:val="21"/>
                      <w:lang w:val="en-US" w:eastAsia="zh-CN"/>
                    </w:rPr>
                  </w:pPr>
                  <w:r>
                    <w:rPr>
                      <w:rFonts w:hint="eastAsia" w:ascii="Times New Roman" w:hAnsi="Times New Roman" w:eastAsia="宋体" w:cs="宋体"/>
                      <w:color w:val="FF0000"/>
                      <w:sz w:val="21"/>
                      <w:szCs w:val="21"/>
                      <w:lang w:val="en-US" w:eastAsia="zh-CN"/>
                    </w:rPr>
                    <w:t>0.20</w:t>
                  </w:r>
                </w:p>
              </w:tc>
              <w:tc>
                <w:tcPr>
                  <w:tcW w:w="687" w:type="dxa"/>
                  <w:vAlign w:val="center"/>
                </w:tcPr>
                <w:p w14:paraId="1DF8B49C">
                  <w:pPr>
                    <w:pStyle w:val="86"/>
                    <w:spacing w:line="240" w:lineRule="auto"/>
                    <w:ind w:firstLine="0" w:firstLineChars="0"/>
                    <w:jc w:val="center"/>
                    <w:rPr>
                      <w:color w:val="FF0000"/>
                    </w:rPr>
                  </w:pPr>
                  <w:r>
                    <w:rPr>
                      <w:rFonts w:hint="eastAsia" w:ascii="Times New Roman" w:hAnsi="Times New Roman" w:eastAsia="宋体" w:cs="宋体"/>
                      <w:color w:val="FF0000"/>
                      <w:sz w:val="21"/>
                      <w:szCs w:val="21"/>
                      <w:lang w:val="en-US" w:eastAsia="zh-CN"/>
                    </w:rPr>
                    <w:t>0.18</w:t>
                  </w:r>
                </w:p>
              </w:tc>
              <w:tc>
                <w:tcPr>
                  <w:tcW w:w="650" w:type="dxa"/>
                </w:tcPr>
                <w:p w14:paraId="5289EB1D">
                  <w:pPr>
                    <w:bidi w:val="0"/>
                    <w:jc w:val="center"/>
                    <w:rPr>
                      <w:rFonts w:hint="eastAsia" w:eastAsia="宋体"/>
                      <w:color w:val="FF0000"/>
                      <w:lang w:val="en-US" w:eastAsia="zh-CN"/>
                    </w:rPr>
                  </w:pPr>
                  <w:r>
                    <w:rPr>
                      <w:rFonts w:hint="eastAsia"/>
                      <w:color w:val="FF0000"/>
                      <w:lang w:val="en-US" w:eastAsia="zh-CN"/>
                    </w:rPr>
                    <w:t>/</w:t>
                  </w:r>
                </w:p>
              </w:tc>
              <w:tc>
                <w:tcPr>
                  <w:tcW w:w="731" w:type="dxa"/>
                  <w:vAlign w:val="center"/>
                </w:tcPr>
                <w:p w14:paraId="5319E70F">
                  <w:pPr>
                    <w:pStyle w:val="86"/>
                    <w:spacing w:line="240" w:lineRule="auto"/>
                    <w:ind w:firstLine="0" w:firstLineChars="0"/>
                    <w:jc w:val="center"/>
                    <w:rPr>
                      <w:color w:val="FF0000"/>
                    </w:rPr>
                  </w:pPr>
                  <w:r>
                    <w:rPr>
                      <w:rFonts w:hint="eastAsia" w:ascii="Times New Roman" w:hAnsi="Times New Roman" w:eastAsia="宋体" w:cs="宋体"/>
                      <w:color w:val="FF0000"/>
                      <w:sz w:val="21"/>
                      <w:szCs w:val="21"/>
                      <w:lang w:val="en-US" w:eastAsia="zh-CN"/>
                    </w:rPr>
                    <w:t>0.18</w:t>
                  </w:r>
                </w:p>
              </w:tc>
              <w:tc>
                <w:tcPr>
                  <w:tcW w:w="819" w:type="dxa"/>
                </w:tcPr>
                <w:p w14:paraId="26A975BF">
                  <w:pPr>
                    <w:bidi w:val="0"/>
                    <w:jc w:val="center"/>
                    <w:rPr>
                      <w:rFonts w:hint="eastAsia" w:eastAsia="宋体"/>
                      <w:color w:val="FF0000"/>
                      <w:lang w:val="en-US" w:eastAsia="zh-CN"/>
                    </w:rPr>
                  </w:pPr>
                  <w:r>
                    <w:rPr>
                      <w:rFonts w:hint="eastAsia"/>
                      <w:color w:val="FF0000"/>
                      <w:lang w:val="en-US" w:eastAsia="zh-CN"/>
                    </w:rPr>
                    <w:t>/</w:t>
                  </w:r>
                </w:p>
              </w:tc>
              <w:tc>
                <w:tcPr>
                  <w:tcW w:w="930" w:type="dxa"/>
                  <w:vAlign w:val="center"/>
                </w:tcPr>
                <w:p w14:paraId="4EA9FB4C">
                  <w:pPr>
                    <w:pStyle w:val="86"/>
                    <w:spacing w:line="240" w:lineRule="auto"/>
                    <w:ind w:firstLine="0" w:firstLineChars="0"/>
                    <w:jc w:val="center"/>
                    <w:rPr>
                      <w:color w:val="FF0000"/>
                    </w:rPr>
                  </w:pPr>
                  <w:r>
                    <w:rPr>
                      <w:rFonts w:hint="eastAsia" w:ascii="Times New Roman" w:hAnsi="Times New Roman" w:eastAsia="宋体" w:cs="宋体"/>
                      <w:color w:val="FF0000"/>
                      <w:sz w:val="21"/>
                      <w:szCs w:val="21"/>
                      <w:lang w:val="en-US" w:eastAsia="zh-CN"/>
                    </w:rPr>
                    <w:t>0.18</w:t>
                  </w:r>
                </w:p>
              </w:tc>
              <w:tc>
                <w:tcPr>
                  <w:tcW w:w="817" w:type="dxa"/>
                </w:tcPr>
                <w:p w14:paraId="2B62F0C0">
                  <w:pPr>
                    <w:bidi w:val="0"/>
                    <w:jc w:val="center"/>
                    <w:rPr>
                      <w:rFonts w:hint="default" w:eastAsia="宋体"/>
                      <w:color w:val="FF0000"/>
                      <w:lang w:val="en-US" w:eastAsia="zh-CN"/>
                    </w:rPr>
                  </w:pPr>
                  <w:r>
                    <w:rPr>
                      <w:rFonts w:hint="eastAsia"/>
                      <w:color w:val="FF0000"/>
                      <w:lang w:val="en-US" w:eastAsia="zh-CN"/>
                    </w:rPr>
                    <w:t>-0.02</w:t>
                  </w:r>
                </w:p>
              </w:tc>
            </w:tr>
          </w:tbl>
          <w:p w14:paraId="4B1DD6DE">
            <w:pPr>
              <w:spacing w:line="360" w:lineRule="auto"/>
              <w:ind w:firstLine="482" w:firstLineChars="200"/>
              <w:rPr>
                <w:b/>
                <w:bCs/>
                <w:sz w:val="24"/>
              </w:rPr>
            </w:pPr>
            <w:r>
              <w:rPr>
                <w:rFonts w:hint="eastAsia"/>
                <w:b/>
                <w:bCs/>
                <w:sz w:val="24"/>
                <w:lang w:val="en-US" w:eastAsia="zh-CN"/>
              </w:rPr>
              <w:t>11</w:t>
            </w:r>
            <w:r>
              <w:rPr>
                <w:rFonts w:hint="eastAsia"/>
                <w:b/>
                <w:bCs/>
                <w:sz w:val="24"/>
              </w:rPr>
              <w:t>、环保投资情况</w:t>
            </w:r>
          </w:p>
          <w:p w14:paraId="41280462">
            <w:pPr>
              <w:pStyle w:val="105"/>
              <w:spacing w:line="360" w:lineRule="auto"/>
              <w:ind w:firstLine="480"/>
              <w:rPr>
                <w:color w:val="000000"/>
                <w:szCs w:val="24"/>
              </w:rPr>
            </w:pPr>
            <w:r>
              <w:rPr>
                <w:rFonts w:hint="eastAsia" w:eastAsia="宋体" w:cs="Times New Roman"/>
                <w:lang w:val="en-US"/>
              </w:rPr>
              <w:t>本项目总投资500万元，其中环保投资占总投资的10%，环保投资50万元，环保投资见表4-24：</w:t>
            </w:r>
          </w:p>
          <w:p w14:paraId="531A4DC1">
            <w:pPr>
              <w:pStyle w:val="151"/>
              <w:ind w:left="0" w:leftChars="0" w:firstLine="2891" w:firstLineChars="1200"/>
              <w:jc w:val="both"/>
              <w:rPr>
                <w:color w:val="000000"/>
                <w:sz w:val="24"/>
              </w:rPr>
            </w:pPr>
            <w:r>
              <w:rPr>
                <w:color w:val="000000"/>
                <w:sz w:val="24"/>
              </w:rPr>
              <w:t>表</w:t>
            </w:r>
            <w:r>
              <w:rPr>
                <w:rFonts w:hint="eastAsia"/>
                <w:color w:val="000000"/>
                <w:sz w:val="24"/>
              </w:rPr>
              <w:t xml:space="preserve">4-24     </w:t>
            </w:r>
            <w:r>
              <w:rPr>
                <w:color w:val="000000"/>
                <w:sz w:val="24"/>
              </w:rPr>
              <w:t>环保投资情况</w:t>
            </w:r>
          </w:p>
          <w:tbl>
            <w:tblPr>
              <w:tblStyle w:val="36"/>
              <w:tblW w:w="8267"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62"/>
              <w:gridCol w:w="1079"/>
              <w:gridCol w:w="1919"/>
              <w:gridCol w:w="3325"/>
              <w:gridCol w:w="1282"/>
            </w:tblGrid>
            <w:tr w14:paraId="472E474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5" w:hRule="atLeast"/>
                <w:jc w:val="center"/>
              </w:trPr>
              <w:tc>
                <w:tcPr>
                  <w:tcW w:w="662" w:type="dxa"/>
                  <w:vAlign w:val="center"/>
                </w:tcPr>
                <w:p w14:paraId="5ADD7D30">
                  <w:pPr>
                    <w:pStyle w:val="53"/>
                    <w:rPr>
                      <w:color w:val="000000"/>
                    </w:rPr>
                  </w:pPr>
                  <w:r>
                    <w:rPr>
                      <w:rFonts w:hint="eastAsia"/>
                      <w:color w:val="000000"/>
                    </w:rPr>
                    <w:t>序号</w:t>
                  </w:r>
                </w:p>
              </w:tc>
              <w:tc>
                <w:tcPr>
                  <w:tcW w:w="6323" w:type="dxa"/>
                  <w:gridSpan w:val="3"/>
                  <w:vAlign w:val="center"/>
                </w:tcPr>
                <w:p w14:paraId="15950FFC">
                  <w:pPr>
                    <w:pStyle w:val="53"/>
                    <w:rPr>
                      <w:color w:val="000000"/>
                    </w:rPr>
                  </w:pPr>
                  <w:r>
                    <w:rPr>
                      <w:rFonts w:hint="eastAsia"/>
                      <w:color w:val="000000"/>
                    </w:rPr>
                    <w:t>项目</w:t>
                  </w:r>
                </w:p>
              </w:tc>
              <w:tc>
                <w:tcPr>
                  <w:tcW w:w="1282" w:type="dxa"/>
                  <w:vAlign w:val="center"/>
                </w:tcPr>
                <w:p w14:paraId="4CA1D40A">
                  <w:pPr>
                    <w:pStyle w:val="53"/>
                    <w:rPr>
                      <w:color w:val="000000"/>
                    </w:rPr>
                  </w:pPr>
                  <w:r>
                    <w:rPr>
                      <w:color w:val="000000"/>
                    </w:rPr>
                    <w:t>投资</w:t>
                  </w:r>
                  <w:r>
                    <w:rPr>
                      <w:rFonts w:hint="eastAsia"/>
                      <w:color w:val="000000"/>
                    </w:rPr>
                    <w:t>（万元）</w:t>
                  </w:r>
                </w:p>
              </w:tc>
            </w:tr>
            <w:tr w14:paraId="6FE727B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662" w:type="dxa"/>
                  <w:vMerge w:val="restart"/>
                  <w:vAlign w:val="center"/>
                </w:tcPr>
                <w:p w14:paraId="3C8ACBD4">
                  <w:pPr>
                    <w:pStyle w:val="53"/>
                    <w:rPr>
                      <w:color w:val="000000"/>
                      <w:szCs w:val="21"/>
                    </w:rPr>
                  </w:pPr>
                  <w:r>
                    <w:rPr>
                      <w:rFonts w:hint="eastAsia"/>
                      <w:color w:val="000000"/>
                      <w:szCs w:val="21"/>
                    </w:rPr>
                    <w:t>1</w:t>
                  </w:r>
                </w:p>
              </w:tc>
              <w:tc>
                <w:tcPr>
                  <w:tcW w:w="1079" w:type="dxa"/>
                  <w:vMerge w:val="restart"/>
                  <w:vAlign w:val="center"/>
                </w:tcPr>
                <w:p w14:paraId="0E044356">
                  <w:pPr>
                    <w:pStyle w:val="53"/>
                    <w:rPr>
                      <w:color w:val="000000"/>
                      <w:szCs w:val="21"/>
                    </w:rPr>
                  </w:pPr>
                  <w:r>
                    <w:rPr>
                      <w:rFonts w:hint="eastAsia"/>
                      <w:color w:val="000000"/>
                      <w:szCs w:val="21"/>
                    </w:rPr>
                    <w:t>废气治理</w:t>
                  </w:r>
                </w:p>
              </w:tc>
              <w:tc>
                <w:tcPr>
                  <w:tcW w:w="1919" w:type="dxa"/>
                  <w:tcBorders>
                    <w:bottom w:val="single" w:color="auto" w:sz="4" w:space="0"/>
                  </w:tcBorders>
                  <w:vAlign w:val="center"/>
                </w:tcPr>
                <w:p w14:paraId="702EEE48">
                  <w:pPr>
                    <w:widowControl/>
                    <w:jc w:val="center"/>
                    <w:textAlignment w:val="bottom"/>
                    <w:rPr>
                      <w:szCs w:val="21"/>
                    </w:rPr>
                  </w:pPr>
                  <w:r>
                    <w:rPr>
                      <w:rFonts w:hint="eastAsia"/>
                      <w:szCs w:val="21"/>
                    </w:rPr>
                    <w:t>注塑废气</w:t>
                  </w:r>
                </w:p>
              </w:tc>
              <w:tc>
                <w:tcPr>
                  <w:tcW w:w="3325" w:type="dxa"/>
                  <w:vAlign w:val="center"/>
                </w:tcPr>
                <w:p w14:paraId="34A9BEF3">
                  <w:pPr>
                    <w:pStyle w:val="53"/>
                    <w:rPr>
                      <w:color w:val="000000"/>
                      <w:szCs w:val="21"/>
                    </w:rPr>
                  </w:pPr>
                  <w:r>
                    <w:rPr>
                      <w:rFonts w:hint="eastAsia"/>
                      <w:szCs w:val="21"/>
                    </w:rPr>
                    <w:t>集气罩+两级活性炭吸附装置+15m排气筒</w:t>
                  </w:r>
                </w:p>
              </w:tc>
              <w:tc>
                <w:tcPr>
                  <w:tcW w:w="1282" w:type="dxa"/>
                  <w:vMerge w:val="restart"/>
                  <w:vAlign w:val="center"/>
                </w:tcPr>
                <w:p w14:paraId="3D814831">
                  <w:pPr>
                    <w:pStyle w:val="53"/>
                    <w:rPr>
                      <w:color w:val="000000"/>
                    </w:rPr>
                  </w:pPr>
                  <w:r>
                    <w:rPr>
                      <w:rFonts w:hint="eastAsia"/>
                      <w:color w:val="000000"/>
                    </w:rPr>
                    <w:t>50</w:t>
                  </w:r>
                </w:p>
              </w:tc>
            </w:tr>
            <w:tr w14:paraId="5C0F296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108" w:hRule="atLeast"/>
                <w:jc w:val="center"/>
              </w:trPr>
              <w:tc>
                <w:tcPr>
                  <w:tcW w:w="662" w:type="dxa"/>
                  <w:vMerge w:val="continue"/>
                  <w:vAlign w:val="center"/>
                </w:tcPr>
                <w:p w14:paraId="67054303">
                  <w:pPr>
                    <w:pStyle w:val="53"/>
                    <w:rPr>
                      <w:color w:val="000000"/>
                      <w:szCs w:val="21"/>
                    </w:rPr>
                  </w:pPr>
                </w:p>
              </w:tc>
              <w:tc>
                <w:tcPr>
                  <w:tcW w:w="1079" w:type="dxa"/>
                  <w:vMerge w:val="continue"/>
                  <w:vAlign w:val="center"/>
                </w:tcPr>
                <w:p w14:paraId="727948C5">
                  <w:pPr>
                    <w:pStyle w:val="53"/>
                    <w:rPr>
                      <w:color w:val="000000"/>
                      <w:szCs w:val="21"/>
                    </w:rPr>
                  </w:pPr>
                </w:p>
              </w:tc>
              <w:tc>
                <w:tcPr>
                  <w:tcW w:w="1919" w:type="dxa"/>
                  <w:tcBorders>
                    <w:bottom w:val="single" w:color="auto" w:sz="4" w:space="0"/>
                  </w:tcBorders>
                  <w:vAlign w:val="center"/>
                </w:tcPr>
                <w:p w14:paraId="3A4F4E7B">
                  <w:pPr>
                    <w:widowControl/>
                    <w:jc w:val="center"/>
                    <w:textAlignment w:val="bottom"/>
                    <w:rPr>
                      <w:szCs w:val="21"/>
                    </w:rPr>
                  </w:pPr>
                  <w:r>
                    <w:rPr>
                      <w:rFonts w:hint="eastAsia"/>
                      <w:szCs w:val="21"/>
                    </w:rPr>
                    <w:t>喷塑粉尘</w:t>
                  </w:r>
                </w:p>
              </w:tc>
              <w:tc>
                <w:tcPr>
                  <w:tcW w:w="3325" w:type="dxa"/>
                  <w:vAlign w:val="center"/>
                </w:tcPr>
                <w:p w14:paraId="54058A80">
                  <w:pPr>
                    <w:pStyle w:val="53"/>
                    <w:rPr>
                      <w:szCs w:val="21"/>
                    </w:rPr>
                  </w:pPr>
                  <w:r>
                    <w:rPr>
                      <w:rFonts w:hint="eastAsia"/>
                      <w:szCs w:val="21"/>
                      <w:lang w:val="en-US" w:eastAsia="zh-CN"/>
                    </w:rPr>
                    <w:t>旋风除尘+滤芯除尘器+</w:t>
                  </w:r>
                  <w:r>
                    <w:rPr>
                      <w:rFonts w:hint="eastAsia"/>
                      <w:szCs w:val="21"/>
                    </w:rPr>
                    <w:t>集气罩+两级活性炭吸附装置+15m排气筒</w:t>
                  </w:r>
                </w:p>
              </w:tc>
              <w:tc>
                <w:tcPr>
                  <w:tcW w:w="1282" w:type="dxa"/>
                  <w:vMerge w:val="continue"/>
                  <w:vAlign w:val="center"/>
                </w:tcPr>
                <w:p w14:paraId="0C7B9CD0">
                  <w:pPr>
                    <w:pStyle w:val="53"/>
                    <w:rPr>
                      <w:color w:val="000000"/>
                    </w:rPr>
                  </w:pPr>
                </w:p>
              </w:tc>
            </w:tr>
            <w:tr w14:paraId="45E2935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113" w:hRule="atLeast"/>
                <w:jc w:val="center"/>
              </w:trPr>
              <w:tc>
                <w:tcPr>
                  <w:tcW w:w="662" w:type="dxa"/>
                  <w:vMerge w:val="continue"/>
                  <w:vAlign w:val="center"/>
                </w:tcPr>
                <w:p w14:paraId="4262192C">
                  <w:pPr>
                    <w:pStyle w:val="53"/>
                    <w:rPr>
                      <w:color w:val="000000"/>
                      <w:szCs w:val="21"/>
                    </w:rPr>
                  </w:pPr>
                </w:p>
              </w:tc>
              <w:tc>
                <w:tcPr>
                  <w:tcW w:w="1079" w:type="dxa"/>
                  <w:vMerge w:val="continue"/>
                  <w:vAlign w:val="center"/>
                </w:tcPr>
                <w:p w14:paraId="2DE56852">
                  <w:pPr>
                    <w:pStyle w:val="53"/>
                    <w:rPr>
                      <w:color w:val="000000"/>
                      <w:szCs w:val="21"/>
                    </w:rPr>
                  </w:pPr>
                </w:p>
              </w:tc>
              <w:tc>
                <w:tcPr>
                  <w:tcW w:w="1919" w:type="dxa"/>
                  <w:tcBorders>
                    <w:bottom w:val="single" w:color="auto" w:sz="4" w:space="0"/>
                  </w:tcBorders>
                  <w:vAlign w:val="center"/>
                </w:tcPr>
                <w:p w14:paraId="1F85C454">
                  <w:pPr>
                    <w:widowControl/>
                    <w:jc w:val="center"/>
                    <w:textAlignment w:val="bottom"/>
                    <w:rPr>
                      <w:szCs w:val="21"/>
                    </w:rPr>
                  </w:pPr>
                  <w:r>
                    <w:rPr>
                      <w:rFonts w:hint="eastAsia"/>
                      <w:szCs w:val="21"/>
                    </w:rPr>
                    <w:t>天然气燃烧机废气</w:t>
                  </w:r>
                </w:p>
              </w:tc>
              <w:tc>
                <w:tcPr>
                  <w:tcW w:w="3325" w:type="dxa"/>
                  <w:vAlign w:val="center"/>
                </w:tcPr>
                <w:p w14:paraId="28E1BCAB">
                  <w:pPr>
                    <w:pStyle w:val="53"/>
                    <w:rPr>
                      <w:szCs w:val="21"/>
                    </w:rPr>
                  </w:pPr>
                  <w:r>
                    <w:rPr>
                      <w:rFonts w:hint="eastAsia"/>
                      <w:szCs w:val="21"/>
                    </w:rPr>
                    <w:t>排气管+8m排气筒</w:t>
                  </w:r>
                </w:p>
              </w:tc>
              <w:tc>
                <w:tcPr>
                  <w:tcW w:w="1282" w:type="dxa"/>
                  <w:vMerge w:val="continue"/>
                  <w:vAlign w:val="center"/>
                </w:tcPr>
                <w:p w14:paraId="238F2FFE">
                  <w:pPr>
                    <w:pStyle w:val="53"/>
                    <w:rPr>
                      <w:color w:val="000000"/>
                    </w:rPr>
                  </w:pPr>
                </w:p>
              </w:tc>
            </w:tr>
            <w:tr w14:paraId="33FD885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174" w:hRule="atLeast"/>
                <w:jc w:val="center"/>
              </w:trPr>
              <w:tc>
                <w:tcPr>
                  <w:tcW w:w="662" w:type="dxa"/>
                  <w:vMerge w:val="continue"/>
                  <w:vAlign w:val="center"/>
                </w:tcPr>
                <w:p w14:paraId="51094B26">
                  <w:pPr>
                    <w:pStyle w:val="53"/>
                    <w:rPr>
                      <w:color w:val="000000"/>
                      <w:szCs w:val="21"/>
                    </w:rPr>
                  </w:pPr>
                </w:p>
              </w:tc>
              <w:tc>
                <w:tcPr>
                  <w:tcW w:w="1079" w:type="dxa"/>
                  <w:vMerge w:val="continue"/>
                  <w:vAlign w:val="center"/>
                </w:tcPr>
                <w:p w14:paraId="160818C0">
                  <w:pPr>
                    <w:pStyle w:val="53"/>
                    <w:rPr>
                      <w:color w:val="000000"/>
                      <w:szCs w:val="21"/>
                    </w:rPr>
                  </w:pPr>
                </w:p>
              </w:tc>
              <w:tc>
                <w:tcPr>
                  <w:tcW w:w="1919" w:type="dxa"/>
                  <w:tcBorders>
                    <w:bottom w:val="single" w:color="auto" w:sz="4" w:space="0"/>
                  </w:tcBorders>
                  <w:vAlign w:val="center"/>
                </w:tcPr>
                <w:p w14:paraId="43791DE0">
                  <w:pPr>
                    <w:jc w:val="center"/>
                    <w:rPr>
                      <w:szCs w:val="21"/>
                    </w:rPr>
                  </w:pPr>
                  <w:r>
                    <w:rPr>
                      <w:rFonts w:hint="eastAsia" w:ascii="Arial"/>
                    </w:rPr>
                    <w:t>焊接烟尘</w:t>
                  </w:r>
                </w:p>
              </w:tc>
              <w:tc>
                <w:tcPr>
                  <w:tcW w:w="3325" w:type="dxa"/>
                  <w:vAlign w:val="center"/>
                </w:tcPr>
                <w:p w14:paraId="677E3961">
                  <w:pPr>
                    <w:pStyle w:val="53"/>
                    <w:rPr>
                      <w:szCs w:val="21"/>
                    </w:rPr>
                  </w:pPr>
                  <w:r>
                    <w:rPr>
                      <w:rFonts w:hint="eastAsia"/>
                      <w:szCs w:val="21"/>
                    </w:rPr>
                    <w:t>排气扇、通风设施</w:t>
                  </w:r>
                </w:p>
              </w:tc>
              <w:tc>
                <w:tcPr>
                  <w:tcW w:w="1282" w:type="dxa"/>
                  <w:vMerge w:val="continue"/>
                  <w:vAlign w:val="center"/>
                </w:tcPr>
                <w:p w14:paraId="1AB66CC0">
                  <w:pPr>
                    <w:pStyle w:val="53"/>
                    <w:rPr>
                      <w:color w:val="000000"/>
                    </w:rPr>
                  </w:pPr>
                </w:p>
              </w:tc>
            </w:tr>
            <w:tr w14:paraId="666E8C3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77" w:hRule="atLeast"/>
                <w:jc w:val="center"/>
              </w:trPr>
              <w:tc>
                <w:tcPr>
                  <w:tcW w:w="662" w:type="dxa"/>
                  <w:vMerge w:val="continue"/>
                  <w:vAlign w:val="center"/>
                </w:tcPr>
                <w:p w14:paraId="7901B646">
                  <w:pPr>
                    <w:pStyle w:val="53"/>
                    <w:rPr>
                      <w:color w:val="000000"/>
                      <w:szCs w:val="21"/>
                    </w:rPr>
                  </w:pPr>
                </w:p>
              </w:tc>
              <w:tc>
                <w:tcPr>
                  <w:tcW w:w="1079" w:type="dxa"/>
                  <w:vMerge w:val="continue"/>
                  <w:vAlign w:val="center"/>
                </w:tcPr>
                <w:p w14:paraId="38FC78FC">
                  <w:pPr>
                    <w:pStyle w:val="53"/>
                    <w:rPr>
                      <w:color w:val="000000"/>
                      <w:szCs w:val="21"/>
                    </w:rPr>
                  </w:pPr>
                </w:p>
              </w:tc>
              <w:tc>
                <w:tcPr>
                  <w:tcW w:w="1919" w:type="dxa"/>
                  <w:tcBorders>
                    <w:bottom w:val="single" w:color="auto" w:sz="4" w:space="0"/>
                  </w:tcBorders>
                  <w:vAlign w:val="center"/>
                </w:tcPr>
                <w:p w14:paraId="277A15AD">
                  <w:pPr>
                    <w:jc w:val="center"/>
                    <w:rPr>
                      <w:szCs w:val="21"/>
                    </w:rPr>
                  </w:pPr>
                  <w:r>
                    <w:rPr>
                      <w:rFonts w:hint="eastAsia" w:ascii="Arial"/>
                    </w:rPr>
                    <w:t>机加工粉尘</w:t>
                  </w:r>
                </w:p>
              </w:tc>
              <w:tc>
                <w:tcPr>
                  <w:tcW w:w="3325" w:type="dxa"/>
                  <w:vAlign w:val="center"/>
                </w:tcPr>
                <w:p w14:paraId="1A38A7DD">
                  <w:pPr>
                    <w:pStyle w:val="53"/>
                    <w:rPr>
                      <w:szCs w:val="21"/>
                    </w:rPr>
                  </w:pPr>
                  <w:r>
                    <w:rPr>
                      <w:rFonts w:hint="eastAsia"/>
                      <w:szCs w:val="21"/>
                    </w:rPr>
                    <w:t>排气扇、通风设施</w:t>
                  </w:r>
                </w:p>
              </w:tc>
              <w:tc>
                <w:tcPr>
                  <w:tcW w:w="1282" w:type="dxa"/>
                  <w:vMerge w:val="continue"/>
                  <w:vAlign w:val="center"/>
                </w:tcPr>
                <w:p w14:paraId="1790E2AF">
                  <w:pPr>
                    <w:pStyle w:val="53"/>
                    <w:rPr>
                      <w:color w:val="000000"/>
                    </w:rPr>
                  </w:pPr>
                </w:p>
              </w:tc>
            </w:tr>
            <w:tr w14:paraId="57853B6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9" w:hRule="atLeast"/>
                <w:jc w:val="center"/>
              </w:trPr>
              <w:tc>
                <w:tcPr>
                  <w:tcW w:w="662" w:type="dxa"/>
                  <w:vAlign w:val="center"/>
                </w:tcPr>
                <w:p w14:paraId="6FEAF0A4">
                  <w:pPr>
                    <w:pStyle w:val="53"/>
                    <w:rPr>
                      <w:color w:val="000000"/>
                      <w:szCs w:val="21"/>
                    </w:rPr>
                  </w:pPr>
                  <w:r>
                    <w:rPr>
                      <w:rFonts w:hint="eastAsia"/>
                      <w:color w:val="000000"/>
                      <w:szCs w:val="21"/>
                    </w:rPr>
                    <w:t>2</w:t>
                  </w:r>
                </w:p>
              </w:tc>
              <w:tc>
                <w:tcPr>
                  <w:tcW w:w="1079" w:type="dxa"/>
                  <w:vAlign w:val="center"/>
                </w:tcPr>
                <w:p w14:paraId="0FBDC158">
                  <w:pPr>
                    <w:pStyle w:val="53"/>
                    <w:rPr>
                      <w:color w:val="000000"/>
                      <w:szCs w:val="21"/>
                    </w:rPr>
                  </w:pPr>
                  <w:r>
                    <w:rPr>
                      <w:color w:val="000000"/>
                      <w:szCs w:val="21"/>
                    </w:rPr>
                    <w:t>废水</w:t>
                  </w:r>
                  <w:r>
                    <w:rPr>
                      <w:rFonts w:hint="eastAsia"/>
                      <w:color w:val="000000"/>
                      <w:szCs w:val="21"/>
                    </w:rPr>
                    <w:t>治理</w:t>
                  </w:r>
                </w:p>
              </w:tc>
              <w:tc>
                <w:tcPr>
                  <w:tcW w:w="5244" w:type="dxa"/>
                  <w:gridSpan w:val="2"/>
                  <w:vAlign w:val="center"/>
                </w:tcPr>
                <w:p w14:paraId="72249C84">
                  <w:pPr>
                    <w:jc w:val="center"/>
                    <w:rPr>
                      <w:color w:val="000000"/>
                      <w:szCs w:val="21"/>
                    </w:rPr>
                  </w:pPr>
                  <w:r>
                    <w:rPr>
                      <w:rFonts w:hint="eastAsia"/>
                      <w:color w:val="000000"/>
                      <w:szCs w:val="21"/>
                    </w:rPr>
                    <w:t>化粪池</w:t>
                  </w:r>
                </w:p>
              </w:tc>
              <w:tc>
                <w:tcPr>
                  <w:tcW w:w="1282" w:type="dxa"/>
                  <w:vAlign w:val="center"/>
                </w:tcPr>
                <w:p w14:paraId="25C7F92A">
                  <w:pPr>
                    <w:pStyle w:val="53"/>
                    <w:rPr>
                      <w:color w:val="000000"/>
                    </w:rPr>
                  </w:pPr>
                  <w:r>
                    <w:rPr>
                      <w:rFonts w:hint="eastAsia"/>
                      <w:color w:val="000000"/>
                    </w:rPr>
                    <w:t>/</w:t>
                  </w:r>
                </w:p>
              </w:tc>
            </w:tr>
            <w:tr w14:paraId="7A751B6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20" w:hRule="atLeast"/>
                <w:jc w:val="center"/>
              </w:trPr>
              <w:tc>
                <w:tcPr>
                  <w:tcW w:w="662" w:type="dxa"/>
                  <w:vAlign w:val="center"/>
                </w:tcPr>
                <w:p w14:paraId="4EBA3EFD">
                  <w:pPr>
                    <w:pStyle w:val="53"/>
                    <w:rPr>
                      <w:color w:val="000000"/>
                      <w:szCs w:val="21"/>
                    </w:rPr>
                  </w:pPr>
                  <w:r>
                    <w:rPr>
                      <w:rFonts w:hint="eastAsia"/>
                      <w:color w:val="000000"/>
                      <w:szCs w:val="21"/>
                    </w:rPr>
                    <w:t>3</w:t>
                  </w:r>
                </w:p>
              </w:tc>
              <w:tc>
                <w:tcPr>
                  <w:tcW w:w="1079" w:type="dxa"/>
                  <w:vAlign w:val="center"/>
                </w:tcPr>
                <w:p w14:paraId="1FE986EE">
                  <w:pPr>
                    <w:pStyle w:val="53"/>
                    <w:rPr>
                      <w:color w:val="000000"/>
                      <w:szCs w:val="21"/>
                    </w:rPr>
                  </w:pPr>
                  <w:r>
                    <w:rPr>
                      <w:color w:val="000000"/>
                      <w:szCs w:val="21"/>
                    </w:rPr>
                    <w:t>噪声</w:t>
                  </w:r>
                  <w:r>
                    <w:rPr>
                      <w:rFonts w:hint="eastAsia"/>
                      <w:color w:val="000000"/>
                      <w:szCs w:val="21"/>
                    </w:rPr>
                    <w:t>控制</w:t>
                  </w:r>
                </w:p>
              </w:tc>
              <w:tc>
                <w:tcPr>
                  <w:tcW w:w="5244" w:type="dxa"/>
                  <w:gridSpan w:val="2"/>
                  <w:vAlign w:val="center"/>
                </w:tcPr>
                <w:p w14:paraId="25E148F7">
                  <w:pPr>
                    <w:pStyle w:val="53"/>
                    <w:rPr>
                      <w:color w:val="000000"/>
                      <w:szCs w:val="21"/>
                    </w:rPr>
                  </w:pPr>
                  <w:r>
                    <w:rPr>
                      <w:rFonts w:ascii="宋体" w:hAnsi="宋体" w:cs="宋体"/>
                      <w:szCs w:val="21"/>
                    </w:rPr>
                    <w:t>选用低噪声生产设备，高噪声设备采取隔声、减振等措施降噪，优化平面布局</w:t>
                  </w:r>
                </w:p>
              </w:tc>
              <w:tc>
                <w:tcPr>
                  <w:tcW w:w="1282" w:type="dxa"/>
                  <w:vAlign w:val="center"/>
                </w:tcPr>
                <w:p w14:paraId="139CAB8A">
                  <w:pPr>
                    <w:pStyle w:val="53"/>
                    <w:rPr>
                      <w:color w:val="000000"/>
                    </w:rPr>
                  </w:pPr>
                  <w:r>
                    <w:rPr>
                      <w:rFonts w:hint="eastAsia"/>
                      <w:color w:val="000000"/>
                    </w:rPr>
                    <w:t>/</w:t>
                  </w:r>
                </w:p>
              </w:tc>
            </w:tr>
            <w:tr w14:paraId="781D3BA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22" w:hRule="atLeast"/>
                <w:jc w:val="center"/>
              </w:trPr>
              <w:tc>
                <w:tcPr>
                  <w:tcW w:w="662" w:type="dxa"/>
                  <w:vAlign w:val="center"/>
                </w:tcPr>
                <w:p w14:paraId="1D1D9D13">
                  <w:pPr>
                    <w:pStyle w:val="53"/>
                    <w:rPr>
                      <w:color w:val="000000"/>
                      <w:szCs w:val="21"/>
                    </w:rPr>
                  </w:pPr>
                  <w:r>
                    <w:rPr>
                      <w:rFonts w:hint="eastAsia"/>
                      <w:color w:val="000000"/>
                      <w:szCs w:val="21"/>
                    </w:rPr>
                    <w:t>4</w:t>
                  </w:r>
                </w:p>
              </w:tc>
              <w:tc>
                <w:tcPr>
                  <w:tcW w:w="1079" w:type="dxa"/>
                  <w:vAlign w:val="center"/>
                </w:tcPr>
                <w:p w14:paraId="6C42AC68">
                  <w:pPr>
                    <w:pStyle w:val="53"/>
                    <w:rPr>
                      <w:color w:val="000000"/>
                      <w:szCs w:val="21"/>
                    </w:rPr>
                  </w:pPr>
                  <w:r>
                    <w:rPr>
                      <w:color w:val="000000"/>
                      <w:szCs w:val="21"/>
                    </w:rPr>
                    <w:t>固废</w:t>
                  </w:r>
                  <w:r>
                    <w:rPr>
                      <w:rFonts w:hint="eastAsia"/>
                      <w:color w:val="000000"/>
                      <w:szCs w:val="21"/>
                    </w:rPr>
                    <w:t>处置</w:t>
                  </w:r>
                </w:p>
              </w:tc>
              <w:tc>
                <w:tcPr>
                  <w:tcW w:w="5244" w:type="dxa"/>
                  <w:gridSpan w:val="2"/>
                  <w:vAlign w:val="center"/>
                </w:tcPr>
                <w:p w14:paraId="1DA8A4F1">
                  <w:pPr>
                    <w:pStyle w:val="53"/>
                    <w:rPr>
                      <w:color w:val="000000"/>
                      <w:szCs w:val="21"/>
                    </w:rPr>
                  </w:pPr>
                  <w:r>
                    <w:rPr>
                      <w:rFonts w:hint="eastAsia"/>
                      <w:color w:val="000000"/>
                      <w:szCs w:val="21"/>
                    </w:rPr>
                    <w:t>一般固废暂存间、危废暂存间</w:t>
                  </w:r>
                </w:p>
              </w:tc>
              <w:tc>
                <w:tcPr>
                  <w:tcW w:w="1282" w:type="dxa"/>
                  <w:vAlign w:val="center"/>
                </w:tcPr>
                <w:p w14:paraId="4EDF7D2C">
                  <w:pPr>
                    <w:pStyle w:val="53"/>
                    <w:rPr>
                      <w:color w:val="000000"/>
                    </w:rPr>
                  </w:pPr>
                  <w:r>
                    <w:rPr>
                      <w:rFonts w:hint="eastAsia"/>
                      <w:color w:val="000000"/>
                    </w:rPr>
                    <w:t>/</w:t>
                  </w:r>
                </w:p>
              </w:tc>
            </w:tr>
            <w:tr w14:paraId="7339D13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6985" w:type="dxa"/>
                  <w:gridSpan w:val="4"/>
                  <w:vAlign w:val="center"/>
                </w:tcPr>
                <w:p w14:paraId="15A722A1">
                  <w:pPr>
                    <w:pStyle w:val="53"/>
                    <w:rPr>
                      <w:color w:val="000000"/>
                      <w:szCs w:val="21"/>
                    </w:rPr>
                  </w:pPr>
                  <w:r>
                    <w:rPr>
                      <w:rFonts w:hint="eastAsia"/>
                      <w:color w:val="000000"/>
                      <w:szCs w:val="21"/>
                    </w:rPr>
                    <w:t>合计</w:t>
                  </w:r>
                </w:p>
              </w:tc>
              <w:tc>
                <w:tcPr>
                  <w:tcW w:w="1282" w:type="dxa"/>
                  <w:vAlign w:val="center"/>
                </w:tcPr>
                <w:p w14:paraId="556FD5BF">
                  <w:pPr>
                    <w:pStyle w:val="53"/>
                    <w:rPr>
                      <w:color w:val="000000"/>
                    </w:rPr>
                  </w:pPr>
                  <w:r>
                    <w:rPr>
                      <w:rFonts w:hint="eastAsia"/>
                      <w:color w:val="000000"/>
                    </w:rPr>
                    <w:t>50</w:t>
                  </w:r>
                </w:p>
              </w:tc>
            </w:tr>
          </w:tbl>
          <w:p w14:paraId="4CD2011C">
            <w:pPr>
              <w:adjustRightInd w:val="0"/>
              <w:spacing w:line="360" w:lineRule="auto"/>
              <w:ind w:firstLine="480" w:firstLineChars="200"/>
              <w:rPr>
                <w:sz w:val="24"/>
              </w:rPr>
            </w:pPr>
          </w:p>
        </w:tc>
      </w:tr>
    </w:tbl>
    <w:p w14:paraId="47CDC777">
      <w:pPr>
        <w:adjustRightInd w:val="0"/>
        <w:snapToGrid w:val="0"/>
        <w:spacing w:line="360" w:lineRule="auto"/>
        <w:rPr>
          <w:rFonts w:ascii="宋体" w:cs="宋体"/>
          <w:b/>
          <w:color w:val="FF0000"/>
          <w:kern w:val="0"/>
          <w:sz w:val="28"/>
          <w:szCs w:val="28"/>
        </w:rPr>
        <w:sectPr>
          <w:pgSz w:w="11907" w:h="16840"/>
          <w:pgMar w:top="1701" w:right="1531" w:bottom="2127" w:left="1531" w:header="851" w:footer="1417" w:gutter="0"/>
          <w:cols w:space="720" w:num="1"/>
          <w:docGrid w:linePitch="312" w:charSpace="0"/>
        </w:sectPr>
      </w:pPr>
    </w:p>
    <w:p w14:paraId="15F6F735">
      <w:pPr>
        <w:pStyle w:val="32"/>
        <w:spacing w:before="0" w:beforeAutospacing="0" w:after="0" w:afterAutospacing="0"/>
        <w:outlineLvl w:val="0"/>
        <w:rPr>
          <w:rFonts w:ascii="黑体" w:hAnsi="黑体" w:eastAsia="黑体"/>
          <w:snapToGrid w:val="0"/>
          <w:sz w:val="30"/>
          <w:szCs w:val="30"/>
        </w:rPr>
      </w:pPr>
      <w:bookmarkStart w:id="14" w:name="_Toc18020"/>
      <w:r>
        <w:rPr>
          <w:rFonts w:hint="eastAsia" w:ascii="黑体" w:hAnsi="黑体" w:eastAsia="黑体"/>
          <w:snapToGrid w:val="0"/>
          <w:sz w:val="30"/>
          <w:szCs w:val="30"/>
        </w:rPr>
        <w:t>五、</w:t>
      </w:r>
      <w:bookmarkStart w:id="15" w:name="_Hlk54167917"/>
      <w:r>
        <w:rPr>
          <w:rFonts w:hint="eastAsia" w:ascii="黑体" w:hAnsi="黑体" w:eastAsia="黑体"/>
          <w:snapToGrid w:val="0"/>
          <w:sz w:val="30"/>
          <w:szCs w:val="30"/>
        </w:rPr>
        <w:t>环境保护措施监督检查清单</w:t>
      </w:r>
      <w:bookmarkEnd w:id="14"/>
      <w:bookmarkEnd w:id="15"/>
    </w:p>
    <w:tbl>
      <w:tblPr>
        <w:tblStyle w:val="36"/>
        <w:tblW w:w="8800" w:type="dxa"/>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0" w:type="dxa"/>
          <w:bottom w:w="0" w:type="dxa"/>
          <w:right w:w="0" w:type="dxa"/>
        </w:tblCellMar>
      </w:tblPr>
      <w:tblGrid>
        <w:gridCol w:w="1334"/>
        <w:gridCol w:w="1703"/>
        <w:gridCol w:w="1313"/>
        <w:gridCol w:w="1743"/>
        <w:gridCol w:w="2707"/>
      </w:tblGrid>
      <w:tr w14:paraId="0E0D7DEA">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397" w:hRule="atLeast"/>
          <w:jc w:val="center"/>
        </w:trPr>
        <w:tc>
          <w:tcPr>
            <w:tcW w:w="1334" w:type="dxa"/>
            <w:vAlign w:val="center"/>
          </w:tcPr>
          <w:p w14:paraId="64B89E97">
            <w:pPr>
              <w:widowControl/>
              <w:jc w:val="center"/>
              <w:textAlignment w:val="bottom"/>
              <w:rPr>
                <w:szCs w:val="21"/>
              </w:rPr>
            </w:pPr>
            <w:r>
              <w:rPr>
                <w:szCs w:val="21"/>
              </w:rPr>
              <w:t>内容要素</w:t>
            </w:r>
          </w:p>
        </w:tc>
        <w:tc>
          <w:tcPr>
            <w:tcW w:w="1703" w:type="dxa"/>
            <w:vAlign w:val="center"/>
          </w:tcPr>
          <w:p w14:paraId="09F0E982">
            <w:pPr>
              <w:widowControl/>
              <w:jc w:val="center"/>
              <w:textAlignment w:val="bottom"/>
              <w:rPr>
                <w:szCs w:val="21"/>
              </w:rPr>
            </w:pPr>
            <w:r>
              <w:rPr>
                <w:szCs w:val="21"/>
              </w:rPr>
              <w:t>排放口(编号、</w:t>
            </w:r>
          </w:p>
          <w:p w14:paraId="66D4E79A">
            <w:pPr>
              <w:widowControl/>
              <w:jc w:val="center"/>
              <w:textAlignment w:val="bottom"/>
              <w:rPr>
                <w:szCs w:val="21"/>
              </w:rPr>
            </w:pPr>
            <w:r>
              <w:rPr>
                <w:szCs w:val="21"/>
              </w:rPr>
              <w:t>名称)/污染源</w:t>
            </w:r>
          </w:p>
        </w:tc>
        <w:tc>
          <w:tcPr>
            <w:tcW w:w="1313" w:type="dxa"/>
            <w:vAlign w:val="center"/>
          </w:tcPr>
          <w:p w14:paraId="4AFBEAED">
            <w:pPr>
              <w:widowControl/>
              <w:jc w:val="center"/>
              <w:textAlignment w:val="bottom"/>
              <w:rPr>
                <w:szCs w:val="21"/>
              </w:rPr>
            </w:pPr>
            <w:r>
              <w:rPr>
                <w:szCs w:val="21"/>
              </w:rPr>
              <w:t>污染物项目</w:t>
            </w:r>
          </w:p>
        </w:tc>
        <w:tc>
          <w:tcPr>
            <w:tcW w:w="1743" w:type="dxa"/>
            <w:vAlign w:val="center"/>
          </w:tcPr>
          <w:p w14:paraId="36166EA0">
            <w:pPr>
              <w:widowControl/>
              <w:jc w:val="center"/>
              <w:textAlignment w:val="bottom"/>
              <w:rPr>
                <w:szCs w:val="21"/>
              </w:rPr>
            </w:pPr>
            <w:r>
              <w:rPr>
                <w:szCs w:val="21"/>
              </w:rPr>
              <w:t>环境保护措施</w:t>
            </w:r>
          </w:p>
        </w:tc>
        <w:tc>
          <w:tcPr>
            <w:tcW w:w="2707" w:type="dxa"/>
            <w:vAlign w:val="center"/>
          </w:tcPr>
          <w:p w14:paraId="1CB78449">
            <w:pPr>
              <w:widowControl/>
              <w:jc w:val="center"/>
              <w:textAlignment w:val="bottom"/>
              <w:rPr>
                <w:szCs w:val="21"/>
              </w:rPr>
            </w:pPr>
            <w:r>
              <w:rPr>
                <w:szCs w:val="21"/>
              </w:rPr>
              <w:t>执行标准</w:t>
            </w:r>
          </w:p>
        </w:tc>
      </w:tr>
      <w:tr w14:paraId="39856E3C">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2190" w:hRule="atLeast"/>
          <w:jc w:val="center"/>
        </w:trPr>
        <w:tc>
          <w:tcPr>
            <w:tcW w:w="1334" w:type="dxa"/>
            <w:vMerge w:val="restart"/>
            <w:vAlign w:val="center"/>
          </w:tcPr>
          <w:p w14:paraId="4C74C601">
            <w:pPr>
              <w:widowControl/>
              <w:jc w:val="center"/>
              <w:textAlignment w:val="bottom"/>
              <w:rPr>
                <w:szCs w:val="21"/>
              </w:rPr>
            </w:pPr>
            <w:r>
              <w:rPr>
                <w:rFonts w:hint="eastAsia" w:ascii="宋体" w:hAnsi="宋体" w:cs="宋体"/>
                <w:szCs w:val="21"/>
              </w:rPr>
              <w:t>大气环境</w:t>
            </w:r>
          </w:p>
        </w:tc>
        <w:tc>
          <w:tcPr>
            <w:tcW w:w="1703" w:type="dxa"/>
            <w:tcBorders>
              <w:top w:val="single" w:color="auto" w:sz="4" w:space="0"/>
            </w:tcBorders>
            <w:vAlign w:val="center"/>
          </w:tcPr>
          <w:p w14:paraId="6999F2B2">
            <w:pPr>
              <w:widowControl/>
              <w:jc w:val="center"/>
              <w:textAlignment w:val="bottom"/>
              <w:rPr>
                <w:szCs w:val="21"/>
              </w:rPr>
            </w:pPr>
            <w:r>
              <w:rPr>
                <w:rFonts w:hint="eastAsia"/>
                <w:szCs w:val="21"/>
              </w:rPr>
              <w:t>注塑废气（有组织）</w:t>
            </w:r>
          </w:p>
        </w:tc>
        <w:tc>
          <w:tcPr>
            <w:tcW w:w="1313" w:type="dxa"/>
            <w:tcBorders>
              <w:top w:val="single" w:color="auto" w:sz="4" w:space="0"/>
              <w:bottom w:val="single" w:color="auto" w:sz="4" w:space="0"/>
            </w:tcBorders>
            <w:vAlign w:val="center"/>
          </w:tcPr>
          <w:p w14:paraId="6EFECEDF">
            <w:pPr>
              <w:widowControl/>
              <w:jc w:val="center"/>
              <w:textAlignment w:val="bottom"/>
              <w:rPr>
                <w:rFonts w:hint="eastAsia"/>
                <w:szCs w:val="21"/>
              </w:rPr>
            </w:pPr>
            <w:r>
              <w:rPr>
                <w:rFonts w:hint="eastAsia"/>
                <w:szCs w:val="21"/>
              </w:rPr>
              <w:t>非甲烷总烃</w:t>
            </w:r>
          </w:p>
          <w:p w14:paraId="164B9A5E">
            <w:pPr>
              <w:widowControl/>
              <w:jc w:val="center"/>
              <w:textAlignment w:val="bottom"/>
              <w:rPr>
                <w:rFonts w:hint="default" w:eastAsia="宋体"/>
                <w:szCs w:val="21"/>
                <w:lang w:val="en-US" w:eastAsia="zh-CN"/>
              </w:rPr>
            </w:pPr>
            <w:r>
              <w:rPr>
                <w:rFonts w:hint="eastAsia"/>
                <w:szCs w:val="21"/>
                <w:lang w:val="en-US" w:eastAsia="zh-CN"/>
              </w:rPr>
              <w:t>、臭气浓度</w:t>
            </w:r>
          </w:p>
        </w:tc>
        <w:tc>
          <w:tcPr>
            <w:tcW w:w="1743" w:type="dxa"/>
            <w:tcBorders>
              <w:top w:val="single" w:color="auto" w:sz="4" w:space="0"/>
            </w:tcBorders>
            <w:vAlign w:val="center"/>
          </w:tcPr>
          <w:p w14:paraId="3C4C55FE">
            <w:pPr>
              <w:widowControl/>
              <w:jc w:val="center"/>
              <w:textAlignment w:val="bottom"/>
              <w:rPr>
                <w:szCs w:val="21"/>
              </w:rPr>
            </w:pPr>
            <w:r>
              <w:rPr>
                <w:rFonts w:hint="eastAsia"/>
                <w:szCs w:val="21"/>
              </w:rPr>
              <w:t>集气罩+两级活性炭吸附装置+15m排气筒（DA001）</w:t>
            </w:r>
          </w:p>
        </w:tc>
        <w:tc>
          <w:tcPr>
            <w:tcW w:w="2707" w:type="dxa"/>
            <w:tcBorders>
              <w:top w:val="single" w:color="auto" w:sz="4" w:space="0"/>
            </w:tcBorders>
            <w:vAlign w:val="center"/>
          </w:tcPr>
          <w:p w14:paraId="0AFB1689">
            <w:pPr>
              <w:widowControl/>
              <w:jc w:val="center"/>
              <w:textAlignment w:val="bottom"/>
              <w:rPr>
                <w:rFonts w:hint="eastAsia" w:eastAsia="宋体"/>
                <w:szCs w:val="21"/>
                <w:lang w:eastAsia="zh-CN"/>
              </w:rPr>
            </w:pPr>
            <w:r>
              <w:rPr>
                <w:rFonts w:hint="eastAsia"/>
                <w:szCs w:val="21"/>
              </w:rPr>
              <w:t>《合成树脂工业污染物排放标准》（GB31572-2015）表4大气污染物排放限值</w:t>
            </w:r>
            <w:r>
              <w:rPr>
                <w:rFonts w:hint="eastAsia"/>
                <w:szCs w:val="21"/>
                <w:lang w:eastAsia="zh-CN"/>
              </w:rPr>
              <w:t>、</w:t>
            </w:r>
            <w:r>
              <w:rPr>
                <w:rFonts w:hint="eastAsia"/>
                <w:sz w:val="21"/>
                <w:szCs w:val="21"/>
                <w:u w:val="none"/>
              </w:rPr>
              <w:t>《恶臭污染物排放标准》（GB14554-93）表2</w:t>
            </w:r>
            <w:r>
              <w:rPr>
                <w:rFonts w:hint="eastAsia"/>
                <w:sz w:val="21"/>
                <w:szCs w:val="21"/>
                <w:u w:val="none"/>
                <w:lang w:val="en-US" w:eastAsia="zh-CN"/>
              </w:rPr>
              <w:t>排放限值</w:t>
            </w:r>
          </w:p>
        </w:tc>
      </w:tr>
      <w:tr w14:paraId="6040D160">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392" w:hRule="atLeast"/>
          <w:jc w:val="center"/>
        </w:trPr>
        <w:tc>
          <w:tcPr>
            <w:tcW w:w="1334" w:type="dxa"/>
            <w:vMerge w:val="continue"/>
            <w:vAlign w:val="center"/>
          </w:tcPr>
          <w:p w14:paraId="50C07701">
            <w:pPr>
              <w:widowControl/>
              <w:jc w:val="center"/>
              <w:textAlignment w:val="bottom"/>
              <w:rPr>
                <w:rFonts w:ascii="宋体" w:hAnsi="宋体" w:cs="宋体"/>
                <w:szCs w:val="21"/>
              </w:rPr>
            </w:pPr>
          </w:p>
        </w:tc>
        <w:tc>
          <w:tcPr>
            <w:tcW w:w="1703" w:type="dxa"/>
            <w:tcBorders>
              <w:top w:val="single" w:color="auto" w:sz="4" w:space="0"/>
            </w:tcBorders>
            <w:vAlign w:val="center"/>
          </w:tcPr>
          <w:p w14:paraId="7BAF1244">
            <w:pPr>
              <w:widowControl/>
              <w:jc w:val="center"/>
              <w:textAlignment w:val="bottom"/>
              <w:rPr>
                <w:szCs w:val="21"/>
              </w:rPr>
            </w:pPr>
            <w:r>
              <w:rPr>
                <w:rFonts w:hint="eastAsia"/>
                <w:szCs w:val="21"/>
              </w:rPr>
              <w:t>喷塑粉尘（有组织）</w:t>
            </w:r>
          </w:p>
        </w:tc>
        <w:tc>
          <w:tcPr>
            <w:tcW w:w="1313" w:type="dxa"/>
            <w:tcBorders>
              <w:top w:val="single" w:color="auto" w:sz="4" w:space="0"/>
            </w:tcBorders>
            <w:vAlign w:val="center"/>
          </w:tcPr>
          <w:p w14:paraId="290A9753">
            <w:pPr>
              <w:jc w:val="center"/>
              <w:rPr>
                <w:szCs w:val="21"/>
              </w:rPr>
            </w:pPr>
            <w:r>
              <w:rPr>
                <w:rFonts w:hint="eastAsia"/>
                <w:szCs w:val="21"/>
              </w:rPr>
              <w:t>颗粒物</w:t>
            </w:r>
          </w:p>
        </w:tc>
        <w:tc>
          <w:tcPr>
            <w:tcW w:w="1743" w:type="dxa"/>
            <w:tcBorders>
              <w:top w:val="single" w:color="auto" w:sz="4" w:space="0"/>
            </w:tcBorders>
            <w:vAlign w:val="center"/>
          </w:tcPr>
          <w:p w14:paraId="7B13319F">
            <w:pPr>
              <w:widowControl/>
              <w:jc w:val="center"/>
              <w:textAlignment w:val="bottom"/>
              <w:rPr>
                <w:szCs w:val="21"/>
              </w:rPr>
            </w:pPr>
            <w:r>
              <w:rPr>
                <w:rFonts w:hint="eastAsia"/>
                <w:szCs w:val="21"/>
                <w:lang w:val="en-US" w:eastAsia="zh-CN"/>
              </w:rPr>
              <w:t>旋风除尘+滤芯除尘器+</w:t>
            </w:r>
            <w:r>
              <w:rPr>
                <w:rFonts w:hint="eastAsia"/>
                <w:szCs w:val="21"/>
              </w:rPr>
              <w:t>集气罩+两级活性炭吸附装置处理后由15m排气筒排放（DA002））</w:t>
            </w:r>
          </w:p>
        </w:tc>
        <w:tc>
          <w:tcPr>
            <w:tcW w:w="2707" w:type="dxa"/>
            <w:tcBorders>
              <w:top w:val="single" w:color="auto" w:sz="4" w:space="0"/>
            </w:tcBorders>
            <w:vAlign w:val="center"/>
          </w:tcPr>
          <w:p w14:paraId="619E8C3D">
            <w:pPr>
              <w:widowControl/>
              <w:jc w:val="center"/>
              <w:textAlignment w:val="bottom"/>
              <w:rPr>
                <w:szCs w:val="21"/>
              </w:rPr>
            </w:pPr>
            <w:r>
              <w:rPr>
                <w:rFonts w:hint="eastAsia"/>
                <w:szCs w:val="21"/>
              </w:rPr>
              <w:t>《合成树脂工业污染物排放标准》（GB31572-2015）表4大气污染物排放限值</w:t>
            </w:r>
          </w:p>
        </w:tc>
      </w:tr>
      <w:tr w14:paraId="4762B28B">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506" w:hRule="atLeast"/>
          <w:jc w:val="center"/>
        </w:trPr>
        <w:tc>
          <w:tcPr>
            <w:tcW w:w="1334" w:type="dxa"/>
            <w:vMerge w:val="continue"/>
            <w:vAlign w:val="center"/>
          </w:tcPr>
          <w:p w14:paraId="360C5E52">
            <w:pPr>
              <w:widowControl/>
              <w:jc w:val="center"/>
              <w:textAlignment w:val="bottom"/>
              <w:rPr>
                <w:szCs w:val="21"/>
              </w:rPr>
            </w:pPr>
          </w:p>
        </w:tc>
        <w:tc>
          <w:tcPr>
            <w:tcW w:w="1703" w:type="dxa"/>
            <w:vMerge w:val="restart"/>
            <w:vAlign w:val="center"/>
          </w:tcPr>
          <w:p w14:paraId="08A0EA58">
            <w:pPr>
              <w:widowControl/>
              <w:jc w:val="center"/>
              <w:textAlignment w:val="bottom"/>
              <w:rPr>
                <w:szCs w:val="21"/>
              </w:rPr>
            </w:pPr>
            <w:r>
              <w:rPr>
                <w:rFonts w:hint="eastAsia"/>
                <w:szCs w:val="21"/>
              </w:rPr>
              <w:t>天然气燃烧机废气（有组织）</w:t>
            </w:r>
          </w:p>
        </w:tc>
        <w:tc>
          <w:tcPr>
            <w:tcW w:w="1313" w:type="dxa"/>
            <w:tcBorders>
              <w:bottom w:val="single" w:color="auto" w:sz="4" w:space="0"/>
            </w:tcBorders>
            <w:vAlign w:val="center"/>
          </w:tcPr>
          <w:p w14:paraId="266FA31C">
            <w:pPr>
              <w:jc w:val="center"/>
              <w:rPr>
                <w:szCs w:val="21"/>
              </w:rPr>
            </w:pPr>
            <w:r>
              <w:rPr>
                <w:szCs w:val="21"/>
              </w:rPr>
              <w:t>SO</w:t>
            </w:r>
            <w:r>
              <w:rPr>
                <w:szCs w:val="21"/>
                <w:vertAlign w:val="subscript"/>
              </w:rPr>
              <w:t>2</w:t>
            </w:r>
          </w:p>
        </w:tc>
        <w:tc>
          <w:tcPr>
            <w:tcW w:w="1743" w:type="dxa"/>
            <w:vMerge w:val="restart"/>
            <w:vAlign w:val="center"/>
          </w:tcPr>
          <w:p w14:paraId="1A6236D0">
            <w:pPr>
              <w:pStyle w:val="53"/>
              <w:rPr>
                <w:color w:val="000000"/>
                <w:szCs w:val="21"/>
              </w:rPr>
            </w:pPr>
            <w:r>
              <w:rPr>
                <w:rFonts w:hint="eastAsia"/>
                <w:szCs w:val="21"/>
              </w:rPr>
              <w:t>排气管</w:t>
            </w:r>
            <w:r>
              <w:rPr>
                <w:rFonts w:hint="eastAsia"/>
                <w:color w:val="000000"/>
                <w:szCs w:val="21"/>
              </w:rPr>
              <w:t>+8m排气筒（DA003）</w:t>
            </w:r>
          </w:p>
        </w:tc>
        <w:tc>
          <w:tcPr>
            <w:tcW w:w="2707" w:type="dxa"/>
            <w:vMerge w:val="restart"/>
          </w:tcPr>
          <w:p w14:paraId="0D28E183">
            <w:pPr>
              <w:widowControl/>
              <w:jc w:val="left"/>
              <w:textAlignment w:val="bottom"/>
              <w:rPr>
                <w:sz w:val="24"/>
              </w:rPr>
            </w:pPr>
            <w:r>
              <w:rPr>
                <w:rFonts w:hint="default" w:ascii="Times New Roman" w:hAnsi="Times New Roman" w:eastAsia="宋体" w:cs="Times New Roman"/>
                <w:szCs w:val="21"/>
                <w:u w:val="none"/>
              </w:rPr>
              <w:t>《湖南省工业炉窑大气污染综合治理实施方案</w:t>
            </w:r>
            <w:r>
              <w:rPr>
                <w:rFonts w:hint="eastAsia" w:ascii="Times New Roman" w:hAnsi="Times New Roman" w:eastAsia="宋体" w:cs="Times New Roman"/>
                <w:szCs w:val="21"/>
                <w:u w:val="none"/>
                <w:lang w:eastAsia="zh-CN"/>
              </w:rPr>
              <w:t>》（</w:t>
            </w:r>
            <w:r>
              <w:rPr>
                <w:rFonts w:hint="eastAsia" w:ascii="Times New Roman" w:hAnsi="Times New Roman" w:eastAsia="宋体" w:cs="Times New Roman"/>
                <w:szCs w:val="21"/>
                <w:u w:val="none"/>
                <w:lang w:val="en-US" w:eastAsia="zh-CN"/>
              </w:rPr>
              <w:t>DB43/3082-2024</w:t>
            </w:r>
            <w:r>
              <w:rPr>
                <w:rFonts w:hint="eastAsia" w:ascii="Times New Roman" w:hAnsi="Times New Roman" w:eastAsia="宋体" w:cs="Times New Roman"/>
                <w:szCs w:val="21"/>
                <w:u w:val="none"/>
                <w:lang w:eastAsia="zh-CN"/>
              </w:rPr>
              <w:t>）</w:t>
            </w:r>
            <w:r>
              <w:rPr>
                <w:rFonts w:hint="default" w:ascii="Times New Roman" w:hAnsi="Times New Roman" w:eastAsia="宋体" w:cs="Times New Roman"/>
                <w:szCs w:val="21"/>
                <w:u w:val="none"/>
                <w:lang w:val="en-US" w:eastAsia="zh-CN"/>
              </w:rPr>
              <w:t>中附件1</w:t>
            </w:r>
            <w:r>
              <w:rPr>
                <w:rFonts w:hint="default" w:ascii="Times New Roman" w:hAnsi="Times New Roman" w:eastAsia="宋体" w:cs="Times New Roman"/>
                <w:szCs w:val="21"/>
                <w:u w:val="none"/>
              </w:rPr>
              <w:t>工业炉窑大气污染物排放</w:t>
            </w:r>
            <w:r>
              <w:rPr>
                <w:rFonts w:hint="default" w:ascii="Times New Roman" w:hAnsi="Times New Roman" w:eastAsia="宋体" w:cs="Times New Roman"/>
                <w:szCs w:val="21"/>
                <w:u w:val="none"/>
                <w:lang w:val="en-US" w:eastAsia="zh-CN"/>
              </w:rPr>
              <w:t>浓度</w:t>
            </w:r>
            <w:r>
              <w:rPr>
                <w:rFonts w:hint="default" w:ascii="Times New Roman" w:hAnsi="Times New Roman" w:eastAsia="宋体" w:cs="Times New Roman"/>
                <w:szCs w:val="21"/>
                <w:u w:val="none"/>
              </w:rPr>
              <w:t>限值</w:t>
            </w:r>
          </w:p>
        </w:tc>
      </w:tr>
      <w:tr w14:paraId="0A29688A">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267" w:hRule="atLeast"/>
          <w:jc w:val="center"/>
        </w:trPr>
        <w:tc>
          <w:tcPr>
            <w:tcW w:w="1334" w:type="dxa"/>
            <w:vMerge w:val="continue"/>
            <w:vAlign w:val="center"/>
          </w:tcPr>
          <w:p w14:paraId="21849BC6">
            <w:pPr>
              <w:widowControl/>
              <w:jc w:val="center"/>
              <w:textAlignment w:val="bottom"/>
              <w:rPr>
                <w:szCs w:val="21"/>
              </w:rPr>
            </w:pPr>
          </w:p>
        </w:tc>
        <w:tc>
          <w:tcPr>
            <w:tcW w:w="1703" w:type="dxa"/>
            <w:vMerge w:val="continue"/>
            <w:tcBorders>
              <w:bottom w:val="single" w:color="auto" w:sz="4" w:space="0"/>
            </w:tcBorders>
            <w:vAlign w:val="center"/>
          </w:tcPr>
          <w:p w14:paraId="24EEFEF4">
            <w:pPr>
              <w:widowControl/>
              <w:jc w:val="center"/>
              <w:textAlignment w:val="bottom"/>
              <w:rPr>
                <w:szCs w:val="21"/>
              </w:rPr>
            </w:pPr>
          </w:p>
        </w:tc>
        <w:tc>
          <w:tcPr>
            <w:tcW w:w="1313" w:type="dxa"/>
            <w:tcBorders>
              <w:top w:val="single" w:color="auto" w:sz="4" w:space="0"/>
              <w:bottom w:val="single" w:color="auto" w:sz="4" w:space="0"/>
            </w:tcBorders>
            <w:vAlign w:val="center"/>
          </w:tcPr>
          <w:p w14:paraId="64FE5107">
            <w:pPr>
              <w:jc w:val="center"/>
              <w:rPr>
                <w:szCs w:val="21"/>
              </w:rPr>
            </w:pPr>
            <w:r>
              <w:rPr>
                <w:szCs w:val="21"/>
              </w:rPr>
              <w:t>NOx</w:t>
            </w:r>
          </w:p>
        </w:tc>
        <w:tc>
          <w:tcPr>
            <w:tcW w:w="1743" w:type="dxa"/>
            <w:vMerge w:val="continue"/>
            <w:tcBorders>
              <w:bottom w:val="single" w:color="auto" w:sz="4" w:space="0"/>
            </w:tcBorders>
            <w:vAlign w:val="center"/>
          </w:tcPr>
          <w:p w14:paraId="1B831822">
            <w:pPr>
              <w:pStyle w:val="53"/>
              <w:rPr>
                <w:color w:val="000000"/>
                <w:szCs w:val="21"/>
              </w:rPr>
            </w:pPr>
          </w:p>
        </w:tc>
        <w:tc>
          <w:tcPr>
            <w:tcW w:w="2707" w:type="dxa"/>
            <w:vMerge w:val="continue"/>
            <w:tcBorders>
              <w:bottom w:val="single" w:color="auto" w:sz="4" w:space="0"/>
            </w:tcBorders>
          </w:tcPr>
          <w:p w14:paraId="73425CB7">
            <w:pPr>
              <w:widowControl/>
              <w:jc w:val="left"/>
              <w:textAlignment w:val="bottom"/>
              <w:rPr>
                <w:spacing w:val="6"/>
                <w:szCs w:val="21"/>
              </w:rPr>
            </w:pPr>
          </w:p>
        </w:tc>
      </w:tr>
      <w:tr w14:paraId="0DAD0921">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457" w:hRule="atLeast"/>
          <w:jc w:val="center"/>
        </w:trPr>
        <w:tc>
          <w:tcPr>
            <w:tcW w:w="1334" w:type="dxa"/>
            <w:vMerge w:val="continue"/>
            <w:vAlign w:val="center"/>
          </w:tcPr>
          <w:p w14:paraId="09892638">
            <w:pPr>
              <w:widowControl/>
              <w:jc w:val="center"/>
              <w:textAlignment w:val="bottom"/>
              <w:rPr>
                <w:szCs w:val="21"/>
              </w:rPr>
            </w:pPr>
          </w:p>
        </w:tc>
        <w:tc>
          <w:tcPr>
            <w:tcW w:w="1703" w:type="dxa"/>
            <w:tcBorders>
              <w:top w:val="single" w:color="auto" w:sz="4" w:space="0"/>
              <w:bottom w:val="single" w:color="auto" w:sz="4" w:space="0"/>
            </w:tcBorders>
            <w:vAlign w:val="center"/>
          </w:tcPr>
          <w:p w14:paraId="6014722E">
            <w:pPr>
              <w:widowControl/>
              <w:jc w:val="center"/>
              <w:textAlignment w:val="bottom"/>
              <w:rPr>
                <w:szCs w:val="21"/>
              </w:rPr>
            </w:pPr>
            <w:r>
              <w:rPr>
                <w:rFonts w:hint="eastAsia"/>
                <w:szCs w:val="21"/>
              </w:rPr>
              <w:t>注塑废气（无组织）</w:t>
            </w:r>
          </w:p>
        </w:tc>
        <w:tc>
          <w:tcPr>
            <w:tcW w:w="1313" w:type="dxa"/>
            <w:tcBorders>
              <w:top w:val="single" w:color="auto" w:sz="4" w:space="0"/>
              <w:bottom w:val="single" w:color="auto" w:sz="4" w:space="0"/>
            </w:tcBorders>
            <w:vAlign w:val="center"/>
          </w:tcPr>
          <w:p w14:paraId="78FFBF20">
            <w:pPr>
              <w:widowControl/>
              <w:jc w:val="center"/>
              <w:textAlignment w:val="bottom"/>
              <w:rPr>
                <w:rFonts w:hint="eastAsia"/>
                <w:szCs w:val="21"/>
              </w:rPr>
            </w:pPr>
            <w:r>
              <w:rPr>
                <w:rFonts w:hint="eastAsia"/>
                <w:szCs w:val="21"/>
              </w:rPr>
              <w:t>非甲烷总烃</w:t>
            </w:r>
          </w:p>
          <w:p w14:paraId="4E7667F1">
            <w:pPr>
              <w:widowControl/>
              <w:jc w:val="center"/>
              <w:textAlignment w:val="bottom"/>
              <w:rPr>
                <w:szCs w:val="21"/>
              </w:rPr>
            </w:pPr>
            <w:r>
              <w:rPr>
                <w:rFonts w:hint="eastAsia"/>
                <w:szCs w:val="21"/>
                <w:lang w:val="en-US" w:eastAsia="zh-CN"/>
              </w:rPr>
              <w:t>、臭气浓度</w:t>
            </w:r>
          </w:p>
        </w:tc>
        <w:tc>
          <w:tcPr>
            <w:tcW w:w="1743" w:type="dxa"/>
            <w:tcBorders>
              <w:top w:val="single" w:color="auto" w:sz="4" w:space="0"/>
              <w:bottom w:val="single" w:color="auto" w:sz="4" w:space="0"/>
            </w:tcBorders>
            <w:vAlign w:val="center"/>
          </w:tcPr>
          <w:p w14:paraId="29D81CC7">
            <w:pPr>
              <w:widowControl/>
              <w:jc w:val="center"/>
              <w:textAlignment w:val="bottom"/>
              <w:rPr>
                <w:szCs w:val="21"/>
              </w:rPr>
            </w:pPr>
            <w:r>
              <w:rPr>
                <w:rFonts w:hint="eastAsia"/>
                <w:szCs w:val="21"/>
              </w:rPr>
              <w:t>车间内无组织排放</w:t>
            </w:r>
          </w:p>
        </w:tc>
        <w:tc>
          <w:tcPr>
            <w:tcW w:w="2707" w:type="dxa"/>
            <w:tcBorders>
              <w:top w:val="single" w:color="auto" w:sz="4" w:space="0"/>
              <w:bottom w:val="single" w:color="auto" w:sz="4" w:space="0"/>
            </w:tcBorders>
            <w:vAlign w:val="center"/>
          </w:tcPr>
          <w:p w14:paraId="2CBC2B92">
            <w:pPr>
              <w:widowControl/>
              <w:jc w:val="left"/>
              <w:textAlignment w:val="bottom"/>
              <w:rPr>
                <w:rFonts w:hint="eastAsia" w:eastAsia="宋体"/>
                <w:szCs w:val="21"/>
                <w:lang w:eastAsia="zh-CN"/>
              </w:rPr>
            </w:pPr>
            <w:r>
              <w:rPr>
                <w:rFonts w:hint="eastAsia"/>
                <w:szCs w:val="21"/>
              </w:rPr>
              <w:t>《合成树脂工业污染物排放标准》（GB31572-2015）表9企业边界污染物浓度限值</w:t>
            </w:r>
            <w:r>
              <w:rPr>
                <w:rFonts w:hint="eastAsia"/>
                <w:szCs w:val="21"/>
                <w:lang w:eastAsia="zh-CN"/>
              </w:rPr>
              <w:t>、</w:t>
            </w:r>
            <w:r>
              <w:rPr>
                <w:rFonts w:hint="eastAsia"/>
                <w:sz w:val="21"/>
                <w:szCs w:val="21"/>
                <w:u w:val="none"/>
              </w:rPr>
              <w:t>《恶臭污染物排放标准》（GB14554-93）表</w:t>
            </w:r>
            <w:r>
              <w:rPr>
                <w:rFonts w:hint="eastAsia"/>
                <w:sz w:val="21"/>
                <w:szCs w:val="21"/>
                <w:u w:val="none"/>
                <w:lang w:val="en-US" w:eastAsia="zh-CN"/>
              </w:rPr>
              <w:t>1</w:t>
            </w:r>
            <w:r>
              <w:rPr>
                <w:rFonts w:hint="eastAsia" w:cs="Times New Roman"/>
                <w:color w:val="auto"/>
                <w:lang w:eastAsia="zh-CN"/>
              </w:rPr>
              <w:t>新建二级恶臭污染物厂界标准值</w:t>
            </w:r>
          </w:p>
        </w:tc>
      </w:tr>
      <w:tr w14:paraId="149D9371">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555" w:hRule="atLeast"/>
          <w:jc w:val="center"/>
        </w:trPr>
        <w:tc>
          <w:tcPr>
            <w:tcW w:w="1334" w:type="dxa"/>
            <w:vMerge w:val="continue"/>
            <w:vAlign w:val="center"/>
          </w:tcPr>
          <w:p w14:paraId="57997010">
            <w:pPr>
              <w:widowControl/>
              <w:jc w:val="center"/>
              <w:textAlignment w:val="bottom"/>
              <w:rPr>
                <w:szCs w:val="21"/>
              </w:rPr>
            </w:pPr>
          </w:p>
        </w:tc>
        <w:tc>
          <w:tcPr>
            <w:tcW w:w="1703" w:type="dxa"/>
            <w:tcBorders>
              <w:top w:val="single" w:color="auto" w:sz="4" w:space="0"/>
              <w:bottom w:val="single" w:color="auto" w:sz="4" w:space="0"/>
            </w:tcBorders>
            <w:vAlign w:val="center"/>
          </w:tcPr>
          <w:p w14:paraId="11C11A4B">
            <w:pPr>
              <w:widowControl/>
              <w:jc w:val="center"/>
              <w:textAlignment w:val="bottom"/>
              <w:rPr>
                <w:szCs w:val="21"/>
              </w:rPr>
            </w:pPr>
            <w:r>
              <w:rPr>
                <w:rFonts w:hint="eastAsia"/>
                <w:szCs w:val="21"/>
              </w:rPr>
              <w:t>喷塑粉尘（无组织）</w:t>
            </w:r>
          </w:p>
        </w:tc>
        <w:tc>
          <w:tcPr>
            <w:tcW w:w="1313" w:type="dxa"/>
            <w:tcBorders>
              <w:top w:val="single" w:color="auto" w:sz="4" w:space="0"/>
              <w:bottom w:val="single" w:color="auto" w:sz="4" w:space="0"/>
            </w:tcBorders>
            <w:vAlign w:val="center"/>
          </w:tcPr>
          <w:p w14:paraId="715005DE">
            <w:pPr>
              <w:widowControl/>
              <w:jc w:val="center"/>
              <w:textAlignment w:val="bottom"/>
              <w:rPr>
                <w:szCs w:val="21"/>
              </w:rPr>
            </w:pPr>
            <w:r>
              <w:rPr>
                <w:rFonts w:hint="eastAsia"/>
                <w:szCs w:val="21"/>
              </w:rPr>
              <w:t>颗粒物</w:t>
            </w:r>
          </w:p>
        </w:tc>
        <w:tc>
          <w:tcPr>
            <w:tcW w:w="1743" w:type="dxa"/>
            <w:tcBorders>
              <w:top w:val="single" w:color="auto" w:sz="4" w:space="0"/>
              <w:bottom w:val="single" w:color="auto" w:sz="4" w:space="0"/>
            </w:tcBorders>
            <w:vAlign w:val="center"/>
          </w:tcPr>
          <w:p w14:paraId="4F701BC3">
            <w:pPr>
              <w:widowControl/>
              <w:jc w:val="center"/>
              <w:textAlignment w:val="bottom"/>
              <w:rPr>
                <w:szCs w:val="21"/>
              </w:rPr>
            </w:pPr>
            <w:r>
              <w:rPr>
                <w:rFonts w:hint="eastAsia"/>
                <w:szCs w:val="21"/>
              </w:rPr>
              <w:t>车间内无组织排放</w:t>
            </w:r>
          </w:p>
        </w:tc>
        <w:tc>
          <w:tcPr>
            <w:tcW w:w="2707" w:type="dxa"/>
            <w:tcBorders>
              <w:top w:val="single" w:color="auto" w:sz="4" w:space="0"/>
              <w:bottom w:val="single" w:color="auto" w:sz="4" w:space="0"/>
            </w:tcBorders>
            <w:vAlign w:val="center"/>
          </w:tcPr>
          <w:p w14:paraId="1AF5B7E4">
            <w:pPr>
              <w:widowControl/>
              <w:jc w:val="left"/>
              <w:textAlignment w:val="bottom"/>
              <w:rPr>
                <w:szCs w:val="21"/>
              </w:rPr>
            </w:pPr>
            <w:r>
              <w:rPr>
                <w:rFonts w:hint="eastAsia"/>
                <w:szCs w:val="21"/>
              </w:rPr>
              <w:t>《合成树脂工业污染物排放标准》（GB31572-2015）表9企业边界污染物浓度限值</w:t>
            </w:r>
          </w:p>
        </w:tc>
      </w:tr>
      <w:tr w14:paraId="7578BAB2">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153" w:hRule="atLeast"/>
          <w:jc w:val="center"/>
        </w:trPr>
        <w:tc>
          <w:tcPr>
            <w:tcW w:w="1334" w:type="dxa"/>
            <w:vMerge w:val="continue"/>
            <w:vAlign w:val="center"/>
          </w:tcPr>
          <w:p w14:paraId="5DF3739B">
            <w:pPr>
              <w:widowControl/>
              <w:jc w:val="center"/>
              <w:textAlignment w:val="bottom"/>
              <w:rPr>
                <w:szCs w:val="21"/>
              </w:rPr>
            </w:pPr>
          </w:p>
        </w:tc>
        <w:tc>
          <w:tcPr>
            <w:tcW w:w="1703" w:type="dxa"/>
            <w:tcBorders>
              <w:top w:val="single" w:color="auto" w:sz="4" w:space="0"/>
              <w:bottom w:val="single" w:color="auto" w:sz="4" w:space="0"/>
            </w:tcBorders>
            <w:vAlign w:val="center"/>
          </w:tcPr>
          <w:p w14:paraId="09D2BDD0">
            <w:pPr>
              <w:jc w:val="center"/>
              <w:rPr>
                <w:szCs w:val="21"/>
              </w:rPr>
            </w:pPr>
            <w:r>
              <w:rPr>
                <w:rFonts w:hint="eastAsia" w:ascii="Arial"/>
              </w:rPr>
              <w:t>焊接烟尘</w:t>
            </w:r>
          </w:p>
        </w:tc>
        <w:tc>
          <w:tcPr>
            <w:tcW w:w="1313" w:type="dxa"/>
            <w:tcBorders>
              <w:top w:val="single" w:color="auto" w:sz="4" w:space="0"/>
              <w:bottom w:val="single" w:color="auto" w:sz="4" w:space="0"/>
            </w:tcBorders>
            <w:vAlign w:val="center"/>
          </w:tcPr>
          <w:p w14:paraId="1E3266D0">
            <w:pPr>
              <w:jc w:val="center"/>
              <w:rPr>
                <w:szCs w:val="21"/>
              </w:rPr>
            </w:pPr>
            <w:r>
              <w:rPr>
                <w:rFonts w:hint="eastAsia"/>
              </w:rPr>
              <w:t>烟尘</w:t>
            </w:r>
          </w:p>
        </w:tc>
        <w:tc>
          <w:tcPr>
            <w:tcW w:w="1743" w:type="dxa"/>
            <w:tcBorders>
              <w:top w:val="single" w:color="auto" w:sz="4" w:space="0"/>
              <w:bottom w:val="single" w:color="auto" w:sz="4" w:space="0"/>
            </w:tcBorders>
            <w:vAlign w:val="center"/>
          </w:tcPr>
          <w:p w14:paraId="0EBA4675">
            <w:pPr>
              <w:widowControl/>
              <w:jc w:val="center"/>
              <w:textAlignment w:val="bottom"/>
              <w:rPr>
                <w:szCs w:val="21"/>
              </w:rPr>
            </w:pPr>
            <w:r>
              <w:rPr>
                <w:rFonts w:hint="eastAsia"/>
                <w:szCs w:val="21"/>
              </w:rPr>
              <w:t>车间内无组织排放</w:t>
            </w:r>
          </w:p>
        </w:tc>
        <w:tc>
          <w:tcPr>
            <w:tcW w:w="2707" w:type="dxa"/>
            <w:tcBorders>
              <w:top w:val="single" w:color="auto" w:sz="4" w:space="0"/>
              <w:bottom w:val="single" w:color="auto" w:sz="4" w:space="0"/>
            </w:tcBorders>
            <w:vAlign w:val="center"/>
          </w:tcPr>
          <w:p w14:paraId="1D8821C1">
            <w:pPr>
              <w:tabs>
                <w:tab w:val="center" w:pos="2585"/>
              </w:tabs>
              <w:jc w:val="left"/>
              <w:rPr>
                <w:szCs w:val="21"/>
              </w:rPr>
            </w:pPr>
            <w:r>
              <w:rPr>
                <w:rFonts w:hint="eastAsia"/>
                <w:szCs w:val="21"/>
              </w:rPr>
              <w:t>《大气污染物综合排放标准》（GB16297-1996）表2新污染物大气污染物综合排放标准限值</w:t>
            </w:r>
          </w:p>
        </w:tc>
      </w:tr>
      <w:tr w14:paraId="57212DF5">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129" w:hRule="atLeast"/>
          <w:jc w:val="center"/>
        </w:trPr>
        <w:tc>
          <w:tcPr>
            <w:tcW w:w="1334" w:type="dxa"/>
            <w:vMerge w:val="continue"/>
            <w:vAlign w:val="center"/>
          </w:tcPr>
          <w:p w14:paraId="468046F6">
            <w:pPr>
              <w:widowControl/>
              <w:jc w:val="center"/>
              <w:textAlignment w:val="bottom"/>
              <w:rPr>
                <w:szCs w:val="21"/>
              </w:rPr>
            </w:pPr>
          </w:p>
        </w:tc>
        <w:tc>
          <w:tcPr>
            <w:tcW w:w="1703" w:type="dxa"/>
            <w:tcBorders>
              <w:top w:val="single" w:color="auto" w:sz="4" w:space="0"/>
              <w:bottom w:val="single" w:color="auto" w:sz="4" w:space="0"/>
            </w:tcBorders>
            <w:vAlign w:val="center"/>
          </w:tcPr>
          <w:p w14:paraId="585A3FD7">
            <w:pPr>
              <w:jc w:val="center"/>
              <w:rPr>
                <w:szCs w:val="21"/>
              </w:rPr>
            </w:pPr>
            <w:r>
              <w:rPr>
                <w:rFonts w:hint="eastAsia" w:ascii="Arial"/>
              </w:rPr>
              <w:t>机加工粉尘</w:t>
            </w:r>
          </w:p>
        </w:tc>
        <w:tc>
          <w:tcPr>
            <w:tcW w:w="1313" w:type="dxa"/>
            <w:tcBorders>
              <w:top w:val="single" w:color="auto" w:sz="4" w:space="0"/>
              <w:bottom w:val="single" w:color="auto" w:sz="4" w:space="0"/>
            </w:tcBorders>
            <w:vAlign w:val="center"/>
          </w:tcPr>
          <w:p w14:paraId="076CEF9F">
            <w:pPr>
              <w:jc w:val="center"/>
              <w:rPr>
                <w:szCs w:val="21"/>
              </w:rPr>
            </w:pPr>
            <w:r>
              <w:rPr>
                <w:rFonts w:hint="eastAsia"/>
              </w:rPr>
              <w:t>颗粒物</w:t>
            </w:r>
          </w:p>
        </w:tc>
        <w:tc>
          <w:tcPr>
            <w:tcW w:w="1743" w:type="dxa"/>
            <w:tcBorders>
              <w:top w:val="single" w:color="auto" w:sz="4" w:space="0"/>
              <w:bottom w:val="single" w:color="auto" w:sz="4" w:space="0"/>
            </w:tcBorders>
            <w:vAlign w:val="center"/>
          </w:tcPr>
          <w:p w14:paraId="507D1480">
            <w:pPr>
              <w:widowControl/>
              <w:jc w:val="center"/>
              <w:textAlignment w:val="bottom"/>
              <w:rPr>
                <w:szCs w:val="21"/>
              </w:rPr>
            </w:pPr>
            <w:r>
              <w:rPr>
                <w:rFonts w:hint="eastAsia"/>
                <w:szCs w:val="21"/>
              </w:rPr>
              <w:t>车间内无组织排放</w:t>
            </w:r>
          </w:p>
        </w:tc>
        <w:tc>
          <w:tcPr>
            <w:tcW w:w="2707" w:type="dxa"/>
            <w:tcBorders>
              <w:top w:val="single" w:color="auto" w:sz="4" w:space="0"/>
              <w:bottom w:val="single" w:color="auto" w:sz="4" w:space="0"/>
            </w:tcBorders>
            <w:vAlign w:val="center"/>
          </w:tcPr>
          <w:p w14:paraId="27E73E77">
            <w:pPr>
              <w:tabs>
                <w:tab w:val="center" w:pos="2585"/>
              </w:tabs>
              <w:jc w:val="left"/>
              <w:rPr>
                <w:szCs w:val="21"/>
              </w:rPr>
            </w:pPr>
            <w:r>
              <w:rPr>
                <w:rFonts w:hint="eastAsia"/>
                <w:szCs w:val="21"/>
              </w:rPr>
              <w:t>《大气污染物综合排放标准》（GB16297-1996）表2新污染物大气污染物综合排放标准限值</w:t>
            </w:r>
          </w:p>
        </w:tc>
      </w:tr>
      <w:tr w14:paraId="4747C703">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407" w:hRule="atLeast"/>
          <w:jc w:val="center"/>
        </w:trPr>
        <w:tc>
          <w:tcPr>
            <w:tcW w:w="1334" w:type="dxa"/>
            <w:tcBorders>
              <w:bottom w:val="single" w:color="auto" w:sz="4" w:space="0"/>
            </w:tcBorders>
            <w:vAlign w:val="center"/>
          </w:tcPr>
          <w:p w14:paraId="05F0D428">
            <w:pPr>
              <w:widowControl/>
              <w:jc w:val="center"/>
              <w:textAlignment w:val="bottom"/>
              <w:rPr>
                <w:szCs w:val="21"/>
              </w:rPr>
            </w:pPr>
            <w:r>
              <w:rPr>
                <w:szCs w:val="21"/>
              </w:rPr>
              <w:t>地表水环境</w:t>
            </w:r>
          </w:p>
        </w:tc>
        <w:tc>
          <w:tcPr>
            <w:tcW w:w="1703" w:type="dxa"/>
            <w:tcBorders>
              <w:bottom w:val="single" w:color="auto" w:sz="4" w:space="0"/>
            </w:tcBorders>
            <w:vAlign w:val="center"/>
          </w:tcPr>
          <w:p w14:paraId="310CA6FD">
            <w:pPr>
              <w:widowControl/>
              <w:jc w:val="center"/>
              <w:textAlignment w:val="bottom"/>
              <w:rPr>
                <w:szCs w:val="21"/>
              </w:rPr>
            </w:pPr>
            <w:r>
              <w:rPr>
                <w:rFonts w:hint="eastAsia"/>
                <w:szCs w:val="21"/>
              </w:rPr>
              <w:t>生活污水</w:t>
            </w:r>
          </w:p>
        </w:tc>
        <w:tc>
          <w:tcPr>
            <w:tcW w:w="1313" w:type="dxa"/>
            <w:tcBorders>
              <w:bottom w:val="single" w:color="auto" w:sz="4" w:space="0"/>
            </w:tcBorders>
            <w:vAlign w:val="center"/>
          </w:tcPr>
          <w:p w14:paraId="77D0AECA">
            <w:pPr>
              <w:widowControl/>
              <w:jc w:val="center"/>
              <w:textAlignment w:val="bottom"/>
              <w:rPr>
                <w:szCs w:val="21"/>
              </w:rPr>
            </w:pPr>
            <w:r>
              <w:rPr>
                <w:rFonts w:hAnsi="宋体"/>
                <w:szCs w:val="21"/>
              </w:rPr>
              <w:t>COD</w:t>
            </w:r>
            <w:r>
              <w:rPr>
                <w:rFonts w:hint="eastAsia" w:hAnsi="宋体"/>
                <w:szCs w:val="21"/>
              </w:rPr>
              <w:t>、S</w:t>
            </w:r>
            <w:r>
              <w:rPr>
                <w:rFonts w:hAnsi="宋体"/>
                <w:szCs w:val="21"/>
              </w:rPr>
              <w:t>S</w:t>
            </w:r>
            <w:r>
              <w:rPr>
                <w:rFonts w:hint="eastAsia" w:hAnsi="宋体"/>
                <w:szCs w:val="21"/>
              </w:rPr>
              <w:t>、</w:t>
            </w:r>
            <w:r>
              <w:rPr>
                <w:rFonts w:hAnsi="宋体"/>
                <w:szCs w:val="21"/>
              </w:rPr>
              <w:t>BOD</w:t>
            </w:r>
            <w:r>
              <w:rPr>
                <w:rFonts w:hAnsi="宋体"/>
                <w:szCs w:val="21"/>
                <w:vertAlign w:val="subscript"/>
              </w:rPr>
              <w:t>5</w:t>
            </w:r>
            <w:r>
              <w:rPr>
                <w:rFonts w:hint="eastAsia" w:hAnsi="宋体"/>
                <w:szCs w:val="21"/>
              </w:rPr>
              <w:t>、氨氮、pH、动植物油</w:t>
            </w:r>
          </w:p>
        </w:tc>
        <w:tc>
          <w:tcPr>
            <w:tcW w:w="1743" w:type="dxa"/>
            <w:tcBorders>
              <w:bottom w:val="single" w:color="auto" w:sz="4" w:space="0"/>
            </w:tcBorders>
            <w:vAlign w:val="center"/>
          </w:tcPr>
          <w:p w14:paraId="54542A7C">
            <w:pPr>
              <w:widowControl/>
              <w:jc w:val="center"/>
              <w:textAlignment w:val="bottom"/>
              <w:rPr>
                <w:szCs w:val="21"/>
              </w:rPr>
            </w:pPr>
            <w:r>
              <w:rPr>
                <w:rFonts w:hint="eastAsia"/>
                <w:szCs w:val="21"/>
              </w:rPr>
              <w:t>化粪池</w:t>
            </w:r>
          </w:p>
        </w:tc>
        <w:tc>
          <w:tcPr>
            <w:tcW w:w="2707" w:type="dxa"/>
            <w:tcBorders>
              <w:bottom w:val="single" w:color="auto" w:sz="4" w:space="0"/>
            </w:tcBorders>
            <w:vAlign w:val="center"/>
          </w:tcPr>
          <w:p w14:paraId="4F80B725">
            <w:pPr>
              <w:widowControl/>
              <w:jc w:val="center"/>
              <w:textAlignment w:val="bottom"/>
              <w:rPr>
                <w:szCs w:val="21"/>
              </w:rPr>
            </w:pPr>
            <w:r>
              <w:rPr>
                <w:szCs w:val="21"/>
              </w:rPr>
              <w:t>污水综合排放标准》</w:t>
            </w:r>
          </w:p>
          <w:p w14:paraId="06810084">
            <w:pPr>
              <w:widowControl/>
              <w:jc w:val="center"/>
              <w:textAlignment w:val="bottom"/>
              <w:rPr>
                <w:szCs w:val="21"/>
              </w:rPr>
            </w:pPr>
            <w:r>
              <w:rPr>
                <w:szCs w:val="21"/>
              </w:rPr>
              <w:t>（GB8978-1996）三级标准</w:t>
            </w:r>
          </w:p>
        </w:tc>
      </w:tr>
      <w:tr w14:paraId="4FE6BABF">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397" w:hRule="atLeast"/>
          <w:jc w:val="center"/>
        </w:trPr>
        <w:tc>
          <w:tcPr>
            <w:tcW w:w="1334" w:type="dxa"/>
            <w:vAlign w:val="center"/>
          </w:tcPr>
          <w:p w14:paraId="05C24BDE">
            <w:pPr>
              <w:widowControl/>
              <w:jc w:val="center"/>
              <w:textAlignment w:val="bottom"/>
              <w:rPr>
                <w:szCs w:val="21"/>
              </w:rPr>
            </w:pPr>
            <w:r>
              <w:rPr>
                <w:szCs w:val="21"/>
              </w:rPr>
              <w:t>声环境</w:t>
            </w:r>
          </w:p>
        </w:tc>
        <w:tc>
          <w:tcPr>
            <w:tcW w:w="1703" w:type="dxa"/>
            <w:vAlign w:val="center"/>
          </w:tcPr>
          <w:p w14:paraId="36AB90C3">
            <w:pPr>
              <w:widowControl/>
              <w:jc w:val="center"/>
              <w:textAlignment w:val="bottom"/>
              <w:rPr>
                <w:szCs w:val="21"/>
              </w:rPr>
            </w:pPr>
            <w:r>
              <w:rPr>
                <w:szCs w:val="21"/>
              </w:rPr>
              <w:t>生产设备</w:t>
            </w:r>
          </w:p>
        </w:tc>
        <w:tc>
          <w:tcPr>
            <w:tcW w:w="1313" w:type="dxa"/>
            <w:vAlign w:val="center"/>
          </w:tcPr>
          <w:p w14:paraId="14344D01">
            <w:pPr>
              <w:widowControl/>
              <w:jc w:val="center"/>
              <w:textAlignment w:val="bottom"/>
              <w:rPr>
                <w:szCs w:val="21"/>
              </w:rPr>
            </w:pPr>
            <w:r>
              <w:rPr>
                <w:szCs w:val="21"/>
              </w:rPr>
              <w:t>噪声</w:t>
            </w:r>
          </w:p>
        </w:tc>
        <w:tc>
          <w:tcPr>
            <w:tcW w:w="1743" w:type="dxa"/>
            <w:vAlign w:val="center"/>
          </w:tcPr>
          <w:p w14:paraId="4E0A9903">
            <w:pPr>
              <w:widowControl/>
              <w:jc w:val="center"/>
              <w:textAlignment w:val="bottom"/>
              <w:rPr>
                <w:szCs w:val="21"/>
              </w:rPr>
            </w:pPr>
            <w:r>
              <w:rPr>
                <w:szCs w:val="21"/>
              </w:rPr>
              <w:t>选用低噪声设备、采取合理布局、隔声减震、厂房隔声等措施</w:t>
            </w:r>
          </w:p>
        </w:tc>
        <w:tc>
          <w:tcPr>
            <w:tcW w:w="2707" w:type="dxa"/>
            <w:vAlign w:val="center"/>
          </w:tcPr>
          <w:p w14:paraId="0B054907">
            <w:pPr>
              <w:widowControl/>
              <w:jc w:val="center"/>
              <w:textAlignment w:val="bottom"/>
              <w:rPr>
                <w:szCs w:val="21"/>
              </w:rPr>
            </w:pPr>
            <w:r>
              <w:rPr>
                <w:szCs w:val="21"/>
              </w:rPr>
              <w:t>《工业企业厂界环境噪声排放标准》（GB12348-2008）</w:t>
            </w:r>
            <w:r>
              <w:rPr>
                <w:rFonts w:hint="eastAsia"/>
                <w:szCs w:val="21"/>
              </w:rPr>
              <w:t>3</w:t>
            </w:r>
            <w:r>
              <w:rPr>
                <w:szCs w:val="21"/>
              </w:rPr>
              <w:t>类标准</w:t>
            </w:r>
          </w:p>
        </w:tc>
      </w:tr>
      <w:tr w14:paraId="54768ACA">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397" w:hRule="atLeast"/>
          <w:jc w:val="center"/>
        </w:trPr>
        <w:tc>
          <w:tcPr>
            <w:tcW w:w="1334" w:type="dxa"/>
            <w:vAlign w:val="center"/>
          </w:tcPr>
          <w:p w14:paraId="6A8154A7">
            <w:pPr>
              <w:widowControl/>
              <w:jc w:val="center"/>
              <w:textAlignment w:val="bottom"/>
              <w:rPr>
                <w:szCs w:val="21"/>
              </w:rPr>
            </w:pPr>
            <w:r>
              <w:rPr>
                <w:szCs w:val="21"/>
              </w:rPr>
              <w:t>电磁辐射</w:t>
            </w:r>
          </w:p>
        </w:tc>
        <w:tc>
          <w:tcPr>
            <w:tcW w:w="1703" w:type="dxa"/>
            <w:vAlign w:val="center"/>
          </w:tcPr>
          <w:p w14:paraId="7382EA19">
            <w:pPr>
              <w:widowControl/>
              <w:jc w:val="center"/>
              <w:textAlignment w:val="bottom"/>
              <w:rPr>
                <w:sz w:val="24"/>
              </w:rPr>
            </w:pPr>
            <w:r>
              <w:rPr>
                <w:sz w:val="24"/>
              </w:rPr>
              <w:t>/</w:t>
            </w:r>
          </w:p>
        </w:tc>
        <w:tc>
          <w:tcPr>
            <w:tcW w:w="1313" w:type="dxa"/>
            <w:vAlign w:val="center"/>
          </w:tcPr>
          <w:p w14:paraId="2334B47D">
            <w:pPr>
              <w:widowControl/>
              <w:jc w:val="center"/>
              <w:textAlignment w:val="bottom"/>
              <w:rPr>
                <w:sz w:val="24"/>
              </w:rPr>
            </w:pPr>
            <w:r>
              <w:rPr>
                <w:sz w:val="24"/>
              </w:rPr>
              <w:t>/</w:t>
            </w:r>
          </w:p>
        </w:tc>
        <w:tc>
          <w:tcPr>
            <w:tcW w:w="1743" w:type="dxa"/>
            <w:vAlign w:val="center"/>
          </w:tcPr>
          <w:p w14:paraId="32CD0A45">
            <w:pPr>
              <w:widowControl/>
              <w:jc w:val="center"/>
              <w:textAlignment w:val="bottom"/>
              <w:rPr>
                <w:sz w:val="24"/>
              </w:rPr>
            </w:pPr>
            <w:r>
              <w:rPr>
                <w:sz w:val="24"/>
              </w:rPr>
              <w:t>/</w:t>
            </w:r>
          </w:p>
        </w:tc>
        <w:tc>
          <w:tcPr>
            <w:tcW w:w="2707" w:type="dxa"/>
            <w:vAlign w:val="center"/>
          </w:tcPr>
          <w:p w14:paraId="5943C714">
            <w:pPr>
              <w:widowControl/>
              <w:jc w:val="center"/>
              <w:textAlignment w:val="bottom"/>
              <w:rPr>
                <w:sz w:val="24"/>
              </w:rPr>
            </w:pPr>
            <w:r>
              <w:rPr>
                <w:sz w:val="24"/>
              </w:rPr>
              <w:t>/</w:t>
            </w:r>
          </w:p>
        </w:tc>
      </w:tr>
      <w:tr w14:paraId="6E90D2CB">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90" w:hRule="atLeast"/>
          <w:jc w:val="center"/>
        </w:trPr>
        <w:tc>
          <w:tcPr>
            <w:tcW w:w="1334" w:type="dxa"/>
            <w:vAlign w:val="center"/>
          </w:tcPr>
          <w:p w14:paraId="499BAC92">
            <w:pPr>
              <w:widowControl/>
              <w:jc w:val="center"/>
              <w:textAlignment w:val="bottom"/>
              <w:rPr>
                <w:szCs w:val="21"/>
              </w:rPr>
            </w:pPr>
            <w:r>
              <w:rPr>
                <w:szCs w:val="21"/>
              </w:rPr>
              <w:t>固体废物</w:t>
            </w:r>
          </w:p>
        </w:tc>
        <w:tc>
          <w:tcPr>
            <w:tcW w:w="3016" w:type="dxa"/>
            <w:gridSpan w:val="2"/>
            <w:vAlign w:val="center"/>
          </w:tcPr>
          <w:p w14:paraId="3BB33D2A">
            <w:pPr>
              <w:widowControl/>
              <w:jc w:val="left"/>
              <w:textAlignment w:val="bottom"/>
              <w:rPr>
                <w:szCs w:val="21"/>
              </w:rPr>
            </w:pPr>
            <w:r>
              <w:rPr>
                <w:rFonts w:hint="eastAsia"/>
                <w:szCs w:val="21"/>
              </w:rPr>
              <w:t>1、一般固废：废钢筋、废边角料</w:t>
            </w:r>
            <w:r>
              <w:rPr>
                <w:rFonts w:hint="eastAsia"/>
                <w:szCs w:val="21"/>
                <w:lang w:val="en-US" w:eastAsia="zh-CN"/>
              </w:rPr>
              <w:t>及不合格产品及废包装袋</w:t>
            </w:r>
            <w:r>
              <w:rPr>
                <w:rFonts w:hint="eastAsia"/>
                <w:szCs w:val="21"/>
              </w:rPr>
              <w:t>经统一收集后外售综合利用，废焊渣经集中收集后，统一返回厂家回收处理</w:t>
            </w:r>
            <w:r>
              <w:rPr>
                <w:rFonts w:hint="eastAsia"/>
                <w:szCs w:val="21"/>
                <w:lang w:eastAsia="zh-CN"/>
              </w:rPr>
              <w:t>，</w:t>
            </w:r>
            <w:r>
              <w:rPr>
                <w:rFonts w:hint="eastAsia"/>
                <w:szCs w:val="21"/>
                <w:lang w:val="en-US" w:eastAsia="zh-CN"/>
              </w:rPr>
              <w:t>收集的粉尘经收集后回用于生产，不外排，</w:t>
            </w:r>
            <w:r>
              <w:rPr>
                <w:rFonts w:hint="eastAsia"/>
                <w:szCs w:val="21"/>
              </w:rPr>
              <w:t>生活垃圾经收集后，由环卫部门收集清运处理。</w:t>
            </w:r>
          </w:p>
          <w:p w14:paraId="0BE3B5C6">
            <w:pPr>
              <w:widowControl/>
              <w:jc w:val="left"/>
              <w:textAlignment w:val="bottom"/>
              <w:rPr>
                <w:szCs w:val="21"/>
              </w:rPr>
            </w:pPr>
            <w:r>
              <w:rPr>
                <w:rFonts w:hint="eastAsia"/>
                <w:szCs w:val="21"/>
              </w:rPr>
              <w:t>2、危险废物：</w:t>
            </w:r>
            <w:r>
              <w:rPr>
                <w:rFonts w:hint="eastAsia" w:ascii="Times New Roman" w:hAnsi="Times New Roman" w:eastAsia="宋体" w:cs="Times New Roman"/>
                <w:szCs w:val="21"/>
              </w:rPr>
              <w:t>废活性炭委托厂家上门更换回收，不在厂内暂存</w:t>
            </w:r>
            <w:r>
              <w:rPr>
                <w:rFonts w:hint="eastAsia" w:ascii="Times New Roman" w:hAnsi="Times New Roman" w:eastAsia="宋体" w:cs="Times New Roman"/>
                <w:szCs w:val="21"/>
                <w:lang w:eastAsia="zh-CN"/>
              </w:rPr>
              <w:t>；</w:t>
            </w:r>
            <w:r>
              <w:rPr>
                <w:rFonts w:hint="eastAsia" w:ascii="Times New Roman" w:hAnsi="Times New Roman" w:eastAsia="宋体" w:cs="Times New Roman"/>
                <w:szCs w:val="21"/>
                <w:lang w:val="en-US" w:eastAsia="zh-CN"/>
              </w:rPr>
              <w:t>废矿物油</w:t>
            </w:r>
            <w:r>
              <w:rPr>
                <w:rFonts w:hint="eastAsia" w:cs="Times New Roman"/>
                <w:szCs w:val="21"/>
                <w:lang w:val="en-US" w:eastAsia="zh-CN"/>
              </w:rPr>
              <w:t>、废油桶、废滤网、废含油抹布手套</w:t>
            </w:r>
            <w:r>
              <w:rPr>
                <w:rFonts w:hint="eastAsia"/>
                <w:szCs w:val="21"/>
              </w:rPr>
              <w:t>经收集后暂存于危废暂存间，定期交由有资质的单位收集处置。</w:t>
            </w:r>
          </w:p>
        </w:tc>
        <w:tc>
          <w:tcPr>
            <w:tcW w:w="4450" w:type="dxa"/>
            <w:gridSpan w:val="2"/>
            <w:vAlign w:val="center"/>
          </w:tcPr>
          <w:p w14:paraId="3A543287">
            <w:pPr>
              <w:widowControl/>
              <w:jc w:val="left"/>
              <w:textAlignment w:val="bottom"/>
              <w:rPr>
                <w:szCs w:val="21"/>
              </w:rPr>
            </w:pPr>
            <w:r>
              <w:rPr>
                <w:szCs w:val="21"/>
              </w:rPr>
              <w:t>一般工业固废执行《一般工业固体废物贮存和填埋污染控制标准》（GB18599-2020）；危险废物执行《危险废物贮存污染控制标准》</w:t>
            </w:r>
            <w:r>
              <w:rPr>
                <w:rFonts w:hint="eastAsia"/>
                <w:szCs w:val="21"/>
              </w:rPr>
              <w:t>（GB18597—2023）</w:t>
            </w:r>
          </w:p>
        </w:tc>
      </w:tr>
      <w:tr w14:paraId="3363F336">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397" w:hRule="atLeast"/>
          <w:jc w:val="center"/>
        </w:trPr>
        <w:tc>
          <w:tcPr>
            <w:tcW w:w="1334" w:type="dxa"/>
            <w:vAlign w:val="center"/>
          </w:tcPr>
          <w:p w14:paraId="21FBA43D">
            <w:pPr>
              <w:widowControl/>
              <w:jc w:val="center"/>
              <w:textAlignment w:val="bottom"/>
              <w:rPr>
                <w:szCs w:val="21"/>
              </w:rPr>
            </w:pPr>
            <w:r>
              <w:rPr>
                <w:szCs w:val="21"/>
              </w:rPr>
              <w:t>土壤及地下水污染防治措施</w:t>
            </w:r>
          </w:p>
        </w:tc>
        <w:tc>
          <w:tcPr>
            <w:tcW w:w="7466" w:type="dxa"/>
            <w:gridSpan w:val="4"/>
            <w:vAlign w:val="center"/>
          </w:tcPr>
          <w:p w14:paraId="2796ACFF">
            <w:pPr>
              <w:adjustRightInd w:val="0"/>
              <w:snapToGrid w:val="0"/>
              <w:rPr>
                <w:kern w:val="24"/>
                <w:szCs w:val="21"/>
              </w:rPr>
            </w:pPr>
            <w:r>
              <w:rPr>
                <w:kern w:val="24"/>
                <w:szCs w:val="21"/>
              </w:rPr>
              <w:t>①</w:t>
            </w:r>
            <w:r>
              <w:rPr>
                <w:rFonts w:hint="eastAsia"/>
                <w:kern w:val="24"/>
                <w:szCs w:val="21"/>
              </w:rPr>
              <w:t>危废暂存间</w:t>
            </w:r>
            <w:r>
              <w:rPr>
                <w:kern w:val="24"/>
                <w:szCs w:val="21"/>
              </w:rPr>
              <w:t>地面铺设水泥进行硬化和防渗处理，贮存场所须符合规范要求；</w:t>
            </w:r>
          </w:p>
          <w:p w14:paraId="29A86D79">
            <w:pPr>
              <w:adjustRightInd w:val="0"/>
              <w:snapToGrid w:val="0"/>
              <w:rPr>
                <w:kern w:val="24"/>
                <w:szCs w:val="21"/>
              </w:rPr>
            </w:pPr>
            <w:r>
              <w:rPr>
                <w:kern w:val="24"/>
                <w:szCs w:val="21"/>
              </w:rPr>
              <w:t>②加强</w:t>
            </w:r>
            <w:r>
              <w:rPr>
                <w:rFonts w:hint="eastAsia"/>
                <w:kern w:val="24"/>
                <w:szCs w:val="21"/>
              </w:rPr>
              <w:t>化学品库</w:t>
            </w:r>
            <w:r>
              <w:rPr>
                <w:kern w:val="24"/>
                <w:szCs w:val="21"/>
              </w:rPr>
              <w:t>和危险废物管理，加强危险化学品和危险废物管理，</w:t>
            </w:r>
            <w:r>
              <w:rPr>
                <w:rFonts w:hint="eastAsia"/>
                <w:kern w:val="24"/>
                <w:szCs w:val="21"/>
              </w:rPr>
              <w:t>化学品库、危废暂存间</w:t>
            </w:r>
            <w:r>
              <w:rPr>
                <w:kern w:val="24"/>
                <w:szCs w:val="21"/>
              </w:rPr>
              <w:t>防渗</w:t>
            </w:r>
            <w:r>
              <w:rPr>
                <w:rFonts w:hint="eastAsia"/>
                <w:kern w:val="24"/>
                <w:szCs w:val="21"/>
              </w:rPr>
              <w:t>防腐</w:t>
            </w:r>
            <w:r>
              <w:rPr>
                <w:kern w:val="24"/>
                <w:szCs w:val="21"/>
              </w:rPr>
              <w:t>处理，确保贮存和使用过程中无渗漏</w:t>
            </w:r>
            <w:r>
              <w:rPr>
                <w:rFonts w:hint="eastAsia"/>
                <w:kern w:val="24"/>
                <w:szCs w:val="21"/>
              </w:rPr>
              <w:t>；</w:t>
            </w:r>
          </w:p>
          <w:p w14:paraId="0BA1CC7F">
            <w:pPr>
              <w:widowControl/>
              <w:jc w:val="center"/>
              <w:textAlignment w:val="bottom"/>
              <w:rPr>
                <w:sz w:val="24"/>
              </w:rPr>
            </w:pPr>
            <w:r>
              <w:rPr>
                <w:kern w:val="24"/>
                <w:szCs w:val="21"/>
              </w:rPr>
              <w:t>③按照《危险废物贮存污染控制标准》（GB18597-20</w:t>
            </w:r>
            <w:r>
              <w:rPr>
                <w:rFonts w:hint="eastAsia"/>
                <w:kern w:val="24"/>
                <w:szCs w:val="21"/>
              </w:rPr>
              <w:t>23</w:t>
            </w:r>
            <w:r>
              <w:rPr>
                <w:kern w:val="24"/>
                <w:szCs w:val="21"/>
              </w:rPr>
              <w:t>）要求，设置危废暂存场所。</w:t>
            </w:r>
          </w:p>
        </w:tc>
      </w:tr>
      <w:tr w14:paraId="7B0F5CEB">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397" w:hRule="atLeast"/>
          <w:jc w:val="center"/>
        </w:trPr>
        <w:tc>
          <w:tcPr>
            <w:tcW w:w="1334" w:type="dxa"/>
            <w:vAlign w:val="center"/>
          </w:tcPr>
          <w:p w14:paraId="680C5B76">
            <w:pPr>
              <w:widowControl/>
              <w:jc w:val="center"/>
              <w:textAlignment w:val="bottom"/>
              <w:rPr>
                <w:szCs w:val="21"/>
              </w:rPr>
            </w:pPr>
            <w:r>
              <w:rPr>
                <w:szCs w:val="21"/>
              </w:rPr>
              <w:t>生态保护措施</w:t>
            </w:r>
          </w:p>
        </w:tc>
        <w:tc>
          <w:tcPr>
            <w:tcW w:w="7466" w:type="dxa"/>
            <w:gridSpan w:val="4"/>
            <w:vAlign w:val="center"/>
          </w:tcPr>
          <w:p w14:paraId="7810F238">
            <w:pPr>
              <w:widowControl/>
              <w:jc w:val="center"/>
              <w:textAlignment w:val="bottom"/>
              <w:rPr>
                <w:sz w:val="24"/>
              </w:rPr>
            </w:pPr>
            <w:r>
              <w:rPr>
                <w:sz w:val="24"/>
              </w:rPr>
              <w:t>/</w:t>
            </w:r>
          </w:p>
        </w:tc>
      </w:tr>
      <w:tr w14:paraId="254BD28C">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397" w:hRule="atLeast"/>
          <w:jc w:val="center"/>
        </w:trPr>
        <w:tc>
          <w:tcPr>
            <w:tcW w:w="1334" w:type="dxa"/>
            <w:vAlign w:val="center"/>
          </w:tcPr>
          <w:p w14:paraId="4087DC30">
            <w:pPr>
              <w:widowControl/>
              <w:jc w:val="center"/>
              <w:textAlignment w:val="bottom"/>
              <w:rPr>
                <w:szCs w:val="21"/>
              </w:rPr>
            </w:pPr>
            <w:r>
              <w:rPr>
                <w:szCs w:val="21"/>
              </w:rPr>
              <w:t>环境风险</w:t>
            </w:r>
          </w:p>
          <w:p w14:paraId="64A84ADF">
            <w:pPr>
              <w:widowControl/>
              <w:jc w:val="center"/>
              <w:textAlignment w:val="bottom"/>
              <w:rPr>
                <w:szCs w:val="21"/>
              </w:rPr>
            </w:pPr>
            <w:r>
              <w:rPr>
                <w:szCs w:val="21"/>
              </w:rPr>
              <w:t>防范措施</w:t>
            </w:r>
          </w:p>
        </w:tc>
        <w:tc>
          <w:tcPr>
            <w:tcW w:w="7466" w:type="dxa"/>
            <w:gridSpan w:val="4"/>
            <w:vAlign w:val="center"/>
          </w:tcPr>
          <w:p w14:paraId="23A16752">
            <w:pPr>
              <w:adjustRightInd w:val="0"/>
              <w:snapToGrid w:val="0"/>
              <w:rPr>
                <w:bCs/>
                <w:szCs w:val="21"/>
              </w:rPr>
            </w:pPr>
            <w:r>
              <w:rPr>
                <w:bCs/>
                <w:szCs w:val="21"/>
              </w:rPr>
              <w:t>①危废暂存</w:t>
            </w:r>
            <w:r>
              <w:rPr>
                <w:rFonts w:hint="eastAsia"/>
                <w:bCs/>
                <w:szCs w:val="21"/>
              </w:rPr>
              <w:t>间</w:t>
            </w:r>
            <w:r>
              <w:rPr>
                <w:bCs/>
                <w:szCs w:val="21"/>
              </w:rPr>
              <w:t>应安排专人管理，做好入库记录，并定期检查材料存储的安全状态，定期检查其包装有无破损，以防止泄漏。</w:t>
            </w:r>
          </w:p>
          <w:p w14:paraId="45F2ABBB">
            <w:pPr>
              <w:adjustRightInd w:val="0"/>
              <w:snapToGrid w:val="0"/>
              <w:rPr>
                <w:bCs/>
                <w:szCs w:val="21"/>
              </w:rPr>
            </w:pPr>
            <w:r>
              <w:rPr>
                <w:bCs/>
                <w:szCs w:val="21"/>
              </w:rPr>
              <w:t>② 制定严格的操作规程，加强作业工人的安全教育，杜绝工作失误造成的事故。</w:t>
            </w:r>
          </w:p>
          <w:p w14:paraId="2CD9B3CA">
            <w:pPr>
              <w:adjustRightInd w:val="0"/>
              <w:snapToGrid w:val="0"/>
              <w:rPr>
                <w:bCs/>
                <w:szCs w:val="21"/>
              </w:rPr>
            </w:pPr>
            <w:r>
              <w:rPr>
                <w:bCs/>
                <w:szCs w:val="21"/>
              </w:rPr>
              <w:t>③危废暂存</w:t>
            </w:r>
            <w:r>
              <w:rPr>
                <w:rFonts w:hint="eastAsia"/>
                <w:bCs/>
                <w:szCs w:val="21"/>
              </w:rPr>
              <w:t>间</w:t>
            </w:r>
            <w:r>
              <w:rPr>
                <w:bCs/>
                <w:szCs w:val="21"/>
              </w:rPr>
              <w:t>需设置相应的防渗防泄漏措施。</w:t>
            </w:r>
          </w:p>
          <w:p w14:paraId="275E221E">
            <w:pPr>
              <w:adjustRightInd w:val="0"/>
              <w:snapToGrid w:val="0"/>
              <w:rPr>
                <w:bCs/>
                <w:szCs w:val="21"/>
              </w:rPr>
            </w:pPr>
            <w:r>
              <w:rPr>
                <w:rFonts w:hint="eastAsia"/>
                <w:bCs/>
                <w:szCs w:val="21"/>
              </w:rPr>
              <w:t>④危险废物暂存间严格按照《危险废物贮存污染控制标准》（GB18597-2023）中有关规定进行设计操作，加强危废暂存间的防腐、防渗、防泄漏措施并及时转运处置。</w:t>
            </w:r>
          </w:p>
          <w:p w14:paraId="4F193EFB">
            <w:pPr>
              <w:adjustRightInd w:val="0"/>
              <w:snapToGrid w:val="0"/>
              <w:rPr>
                <w:bCs/>
                <w:szCs w:val="21"/>
              </w:rPr>
            </w:pPr>
            <w:r>
              <w:rPr>
                <w:rFonts w:hint="eastAsia"/>
                <w:bCs/>
                <w:szCs w:val="21"/>
              </w:rPr>
              <w:t>⑤定期对废气处理设备进行巡检、调节、保养和维修，及时更换易坏或破损零售部件，避免发生因设备损坏而出现的风险事故。</w:t>
            </w:r>
          </w:p>
          <w:p w14:paraId="432148C6">
            <w:pPr>
              <w:adjustRightInd w:val="0"/>
              <w:snapToGrid w:val="0"/>
              <w:rPr>
                <w:bCs/>
                <w:szCs w:val="21"/>
              </w:rPr>
            </w:pPr>
            <w:r>
              <w:rPr>
                <w:rFonts w:hint="eastAsia" w:ascii="宋体" w:hAnsi="宋体" w:cs="宋体"/>
                <w:bCs/>
                <w:szCs w:val="21"/>
              </w:rPr>
              <w:t>⑥</w:t>
            </w:r>
            <w:r>
              <w:rPr>
                <w:rFonts w:hint="eastAsia"/>
                <w:bCs/>
                <w:szCs w:val="21"/>
              </w:rPr>
              <w:t>防火防爆等安全消防措施齐备。</w:t>
            </w:r>
          </w:p>
          <w:p w14:paraId="604CF7F3">
            <w:pPr>
              <w:widowControl/>
              <w:jc w:val="left"/>
              <w:textAlignment w:val="bottom"/>
              <w:rPr>
                <w:szCs w:val="21"/>
              </w:rPr>
            </w:pPr>
            <w:r>
              <w:rPr>
                <w:rFonts w:hint="eastAsia"/>
                <w:bCs/>
                <w:szCs w:val="21"/>
              </w:rPr>
              <w:t>⑦根据《湖南省突发环境事件应急预案管理办法（修订版）》</w:t>
            </w:r>
            <w:r>
              <w:rPr>
                <w:bCs/>
                <w:szCs w:val="21"/>
              </w:rPr>
              <w:t>（湘环发〔2024〕49号</w:t>
            </w:r>
            <w:r>
              <w:rPr>
                <w:rFonts w:hint="eastAsia"/>
                <w:bCs/>
                <w:szCs w:val="21"/>
              </w:rPr>
              <w:t>）要求，编制突发环境事件应急预案或者进行突发环境事件应急预案豁免管理申请。　</w:t>
            </w:r>
          </w:p>
        </w:tc>
      </w:tr>
      <w:tr w14:paraId="627407A1">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403" w:hRule="atLeast"/>
          <w:jc w:val="center"/>
        </w:trPr>
        <w:tc>
          <w:tcPr>
            <w:tcW w:w="1334" w:type="dxa"/>
            <w:vAlign w:val="center"/>
          </w:tcPr>
          <w:p w14:paraId="3C266F13">
            <w:pPr>
              <w:widowControl/>
              <w:jc w:val="center"/>
              <w:textAlignment w:val="bottom"/>
              <w:rPr>
                <w:szCs w:val="21"/>
              </w:rPr>
            </w:pPr>
            <w:r>
              <w:rPr>
                <w:szCs w:val="21"/>
              </w:rPr>
              <w:t>其他环境</w:t>
            </w:r>
          </w:p>
          <w:p w14:paraId="22F8E5D2">
            <w:pPr>
              <w:widowControl/>
              <w:jc w:val="center"/>
              <w:textAlignment w:val="bottom"/>
              <w:rPr>
                <w:szCs w:val="21"/>
              </w:rPr>
            </w:pPr>
            <w:r>
              <w:rPr>
                <w:szCs w:val="21"/>
              </w:rPr>
              <w:t>管理要求</w:t>
            </w:r>
          </w:p>
        </w:tc>
        <w:tc>
          <w:tcPr>
            <w:tcW w:w="7466" w:type="dxa"/>
            <w:gridSpan w:val="4"/>
            <w:vAlign w:val="center"/>
          </w:tcPr>
          <w:p w14:paraId="67A7CCD9">
            <w:pPr>
              <w:adjustRightInd w:val="0"/>
              <w:snapToGrid w:val="0"/>
              <w:rPr>
                <w:szCs w:val="21"/>
              </w:rPr>
            </w:pPr>
            <w:r>
              <w:rPr>
                <w:rFonts w:hint="eastAsia"/>
                <w:szCs w:val="21"/>
              </w:rPr>
              <w:t>①规范设置排污口，严格按照《环境保护图形标志实施细则（试行）》的规定，设置与排污口相应的图形标志牌。</w:t>
            </w:r>
          </w:p>
          <w:p w14:paraId="33FF770D">
            <w:pPr>
              <w:adjustRightInd w:val="0"/>
              <w:snapToGrid w:val="0"/>
              <w:rPr>
                <w:szCs w:val="21"/>
              </w:rPr>
            </w:pPr>
            <w:r>
              <w:rPr>
                <w:rFonts w:hint="eastAsia"/>
                <w:szCs w:val="21"/>
              </w:rPr>
              <w:t>②建设项目配套建设的环境保护设施经验收合格后，其主体工程方可投入生产或者使用；未经验收或者验收不合格的，不得投入生产或者使用。</w:t>
            </w:r>
          </w:p>
          <w:p w14:paraId="0BDFAEE4">
            <w:pPr>
              <w:adjustRightInd w:val="0"/>
              <w:snapToGrid w:val="0"/>
              <w:rPr>
                <w:szCs w:val="21"/>
              </w:rPr>
            </w:pPr>
            <w:r>
              <w:rPr>
                <w:rFonts w:hint="eastAsia"/>
                <w:szCs w:val="21"/>
              </w:rPr>
              <w:t>③除需要取得排污许可证的水和大气污染防治设施外，其他环境保护设施的验收期限一般不超过3个月；需要对该类环境保护设施进行调试或者整改的，验收期限可以适当延期，但最长不超过</w:t>
            </w:r>
            <w:r>
              <w:rPr>
                <w:szCs w:val="21"/>
              </w:rPr>
              <w:t>12</w:t>
            </w:r>
            <w:r>
              <w:rPr>
                <w:rFonts w:hint="eastAsia"/>
                <w:szCs w:val="21"/>
              </w:rPr>
              <w:t>个月。</w:t>
            </w:r>
          </w:p>
          <w:p w14:paraId="4D5D5B29">
            <w:pPr>
              <w:adjustRightInd w:val="0"/>
              <w:snapToGrid w:val="0"/>
              <w:rPr>
                <w:szCs w:val="21"/>
              </w:rPr>
            </w:pPr>
            <w:r>
              <w:rPr>
                <w:rFonts w:hint="eastAsia"/>
                <w:szCs w:val="21"/>
              </w:rPr>
              <w:t>④建设单位自行编制或委托具备相应技术能力的机构，对项目环境保护设施落实情况进行调查，开展相关环境监测，编制竣工环境保护验收监测报告。</w:t>
            </w:r>
          </w:p>
          <w:p w14:paraId="1036D212">
            <w:pPr>
              <w:widowControl/>
              <w:jc w:val="left"/>
              <w:textAlignment w:val="bottom"/>
              <w:rPr>
                <w:szCs w:val="21"/>
              </w:rPr>
            </w:pPr>
            <w:r>
              <w:rPr>
                <w:rFonts w:hint="eastAsia"/>
                <w:szCs w:val="21"/>
              </w:rPr>
              <w:t>⑤根据</w:t>
            </w:r>
            <w:r>
              <w:rPr>
                <w:szCs w:val="21"/>
              </w:rPr>
              <w:t>《固定污染源排污许可分类管理名录（2019年版）》</w:t>
            </w:r>
            <w:r>
              <w:rPr>
                <w:rFonts w:hint="eastAsia"/>
                <w:szCs w:val="21"/>
              </w:rPr>
              <w:t>，本项目属于“二十六、橡胶和塑料制品业 29—塑料制品业292—塑料零件及其他塑料制品制造2929”塑料制品业中本项目属于简化管理。</w:t>
            </w:r>
          </w:p>
        </w:tc>
      </w:tr>
    </w:tbl>
    <w:p w14:paraId="0E744866">
      <w:pPr>
        <w:rPr>
          <w:rFonts w:ascii="黑体" w:hAnsi="黑体" w:eastAsia="黑体"/>
          <w:snapToGrid w:val="0"/>
          <w:sz w:val="30"/>
          <w:szCs w:val="30"/>
        </w:rPr>
      </w:pPr>
      <w:bookmarkStart w:id="16" w:name="_Toc24885"/>
      <w:bookmarkStart w:id="17" w:name="_Toc8902"/>
      <w:r>
        <w:rPr>
          <w:rFonts w:hint="eastAsia" w:ascii="黑体" w:hAnsi="黑体" w:eastAsia="黑体"/>
          <w:snapToGrid w:val="0"/>
          <w:sz w:val="30"/>
          <w:szCs w:val="30"/>
        </w:rPr>
        <w:br w:type="page"/>
      </w:r>
    </w:p>
    <w:p w14:paraId="005FF0ED">
      <w:pPr>
        <w:pStyle w:val="32"/>
        <w:spacing w:before="0" w:beforeAutospacing="0" w:after="0" w:afterAutospacing="0"/>
        <w:outlineLvl w:val="0"/>
        <w:rPr>
          <w:rFonts w:ascii="黑体" w:hAnsi="黑体" w:eastAsia="黑体"/>
          <w:snapToGrid w:val="0"/>
          <w:sz w:val="30"/>
          <w:szCs w:val="30"/>
        </w:rPr>
      </w:pPr>
      <w:bookmarkStart w:id="18" w:name="_Toc6165"/>
      <w:r>
        <w:rPr>
          <w:rFonts w:hint="eastAsia" w:ascii="黑体" w:hAnsi="黑体" w:eastAsia="黑体"/>
          <w:snapToGrid w:val="0"/>
          <w:sz w:val="30"/>
          <w:szCs w:val="30"/>
        </w:rPr>
        <w:t>六、结论</w:t>
      </w:r>
      <w:bookmarkEnd w:id="16"/>
      <w:bookmarkEnd w:id="17"/>
      <w:bookmarkEnd w:id="18"/>
    </w:p>
    <w:tbl>
      <w:tblPr>
        <w:tblStyle w:val="36"/>
        <w:tblW w:w="8865"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14:paraId="28D4654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436" w:hRule="atLeast"/>
          <w:jc w:val="center"/>
        </w:trPr>
        <w:tc>
          <w:tcPr>
            <w:tcW w:w="8865" w:type="dxa"/>
          </w:tcPr>
          <w:p w14:paraId="793AD546">
            <w:pPr>
              <w:spacing w:line="360" w:lineRule="auto"/>
              <w:ind w:firstLine="482" w:firstLineChars="200"/>
              <w:rPr>
                <w:rStyle w:val="267"/>
                <w:rFonts w:ascii="Times New Roman" w:eastAsia="宋体"/>
                <w:sz w:val="24"/>
                <w:szCs w:val="24"/>
                <w:lang w:val="zh-TW" w:eastAsia="zh-TW"/>
              </w:rPr>
            </w:pPr>
            <w:r>
              <w:rPr>
                <w:rStyle w:val="267"/>
                <w:rFonts w:ascii="Times New Roman" w:eastAsia="宋体"/>
                <w:b/>
                <w:bCs/>
                <w:sz w:val="24"/>
                <w:szCs w:val="24"/>
              </w:rPr>
              <w:t>1、</w:t>
            </w:r>
            <w:r>
              <w:rPr>
                <w:rStyle w:val="267"/>
                <w:rFonts w:hint="eastAsia" w:ascii="Times New Roman" w:eastAsia="宋体"/>
                <w:b/>
                <w:bCs/>
                <w:sz w:val="24"/>
                <w:szCs w:val="24"/>
              </w:rPr>
              <w:t>结论</w:t>
            </w:r>
          </w:p>
          <w:p w14:paraId="041BF976">
            <w:pPr>
              <w:spacing w:line="360" w:lineRule="auto"/>
              <w:ind w:firstLine="480" w:firstLineChars="200"/>
              <w:rPr>
                <w:rStyle w:val="267"/>
                <w:rFonts w:ascii="Times New Roman" w:eastAsia="PMingLiU"/>
                <w:sz w:val="24"/>
                <w:szCs w:val="24"/>
                <w:lang w:val="zh-TW" w:eastAsia="zh-TW"/>
              </w:rPr>
            </w:pPr>
            <w:r>
              <w:rPr>
                <w:rStyle w:val="267"/>
                <w:rFonts w:hint="eastAsia" w:ascii="Times New Roman" w:eastAsia="宋体"/>
                <w:sz w:val="24"/>
                <w:szCs w:val="24"/>
                <w:lang w:val="zh-TW" w:eastAsia="zh-TW"/>
              </w:rPr>
              <w:t>本项目符合国家产业政策，与相关规划相符，选址较合理，通过该项目的工程分析、影响分析，</w:t>
            </w:r>
            <w:r>
              <w:rPr>
                <w:rStyle w:val="267"/>
                <w:rFonts w:ascii="Times New Roman" w:eastAsia="宋体"/>
                <w:sz w:val="24"/>
                <w:szCs w:val="24"/>
                <w:lang w:val="zh-TW" w:eastAsia="zh-TW"/>
              </w:rPr>
              <w:t>在采取环评提出的污染控制措施的基础上，</w:t>
            </w:r>
            <w:r>
              <w:rPr>
                <w:rStyle w:val="267"/>
                <w:rFonts w:hint="eastAsia" w:ascii="Times New Roman" w:eastAsia="宋体"/>
                <w:sz w:val="24"/>
                <w:szCs w:val="24"/>
                <w:lang w:val="zh-TW" w:eastAsia="zh-TW"/>
              </w:rPr>
              <w:t>项目产生的废气、废水、噪声可达到相关排放标准，固体废物也将得到妥善、安全处置，项目对周边环境空气、声环境、地表水环境、地下水环境的影响较小。</w:t>
            </w:r>
            <w:r>
              <w:rPr>
                <w:rStyle w:val="267"/>
                <w:rFonts w:ascii="Times New Roman" w:eastAsia="宋体"/>
                <w:sz w:val="24"/>
                <w:szCs w:val="24"/>
                <w:lang w:val="zh-TW" w:eastAsia="zh-TW"/>
              </w:rPr>
              <w:t>本项目在</w:t>
            </w:r>
            <w:r>
              <w:rPr>
                <w:rStyle w:val="267"/>
                <w:rFonts w:hint="eastAsia" w:ascii="Times New Roman" w:eastAsia="宋体"/>
                <w:sz w:val="24"/>
                <w:szCs w:val="24"/>
                <w:lang w:val="zh-TW" w:eastAsia="zh-TW"/>
              </w:rPr>
              <w:t>该建设地点按照该建设内容、建设规模进行</w:t>
            </w:r>
            <w:r>
              <w:rPr>
                <w:rStyle w:val="267"/>
                <w:rFonts w:ascii="Times New Roman" w:eastAsia="宋体"/>
                <w:sz w:val="24"/>
                <w:szCs w:val="24"/>
                <w:lang w:val="zh-TW" w:eastAsia="zh-TW"/>
              </w:rPr>
              <w:t>建设</w:t>
            </w:r>
            <w:r>
              <w:rPr>
                <w:rStyle w:val="267"/>
                <w:rFonts w:hint="eastAsia" w:ascii="Times New Roman" w:eastAsia="宋体"/>
                <w:sz w:val="24"/>
                <w:szCs w:val="24"/>
                <w:lang w:val="zh-TW" w:eastAsia="zh-TW"/>
              </w:rPr>
              <w:t>，</w:t>
            </w:r>
            <w:r>
              <w:rPr>
                <w:rStyle w:val="267"/>
                <w:rFonts w:ascii="Times New Roman" w:eastAsia="宋体"/>
                <w:sz w:val="24"/>
                <w:szCs w:val="24"/>
                <w:lang w:val="zh-TW" w:eastAsia="zh-TW"/>
              </w:rPr>
              <w:t>从环境保护的角度分析是可行的。</w:t>
            </w:r>
          </w:p>
          <w:p w14:paraId="76D44224">
            <w:pPr>
              <w:spacing w:line="360" w:lineRule="auto"/>
              <w:ind w:firstLine="482" w:firstLineChars="200"/>
              <w:rPr>
                <w:rStyle w:val="267"/>
                <w:rFonts w:ascii="Times New Roman" w:eastAsia="宋体"/>
                <w:sz w:val="24"/>
                <w:szCs w:val="24"/>
                <w:lang w:val="zh-TW" w:eastAsia="zh-TW"/>
              </w:rPr>
            </w:pPr>
            <w:bookmarkStart w:id="19" w:name="bookmark2"/>
            <w:r>
              <w:rPr>
                <w:rStyle w:val="267"/>
                <w:rFonts w:ascii="Times New Roman" w:eastAsia="宋体"/>
                <w:b/>
                <w:bCs/>
                <w:sz w:val="24"/>
                <w:szCs w:val="24"/>
              </w:rPr>
              <w:t>2、建议</w:t>
            </w:r>
            <w:bookmarkEnd w:id="19"/>
          </w:p>
          <w:p w14:paraId="0470B082">
            <w:pPr>
              <w:spacing w:line="360" w:lineRule="auto"/>
              <w:ind w:firstLine="480" w:firstLineChars="200"/>
              <w:rPr>
                <w:rStyle w:val="267"/>
                <w:rFonts w:ascii="Times New Roman" w:eastAsia="宋体"/>
                <w:sz w:val="24"/>
                <w:szCs w:val="24"/>
                <w:lang w:val="zh-TW" w:eastAsia="zh-TW"/>
              </w:rPr>
            </w:pPr>
            <w:r>
              <w:rPr>
                <w:rStyle w:val="267"/>
                <w:rFonts w:hint="eastAsia" w:ascii="Times New Roman" w:eastAsia="宋体"/>
                <w:sz w:val="24"/>
                <w:szCs w:val="24"/>
                <w:lang w:val="zh-TW" w:eastAsia="zh-TW"/>
              </w:rPr>
              <w:t>（1）节约用水，从源头上减少废水的产生量。</w:t>
            </w:r>
          </w:p>
          <w:p w14:paraId="1D1800F1">
            <w:pPr>
              <w:spacing w:line="360" w:lineRule="auto"/>
              <w:ind w:firstLine="480" w:firstLineChars="200"/>
              <w:rPr>
                <w:rStyle w:val="267"/>
                <w:rFonts w:ascii="Times New Roman" w:eastAsia="宋体"/>
                <w:sz w:val="24"/>
                <w:szCs w:val="24"/>
                <w:lang w:val="zh-TW" w:eastAsia="zh-TW"/>
              </w:rPr>
            </w:pPr>
            <w:r>
              <w:rPr>
                <w:rStyle w:val="267"/>
                <w:rFonts w:hint="eastAsia" w:ascii="Times New Roman" w:eastAsia="宋体"/>
                <w:sz w:val="24"/>
                <w:szCs w:val="24"/>
                <w:lang w:val="zh-TW" w:eastAsia="zh-TW"/>
              </w:rPr>
              <w:t>（2）建设单位应建立健全环境保护管理规章制度，加强环境管理，对污染防治设施必须进行日常检查与维护保养，确保其长期在正常安全状态下运行，杜绝发生污染事故，并严格接受环境保护主管部门的日常监督管理。</w:t>
            </w:r>
          </w:p>
          <w:p w14:paraId="15A8DFF9">
            <w:pPr>
              <w:spacing w:line="360" w:lineRule="auto"/>
              <w:ind w:firstLine="480" w:firstLineChars="200"/>
              <w:rPr>
                <w:rFonts w:ascii="宋体" w:cs="宋体"/>
                <w:sz w:val="24"/>
              </w:rPr>
            </w:pPr>
            <w:r>
              <w:rPr>
                <w:rStyle w:val="267"/>
                <w:rFonts w:hint="eastAsia" w:ascii="Times New Roman" w:eastAsia="宋体"/>
                <w:sz w:val="24"/>
                <w:szCs w:val="24"/>
                <w:lang w:val="zh-TW" w:eastAsia="zh-TW"/>
              </w:rPr>
              <w:t>（3）建设单位必须严格执行环境保护“三同时”制度，污染防治设施必须与主体工程同时设计、同时施工、同时投产使用，必须经验收合格后，主体工程方能投入运行。</w:t>
            </w:r>
          </w:p>
        </w:tc>
      </w:tr>
    </w:tbl>
    <w:p w14:paraId="55D1ECFC">
      <w:pPr>
        <w:pStyle w:val="152"/>
        <w:spacing w:beforeLines="80" w:after="24"/>
        <w:jc w:val="left"/>
        <w:rPr>
          <w:rFonts w:hAnsi="宋体" w:eastAsia="黑体"/>
        </w:rPr>
        <w:sectPr>
          <w:pgSz w:w="11906" w:h="16838"/>
          <w:pgMar w:top="1701" w:right="1531" w:bottom="1701" w:left="1531" w:header="851" w:footer="851" w:gutter="0"/>
          <w:cols w:space="720" w:num="1"/>
          <w:docGrid w:linePitch="312" w:charSpace="0"/>
        </w:sectPr>
      </w:pPr>
    </w:p>
    <w:p w14:paraId="451D391E">
      <w:pPr>
        <w:pStyle w:val="32"/>
        <w:adjustRightInd w:val="0"/>
        <w:snapToGrid w:val="0"/>
        <w:spacing w:before="0" w:beforeAutospacing="0" w:after="0" w:afterAutospacing="0" w:line="360" w:lineRule="auto"/>
        <w:outlineLvl w:val="0"/>
        <w:rPr>
          <w:rFonts w:cs="宋体"/>
          <w:snapToGrid w:val="0"/>
          <w:sz w:val="28"/>
          <w:szCs w:val="28"/>
        </w:rPr>
      </w:pPr>
      <w:bookmarkStart w:id="20" w:name="_Toc14247"/>
      <w:bookmarkStart w:id="21" w:name="_Toc11991"/>
      <w:bookmarkStart w:id="22" w:name="_Toc2155"/>
      <w:r>
        <w:rPr>
          <w:rFonts w:hint="eastAsia" w:cs="宋体"/>
          <w:snapToGrid w:val="0"/>
          <w:sz w:val="28"/>
          <w:szCs w:val="28"/>
        </w:rPr>
        <w:t>附表</w:t>
      </w:r>
      <w:bookmarkEnd w:id="20"/>
      <w:bookmarkEnd w:id="21"/>
      <w:bookmarkEnd w:id="22"/>
    </w:p>
    <w:p w14:paraId="1B761208">
      <w:pPr>
        <w:pStyle w:val="32"/>
        <w:adjustRightInd w:val="0"/>
        <w:snapToGrid w:val="0"/>
        <w:spacing w:before="0" w:beforeAutospacing="0" w:after="0" w:afterAutospacing="0"/>
        <w:jc w:val="center"/>
        <w:outlineLvl w:val="0"/>
        <w:rPr>
          <w:rFonts w:cs="宋体"/>
          <w:b/>
          <w:bCs/>
          <w:snapToGrid w:val="0"/>
          <w:sz w:val="28"/>
          <w:szCs w:val="28"/>
        </w:rPr>
      </w:pPr>
      <w:bookmarkStart w:id="23" w:name="_Toc32660"/>
      <w:bookmarkStart w:id="24" w:name="_Toc2564"/>
      <w:bookmarkStart w:id="25" w:name="_Toc18634"/>
      <w:r>
        <w:rPr>
          <w:rFonts w:hint="eastAsia" w:cs="宋体"/>
          <w:b/>
          <w:bCs/>
          <w:snapToGrid w:val="0"/>
          <w:sz w:val="28"/>
          <w:szCs w:val="28"/>
        </w:rPr>
        <w:t>建设项目污染物排放量汇总表</w:t>
      </w:r>
      <w:bookmarkEnd w:id="23"/>
      <w:bookmarkEnd w:id="24"/>
      <w:bookmarkEnd w:id="25"/>
    </w:p>
    <w:tbl>
      <w:tblPr>
        <w:tblStyle w:val="36"/>
        <w:tblW w:w="13641"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1381"/>
        <w:gridCol w:w="2210"/>
        <w:gridCol w:w="1412"/>
        <w:gridCol w:w="1213"/>
        <w:gridCol w:w="1239"/>
        <w:gridCol w:w="1920"/>
        <w:gridCol w:w="1543"/>
        <w:gridCol w:w="1565"/>
        <w:gridCol w:w="1158"/>
      </w:tblGrid>
      <w:tr w14:paraId="5059BB0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838" w:hRule="atLeast"/>
        </w:trPr>
        <w:tc>
          <w:tcPr>
            <w:tcW w:w="1381" w:type="dxa"/>
            <w:vAlign w:val="center"/>
          </w:tcPr>
          <w:p w14:paraId="0A2A0768">
            <w:pPr>
              <w:jc w:val="center"/>
            </w:pPr>
            <w:r>
              <w:t>项目分类</w:t>
            </w:r>
          </w:p>
        </w:tc>
        <w:tc>
          <w:tcPr>
            <w:tcW w:w="2210" w:type="dxa"/>
            <w:vAlign w:val="center"/>
          </w:tcPr>
          <w:p w14:paraId="310F28FA">
            <w:pPr>
              <w:jc w:val="center"/>
            </w:pPr>
          </w:p>
          <w:p w14:paraId="2D09AFDE">
            <w:pPr>
              <w:jc w:val="center"/>
            </w:pPr>
            <w:r>
              <w:t>污染物名称</w:t>
            </w:r>
          </w:p>
        </w:tc>
        <w:tc>
          <w:tcPr>
            <w:tcW w:w="1412" w:type="dxa"/>
            <w:vAlign w:val="center"/>
          </w:tcPr>
          <w:p w14:paraId="7B292DB0">
            <w:pPr>
              <w:jc w:val="center"/>
            </w:pPr>
            <w:r>
              <w:t>现有工程排放量（固体废物产生量）①</w:t>
            </w:r>
          </w:p>
        </w:tc>
        <w:tc>
          <w:tcPr>
            <w:tcW w:w="1213" w:type="dxa"/>
            <w:vAlign w:val="center"/>
          </w:tcPr>
          <w:p w14:paraId="12551978">
            <w:pPr>
              <w:jc w:val="center"/>
            </w:pPr>
            <w:r>
              <w:t>现有工程许可排放量②</w:t>
            </w:r>
          </w:p>
        </w:tc>
        <w:tc>
          <w:tcPr>
            <w:tcW w:w="1239" w:type="dxa"/>
            <w:vAlign w:val="center"/>
          </w:tcPr>
          <w:p w14:paraId="38F9F767">
            <w:pPr>
              <w:jc w:val="center"/>
            </w:pPr>
            <w:r>
              <w:t>在建工程排放量（固体废物产生量）③</w:t>
            </w:r>
          </w:p>
        </w:tc>
        <w:tc>
          <w:tcPr>
            <w:tcW w:w="1920" w:type="dxa"/>
            <w:vAlign w:val="center"/>
          </w:tcPr>
          <w:p w14:paraId="35105B5E">
            <w:pPr>
              <w:jc w:val="center"/>
            </w:pPr>
            <w:r>
              <w:t>本项目排放量（固体废物产生量）④</w:t>
            </w:r>
          </w:p>
        </w:tc>
        <w:tc>
          <w:tcPr>
            <w:tcW w:w="1543" w:type="dxa"/>
            <w:vAlign w:val="center"/>
          </w:tcPr>
          <w:p w14:paraId="5AD500A7">
            <w:pPr>
              <w:jc w:val="center"/>
            </w:pPr>
            <w:r>
              <w:t>以新带老削减量</w:t>
            </w:r>
          </w:p>
          <w:p w14:paraId="5C04F897">
            <w:pPr>
              <w:jc w:val="center"/>
            </w:pPr>
            <w:r>
              <w:t>（新建项目不填）⑤</w:t>
            </w:r>
          </w:p>
        </w:tc>
        <w:tc>
          <w:tcPr>
            <w:tcW w:w="1565" w:type="dxa"/>
            <w:vAlign w:val="center"/>
          </w:tcPr>
          <w:p w14:paraId="59A445E3">
            <w:pPr>
              <w:jc w:val="center"/>
            </w:pPr>
            <w:r>
              <w:t>本项目建成后全厂排放量（固体废物产生量）⑥</w:t>
            </w:r>
          </w:p>
        </w:tc>
        <w:tc>
          <w:tcPr>
            <w:tcW w:w="1158" w:type="dxa"/>
            <w:vAlign w:val="center"/>
          </w:tcPr>
          <w:p w14:paraId="1688BEAA">
            <w:pPr>
              <w:jc w:val="center"/>
            </w:pPr>
            <w:r>
              <w:t>变化量⑦</w:t>
            </w:r>
          </w:p>
        </w:tc>
      </w:tr>
      <w:tr w14:paraId="48E02AC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45" w:hRule="atLeast"/>
        </w:trPr>
        <w:tc>
          <w:tcPr>
            <w:tcW w:w="1381" w:type="dxa"/>
            <w:vMerge w:val="restart"/>
            <w:vAlign w:val="center"/>
          </w:tcPr>
          <w:p w14:paraId="204096EC">
            <w:pPr>
              <w:jc w:val="center"/>
            </w:pPr>
            <w:r>
              <w:rPr>
                <w:rFonts w:hint="eastAsia"/>
              </w:rPr>
              <w:t>废气</w:t>
            </w:r>
          </w:p>
        </w:tc>
        <w:tc>
          <w:tcPr>
            <w:tcW w:w="2210" w:type="dxa"/>
            <w:vAlign w:val="center"/>
          </w:tcPr>
          <w:p w14:paraId="269FDB3F">
            <w:pPr>
              <w:jc w:val="center"/>
              <w:rPr>
                <w:szCs w:val="21"/>
              </w:rPr>
            </w:pPr>
            <w:r>
              <w:rPr>
                <w:rFonts w:hint="eastAsia"/>
                <w:szCs w:val="21"/>
              </w:rPr>
              <w:t>SO</w:t>
            </w:r>
            <w:r>
              <w:rPr>
                <w:rFonts w:hint="eastAsia"/>
                <w:szCs w:val="21"/>
                <w:vertAlign w:val="subscript"/>
              </w:rPr>
              <w:t>2</w:t>
            </w:r>
          </w:p>
        </w:tc>
        <w:tc>
          <w:tcPr>
            <w:tcW w:w="1412" w:type="dxa"/>
            <w:vAlign w:val="center"/>
          </w:tcPr>
          <w:p w14:paraId="1E76AD10">
            <w:pPr>
              <w:pStyle w:val="198"/>
              <w:tabs>
                <w:tab w:val="left" w:pos="1021"/>
              </w:tabs>
            </w:pPr>
            <w:r>
              <w:rPr>
                <w:rFonts w:hint="eastAsia"/>
              </w:rPr>
              <w:t>0.0002t/a</w:t>
            </w:r>
          </w:p>
        </w:tc>
        <w:tc>
          <w:tcPr>
            <w:tcW w:w="1213" w:type="dxa"/>
            <w:vAlign w:val="center"/>
          </w:tcPr>
          <w:p w14:paraId="6D9A833E">
            <w:pPr>
              <w:jc w:val="center"/>
              <w:rPr>
                <w:szCs w:val="21"/>
              </w:rPr>
            </w:pPr>
            <w:r>
              <w:rPr>
                <w:rFonts w:hint="eastAsia"/>
                <w:szCs w:val="21"/>
              </w:rPr>
              <w:t>/</w:t>
            </w:r>
          </w:p>
        </w:tc>
        <w:tc>
          <w:tcPr>
            <w:tcW w:w="1239" w:type="dxa"/>
            <w:vAlign w:val="center"/>
          </w:tcPr>
          <w:p w14:paraId="667084F3">
            <w:pPr>
              <w:bidi w:val="0"/>
              <w:jc w:val="center"/>
              <w:rPr>
                <w:szCs w:val="21"/>
              </w:rPr>
            </w:pPr>
            <w:r>
              <w:rPr>
                <w:rFonts w:hint="eastAsia"/>
                <w:lang w:val="en-US" w:eastAsia="zh-CN"/>
              </w:rPr>
              <w:t>0.000016</w:t>
            </w:r>
          </w:p>
        </w:tc>
        <w:tc>
          <w:tcPr>
            <w:tcW w:w="1920" w:type="dxa"/>
            <w:vAlign w:val="center"/>
          </w:tcPr>
          <w:p w14:paraId="044CC095">
            <w:pPr>
              <w:pStyle w:val="198"/>
              <w:tabs>
                <w:tab w:val="left" w:pos="1021"/>
              </w:tabs>
              <w:rPr>
                <w:szCs w:val="21"/>
              </w:rPr>
            </w:pPr>
            <w:r>
              <w:rPr>
                <w:rFonts w:hint="eastAsia"/>
              </w:rPr>
              <w:t>0.0001</w:t>
            </w:r>
            <w:r>
              <w:rPr>
                <w:rFonts w:hint="eastAsia"/>
                <w:lang w:val="en-US" w:eastAsia="zh-CN"/>
              </w:rPr>
              <w:t>6</w:t>
            </w:r>
            <w:r>
              <w:t>t/a</w:t>
            </w:r>
          </w:p>
        </w:tc>
        <w:tc>
          <w:tcPr>
            <w:tcW w:w="1543" w:type="dxa"/>
            <w:vAlign w:val="center"/>
          </w:tcPr>
          <w:p w14:paraId="620E0789">
            <w:pPr>
              <w:jc w:val="center"/>
              <w:rPr>
                <w:szCs w:val="21"/>
              </w:rPr>
            </w:pPr>
            <w:r>
              <w:rPr>
                <w:rFonts w:hint="eastAsia"/>
                <w:szCs w:val="21"/>
              </w:rPr>
              <w:t>/</w:t>
            </w:r>
          </w:p>
        </w:tc>
        <w:tc>
          <w:tcPr>
            <w:tcW w:w="1565" w:type="dxa"/>
            <w:vAlign w:val="center"/>
          </w:tcPr>
          <w:p w14:paraId="35AD7F65">
            <w:pPr>
              <w:pStyle w:val="198"/>
              <w:tabs>
                <w:tab w:val="left" w:pos="1021"/>
              </w:tabs>
              <w:rPr>
                <w:szCs w:val="21"/>
              </w:rPr>
            </w:pPr>
            <w:r>
              <w:rPr>
                <w:rFonts w:hint="eastAsia"/>
              </w:rPr>
              <w:t>0.0001</w:t>
            </w:r>
            <w:r>
              <w:rPr>
                <w:rFonts w:hint="eastAsia"/>
                <w:lang w:val="en-US" w:eastAsia="zh-CN"/>
              </w:rPr>
              <w:t>6</w:t>
            </w:r>
            <w:r>
              <w:t>t/a</w:t>
            </w:r>
          </w:p>
        </w:tc>
        <w:tc>
          <w:tcPr>
            <w:tcW w:w="1158" w:type="dxa"/>
            <w:vAlign w:val="center"/>
          </w:tcPr>
          <w:p w14:paraId="2186941A">
            <w:pPr>
              <w:bidi w:val="0"/>
              <w:jc w:val="center"/>
              <w:rPr>
                <w:color w:val="auto"/>
                <w:szCs w:val="21"/>
              </w:rPr>
            </w:pPr>
            <w:r>
              <w:rPr>
                <w:rFonts w:hint="eastAsia"/>
                <w:color w:val="auto"/>
                <w:lang w:val="en-US" w:eastAsia="zh-CN"/>
              </w:rPr>
              <w:t>-0.00004</w:t>
            </w:r>
          </w:p>
        </w:tc>
      </w:tr>
      <w:tr w14:paraId="7C8CFBF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90" w:hRule="atLeast"/>
        </w:trPr>
        <w:tc>
          <w:tcPr>
            <w:tcW w:w="1381" w:type="dxa"/>
            <w:vMerge w:val="continue"/>
            <w:vAlign w:val="center"/>
          </w:tcPr>
          <w:p w14:paraId="512983AA">
            <w:pPr>
              <w:jc w:val="center"/>
            </w:pPr>
          </w:p>
        </w:tc>
        <w:tc>
          <w:tcPr>
            <w:tcW w:w="2210" w:type="dxa"/>
            <w:vAlign w:val="center"/>
          </w:tcPr>
          <w:p w14:paraId="1C5791DB">
            <w:pPr>
              <w:jc w:val="center"/>
              <w:rPr>
                <w:szCs w:val="21"/>
              </w:rPr>
            </w:pPr>
            <w:r>
              <w:rPr>
                <w:rFonts w:hint="eastAsia"/>
                <w:szCs w:val="21"/>
              </w:rPr>
              <w:t>NO</w:t>
            </w:r>
            <w:r>
              <w:rPr>
                <w:rFonts w:hint="eastAsia"/>
                <w:szCs w:val="21"/>
                <w:vertAlign w:val="subscript"/>
              </w:rPr>
              <w:t>X</w:t>
            </w:r>
            <w:r>
              <w:rPr>
                <w:rFonts w:hint="eastAsia"/>
                <w:szCs w:val="21"/>
              </w:rPr>
              <w:t xml:space="preserve"> </w:t>
            </w:r>
          </w:p>
        </w:tc>
        <w:tc>
          <w:tcPr>
            <w:tcW w:w="1412" w:type="dxa"/>
            <w:vAlign w:val="center"/>
          </w:tcPr>
          <w:p w14:paraId="67B131C4">
            <w:pPr>
              <w:pStyle w:val="198"/>
              <w:tabs>
                <w:tab w:val="left" w:pos="1021"/>
              </w:tabs>
            </w:pPr>
            <w:r>
              <w:rPr>
                <w:rFonts w:hint="eastAsia"/>
              </w:rPr>
              <w:t>0.08t/a</w:t>
            </w:r>
          </w:p>
        </w:tc>
        <w:tc>
          <w:tcPr>
            <w:tcW w:w="1213" w:type="dxa"/>
            <w:vAlign w:val="center"/>
          </w:tcPr>
          <w:p w14:paraId="0DA15E36">
            <w:pPr>
              <w:jc w:val="center"/>
              <w:rPr>
                <w:szCs w:val="21"/>
              </w:rPr>
            </w:pPr>
            <w:r>
              <w:rPr>
                <w:rFonts w:hint="eastAsia"/>
                <w:szCs w:val="21"/>
              </w:rPr>
              <w:t>/</w:t>
            </w:r>
          </w:p>
        </w:tc>
        <w:tc>
          <w:tcPr>
            <w:tcW w:w="1239" w:type="dxa"/>
            <w:vAlign w:val="center"/>
          </w:tcPr>
          <w:p w14:paraId="2360EDCE">
            <w:pPr>
              <w:bidi w:val="0"/>
              <w:jc w:val="center"/>
              <w:rPr>
                <w:szCs w:val="21"/>
              </w:rPr>
            </w:pPr>
            <w:r>
              <w:rPr>
                <w:rFonts w:hint="eastAsia"/>
                <w:lang w:val="en-US" w:eastAsia="zh-CN"/>
              </w:rPr>
              <w:t>0.065</w:t>
            </w:r>
          </w:p>
        </w:tc>
        <w:tc>
          <w:tcPr>
            <w:tcW w:w="1920" w:type="dxa"/>
            <w:vAlign w:val="center"/>
          </w:tcPr>
          <w:p w14:paraId="0E3E2AB8">
            <w:pPr>
              <w:pStyle w:val="198"/>
              <w:tabs>
                <w:tab w:val="left" w:pos="1021"/>
              </w:tabs>
              <w:rPr>
                <w:szCs w:val="21"/>
              </w:rPr>
            </w:pPr>
            <w:r>
              <w:rPr>
                <w:rFonts w:hint="eastAsia"/>
              </w:rPr>
              <w:t>0.0</w:t>
            </w:r>
            <w:r>
              <w:rPr>
                <w:rFonts w:hint="eastAsia"/>
                <w:lang w:val="en-US" w:eastAsia="zh-CN"/>
              </w:rPr>
              <w:t>65</w:t>
            </w:r>
            <w:r>
              <w:rPr>
                <w:rFonts w:hint="eastAsia"/>
              </w:rPr>
              <w:t>t</w:t>
            </w:r>
            <w:r>
              <w:t>/a</w:t>
            </w:r>
          </w:p>
        </w:tc>
        <w:tc>
          <w:tcPr>
            <w:tcW w:w="1543" w:type="dxa"/>
            <w:vAlign w:val="center"/>
          </w:tcPr>
          <w:p w14:paraId="1F1FE3B2">
            <w:pPr>
              <w:jc w:val="center"/>
              <w:rPr>
                <w:szCs w:val="21"/>
              </w:rPr>
            </w:pPr>
            <w:r>
              <w:rPr>
                <w:rFonts w:hint="eastAsia"/>
                <w:szCs w:val="21"/>
              </w:rPr>
              <w:t>/</w:t>
            </w:r>
          </w:p>
        </w:tc>
        <w:tc>
          <w:tcPr>
            <w:tcW w:w="1565" w:type="dxa"/>
            <w:vAlign w:val="center"/>
          </w:tcPr>
          <w:p w14:paraId="1002FF8C">
            <w:pPr>
              <w:pStyle w:val="198"/>
              <w:tabs>
                <w:tab w:val="left" w:pos="1021"/>
              </w:tabs>
              <w:rPr>
                <w:szCs w:val="21"/>
              </w:rPr>
            </w:pPr>
            <w:r>
              <w:rPr>
                <w:rFonts w:hint="eastAsia"/>
              </w:rPr>
              <w:t>0.0</w:t>
            </w:r>
            <w:r>
              <w:rPr>
                <w:rFonts w:hint="eastAsia"/>
                <w:lang w:val="en-US" w:eastAsia="zh-CN"/>
              </w:rPr>
              <w:t>65</w:t>
            </w:r>
            <w:r>
              <w:rPr>
                <w:rFonts w:hint="eastAsia"/>
              </w:rPr>
              <w:t>t</w:t>
            </w:r>
            <w:r>
              <w:t>/a</w:t>
            </w:r>
          </w:p>
        </w:tc>
        <w:tc>
          <w:tcPr>
            <w:tcW w:w="1158" w:type="dxa"/>
            <w:vAlign w:val="center"/>
          </w:tcPr>
          <w:p w14:paraId="29F87869">
            <w:pPr>
              <w:bidi w:val="0"/>
              <w:jc w:val="center"/>
              <w:rPr>
                <w:color w:val="auto"/>
                <w:szCs w:val="21"/>
              </w:rPr>
            </w:pPr>
            <w:r>
              <w:rPr>
                <w:rFonts w:hint="eastAsia"/>
                <w:color w:val="auto"/>
                <w:lang w:val="en-US" w:eastAsia="zh-CN"/>
              </w:rPr>
              <w:t>-0.15</w:t>
            </w:r>
          </w:p>
        </w:tc>
      </w:tr>
      <w:tr w14:paraId="27E2E8A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18" w:hRule="atLeast"/>
        </w:trPr>
        <w:tc>
          <w:tcPr>
            <w:tcW w:w="1381" w:type="dxa"/>
            <w:vMerge w:val="continue"/>
            <w:vAlign w:val="center"/>
          </w:tcPr>
          <w:p w14:paraId="448E873E">
            <w:pPr>
              <w:jc w:val="center"/>
            </w:pPr>
          </w:p>
        </w:tc>
        <w:tc>
          <w:tcPr>
            <w:tcW w:w="2210" w:type="dxa"/>
            <w:vAlign w:val="center"/>
          </w:tcPr>
          <w:p w14:paraId="6A2A8E3C">
            <w:pPr>
              <w:jc w:val="center"/>
              <w:rPr>
                <w:szCs w:val="21"/>
              </w:rPr>
            </w:pPr>
            <w:r>
              <w:rPr>
                <w:rFonts w:hint="eastAsia"/>
                <w:szCs w:val="21"/>
              </w:rPr>
              <w:t>颗粒物</w:t>
            </w:r>
          </w:p>
        </w:tc>
        <w:tc>
          <w:tcPr>
            <w:tcW w:w="1412" w:type="dxa"/>
            <w:vAlign w:val="center"/>
          </w:tcPr>
          <w:p w14:paraId="575D8863">
            <w:pPr>
              <w:pStyle w:val="198"/>
              <w:tabs>
                <w:tab w:val="left" w:pos="1021"/>
              </w:tabs>
            </w:pPr>
            <w:r>
              <w:rPr>
                <w:rFonts w:hint="eastAsia"/>
              </w:rPr>
              <w:t>0.5t/a</w:t>
            </w:r>
          </w:p>
        </w:tc>
        <w:tc>
          <w:tcPr>
            <w:tcW w:w="1213" w:type="dxa"/>
            <w:vAlign w:val="center"/>
          </w:tcPr>
          <w:p w14:paraId="33366D95">
            <w:pPr>
              <w:jc w:val="center"/>
              <w:rPr>
                <w:szCs w:val="21"/>
              </w:rPr>
            </w:pPr>
            <w:r>
              <w:rPr>
                <w:rFonts w:hint="eastAsia"/>
                <w:szCs w:val="21"/>
              </w:rPr>
              <w:t>/</w:t>
            </w:r>
          </w:p>
        </w:tc>
        <w:tc>
          <w:tcPr>
            <w:tcW w:w="1239" w:type="dxa"/>
            <w:vAlign w:val="center"/>
          </w:tcPr>
          <w:p w14:paraId="6C4ED840">
            <w:pPr>
              <w:bidi w:val="0"/>
              <w:jc w:val="center"/>
              <w:rPr>
                <w:szCs w:val="21"/>
              </w:rPr>
            </w:pPr>
            <w:r>
              <w:rPr>
                <w:rFonts w:hint="eastAsia"/>
                <w:lang w:val="en-US" w:eastAsia="zh-CN"/>
              </w:rPr>
              <w:t>3.491</w:t>
            </w:r>
          </w:p>
        </w:tc>
        <w:tc>
          <w:tcPr>
            <w:tcW w:w="1920" w:type="dxa"/>
            <w:vAlign w:val="center"/>
          </w:tcPr>
          <w:p w14:paraId="6BD43D96">
            <w:pPr>
              <w:jc w:val="center"/>
            </w:pPr>
            <w:r>
              <w:rPr>
                <w:rFonts w:hint="eastAsia"/>
                <w:szCs w:val="21"/>
              </w:rPr>
              <w:t>0.</w:t>
            </w:r>
            <w:r>
              <w:rPr>
                <w:rFonts w:hint="eastAsia"/>
                <w:szCs w:val="21"/>
                <w:lang w:val="en-US" w:eastAsia="zh-CN"/>
              </w:rPr>
              <w:t>212</w:t>
            </w:r>
            <w:r>
              <w:rPr>
                <w:szCs w:val="21"/>
              </w:rPr>
              <w:t>t/a</w:t>
            </w:r>
          </w:p>
        </w:tc>
        <w:tc>
          <w:tcPr>
            <w:tcW w:w="1543" w:type="dxa"/>
            <w:vAlign w:val="center"/>
          </w:tcPr>
          <w:p w14:paraId="2224FBBD">
            <w:pPr>
              <w:jc w:val="center"/>
              <w:rPr>
                <w:szCs w:val="21"/>
              </w:rPr>
            </w:pPr>
            <w:r>
              <w:rPr>
                <w:rFonts w:hint="eastAsia"/>
                <w:szCs w:val="21"/>
              </w:rPr>
              <w:t>/</w:t>
            </w:r>
          </w:p>
        </w:tc>
        <w:tc>
          <w:tcPr>
            <w:tcW w:w="1565" w:type="dxa"/>
            <w:vAlign w:val="center"/>
          </w:tcPr>
          <w:p w14:paraId="1CE7FE76">
            <w:pPr>
              <w:jc w:val="center"/>
            </w:pPr>
            <w:r>
              <w:rPr>
                <w:rFonts w:hint="eastAsia"/>
                <w:szCs w:val="21"/>
              </w:rPr>
              <w:t>0.</w:t>
            </w:r>
            <w:r>
              <w:rPr>
                <w:rFonts w:hint="eastAsia"/>
                <w:szCs w:val="21"/>
                <w:lang w:val="en-US" w:eastAsia="zh-CN"/>
              </w:rPr>
              <w:t>212</w:t>
            </w:r>
            <w:r>
              <w:rPr>
                <w:szCs w:val="21"/>
              </w:rPr>
              <w:t>t/a</w:t>
            </w:r>
          </w:p>
        </w:tc>
        <w:tc>
          <w:tcPr>
            <w:tcW w:w="1158" w:type="dxa"/>
            <w:vAlign w:val="center"/>
          </w:tcPr>
          <w:p w14:paraId="4F1D566E">
            <w:pPr>
              <w:bidi w:val="0"/>
              <w:jc w:val="center"/>
              <w:rPr>
                <w:color w:val="auto"/>
              </w:rPr>
            </w:pPr>
            <w:r>
              <w:rPr>
                <w:rFonts w:hint="eastAsia"/>
                <w:color w:val="auto"/>
                <w:lang w:val="en-US" w:eastAsia="zh-CN"/>
              </w:rPr>
              <w:t>-0.288</w:t>
            </w:r>
          </w:p>
        </w:tc>
      </w:tr>
      <w:tr w14:paraId="5FEB109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75" w:hRule="atLeast"/>
        </w:trPr>
        <w:tc>
          <w:tcPr>
            <w:tcW w:w="1381" w:type="dxa"/>
            <w:vMerge w:val="continue"/>
            <w:vAlign w:val="center"/>
          </w:tcPr>
          <w:p w14:paraId="182488B6">
            <w:pPr>
              <w:jc w:val="center"/>
            </w:pPr>
          </w:p>
        </w:tc>
        <w:tc>
          <w:tcPr>
            <w:tcW w:w="2210" w:type="dxa"/>
            <w:vAlign w:val="center"/>
          </w:tcPr>
          <w:p w14:paraId="2215F929">
            <w:pPr>
              <w:jc w:val="center"/>
              <w:rPr>
                <w:szCs w:val="21"/>
              </w:rPr>
            </w:pPr>
            <w:r>
              <w:rPr>
                <w:rFonts w:hint="eastAsia"/>
                <w:szCs w:val="21"/>
              </w:rPr>
              <w:t>非甲烷总烃</w:t>
            </w:r>
          </w:p>
        </w:tc>
        <w:tc>
          <w:tcPr>
            <w:tcW w:w="1412" w:type="dxa"/>
            <w:vAlign w:val="center"/>
          </w:tcPr>
          <w:p w14:paraId="1E14CF1F">
            <w:pPr>
              <w:pStyle w:val="198"/>
              <w:tabs>
                <w:tab w:val="left" w:pos="1021"/>
              </w:tabs>
            </w:pPr>
            <w:r>
              <w:rPr>
                <w:rFonts w:hint="eastAsia"/>
              </w:rPr>
              <w:t>2.322t/a</w:t>
            </w:r>
          </w:p>
        </w:tc>
        <w:tc>
          <w:tcPr>
            <w:tcW w:w="1213" w:type="dxa"/>
            <w:vAlign w:val="center"/>
          </w:tcPr>
          <w:p w14:paraId="2C4C7401">
            <w:pPr>
              <w:jc w:val="center"/>
              <w:rPr>
                <w:szCs w:val="21"/>
              </w:rPr>
            </w:pPr>
            <w:r>
              <w:rPr>
                <w:rFonts w:hint="eastAsia"/>
                <w:szCs w:val="21"/>
              </w:rPr>
              <w:t>/</w:t>
            </w:r>
          </w:p>
        </w:tc>
        <w:tc>
          <w:tcPr>
            <w:tcW w:w="1239" w:type="dxa"/>
            <w:vAlign w:val="center"/>
          </w:tcPr>
          <w:p w14:paraId="0BE7DCCA">
            <w:pPr>
              <w:bidi w:val="0"/>
              <w:jc w:val="center"/>
              <w:rPr>
                <w:szCs w:val="21"/>
              </w:rPr>
            </w:pPr>
            <w:r>
              <w:rPr>
                <w:rFonts w:hint="eastAsia"/>
                <w:lang w:val="en-US" w:eastAsia="zh-CN"/>
              </w:rPr>
              <w:t>2.592</w:t>
            </w:r>
          </w:p>
        </w:tc>
        <w:tc>
          <w:tcPr>
            <w:tcW w:w="1920" w:type="dxa"/>
            <w:vAlign w:val="center"/>
          </w:tcPr>
          <w:p w14:paraId="3FF62F84">
            <w:pPr>
              <w:jc w:val="center"/>
            </w:pPr>
            <w:r>
              <w:rPr>
                <w:rFonts w:hint="eastAsia"/>
              </w:rPr>
              <w:t>1.</w:t>
            </w:r>
            <w:r>
              <w:rPr>
                <w:rFonts w:hint="eastAsia"/>
                <w:lang w:val="en-US" w:eastAsia="zh-CN"/>
              </w:rPr>
              <w:t>686</w:t>
            </w:r>
            <w:r>
              <w:rPr>
                <w:szCs w:val="21"/>
              </w:rPr>
              <w:t>t/a</w:t>
            </w:r>
          </w:p>
        </w:tc>
        <w:tc>
          <w:tcPr>
            <w:tcW w:w="1543" w:type="dxa"/>
            <w:vAlign w:val="center"/>
          </w:tcPr>
          <w:p w14:paraId="1FA50E8C">
            <w:pPr>
              <w:jc w:val="center"/>
              <w:rPr>
                <w:szCs w:val="21"/>
              </w:rPr>
            </w:pPr>
            <w:r>
              <w:rPr>
                <w:rFonts w:hint="eastAsia"/>
                <w:szCs w:val="21"/>
              </w:rPr>
              <w:t>/</w:t>
            </w:r>
          </w:p>
        </w:tc>
        <w:tc>
          <w:tcPr>
            <w:tcW w:w="1565" w:type="dxa"/>
            <w:vAlign w:val="center"/>
          </w:tcPr>
          <w:p w14:paraId="344E87A0">
            <w:pPr>
              <w:jc w:val="center"/>
            </w:pPr>
            <w:r>
              <w:rPr>
                <w:rFonts w:hint="eastAsia"/>
              </w:rPr>
              <w:t>1.</w:t>
            </w:r>
            <w:r>
              <w:rPr>
                <w:rFonts w:hint="eastAsia"/>
                <w:lang w:val="en-US" w:eastAsia="zh-CN"/>
              </w:rPr>
              <w:t>686</w:t>
            </w:r>
            <w:r>
              <w:rPr>
                <w:szCs w:val="21"/>
              </w:rPr>
              <w:t>t/a</w:t>
            </w:r>
          </w:p>
        </w:tc>
        <w:tc>
          <w:tcPr>
            <w:tcW w:w="1158" w:type="dxa"/>
            <w:vAlign w:val="center"/>
          </w:tcPr>
          <w:p w14:paraId="1DF2C154">
            <w:pPr>
              <w:bidi w:val="0"/>
              <w:jc w:val="center"/>
              <w:rPr>
                <w:color w:val="auto"/>
              </w:rPr>
            </w:pPr>
            <w:r>
              <w:rPr>
                <w:rFonts w:hint="eastAsia"/>
                <w:color w:val="auto"/>
                <w:lang w:val="en-US" w:eastAsia="zh-CN"/>
              </w:rPr>
              <w:t>-0.636</w:t>
            </w:r>
          </w:p>
        </w:tc>
      </w:tr>
      <w:tr w14:paraId="780E7A6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97" w:hRule="atLeast"/>
        </w:trPr>
        <w:tc>
          <w:tcPr>
            <w:tcW w:w="1381" w:type="dxa"/>
            <w:vMerge w:val="restart"/>
            <w:vAlign w:val="center"/>
          </w:tcPr>
          <w:p w14:paraId="17E660C1">
            <w:pPr>
              <w:jc w:val="center"/>
            </w:pPr>
          </w:p>
          <w:p w14:paraId="507D665D">
            <w:pPr>
              <w:jc w:val="center"/>
            </w:pPr>
            <w:r>
              <w:t>废水</w:t>
            </w:r>
          </w:p>
        </w:tc>
        <w:tc>
          <w:tcPr>
            <w:tcW w:w="2210" w:type="dxa"/>
            <w:vAlign w:val="center"/>
          </w:tcPr>
          <w:p w14:paraId="6846FC0E">
            <w:pPr>
              <w:jc w:val="center"/>
              <w:rPr>
                <w:szCs w:val="21"/>
              </w:rPr>
            </w:pPr>
            <w:r>
              <w:rPr>
                <w:rFonts w:hint="eastAsia"/>
                <w:szCs w:val="21"/>
              </w:rPr>
              <w:t>废水量</w:t>
            </w:r>
          </w:p>
        </w:tc>
        <w:tc>
          <w:tcPr>
            <w:tcW w:w="1412" w:type="dxa"/>
            <w:vAlign w:val="center"/>
          </w:tcPr>
          <w:p w14:paraId="0FF29339">
            <w:pPr>
              <w:pStyle w:val="198"/>
              <w:tabs>
                <w:tab w:val="left" w:pos="1021"/>
              </w:tabs>
            </w:pPr>
            <w:r>
              <w:rPr>
                <w:rFonts w:hint="eastAsia"/>
                <w:lang w:val="en-US" w:eastAsia="zh-CN"/>
              </w:rPr>
              <w:t>432</w:t>
            </w:r>
            <w:r>
              <w:rPr>
                <w:rFonts w:hint="eastAsia"/>
              </w:rPr>
              <w:t>t/a</w:t>
            </w:r>
          </w:p>
        </w:tc>
        <w:tc>
          <w:tcPr>
            <w:tcW w:w="1213" w:type="dxa"/>
            <w:vAlign w:val="center"/>
          </w:tcPr>
          <w:p w14:paraId="2A82982F">
            <w:pPr>
              <w:jc w:val="center"/>
              <w:rPr>
                <w:szCs w:val="21"/>
              </w:rPr>
            </w:pPr>
            <w:r>
              <w:rPr>
                <w:rFonts w:hint="eastAsia"/>
                <w:szCs w:val="21"/>
              </w:rPr>
              <w:t>/</w:t>
            </w:r>
          </w:p>
        </w:tc>
        <w:tc>
          <w:tcPr>
            <w:tcW w:w="1239" w:type="dxa"/>
            <w:vAlign w:val="center"/>
          </w:tcPr>
          <w:p w14:paraId="2DB23933">
            <w:pPr>
              <w:pStyle w:val="198"/>
              <w:tabs>
                <w:tab w:val="left" w:pos="1021"/>
              </w:tabs>
              <w:rPr>
                <w:szCs w:val="21"/>
              </w:rPr>
            </w:pPr>
            <w:r>
              <w:rPr>
                <w:rFonts w:hint="eastAsia"/>
              </w:rPr>
              <w:t>324t/a</w:t>
            </w:r>
          </w:p>
        </w:tc>
        <w:tc>
          <w:tcPr>
            <w:tcW w:w="1920" w:type="dxa"/>
            <w:vAlign w:val="center"/>
          </w:tcPr>
          <w:p w14:paraId="21A444A6">
            <w:pPr>
              <w:pStyle w:val="198"/>
              <w:tabs>
                <w:tab w:val="left" w:pos="1021"/>
              </w:tabs>
            </w:pPr>
            <w:r>
              <w:rPr>
                <w:rFonts w:hint="eastAsia"/>
              </w:rPr>
              <w:t>324t/a</w:t>
            </w:r>
          </w:p>
        </w:tc>
        <w:tc>
          <w:tcPr>
            <w:tcW w:w="1543" w:type="dxa"/>
            <w:vAlign w:val="center"/>
          </w:tcPr>
          <w:p w14:paraId="73FEB657">
            <w:pPr>
              <w:jc w:val="center"/>
              <w:rPr>
                <w:szCs w:val="21"/>
              </w:rPr>
            </w:pPr>
            <w:r>
              <w:rPr>
                <w:rFonts w:hint="eastAsia"/>
                <w:szCs w:val="21"/>
              </w:rPr>
              <w:t>/</w:t>
            </w:r>
          </w:p>
        </w:tc>
        <w:tc>
          <w:tcPr>
            <w:tcW w:w="1565" w:type="dxa"/>
            <w:vAlign w:val="center"/>
          </w:tcPr>
          <w:p w14:paraId="4198AFC7">
            <w:pPr>
              <w:pStyle w:val="198"/>
              <w:tabs>
                <w:tab w:val="left" w:pos="1021"/>
              </w:tabs>
              <w:rPr>
                <w:color w:val="0000FF"/>
              </w:rPr>
            </w:pPr>
            <w:r>
              <w:rPr>
                <w:rFonts w:hint="eastAsia"/>
              </w:rPr>
              <w:t>324t/a</w:t>
            </w:r>
          </w:p>
        </w:tc>
        <w:tc>
          <w:tcPr>
            <w:tcW w:w="1158" w:type="dxa"/>
            <w:vAlign w:val="center"/>
          </w:tcPr>
          <w:p w14:paraId="64BEAAAF">
            <w:pPr>
              <w:bidi w:val="0"/>
              <w:jc w:val="center"/>
              <w:rPr>
                <w:color w:val="auto"/>
              </w:rPr>
            </w:pPr>
            <w:r>
              <w:rPr>
                <w:rFonts w:hint="eastAsia"/>
                <w:color w:val="auto"/>
                <w:lang w:val="en-US" w:eastAsia="zh-CN"/>
              </w:rPr>
              <w:t>-108</w:t>
            </w:r>
          </w:p>
        </w:tc>
      </w:tr>
      <w:tr w14:paraId="6F67E87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96" w:hRule="atLeast"/>
        </w:trPr>
        <w:tc>
          <w:tcPr>
            <w:tcW w:w="1381" w:type="dxa"/>
            <w:vMerge w:val="continue"/>
            <w:vAlign w:val="center"/>
          </w:tcPr>
          <w:p w14:paraId="192BD972">
            <w:pPr>
              <w:jc w:val="center"/>
            </w:pPr>
          </w:p>
        </w:tc>
        <w:tc>
          <w:tcPr>
            <w:tcW w:w="2210" w:type="dxa"/>
            <w:vAlign w:val="center"/>
          </w:tcPr>
          <w:p w14:paraId="405929C7">
            <w:pPr>
              <w:jc w:val="center"/>
              <w:rPr>
                <w:szCs w:val="21"/>
              </w:rPr>
            </w:pPr>
            <w:r>
              <w:rPr>
                <w:szCs w:val="21"/>
              </w:rPr>
              <w:t>COD</w:t>
            </w:r>
          </w:p>
        </w:tc>
        <w:tc>
          <w:tcPr>
            <w:tcW w:w="1412" w:type="dxa"/>
            <w:vAlign w:val="center"/>
          </w:tcPr>
          <w:p w14:paraId="75B2A2B0">
            <w:pPr>
              <w:pStyle w:val="198"/>
              <w:tabs>
                <w:tab w:val="left" w:pos="1021"/>
              </w:tabs>
            </w:pPr>
            <w:r>
              <w:rPr>
                <w:rFonts w:hint="eastAsia"/>
              </w:rPr>
              <w:t>0.</w:t>
            </w:r>
            <w:r>
              <w:rPr>
                <w:rFonts w:hint="eastAsia"/>
                <w:lang w:val="en-US" w:eastAsia="zh-CN"/>
              </w:rPr>
              <w:t>147</w:t>
            </w:r>
            <w:r>
              <w:rPr>
                <w:rFonts w:hint="eastAsia"/>
              </w:rPr>
              <w:t>t/a</w:t>
            </w:r>
          </w:p>
        </w:tc>
        <w:tc>
          <w:tcPr>
            <w:tcW w:w="1213" w:type="dxa"/>
            <w:vAlign w:val="center"/>
          </w:tcPr>
          <w:p w14:paraId="3173762F">
            <w:pPr>
              <w:jc w:val="center"/>
              <w:rPr>
                <w:szCs w:val="21"/>
              </w:rPr>
            </w:pPr>
            <w:r>
              <w:rPr>
                <w:rFonts w:hint="eastAsia"/>
                <w:szCs w:val="21"/>
              </w:rPr>
              <w:t>/</w:t>
            </w:r>
          </w:p>
        </w:tc>
        <w:tc>
          <w:tcPr>
            <w:tcW w:w="1239" w:type="dxa"/>
            <w:vAlign w:val="center"/>
          </w:tcPr>
          <w:p w14:paraId="474CF63F">
            <w:pPr>
              <w:pStyle w:val="198"/>
              <w:tabs>
                <w:tab w:val="left" w:pos="1021"/>
              </w:tabs>
              <w:rPr>
                <w:szCs w:val="21"/>
              </w:rPr>
            </w:pPr>
            <w:r>
              <w:rPr>
                <w:rFonts w:hint="eastAsia"/>
              </w:rPr>
              <w:t>0.11t/a</w:t>
            </w:r>
          </w:p>
        </w:tc>
        <w:tc>
          <w:tcPr>
            <w:tcW w:w="1920" w:type="dxa"/>
            <w:vAlign w:val="center"/>
          </w:tcPr>
          <w:p w14:paraId="3A06AF7E">
            <w:pPr>
              <w:pStyle w:val="198"/>
              <w:tabs>
                <w:tab w:val="left" w:pos="1021"/>
              </w:tabs>
            </w:pPr>
            <w:r>
              <w:rPr>
                <w:rFonts w:hint="eastAsia"/>
              </w:rPr>
              <w:t>0.11t/a</w:t>
            </w:r>
          </w:p>
        </w:tc>
        <w:tc>
          <w:tcPr>
            <w:tcW w:w="1543" w:type="dxa"/>
            <w:vAlign w:val="center"/>
          </w:tcPr>
          <w:p w14:paraId="161E75C8">
            <w:pPr>
              <w:jc w:val="center"/>
              <w:rPr>
                <w:szCs w:val="21"/>
              </w:rPr>
            </w:pPr>
            <w:r>
              <w:rPr>
                <w:rFonts w:hint="eastAsia"/>
                <w:szCs w:val="21"/>
              </w:rPr>
              <w:t>/</w:t>
            </w:r>
          </w:p>
        </w:tc>
        <w:tc>
          <w:tcPr>
            <w:tcW w:w="1565" w:type="dxa"/>
            <w:vAlign w:val="center"/>
          </w:tcPr>
          <w:p w14:paraId="1D6A9BFA">
            <w:pPr>
              <w:pStyle w:val="198"/>
              <w:tabs>
                <w:tab w:val="left" w:pos="1021"/>
              </w:tabs>
              <w:rPr>
                <w:color w:val="0000FF"/>
              </w:rPr>
            </w:pPr>
            <w:r>
              <w:rPr>
                <w:rFonts w:hint="eastAsia"/>
              </w:rPr>
              <w:t>0.11t/a</w:t>
            </w:r>
          </w:p>
        </w:tc>
        <w:tc>
          <w:tcPr>
            <w:tcW w:w="1158" w:type="dxa"/>
            <w:vAlign w:val="center"/>
          </w:tcPr>
          <w:p w14:paraId="13C251E0">
            <w:pPr>
              <w:pStyle w:val="198"/>
              <w:tabs>
                <w:tab w:val="left" w:pos="1021"/>
              </w:tabs>
              <w:rPr>
                <w:rFonts w:hint="default" w:eastAsia="宋体"/>
                <w:color w:val="auto"/>
                <w:lang w:val="en-US" w:eastAsia="zh-CN"/>
              </w:rPr>
            </w:pPr>
            <w:r>
              <w:rPr>
                <w:rFonts w:hint="eastAsia"/>
                <w:color w:val="auto"/>
                <w:lang w:val="en-US" w:eastAsia="zh-CN"/>
              </w:rPr>
              <w:t>-0.037</w:t>
            </w:r>
          </w:p>
        </w:tc>
      </w:tr>
      <w:tr w14:paraId="4052424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381" w:type="dxa"/>
            <w:vMerge w:val="continue"/>
            <w:vAlign w:val="center"/>
          </w:tcPr>
          <w:p w14:paraId="453687B6">
            <w:pPr>
              <w:jc w:val="center"/>
            </w:pPr>
          </w:p>
        </w:tc>
        <w:tc>
          <w:tcPr>
            <w:tcW w:w="2210" w:type="dxa"/>
            <w:vAlign w:val="center"/>
          </w:tcPr>
          <w:p w14:paraId="3942420E">
            <w:pPr>
              <w:jc w:val="center"/>
              <w:rPr>
                <w:szCs w:val="21"/>
              </w:rPr>
            </w:pPr>
            <w:r>
              <w:rPr>
                <w:szCs w:val="21"/>
              </w:rPr>
              <w:t>SS</w:t>
            </w:r>
          </w:p>
        </w:tc>
        <w:tc>
          <w:tcPr>
            <w:tcW w:w="1412" w:type="dxa"/>
            <w:vAlign w:val="center"/>
          </w:tcPr>
          <w:p w14:paraId="1F504A8F">
            <w:pPr>
              <w:pStyle w:val="198"/>
              <w:tabs>
                <w:tab w:val="left" w:pos="1021"/>
              </w:tabs>
            </w:pPr>
            <w:r>
              <w:rPr>
                <w:rFonts w:hint="eastAsia"/>
              </w:rPr>
              <w:t>0.0</w:t>
            </w:r>
            <w:r>
              <w:rPr>
                <w:rFonts w:hint="eastAsia"/>
                <w:lang w:val="en-US" w:eastAsia="zh-CN"/>
              </w:rPr>
              <w:t>61</w:t>
            </w:r>
            <w:r>
              <w:rPr>
                <w:rFonts w:hint="eastAsia"/>
              </w:rPr>
              <w:t>t/a</w:t>
            </w:r>
          </w:p>
        </w:tc>
        <w:tc>
          <w:tcPr>
            <w:tcW w:w="1213" w:type="dxa"/>
            <w:vAlign w:val="center"/>
          </w:tcPr>
          <w:p w14:paraId="56D5FECE">
            <w:pPr>
              <w:jc w:val="center"/>
              <w:rPr>
                <w:szCs w:val="21"/>
              </w:rPr>
            </w:pPr>
            <w:r>
              <w:rPr>
                <w:rFonts w:hint="eastAsia"/>
                <w:szCs w:val="21"/>
              </w:rPr>
              <w:t>/</w:t>
            </w:r>
          </w:p>
        </w:tc>
        <w:tc>
          <w:tcPr>
            <w:tcW w:w="1239" w:type="dxa"/>
            <w:vAlign w:val="center"/>
          </w:tcPr>
          <w:p w14:paraId="2180B9A8">
            <w:pPr>
              <w:pStyle w:val="198"/>
              <w:tabs>
                <w:tab w:val="left" w:pos="1021"/>
              </w:tabs>
              <w:rPr>
                <w:szCs w:val="21"/>
              </w:rPr>
            </w:pPr>
            <w:r>
              <w:rPr>
                <w:rFonts w:hint="eastAsia"/>
              </w:rPr>
              <w:t>0.045t/a</w:t>
            </w:r>
          </w:p>
        </w:tc>
        <w:tc>
          <w:tcPr>
            <w:tcW w:w="1920" w:type="dxa"/>
            <w:vAlign w:val="center"/>
          </w:tcPr>
          <w:p w14:paraId="4D6F9C88">
            <w:pPr>
              <w:pStyle w:val="198"/>
              <w:tabs>
                <w:tab w:val="left" w:pos="1021"/>
              </w:tabs>
            </w:pPr>
            <w:r>
              <w:rPr>
                <w:rFonts w:hint="eastAsia"/>
              </w:rPr>
              <w:t>0.045t/a</w:t>
            </w:r>
          </w:p>
        </w:tc>
        <w:tc>
          <w:tcPr>
            <w:tcW w:w="1543" w:type="dxa"/>
            <w:vAlign w:val="center"/>
          </w:tcPr>
          <w:p w14:paraId="4F41A2FE">
            <w:pPr>
              <w:jc w:val="center"/>
              <w:rPr>
                <w:szCs w:val="21"/>
              </w:rPr>
            </w:pPr>
            <w:r>
              <w:rPr>
                <w:rFonts w:hint="eastAsia"/>
                <w:szCs w:val="21"/>
              </w:rPr>
              <w:t>/</w:t>
            </w:r>
          </w:p>
        </w:tc>
        <w:tc>
          <w:tcPr>
            <w:tcW w:w="1565" w:type="dxa"/>
            <w:vAlign w:val="center"/>
          </w:tcPr>
          <w:p w14:paraId="76DE53DB">
            <w:pPr>
              <w:pStyle w:val="198"/>
              <w:tabs>
                <w:tab w:val="left" w:pos="1021"/>
              </w:tabs>
              <w:rPr>
                <w:color w:val="0000FF"/>
              </w:rPr>
            </w:pPr>
            <w:r>
              <w:rPr>
                <w:rFonts w:hint="eastAsia"/>
              </w:rPr>
              <w:t>0.045t/a</w:t>
            </w:r>
          </w:p>
        </w:tc>
        <w:tc>
          <w:tcPr>
            <w:tcW w:w="1158" w:type="dxa"/>
            <w:vAlign w:val="center"/>
          </w:tcPr>
          <w:p w14:paraId="6D7FEFEA">
            <w:pPr>
              <w:pStyle w:val="198"/>
              <w:tabs>
                <w:tab w:val="left" w:pos="1021"/>
              </w:tabs>
              <w:rPr>
                <w:rFonts w:hint="default" w:eastAsia="宋体"/>
                <w:color w:val="auto"/>
                <w:lang w:val="en-US" w:eastAsia="zh-CN"/>
              </w:rPr>
            </w:pPr>
            <w:r>
              <w:rPr>
                <w:rFonts w:hint="eastAsia"/>
                <w:color w:val="auto"/>
                <w:lang w:val="en-US" w:eastAsia="zh-CN"/>
              </w:rPr>
              <w:t>-0.016</w:t>
            </w:r>
          </w:p>
        </w:tc>
      </w:tr>
      <w:tr w14:paraId="475B8E9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95" w:hRule="atLeast"/>
        </w:trPr>
        <w:tc>
          <w:tcPr>
            <w:tcW w:w="1381" w:type="dxa"/>
            <w:vMerge w:val="continue"/>
            <w:vAlign w:val="center"/>
          </w:tcPr>
          <w:p w14:paraId="347EBC03">
            <w:pPr>
              <w:jc w:val="center"/>
            </w:pPr>
          </w:p>
        </w:tc>
        <w:tc>
          <w:tcPr>
            <w:tcW w:w="2210" w:type="dxa"/>
            <w:vAlign w:val="center"/>
          </w:tcPr>
          <w:p w14:paraId="2FDC282C">
            <w:pPr>
              <w:jc w:val="center"/>
              <w:rPr>
                <w:szCs w:val="21"/>
              </w:rPr>
            </w:pPr>
            <w:r>
              <w:rPr>
                <w:szCs w:val="21"/>
              </w:rPr>
              <w:t>氨氮</w:t>
            </w:r>
          </w:p>
        </w:tc>
        <w:tc>
          <w:tcPr>
            <w:tcW w:w="1412" w:type="dxa"/>
            <w:vAlign w:val="center"/>
          </w:tcPr>
          <w:p w14:paraId="3A6304BE">
            <w:pPr>
              <w:pStyle w:val="198"/>
              <w:tabs>
                <w:tab w:val="left" w:pos="1021"/>
              </w:tabs>
            </w:pPr>
            <w:r>
              <w:rPr>
                <w:rFonts w:hint="eastAsia"/>
              </w:rPr>
              <w:t>0.0</w:t>
            </w:r>
            <w:r>
              <w:rPr>
                <w:rFonts w:hint="eastAsia"/>
                <w:lang w:val="en-US" w:eastAsia="zh-CN"/>
              </w:rPr>
              <w:t>076</w:t>
            </w:r>
            <w:r>
              <w:rPr>
                <w:rFonts w:hint="eastAsia"/>
              </w:rPr>
              <w:t>t/a</w:t>
            </w:r>
          </w:p>
        </w:tc>
        <w:tc>
          <w:tcPr>
            <w:tcW w:w="1213" w:type="dxa"/>
            <w:vAlign w:val="center"/>
          </w:tcPr>
          <w:p w14:paraId="1C83E688">
            <w:pPr>
              <w:jc w:val="center"/>
              <w:rPr>
                <w:szCs w:val="21"/>
              </w:rPr>
            </w:pPr>
            <w:r>
              <w:rPr>
                <w:rFonts w:hint="eastAsia"/>
                <w:szCs w:val="21"/>
              </w:rPr>
              <w:t>/</w:t>
            </w:r>
          </w:p>
        </w:tc>
        <w:tc>
          <w:tcPr>
            <w:tcW w:w="1239" w:type="dxa"/>
            <w:vAlign w:val="center"/>
          </w:tcPr>
          <w:p w14:paraId="735C1139">
            <w:pPr>
              <w:pStyle w:val="198"/>
              <w:tabs>
                <w:tab w:val="left" w:pos="1021"/>
              </w:tabs>
              <w:rPr>
                <w:szCs w:val="21"/>
              </w:rPr>
            </w:pPr>
            <w:r>
              <w:rPr>
                <w:rFonts w:hint="eastAsia"/>
              </w:rPr>
              <w:t>0.0057t/a</w:t>
            </w:r>
          </w:p>
        </w:tc>
        <w:tc>
          <w:tcPr>
            <w:tcW w:w="1920" w:type="dxa"/>
            <w:vAlign w:val="center"/>
          </w:tcPr>
          <w:p w14:paraId="74471288">
            <w:pPr>
              <w:pStyle w:val="198"/>
              <w:tabs>
                <w:tab w:val="left" w:pos="1021"/>
              </w:tabs>
            </w:pPr>
            <w:r>
              <w:rPr>
                <w:rFonts w:hint="eastAsia"/>
              </w:rPr>
              <w:t>0.0057t/a</w:t>
            </w:r>
          </w:p>
        </w:tc>
        <w:tc>
          <w:tcPr>
            <w:tcW w:w="1543" w:type="dxa"/>
            <w:vAlign w:val="center"/>
          </w:tcPr>
          <w:p w14:paraId="18A4FC99">
            <w:pPr>
              <w:jc w:val="center"/>
              <w:rPr>
                <w:szCs w:val="21"/>
              </w:rPr>
            </w:pPr>
            <w:r>
              <w:rPr>
                <w:rFonts w:hint="eastAsia"/>
                <w:szCs w:val="21"/>
              </w:rPr>
              <w:t>/</w:t>
            </w:r>
          </w:p>
        </w:tc>
        <w:tc>
          <w:tcPr>
            <w:tcW w:w="1565" w:type="dxa"/>
            <w:vAlign w:val="center"/>
          </w:tcPr>
          <w:p w14:paraId="53D1E0D9">
            <w:pPr>
              <w:pStyle w:val="198"/>
              <w:tabs>
                <w:tab w:val="left" w:pos="1021"/>
              </w:tabs>
              <w:rPr>
                <w:color w:val="0000FF"/>
              </w:rPr>
            </w:pPr>
            <w:r>
              <w:rPr>
                <w:rFonts w:hint="eastAsia"/>
              </w:rPr>
              <w:t>0.0057t/a</w:t>
            </w:r>
          </w:p>
        </w:tc>
        <w:tc>
          <w:tcPr>
            <w:tcW w:w="1158" w:type="dxa"/>
            <w:vAlign w:val="center"/>
          </w:tcPr>
          <w:p w14:paraId="2A6A010F">
            <w:pPr>
              <w:pStyle w:val="198"/>
              <w:tabs>
                <w:tab w:val="left" w:pos="1021"/>
              </w:tabs>
              <w:rPr>
                <w:rFonts w:hint="default" w:eastAsia="宋体"/>
                <w:color w:val="auto"/>
                <w:lang w:val="en-US" w:eastAsia="zh-CN"/>
              </w:rPr>
            </w:pPr>
            <w:r>
              <w:rPr>
                <w:rFonts w:hint="eastAsia"/>
                <w:color w:val="auto"/>
                <w:lang w:val="en-US" w:eastAsia="zh-CN"/>
              </w:rPr>
              <w:t>-0.0019</w:t>
            </w:r>
          </w:p>
        </w:tc>
      </w:tr>
      <w:tr w14:paraId="7D07BB5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82" w:hRule="atLeast"/>
        </w:trPr>
        <w:tc>
          <w:tcPr>
            <w:tcW w:w="1381" w:type="dxa"/>
            <w:vMerge w:val="continue"/>
            <w:vAlign w:val="center"/>
          </w:tcPr>
          <w:p w14:paraId="7572A11F">
            <w:pPr>
              <w:jc w:val="center"/>
            </w:pPr>
          </w:p>
        </w:tc>
        <w:tc>
          <w:tcPr>
            <w:tcW w:w="2210" w:type="dxa"/>
            <w:vAlign w:val="center"/>
          </w:tcPr>
          <w:p w14:paraId="1676E40A">
            <w:pPr>
              <w:jc w:val="center"/>
              <w:rPr>
                <w:szCs w:val="21"/>
              </w:rPr>
            </w:pPr>
            <w:r>
              <w:rPr>
                <w:szCs w:val="21"/>
              </w:rPr>
              <w:t>BOD</w:t>
            </w:r>
            <w:r>
              <w:rPr>
                <w:szCs w:val="21"/>
                <w:vertAlign w:val="subscript"/>
              </w:rPr>
              <w:t>5</w:t>
            </w:r>
          </w:p>
        </w:tc>
        <w:tc>
          <w:tcPr>
            <w:tcW w:w="1412" w:type="dxa"/>
            <w:vAlign w:val="center"/>
          </w:tcPr>
          <w:p w14:paraId="099CB573">
            <w:pPr>
              <w:pStyle w:val="198"/>
              <w:tabs>
                <w:tab w:val="left" w:pos="1021"/>
              </w:tabs>
            </w:pPr>
            <w:r>
              <w:rPr>
                <w:rFonts w:hint="eastAsia"/>
              </w:rPr>
              <w:t>0.</w:t>
            </w:r>
            <w:r>
              <w:rPr>
                <w:rFonts w:hint="eastAsia"/>
                <w:lang w:val="en-US" w:eastAsia="zh-CN"/>
              </w:rPr>
              <w:t>095</w:t>
            </w:r>
            <w:r>
              <w:rPr>
                <w:rFonts w:hint="eastAsia"/>
              </w:rPr>
              <w:t>t/a</w:t>
            </w:r>
          </w:p>
        </w:tc>
        <w:tc>
          <w:tcPr>
            <w:tcW w:w="1213" w:type="dxa"/>
            <w:vAlign w:val="center"/>
          </w:tcPr>
          <w:p w14:paraId="39AAE5C3">
            <w:pPr>
              <w:jc w:val="center"/>
              <w:rPr>
                <w:szCs w:val="21"/>
              </w:rPr>
            </w:pPr>
            <w:r>
              <w:rPr>
                <w:rFonts w:hint="eastAsia"/>
                <w:szCs w:val="21"/>
              </w:rPr>
              <w:t>/</w:t>
            </w:r>
          </w:p>
        </w:tc>
        <w:tc>
          <w:tcPr>
            <w:tcW w:w="1239" w:type="dxa"/>
            <w:vAlign w:val="center"/>
          </w:tcPr>
          <w:p w14:paraId="57850CB5">
            <w:pPr>
              <w:pStyle w:val="198"/>
              <w:tabs>
                <w:tab w:val="left" w:pos="1021"/>
              </w:tabs>
              <w:rPr>
                <w:szCs w:val="21"/>
              </w:rPr>
            </w:pPr>
            <w:r>
              <w:rPr>
                <w:rFonts w:hint="eastAsia"/>
              </w:rPr>
              <w:t>0.065t/a</w:t>
            </w:r>
          </w:p>
        </w:tc>
        <w:tc>
          <w:tcPr>
            <w:tcW w:w="1920" w:type="dxa"/>
            <w:vAlign w:val="center"/>
          </w:tcPr>
          <w:p w14:paraId="4077F3C3">
            <w:pPr>
              <w:pStyle w:val="198"/>
              <w:tabs>
                <w:tab w:val="left" w:pos="1021"/>
              </w:tabs>
            </w:pPr>
            <w:r>
              <w:rPr>
                <w:rFonts w:hint="eastAsia"/>
              </w:rPr>
              <w:t>0.065t/a</w:t>
            </w:r>
          </w:p>
        </w:tc>
        <w:tc>
          <w:tcPr>
            <w:tcW w:w="1543" w:type="dxa"/>
            <w:vAlign w:val="center"/>
          </w:tcPr>
          <w:p w14:paraId="0530EF55">
            <w:pPr>
              <w:jc w:val="center"/>
              <w:rPr>
                <w:szCs w:val="21"/>
              </w:rPr>
            </w:pPr>
            <w:r>
              <w:rPr>
                <w:rFonts w:hint="eastAsia"/>
                <w:szCs w:val="21"/>
              </w:rPr>
              <w:t>/</w:t>
            </w:r>
          </w:p>
        </w:tc>
        <w:tc>
          <w:tcPr>
            <w:tcW w:w="1565" w:type="dxa"/>
            <w:vAlign w:val="center"/>
          </w:tcPr>
          <w:p w14:paraId="0770ACC7">
            <w:pPr>
              <w:pStyle w:val="198"/>
              <w:tabs>
                <w:tab w:val="left" w:pos="1021"/>
              </w:tabs>
              <w:rPr>
                <w:color w:val="0000FF"/>
              </w:rPr>
            </w:pPr>
            <w:r>
              <w:rPr>
                <w:rFonts w:hint="eastAsia"/>
              </w:rPr>
              <w:t>0.065t/a</w:t>
            </w:r>
          </w:p>
        </w:tc>
        <w:tc>
          <w:tcPr>
            <w:tcW w:w="1158" w:type="dxa"/>
            <w:vAlign w:val="center"/>
          </w:tcPr>
          <w:p w14:paraId="4D81C471">
            <w:pPr>
              <w:pStyle w:val="198"/>
              <w:tabs>
                <w:tab w:val="left" w:pos="1021"/>
              </w:tabs>
              <w:rPr>
                <w:rFonts w:hint="default" w:eastAsia="宋体"/>
                <w:color w:val="auto"/>
                <w:lang w:val="en-US" w:eastAsia="zh-CN"/>
              </w:rPr>
            </w:pPr>
            <w:r>
              <w:rPr>
                <w:rFonts w:hint="eastAsia"/>
                <w:color w:val="auto"/>
                <w:lang w:val="en-US" w:eastAsia="zh-CN"/>
              </w:rPr>
              <w:t>-0.003</w:t>
            </w:r>
          </w:p>
        </w:tc>
      </w:tr>
      <w:tr w14:paraId="0B92596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45" w:hRule="atLeast"/>
        </w:trPr>
        <w:tc>
          <w:tcPr>
            <w:tcW w:w="1381" w:type="dxa"/>
            <w:vMerge w:val="continue"/>
            <w:vAlign w:val="center"/>
          </w:tcPr>
          <w:p w14:paraId="7A8BAA77">
            <w:pPr>
              <w:jc w:val="center"/>
            </w:pPr>
          </w:p>
        </w:tc>
        <w:tc>
          <w:tcPr>
            <w:tcW w:w="2210" w:type="dxa"/>
            <w:vAlign w:val="center"/>
          </w:tcPr>
          <w:p w14:paraId="1A6D0A30">
            <w:pPr>
              <w:jc w:val="center"/>
              <w:rPr>
                <w:szCs w:val="21"/>
              </w:rPr>
            </w:pPr>
            <w:r>
              <w:rPr>
                <w:rFonts w:hint="eastAsia"/>
                <w:szCs w:val="21"/>
              </w:rPr>
              <w:t>动植物油</w:t>
            </w:r>
          </w:p>
        </w:tc>
        <w:tc>
          <w:tcPr>
            <w:tcW w:w="1412" w:type="dxa"/>
            <w:vAlign w:val="center"/>
          </w:tcPr>
          <w:p w14:paraId="3838253D">
            <w:pPr>
              <w:pStyle w:val="198"/>
              <w:tabs>
                <w:tab w:val="left" w:pos="1021"/>
              </w:tabs>
            </w:pPr>
            <w:r>
              <w:rPr>
                <w:rFonts w:hint="eastAsia"/>
              </w:rPr>
              <w:t>0.0</w:t>
            </w:r>
            <w:r>
              <w:rPr>
                <w:rFonts w:hint="eastAsia"/>
                <w:lang w:val="en-US" w:eastAsia="zh-CN"/>
              </w:rPr>
              <w:t>37</w:t>
            </w:r>
            <w:r>
              <w:rPr>
                <w:rFonts w:hint="eastAsia"/>
              </w:rPr>
              <w:t>t/a</w:t>
            </w:r>
          </w:p>
        </w:tc>
        <w:tc>
          <w:tcPr>
            <w:tcW w:w="1213" w:type="dxa"/>
            <w:vAlign w:val="center"/>
          </w:tcPr>
          <w:p w14:paraId="25EA1C00">
            <w:pPr>
              <w:jc w:val="center"/>
              <w:rPr>
                <w:szCs w:val="21"/>
              </w:rPr>
            </w:pPr>
            <w:r>
              <w:rPr>
                <w:rFonts w:hint="eastAsia"/>
                <w:szCs w:val="21"/>
              </w:rPr>
              <w:t>/</w:t>
            </w:r>
          </w:p>
        </w:tc>
        <w:tc>
          <w:tcPr>
            <w:tcW w:w="1239" w:type="dxa"/>
            <w:vAlign w:val="center"/>
          </w:tcPr>
          <w:p w14:paraId="3151788A">
            <w:pPr>
              <w:pStyle w:val="198"/>
              <w:tabs>
                <w:tab w:val="left" w:pos="1021"/>
              </w:tabs>
              <w:rPr>
                <w:szCs w:val="21"/>
              </w:rPr>
            </w:pPr>
            <w:r>
              <w:rPr>
                <w:rFonts w:hint="eastAsia"/>
              </w:rPr>
              <w:t>0.028t/a</w:t>
            </w:r>
          </w:p>
        </w:tc>
        <w:tc>
          <w:tcPr>
            <w:tcW w:w="1920" w:type="dxa"/>
            <w:vAlign w:val="center"/>
          </w:tcPr>
          <w:p w14:paraId="35F544EA">
            <w:pPr>
              <w:pStyle w:val="198"/>
              <w:tabs>
                <w:tab w:val="left" w:pos="1021"/>
              </w:tabs>
            </w:pPr>
            <w:r>
              <w:rPr>
                <w:rFonts w:hint="eastAsia"/>
              </w:rPr>
              <w:t>0.028t/a</w:t>
            </w:r>
          </w:p>
        </w:tc>
        <w:tc>
          <w:tcPr>
            <w:tcW w:w="1543" w:type="dxa"/>
            <w:vAlign w:val="center"/>
          </w:tcPr>
          <w:p w14:paraId="2578FFDD">
            <w:pPr>
              <w:jc w:val="center"/>
              <w:rPr>
                <w:szCs w:val="21"/>
              </w:rPr>
            </w:pPr>
            <w:r>
              <w:rPr>
                <w:rFonts w:hint="eastAsia"/>
                <w:szCs w:val="21"/>
              </w:rPr>
              <w:t>/</w:t>
            </w:r>
          </w:p>
        </w:tc>
        <w:tc>
          <w:tcPr>
            <w:tcW w:w="1565" w:type="dxa"/>
            <w:vAlign w:val="center"/>
          </w:tcPr>
          <w:p w14:paraId="36D79755">
            <w:pPr>
              <w:pStyle w:val="198"/>
              <w:tabs>
                <w:tab w:val="left" w:pos="1021"/>
              </w:tabs>
              <w:rPr>
                <w:color w:val="0000FF"/>
              </w:rPr>
            </w:pPr>
            <w:r>
              <w:rPr>
                <w:rFonts w:hint="eastAsia"/>
              </w:rPr>
              <w:t>0.028t/a</w:t>
            </w:r>
          </w:p>
        </w:tc>
        <w:tc>
          <w:tcPr>
            <w:tcW w:w="1158" w:type="dxa"/>
            <w:vAlign w:val="center"/>
          </w:tcPr>
          <w:p w14:paraId="6A3F7D52">
            <w:pPr>
              <w:pStyle w:val="198"/>
              <w:tabs>
                <w:tab w:val="left" w:pos="1021"/>
              </w:tabs>
              <w:rPr>
                <w:rFonts w:hint="default" w:eastAsia="宋体"/>
                <w:color w:val="auto"/>
                <w:lang w:val="en-US" w:eastAsia="zh-CN"/>
              </w:rPr>
            </w:pPr>
            <w:r>
              <w:rPr>
                <w:rFonts w:hint="eastAsia"/>
                <w:color w:val="auto"/>
                <w:lang w:val="en-US" w:eastAsia="zh-CN"/>
              </w:rPr>
              <w:t>-0.009</w:t>
            </w:r>
          </w:p>
        </w:tc>
      </w:tr>
      <w:tr w14:paraId="47199F5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85" w:hRule="atLeast"/>
        </w:trPr>
        <w:tc>
          <w:tcPr>
            <w:tcW w:w="1381" w:type="dxa"/>
            <w:vMerge w:val="restart"/>
            <w:vAlign w:val="center"/>
          </w:tcPr>
          <w:p w14:paraId="44FD60C2">
            <w:pPr>
              <w:jc w:val="center"/>
            </w:pPr>
            <w:r>
              <w:t>一般固体废物</w:t>
            </w:r>
          </w:p>
        </w:tc>
        <w:tc>
          <w:tcPr>
            <w:tcW w:w="2210" w:type="dxa"/>
            <w:vAlign w:val="center"/>
          </w:tcPr>
          <w:p w14:paraId="1078FB54">
            <w:pPr>
              <w:jc w:val="center"/>
              <w:rPr>
                <w:rFonts w:hint="default" w:eastAsia="宋体"/>
                <w:szCs w:val="21"/>
                <w:lang w:val="en-US" w:eastAsia="zh-CN"/>
              </w:rPr>
            </w:pPr>
            <w:r>
              <w:rPr>
                <w:rFonts w:hint="eastAsia"/>
                <w:szCs w:val="21"/>
                <w:lang w:val="en-US" w:eastAsia="zh-CN"/>
              </w:rPr>
              <w:t>废钢筋</w:t>
            </w:r>
          </w:p>
        </w:tc>
        <w:tc>
          <w:tcPr>
            <w:tcW w:w="1412" w:type="dxa"/>
            <w:vAlign w:val="center"/>
          </w:tcPr>
          <w:p w14:paraId="34336023">
            <w:pPr>
              <w:pStyle w:val="198"/>
              <w:tabs>
                <w:tab w:val="left" w:pos="1021"/>
              </w:tabs>
            </w:pPr>
            <w:r>
              <w:rPr>
                <w:rFonts w:hint="eastAsia"/>
              </w:rPr>
              <w:t>6t/a</w:t>
            </w:r>
          </w:p>
        </w:tc>
        <w:tc>
          <w:tcPr>
            <w:tcW w:w="1213" w:type="dxa"/>
            <w:vAlign w:val="center"/>
          </w:tcPr>
          <w:p w14:paraId="18065A3D">
            <w:pPr>
              <w:jc w:val="center"/>
              <w:rPr>
                <w:szCs w:val="21"/>
              </w:rPr>
            </w:pPr>
            <w:r>
              <w:rPr>
                <w:rFonts w:hint="eastAsia"/>
                <w:szCs w:val="21"/>
              </w:rPr>
              <w:t>/</w:t>
            </w:r>
          </w:p>
        </w:tc>
        <w:tc>
          <w:tcPr>
            <w:tcW w:w="1239" w:type="dxa"/>
            <w:vAlign w:val="center"/>
          </w:tcPr>
          <w:p w14:paraId="4A7478DC">
            <w:pPr>
              <w:pStyle w:val="86"/>
              <w:spacing w:line="240" w:lineRule="auto"/>
              <w:ind w:firstLine="0" w:firstLineChars="0"/>
              <w:jc w:val="center"/>
              <w:rPr>
                <w:szCs w:val="21"/>
              </w:rPr>
            </w:pPr>
            <w:r>
              <w:rPr>
                <w:rFonts w:hint="eastAsia"/>
                <w:color w:val="auto"/>
                <w:sz w:val="21"/>
                <w:szCs w:val="21"/>
                <w:lang w:val="en-US" w:eastAsia="zh-CN"/>
              </w:rPr>
              <w:t>4.8</w:t>
            </w:r>
            <w:r>
              <w:rPr>
                <w:color w:val="auto"/>
                <w:sz w:val="21"/>
                <w:szCs w:val="21"/>
              </w:rPr>
              <w:t>t/a</w:t>
            </w:r>
          </w:p>
        </w:tc>
        <w:tc>
          <w:tcPr>
            <w:tcW w:w="1920" w:type="dxa"/>
            <w:vAlign w:val="center"/>
          </w:tcPr>
          <w:p w14:paraId="1711869F">
            <w:pPr>
              <w:pStyle w:val="86"/>
              <w:spacing w:line="240" w:lineRule="auto"/>
              <w:ind w:firstLine="0"/>
              <w:jc w:val="center"/>
              <w:rPr>
                <w:color w:val="auto"/>
              </w:rPr>
            </w:pPr>
            <w:r>
              <w:rPr>
                <w:rFonts w:hint="eastAsia"/>
                <w:color w:val="auto"/>
                <w:sz w:val="21"/>
                <w:szCs w:val="21"/>
                <w:lang w:val="en-US" w:eastAsia="zh-CN"/>
              </w:rPr>
              <w:t>4.8</w:t>
            </w:r>
            <w:r>
              <w:rPr>
                <w:color w:val="auto"/>
                <w:sz w:val="21"/>
                <w:szCs w:val="21"/>
              </w:rPr>
              <w:t>t/a</w:t>
            </w:r>
          </w:p>
        </w:tc>
        <w:tc>
          <w:tcPr>
            <w:tcW w:w="1543" w:type="dxa"/>
            <w:vAlign w:val="center"/>
          </w:tcPr>
          <w:p w14:paraId="605C7E83">
            <w:pPr>
              <w:jc w:val="center"/>
              <w:rPr>
                <w:szCs w:val="21"/>
              </w:rPr>
            </w:pPr>
            <w:r>
              <w:rPr>
                <w:rFonts w:hint="eastAsia"/>
                <w:szCs w:val="21"/>
              </w:rPr>
              <w:t>/</w:t>
            </w:r>
          </w:p>
        </w:tc>
        <w:tc>
          <w:tcPr>
            <w:tcW w:w="1565" w:type="dxa"/>
            <w:vAlign w:val="center"/>
          </w:tcPr>
          <w:p w14:paraId="2784416B">
            <w:pPr>
              <w:pStyle w:val="86"/>
              <w:spacing w:line="240" w:lineRule="auto"/>
              <w:ind w:firstLine="0"/>
              <w:jc w:val="center"/>
              <w:rPr>
                <w:color w:val="0000FF"/>
                <w:szCs w:val="21"/>
              </w:rPr>
            </w:pPr>
            <w:r>
              <w:rPr>
                <w:rFonts w:hint="eastAsia"/>
                <w:color w:val="auto"/>
                <w:sz w:val="21"/>
                <w:szCs w:val="21"/>
              </w:rPr>
              <w:t>3</w:t>
            </w:r>
            <w:r>
              <w:rPr>
                <w:color w:val="auto"/>
                <w:sz w:val="21"/>
                <w:szCs w:val="21"/>
              </w:rPr>
              <w:t>t/a</w:t>
            </w:r>
          </w:p>
        </w:tc>
        <w:tc>
          <w:tcPr>
            <w:tcW w:w="1158" w:type="dxa"/>
            <w:vAlign w:val="center"/>
          </w:tcPr>
          <w:p w14:paraId="68C23F3D">
            <w:pPr>
              <w:bidi w:val="0"/>
              <w:jc w:val="center"/>
              <w:rPr>
                <w:color w:val="auto"/>
                <w:kern w:val="2"/>
                <w:sz w:val="21"/>
                <w:szCs w:val="21"/>
              </w:rPr>
            </w:pPr>
            <w:r>
              <w:rPr>
                <w:rFonts w:hint="eastAsia"/>
                <w:color w:val="auto"/>
                <w:lang w:val="en-US" w:eastAsia="zh-CN"/>
              </w:rPr>
              <w:t>-1.2</w:t>
            </w:r>
          </w:p>
        </w:tc>
      </w:tr>
      <w:tr w14:paraId="374E56A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1" w:hRule="atLeast"/>
        </w:trPr>
        <w:tc>
          <w:tcPr>
            <w:tcW w:w="1381" w:type="dxa"/>
            <w:vMerge w:val="continue"/>
            <w:vAlign w:val="center"/>
          </w:tcPr>
          <w:p w14:paraId="30B00529">
            <w:pPr>
              <w:jc w:val="center"/>
            </w:pPr>
          </w:p>
        </w:tc>
        <w:tc>
          <w:tcPr>
            <w:tcW w:w="2210" w:type="dxa"/>
            <w:vAlign w:val="center"/>
          </w:tcPr>
          <w:p w14:paraId="301013C1">
            <w:pPr>
              <w:jc w:val="center"/>
              <w:rPr>
                <w:rFonts w:hint="default" w:eastAsia="宋体"/>
                <w:szCs w:val="21"/>
                <w:lang w:val="en-US" w:eastAsia="zh-CN"/>
              </w:rPr>
            </w:pPr>
            <w:r>
              <w:rPr>
                <w:rFonts w:hint="eastAsia"/>
                <w:szCs w:val="21"/>
                <w:lang w:val="en-US" w:eastAsia="zh-CN"/>
              </w:rPr>
              <w:t>废边角料及不合格产品</w:t>
            </w:r>
          </w:p>
        </w:tc>
        <w:tc>
          <w:tcPr>
            <w:tcW w:w="1412" w:type="dxa"/>
            <w:vAlign w:val="center"/>
          </w:tcPr>
          <w:p w14:paraId="0B9AC774">
            <w:pPr>
              <w:jc w:val="center"/>
              <w:rPr>
                <w:szCs w:val="21"/>
              </w:rPr>
            </w:pPr>
            <w:r>
              <w:rPr>
                <w:rFonts w:hint="eastAsia"/>
                <w:szCs w:val="21"/>
                <w:lang w:val="en-US" w:eastAsia="zh-CN"/>
              </w:rPr>
              <w:t>13.20</w:t>
            </w:r>
            <w:r>
              <w:rPr>
                <w:rFonts w:hint="eastAsia"/>
              </w:rPr>
              <w:t>t/a</w:t>
            </w:r>
          </w:p>
        </w:tc>
        <w:tc>
          <w:tcPr>
            <w:tcW w:w="1213" w:type="dxa"/>
            <w:vAlign w:val="center"/>
          </w:tcPr>
          <w:p w14:paraId="68FA8A84">
            <w:pPr>
              <w:jc w:val="center"/>
              <w:rPr>
                <w:szCs w:val="21"/>
              </w:rPr>
            </w:pPr>
            <w:r>
              <w:rPr>
                <w:rFonts w:hint="eastAsia"/>
                <w:szCs w:val="21"/>
              </w:rPr>
              <w:t>/</w:t>
            </w:r>
          </w:p>
        </w:tc>
        <w:tc>
          <w:tcPr>
            <w:tcW w:w="1239" w:type="dxa"/>
            <w:vAlign w:val="center"/>
          </w:tcPr>
          <w:p w14:paraId="64BD29B2">
            <w:pPr>
              <w:pStyle w:val="86"/>
              <w:spacing w:line="240" w:lineRule="auto"/>
              <w:ind w:firstLine="0" w:firstLineChars="0"/>
              <w:jc w:val="center"/>
              <w:rPr>
                <w:szCs w:val="21"/>
              </w:rPr>
            </w:pPr>
            <w:r>
              <w:rPr>
                <w:rFonts w:hint="eastAsia"/>
                <w:color w:val="auto"/>
                <w:sz w:val="21"/>
                <w:szCs w:val="21"/>
                <w:lang w:val="en-US" w:eastAsia="zh-CN"/>
              </w:rPr>
              <w:t>10.56</w:t>
            </w:r>
            <w:r>
              <w:rPr>
                <w:rFonts w:hint="eastAsia"/>
                <w:color w:val="auto"/>
                <w:sz w:val="21"/>
                <w:szCs w:val="21"/>
              </w:rPr>
              <w:t>t/a</w:t>
            </w:r>
          </w:p>
        </w:tc>
        <w:tc>
          <w:tcPr>
            <w:tcW w:w="1920" w:type="dxa"/>
            <w:vAlign w:val="center"/>
          </w:tcPr>
          <w:p w14:paraId="6803202E">
            <w:pPr>
              <w:pStyle w:val="86"/>
              <w:spacing w:line="240" w:lineRule="auto"/>
              <w:ind w:firstLine="0"/>
              <w:jc w:val="center"/>
              <w:rPr>
                <w:color w:val="auto"/>
                <w:szCs w:val="21"/>
              </w:rPr>
            </w:pPr>
            <w:r>
              <w:rPr>
                <w:rFonts w:hint="eastAsia"/>
                <w:color w:val="auto"/>
                <w:sz w:val="21"/>
                <w:szCs w:val="21"/>
                <w:lang w:val="en-US" w:eastAsia="zh-CN"/>
              </w:rPr>
              <w:t>10.56</w:t>
            </w:r>
            <w:r>
              <w:rPr>
                <w:rFonts w:hint="eastAsia"/>
                <w:color w:val="auto"/>
                <w:sz w:val="21"/>
                <w:szCs w:val="21"/>
              </w:rPr>
              <w:t>t/a</w:t>
            </w:r>
          </w:p>
        </w:tc>
        <w:tc>
          <w:tcPr>
            <w:tcW w:w="1543" w:type="dxa"/>
            <w:vAlign w:val="center"/>
          </w:tcPr>
          <w:p w14:paraId="7A01D5E3">
            <w:pPr>
              <w:jc w:val="center"/>
              <w:rPr>
                <w:szCs w:val="21"/>
              </w:rPr>
            </w:pPr>
            <w:r>
              <w:rPr>
                <w:rFonts w:hint="eastAsia"/>
                <w:szCs w:val="21"/>
              </w:rPr>
              <w:t>/</w:t>
            </w:r>
          </w:p>
        </w:tc>
        <w:tc>
          <w:tcPr>
            <w:tcW w:w="1565" w:type="dxa"/>
            <w:vAlign w:val="center"/>
          </w:tcPr>
          <w:p w14:paraId="143CE1D9">
            <w:pPr>
              <w:pStyle w:val="86"/>
              <w:spacing w:line="240" w:lineRule="auto"/>
              <w:ind w:firstLine="0"/>
              <w:jc w:val="center"/>
              <w:rPr>
                <w:color w:val="auto"/>
                <w:szCs w:val="21"/>
              </w:rPr>
            </w:pPr>
            <w:r>
              <w:rPr>
                <w:rFonts w:hint="eastAsia"/>
                <w:color w:val="auto"/>
                <w:sz w:val="21"/>
                <w:szCs w:val="21"/>
              </w:rPr>
              <w:t>0.85t/a</w:t>
            </w:r>
          </w:p>
        </w:tc>
        <w:tc>
          <w:tcPr>
            <w:tcW w:w="1158" w:type="dxa"/>
            <w:vAlign w:val="center"/>
          </w:tcPr>
          <w:p w14:paraId="11557B30">
            <w:pPr>
              <w:bidi w:val="0"/>
              <w:jc w:val="center"/>
              <w:rPr>
                <w:color w:val="auto"/>
                <w:szCs w:val="21"/>
              </w:rPr>
            </w:pPr>
            <w:r>
              <w:rPr>
                <w:rFonts w:hint="eastAsia"/>
                <w:color w:val="auto"/>
                <w:lang w:val="en-US" w:eastAsia="zh-CN"/>
              </w:rPr>
              <w:t>-2.64</w:t>
            </w:r>
          </w:p>
        </w:tc>
      </w:tr>
      <w:tr w14:paraId="0BEC98A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46" w:hRule="atLeast"/>
        </w:trPr>
        <w:tc>
          <w:tcPr>
            <w:tcW w:w="1381" w:type="dxa"/>
            <w:vMerge w:val="continue"/>
            <w:vAlign w:val="center"/>
          </w:tcPr>
          <w:p w14:paraId="14DAB848">
            <w:pPr>
              <w:jc w:val="center"/>
            </w:pPr>
          </w:p>
        </w:tc>
        <w:tc>
          <w:tcPr>
            <w:tcW w:w="2210" w:type="dxa"/>
            <w:vAlign w:val="center"/>
          </w:tcPr>
          <w:p w14:paraId="0D1EE7C9">
            <w:pPr>
              <w:jc w:val="center"/>
              <w:rPr>
                <w:rFonts w:hint="default" w:eastAsia="宋体"/>
                <w:szCs w:val="21"/>
                <w:lang w:val="en-US" w:eastAsia="zh-CN"/>
              </w:rPr>
            </w:pPr>
            <w:r>
              <w:rPr>
                <w:rFonts w:hint="eastAsia"/>
                <w:szCs w:val="21"/>
                <w:lang w:val="en-US" w:eastAsia="zh-CN"/>
              </w:rPr>
              <w:t>废焊渣</w:t>
            </w:r>
          </w:p>
        </w:tc>
        <w:tc>
          <w:tcPr>
            <w:tcW w:w="1412" w:type="dxa"/>
            <w:vAlign w:val="center"/>
          </w:tcPr>
          <w:p w14:paraId="62EC9EBE">
            <w:pPr>
              <w:jc w:val="center"/>
              <w:rPr>
                <w:szCs w:val="21"/>
              </w:rPr>
            </w:pPr>
            <w:r>
              <w:rPr>
                <w:rFonts w:hint="eastAsia"/>
                <w:szCs w:val="21"/>
              </w:rPr>
              <w:t>1.92</w:t>
            </w:r>
            <w:r>
              <w:rPr>
                <w:rFonts w:hint="eastAsia"/>
              </w:rPr>
              <w:t>t/a</w:t>
            </w:r>
          </w:p>
        </w:tc>
        <w:tc>
          <w:tcPr>
            <w:tcW w:w="1213" w:type="dxa"/>
            <w:vAlign w:val="center"/>
          </w:tcPr>
          <w:p w14:paraId="53D9C128">
            <w:pPr>
              <w:jc w:val="center"/>
              <w:rPr>
                <w:szCs w:val="21"/>
              </w:rPr>
            </w:pPr>
            <w:r>
              <w:rPr>
                <w:rFonts w:hint="eastAsia"/>
                <w:szCs w:val="21"/>
              </w:rPr>
              <w:t>/</w:t>
            </w:r>
          </w:p>
        </w:tc>
        <w:tc>
          <w:tcPr>
            <w:tcW w:w="1239" w:type="dxa"/>
            <w:vAlign w:val="center"/>
          </w:tcPr>
          <w:p w14:paraId="3B368781">
            <w:pPr>
              <w:pStyle w:val="86"/>
              <w:spacing w:line="240" w:lineRule="auto"/>
              <w:ind w:firstLine="0" w:firstLineChars="0"/>
              <w:jc w:val="center"/>
              <w:rPr>
                <w:szCs w:val="21"/>
              </w:rPr>
            </w:pPr>
            <w:r>
              <w:rPr>
                <w:rFonts w:hint="eastAsia"/>
                <w:color w:val="auto"/>
                <w:sz w:val="21"/>
                <w:szCs w:val="21"/>
                <w:lang w:val="en-US" w:eastAsia="zh-CN"/>
              </w:rPr>
              <w:t>1.536</w:t>
            </w:r>
            <w:r>
              <w:rPr>
                <w:rFonts w:hint="eastAsia"/>
                <w:color w:val="auto"/>
                <w:sz w:val="21"/>
                <w:szCs w:val="21"/>
              </w:rPr>
              <w:t>t/a</w:t>
            </w:r>
          </w:p>
        </w:tc>
        <w:tc>
          <w:tcPr>
            <w:tcW w:w="1920" w:type="dxa"/>
            <w:vAlign w:val="center"/>
          </w:tcPr>
          <w:p w14:paraId="0F0044A2">
            <w:pPr>
              <w:pStyle w:val="86"/>
              <w:spacing w:line="240" w:lineRule="auto"/>
              <w:ind w:firstLine="0"/>
              <w:jc w:val="center"/>
              <w:rPr>
                <w:color w:val="auto"/>
                <w:szCs w:val="21"/>
              </w:rPr>
            </w:pPr>
            <w:r>
              <w:rPr>
                <w:rFonts w:hint="eastAsia"/>
                <w:color w:val="auto"/>
                <w:sz w:val="21"/>
                <w:szCs w:val="21"/>
                <w:lang w:val="en-US" w:eastAsia="zh-CN"/>
              </w:rPr>
              <w:t>1.536</w:t>
            </w:r>
            <w:r>
              <w:rPr>
                <w:rFonts w:hint="eastAsia"/>
                <w:color w:val="auto"/>
                <w:sz w:val="21"/>
                <w:szCs w:val="21"/>
              </w:rPr>
              <w:t>t/a</w:t>
            </w:r>
          </w:p>
        </w:tc>
        <w:tc>
          <w:tcPr>
            <w:tcW w:w="1543" w:type="dxa"/>
            <w:vAlign w:val="center"/>
          </w:tcPr>
          <w:p w14:paraId="6B2CC21E">
            <w:pPr>
              <w:jc w:val="center"/>
              <w:rPr>
                <w:szCs w:val="21"/>
              </w:rPr>
            </w:pPr>
            <w:r>
              <w:rPr>
                <w:rFonts w:hint="eastAsia"/>
                <w:szCs w:val="21"/>
              </w:rPr>
              <w:t>/</w:t>
            </w:r>
          </w:p>
        </w:tc>
        <w:tc>
          <w:tcPr>
            <w:tcW w:w="1565" w:type="dxa"/>
            <w:vAlign w:val="center"/>
          </w:tcPr>
          <w:p w14:paraId="7BB1FF56">
            <w:pPr>
              <w:pStyle w:val="86"/>
              <w:spacing w:line="240" w:lineRule="auto"/>
              <w:ind w:firstLine="0"/>
              <w:jc w:val="center"/>
              <w:rPr>
                <w:color w:val="auto"/>
                <w:szCs w:val="21"/>
              </w:rPr>
            </w:pPr>
            <w:r>
              <w:rPr>
                <w:rFonts w:hint="eastAsia"/>
                <w:color w:val="auto"/>
                <w:sz w:val="21"/>
                <w:szCs w:val="21"/>
              </w:rPr>
              <w:t>0.96t/a</w:t>
            </w:r>
          </w:p>
        </w:tc>
        <w:tc>
          <w:tcPr>
            <w:tcW w:w="1158" w:type="dxa"/>
            <w:vAlign w:val="center"/>
          </w:tcPr>
          <w:p w14:paraId="2EBAD44D">
            <w:pPr>
              <w:bidi w:val="0"/>
              <w:jc w:val="center"/>
              <w:rPr>
                <w:color w:val="auto"/>
                <w:szCs w:val="21"/>
              </w:rPr>
            </w:pPr>
            <w:r>
              <w:rPr>
                <w:rFonts w:hint="eastAsia"/>
                <w:color w:val="auto"/>
                <w:lang w:val="en-US" w:eastAsia="zh-CN"/>
              </w:rPr>
              <w:t>-0.384</w:t>
            </w:r>
          </w:p>
        </w:tc>
      </w:tr>
      <w:tr w14:paraId="52BBF33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63" w:hRule="atLeast"/>
        </w:trPr>
        <w:tc>
          <w:tcPr>
            <w:tcW w:w="1381" w:type="dxa"/>
            <w:vMerge w:val="continue"/>
            <w:vAlign w:val="center"/>
          </w:tcPr>
          <w:p w14:paraId="67A313D8">
            <w:pPr>
              <w:jc w:val="center"/>
            </w:pPr>
          </w:p>
        </w:tc>
        <w:tc>
          <w:tcPr>
            <w:tcW w:w="2210" w:type="dxa"/>
            <w:vAlign w:val="center"/>
          </w:tcPr>
          <w:p w14:paraId="586B0551">
            <w:pPr>
              <w:jc w:val="center"/>
              <w:rPr>
                <w:rFonts w:hint="default" w:eastAsia="宋体"/>
                <w:szCs w:val="21"/>
                <w:lang w:val="en-US" w:eastAsia="zh-CN"/>
              </w:rPr>
            </w:pPr>
            <w:r>
              <w:rPr>
                <w:rFonts w:hint="eastAsia"/>
                <w:szCs w:val="21"/>
                <w:lang w:val="en-US" w:eastAsia="zh-CN"/>
              </w:rPr>
              <w:t>收集的塑粉</w:t>
            </w:r>
          </w:p>
        </w:tc>
        <w:tc>
          <w:tcPr>
            <w:tcW w:w="1412" w:type="dxa"/>
            <w:vAlign w:val="center"/>
          </w:tcPr>
          <w:p w14:paraId="2F29BE97">
            <w:pPr>
              <w:jc w:val="center"/>
              <w:rPr>
                <w:rFonts w:hint="default" w:eastAsia="宋体"/>
                <w:szCs w:val="21"/>
                <w:lang w:val="en-US" w:eastAsia="zh-CN"/>
              </w:rPr>
            </w:pPr>
            <w:r>
              <w:rPr>
                <w:rFonts w:hint="eastAsia"/>
                <w:szCs w:val="21"/>
                <w:lang w:val="en-US" w:eastAsia="zh-CN"/>
              </w:rPr>
              <w:t>2.94t/a</w:t>
            </w:r>
          </w:p>
        </w:tc>
        <w:tc>
          <w:tcPr>
            <w:tcW w:w="1213" w:type="dxa"/>
            <w:vAlign w:val="center"/>
          </w:tcPr>
          <w:p w14:paraId="2413F936">
            <w:pPr>
              <w:jc w:val="center"/>
              <w:rPr>
                <w:rFonts w:hint="eastAsia" w:eastAsia="宋体"/>
                <w:szCs w:val="21"/>
                <w:lang w:val="en-US" w:eastAsia="zh-CN"/>
              </w:rPr>
            </w:pPr>
            <w:r>
              <w:rPr>
                <w:rFonts w:hint="eastAsia"/>
                <w:szCs w:val="21"/>
                <w:lang w:val="en-US" w:eastAsia="zh-CN"/>
              </w:rPr>
              <w:t>/</w:t>
            </w:r>
          </w:p>
        </w:tc>
        <w:tc>
          <w:tcPr>
            <w:tcW w:w="1239" w:type="dxa"/>
            <w:vAlign w:val="center"/>
          </w:tcPr>
          <w:p w14:paraId="0BE90D21">
            <w:pPr>
              <w:pStyle w:val="86"/>
              <w:spacing w:line="240" w:lineRule="auto"/>
              <w:ind w:firstLine="0" w:firstLineChars="0"/>
              <w:jc w:val="center"/>
              <w:rPr>
                <w:rFonts w:hint="eastAsia" w:eastAsia="宋体"/>
                <w:szCs w:val="21"/>
                <w:lang w:val="en-US" w:eastAsia="zh-CN"/>
              </w:rPr>
            </w:pPr>
            <w:r>
              <w:rPr>
                <w:rFonts w:hint="eastAsia"/>
                <w:color w:val="auto"/>
                <w:sz w:val="21"/>
                <w:szCs w:val="21"/>
                <w:lang w:val="en-US" w:eastAsia="zh-CN"/>
              </w:rPr>
              <w:t>2.35t/a</w:t>
            </w:r>
          </w:p>
        </w:tc>
        <w:tc>
          <w:tcPr>
            <w:tcW w:w="1920" w:type="dxa"/>
            <w:vAlign w:val="center"/>
          </w:tcPr>
          <w:p w14:paraId="522C0C37">
            <w:pPr>
              <w:pStyle w:val="86"/>
              <w:spacing w:line="240" w:lineRule="auto"/>
              <w:ind w:firstLine="0"/>
              <w:jc w:val="center"/>
              <w:rPr>
                <w:rFonts w:hint="default" w:eastAsia="宋体"/>
                <w:color w:val="auto"/>
                <w:sz w:val="21"/>
                <w:szCs w:val="21"/>
                <w:lang w:val="en-US" w:eastAsia="zh-CN"/>
              </w:rPr>
            </w:pPr>
            <w:r>
              <w:rPr>
                <w:rFonts w:hint="eastAsia"/>
                <w:color w:val="auto"/>
                <w:sz w:val="21"/>
                <w:szCs w:val="21"/>
                <w:lang w:val="en-US" w:eastAsia="zh-CN"/>
              </w:rPr>
              <w:t>2.35t/a</w:t>
            </w:r>
          </w:p>
        </w:tc>
        <w:tc>
          <w:tcPr>
            <w:tcW w:w="1543" w:type="dxa"/>
            <w:vAlign w:val="center"/>
          </w:tcPr>
          <w:p w14:paraId="3BACCB20">
            <w:pPr>
              <w:jc w:val="center"/>
              <w:rPr>
                <w:rFonts w:hint="eastAsia" w:eastAsia="宋体"/>
                <w:szCs w:val="21"/>
                <w:lang w:val="en-US" w:eastAsia="zh-CN"/>
              </w:rPr>
            </w:pPr>
            <w:r>
              <w:rPr>
                <w:rFonts w:hint="eastAsia"/>
                <w:szCs w:val="21"/>
                <w:lang w:val="en-US" w:eastAsia="zh-CN"/>
              </w:rPr>
              <w:t>/</w:t>
            </w:r>
          </w:p>
        </w:tc>
        <w:tc>
          <w:tcPr>
            <w:tcW w:w="1565" w:type="dxa"/>
            <w:vAlign w:val="center"/>
          </w:tcPr>
          <w:p w14:paraId="4AAFCDC2">
            <w:pPr>
              <w:pStyle w:val="86"/>
              <w:spacing w:line="240" w:lineRule="auto"/>
              <w:ind w:firstLine="0" w:firstLineChars="0"/>
              <w:jc w:val="center"/>
              <w:rPr>
                <w:rFonts w:hint="eastAsia"/>
                <w:color w:val="auto"/>
                <w:sz w:val="21"/>
                <w:szCs w:val="21"/>
              </w:rPr>
            </w:pPr>
            <w:r>
              <w:rPr>
                <w:rFonts w:hint="eastAsia"/>
                <w:color w:val="auto"/>
                <w:sz w:val="21"/>
                <w:szCs w:val="21"/>
                <w:lang w:val="en-US" w:eastAsia="zh-CN"/>
              </w:rPr>
              <w:t>2.35t/a</w:t>
            </w:r>
          </w:p>
        </w:tc>
        <w:tc>
          <w:tcPr>
            <w:tcW w:w="1158" w:type="dxa"/>
            <w:vAlign w:val="center"/>
          </w:tcPr>
          <w:p w14:paraId="6DF181E8">
            <w:pPr>
              <w:bidi w:val="0"/>
              <w:jc w:val="center"/>
              <w:rPr>
                <w:rFonts w:hint="eastAsia"/>
                <w:color w:val="auto"/>
                <w:sz w:val="21"/>
                <w:szCs w:val="21"/>
              </w:rPr>
            </w:pPr>
            <w:r>
              <w:rPr>
                <w:rFonts w:hint="eastAsia"/>
                <w:color w:val="auto"/>
                <w:lang w:val="en-US" w:eastAsia="zh-CN"/>
              </w:rPr>
              <w:t>-0.59</w:t>
            </w:r>
          </w:p>
        </w:tc>
      </w:tr>
      <w:tr w14:paraId="56C0BE1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88" w:hRule="atLeast"/>
        </w:trPr>
        <w:tc>
          <w:tcPr>
            <w:tcW w:w="1381" w:type="dxa"/>
            <w:vMerge w:val="continue"/>
            <w:vAlign w:val="center"/>
          </w:tcPr>
          <w:p w14:paraId="6D741C86">
            <w:pPr>
              <w:jc w:val="center"/>
            </w:pPr>
          </w:p>
        </w:tc>
        <w:tc>
          <w:tcPr>
            <w:tcW w:w="2210" w:type="dxa"/>
            <w:vAlign w:val="center"/>
          </w:tcPr>
          <w:p w14:paraId="4D66DF58">
            <w:pPr>
              <w:jc w:val="center"/>
              <w:rPr>
                <w:rFonts w:hint="default" w:eastAsia="宋体"/>
                <w:szCs w:val="21"/>
                <w:lang w:val="en-US" w:eastAsia="zh-CN"/>
              </w:rPr>
            </w:pPr>
            <w:r>
              <w:rPr>
                <w:rFonts w:hint="eastAsia"/>
                <w:szCs w:val="21"/>
                <w:lang w:val="en-US" w:eastAsia="zh-CN"/>
              </w:rPr>
              <w:t>废包装袋</w:t>
            </w:r>
          </w:p>
        </w:tc>
        <w:tc>
          <w:tcPr>
            <w:tcW w:w="1412" w:type="dxa"/>
            <w:vAlign w:val="center"/>
          </w:tcPr>
          <w:p w14:paraId="5764AE31">
            <w:pPr>
              <w:jc w:val="center"/>
              <w:rPr>
                <w:rFonts w:hint="default" w:eastAsia="宋体"/>
                <w:szCs w:val="21"/>
                <w:lang w:val="en-US" w:eastAsia="zh-CN"/>
              </w:rPr>
            </w:pPr>
            <w:r>
              <w:rPr>
                <w:rFonts w:hint="eastAsia"/>
                <w:szCs w:val="21"/>
                <w:lang w:val="en-US" w:eastAsia="zh-CN"/>
              </w:rPr>
              <w:t>0.32t/a</w:t>
            </w:r>
          </w:p>
        </w:tc>
        <w:tc>
          <w:tcPr>
            <w:tcW w:w="1213" w:type="dxa"/>
            <w:vAlign w:val="center"/>
          </w:tcPr>
          <w:p w14:paraId="02013B23">
            <w:pPr>
              <w:jc w:val="center"/>
              <w:rPr>
                <w:rFonts w:hint="eastAsia" w:eastAsia="宋体"/>
                <w:szCs w:val="21"/>
                <w:lang w:val="en-US" w:eastAsia="zh-CN"/>
              </w:rPr>
            </w:pPr>
            <w:r>
              <w:rPr>
                <w:rFonts w:hint="eastAsia"/>
                <w:szCs w:val="21"/>
                <w:lang w:val="en-US" w:eastAsia="zh-CN"/>
              </w:rPr>
              <w:t>/</w:t>
            </w:r>
          </w:p>
        </w:tc>
        <w:tc>
          <w:tcPr>
            <w:tcW w:w="1239" w:type="dxa"/>
            <w:vAlign w:val="center"/>
          </w:tcPr>
          <w:p w14:paraId="59AD3134">
            <w:pPr>
              <w:pStyle w:val="86"/>
              <w:spacing w:line="240" w:lineRule="auto"/>
              <w:ind w:firstLine="0" w:firstLineChars="0"/>
              <w:jc w:val="center"/>
              <w:rPr>
                <w:rFonts w:hint="eastAsia" w:eastAsia="宋体"/>
                <w:szCs w:val="21"/>
                <w:lang w:val="en-US" w:eastAsia="zh-CN"/>
              </w:rPr>
            </w:pPr>
            <w:r>
              <w:rPr>
                <w:rFonts w:hint="eastAsia"/>
                <w:color w:val="auto"/>
                <w:sz w:val="21"/>
                <w:szCs w:val="21"/>
                <w:lang w:val="en-US" w:eastAsia="zh-CN"/>
              </w:rPr>
              <w:t>0.3t/a</w:t>
            </w:r>
          </w:p>
        </w:tc>
        <w:tc>
          <w:tcPr>
            <w:tcW w:w="1920" w:type="dxa"/>
            <w:vAlign w:val="center"/>
          </w:tcPr>
          <w:p w14:paraId="0C144107">
            <w:pPr>
              <w:pStyle w:val="86"/>
              <w:spacing w:line="240" w:lineRule="auto"/>
              <w:ind w:firstLine="0"/>
              <w:jc w:val="center"/>
              <w:rPr>
                <w:rFonts w:hint="default" w:eastAsia="宋体"/>
                <w:color w:val="auto"/>
                <w:sz w:val="21"/>
                <w:szCs w:val="21"/>
                <w:lang w:val="en-US" w:eastAsia="zh-CN"/>
              </w:rPr>
            </w:pPr>
            <w:r>
              <w:rPr>
                <w:rFonts w:hint="eastAsia"/>
                <w:color w:val="auto"/>
                <w:sz w:val="21"/>
                <w:szCs w:val="21"/>
                <w:lang w:val="en-US" w:eastAsia="zh-CN"/>
              </w:rPr>
              <w:t>0.3t/a</w:t>
            </w:r>
          </w:p>
        </w:tc>
        <w:tc>
          <w:tcPr>
            <w:tcW w:w="1543" w:type="dxa"/>
            <w:vAlign w:val="center"/>
          </w:tcPr>
          <w:p w14:paraId="561E30DD">
            <w:pPr>
              <w:jc w:val="center"/>
              <w:rPr>
                <w:rFonts w:hint="eastAsia" w:eastAsia="宋体"/>
                <w:szCs w:val="21"/>
                <w:lang w:val="en-US" w:eastAsia="zh-CN"/>
              </w:rPr>
            </w:pPr>
            <w:r>
              <w:rPr>
                <w:rFonts w:hint="eastAsia"/>
                <w:szCs w:val="21"/>
                <w:lang w:val="en-US" w:eastAsia="zh-CN"/>
              </w:rPr>
              <w:t>/</w:t>
            </w:r>
          </w:p>
        </w:tc>
        <w:tc>
          <w:tcPr>
            <w:tcW w:w="1565" w:type="dxa"/>
            <w:vAlign w:val="center"/>
          </w:tcPr>
          <w:p w14:paraId="016BF091">
            <w:pPr>
              <w:pStyle w:val="86"/>
              <w:spacing w:line="240" w:lineRule="auto"/>
              <w:ind w:firstLine="0" w:firstLineChars="0"/>
              <w:jc w:val="center"/>
              <w:rPr>
                <w:rFonts w:hint="eastAsia"/>
                <w:color w:val="auto"/>
                <w:sz w:val="21"/>
                <w:szCs w:val="21"/>
              </w:rPr>
            </w:pPr>
            <w:r>
              <w:rPr>
                <w:rFonts w:hint="eastAsia"/>
                <w:color w:val="auto"/>
                <w:sz w:val="21"/>
                <w:szCs w:val="21"/>
                <w:lang w:val="en-US" w:eastAsia="zh-CN"/>
              </w:rPr>
              <w:t>0.3t/a</w:t>
            </w:r>
          </w:p>
        </w:tc>
        <w:tc>
          <w:tcPr>
            <w:tcW w:w="1158" w:type="dxa"/>
            <w:vAlign w:val="center"/>
          </w:tcPr>
          <w:p w14:paraId="5E91F9EC">
            <w:pPr>
              <w:bidi w:val="0"/>
              <w:jc w:val="center"/>
              <w:rPr>
                <w:rFonts w:hint="eastAsia"/>
                <w:color w:val="auto"/>
                <w:sz w:val="21"/>
                <w:szCs w:val="21"/>
              </w:rPr>
            </w:pPr>
            <w:r>
              <w:rPr>
                <w:rFonts w:hint="eastAsia"/>
                <w:color w:val="auto"/>
                <w:lang w:val="en-US" w:eastAsia="zh-CN"/>
              </w:rPr>
              <w:t>-0.02</w:t>
            </w:r>
          </w:p>
        </w:tc>
      </w:tr>
      <w:tr w14:paraId="7B1859B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85" w:hRule="atLeast"/>
        </w:trPr>
        <w:tc>
          <w:tcPr>
            <w:tcW w:w="1381" w:type="dxa"/>
            <w:vMerge w:val="restart"/>
            <w:vAlign w:val="center"/>
          </w:tcPr>
          <w:p w14:paraId="2696A43D">
            <w:pPr>
              <w:jc w:val="center"/>
            </w:pPr>
            <w:bookmarkStart w:id="26" w:name="_Toc19902"/>
            <w:r>
              <w:rPr>
                <w:rFonts w:hint="eastAsia"/>
              </w:rPr>
              <w:t>危险废物</w:t>
            </w:r>
          </w:p>
        </w:tc>
        <w:tc>
          <w:tcPr>
            <w:tcW w:w="2210" w:type="dxa"/>
            <w:vAlign w:val="center"/>
          </w:tcPr>
          <w:p w14:paraId="21D6CBCF">
            <w:pPr>
              <w:jc w:val="center"/>
              <w:rPr>
                <w:szCs w:val="21"/>
              </w:rPr>
            </w:pPr>
            <w:r>
              <w:rPr>
                <w:rFonts w:hint="eastAsia"/>
                <w:szCs w:val="21"/>
              </w:rPr>
              <w:t>废活性炭</w:t>
            </w:r>
          </w:p>
        </w:tc>
        <w:tc>
          <w:tcPr>
            <w:tcW w:w="1412" w:type="dxa"/>
            <w:vAlign w:val="center"/>
          </w:tcPr>
          <w:p w14:paraId="40B54CC5">
            <w:pPr>
              <w:jc w:val="center"/>
              <w:rPr>
                <w:szCs w:val="21"/>
              </w:rPr>
            </w:pPr>
            <w:r>
              <w:rPr>
                <w:rFonts w:hint="eastAsia"/>
                <w:szCs w:val="21"/>
              </w:rPr>
              <w:t>6.24t/a</w:t>
            </w:r>
          </w:p>
        </w:tc>
        <w:tc>
          <w:tcPr>
            <w:tcW w:w="1213" w:type="dxa"/>
            <w:vAlign w:val="center"/>
          </w:tcPr>
          <w:p w14:paraId="20F49AF7">
            <w:pPr>
              <w:jc w:val="center"/>
              <w:rPr>
                <w:szCs w:val="21"/>
              </w:rPr>
            </w:pPr>
            <w:r>
              <w:rPr>
                <w:rFonts w:hint="eastAsia"/>
                <w:szCs w:val="21"/>
              </w:rPr>
              <w:t>/</w:t>
            </w:r>
          </w:p>
        </w:tc>
        <w:tc>
          <w:tcPr>
            <w:tcW w:w="1239" w:type="dxa"/>
            <w:vAlign w:val="center"/>
          </w:tcPr>
          <w:p w14:paraId="00EF027D">
            <w:pPr>
              <w:jc w:val="center"/>
              <w:rPr>
                <w:szCs w:val="21"/>
              </w:rPr>
            </w:pPr>
            <w:r>
              <w:rPr>
                <w:rFonts w:hint="eastAsia"/>
                <w:szCs w:val="21"/>
                <w:lang w:val="en-US" w:eastAsia="zh-CN"/>
              </w:rPr>
              <w:t>4.53</w:t>
            </w:r>
            <w:r>
              <w:rPr>
                <w:rFonts w:hint="eastAsia"/>
                <w:szCs w:val="21"/>
              </w:rPr>
              <w:t>t/a</w:t>
            </w:r>
          </w:p>
        </w:tc>
        <w:tc>
          <w:tcPr>
            <w:tcW w:w="1920" w:type="dxa"/>
            <w:vAlign w:val="center"/>
          </w:tcPr>
          <w:p w14:paraId="393CD08B">
            <w:pPr>
              <w:jc w:val="center"/>
              <w:rPr>
                <w:szCs w:val="21"/>
              </w:rPr>
            </w:pPr>
            <w:r>
              <w:rPr>
                <w:rFonts w:hint="eastAsia"/>
                <w:szCs w:val="21"/>
                <w:lang w:val="en-US" w:eastAsia="zh-CN"/>
              </w:rPr>
              <w:t>4.53</w:t>
            </w:r>
            <w:r>
              <w:rPr>
                <w:rFonts w:hint="eastAsia"/>
                <w:szCs w:val="21"/>
              </w:rPr>
              <w:t>t/a</w:t>
            </w:r>
          </w:p>
        </w:tc>
        <w:tc>
          <w:tcPr>
            <w:tcW w:w="1543" w:type="dxa"/>
            <w:vAlign w:val="center"/>
          </w:tcPr>
          <w:p w14:paraId="70C62558">
            <w:pPr>
              <w:jc w:val="center"/>
              <w:rPr>
                <w:szCs w:val="21"/>
              </w:rPr>
            </w:pPr>
            <w:r>
              <w:rPr>
                <w:rFonts w:hint="eastAsia"/>
                <w:szCs w:val="21"/>
              </w:rPr>
              <w:t>/</w:t>
            </w:r>
          </w:p>
        </w:tc>
        <w:tc>
          <w:tcPr>
            <w:tcW w:w="1565" w:type="dxa"/>
            <w:vAlign w:val="center"/>
          </w:tcPr>
          <w:p w14:paraId="232712D6">
            <w:pPr>
              <w:jc w:val="center"/>
              <w:rPr>
                <w:szCs w:val="21"/>
              </w:rPr>
            </w:pPr>
            <w:r>
              <w:rPr>
                <w:rFonts w:hint="eastAsia"/>
                <w:szCs w:val="21"/>
                <w:lang w:val="en-US" w:eastAsia="zh-CN"/>
              </w:rPr>
              <w:t>4.53</w:t>
            </w:r>
            <w:r>
              <w:rPr>
                <w:rFonts w:hint="eastAsia"/>
                <w:szCs w:val="21"/>
              </w:rPr>
              <w:t>t/a</w:t>
            </w:r>
          </w:p>
        </w:tc>
        <w:tc>
          <w:tcPr>
            <w:tcW w:w="1158" w:type="dxa"/>
            <w:vAlign w:val="center"/>
          </w:tcPr>
          <w:p w14:paraId="45D73277">
            <w:pPr>
              <w:bidi w:val="0"/>
              <w:jc w:val="center"/>
              <w:rPr>
                <w:color w:val="auto"/>
                <w:szCs w:val="21"/>
              </w:rPr>
            </w:pPr>
            <w:r>
              <w:rPr>
                <w:rFonts w:hint="eastAsia"/>
                <w:color w:val="auto"/>
                <w:lang w:val="en-US" w:eastAsia="zh-CN"/>
              </w:rPr>
              <w:t>-1.71</w:t>
            </w:r>
          </w:p>
        </w:tc>
      </w:tr>
      <w:tr w14:paraId="1A685BB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23" w:hRule="atLeast"/>
        </w:trPr>
        <w:tc>
          <w:tcPr>
            <w:tcW w:w="1381" w:type="dxa"/>
            <w:vMerge w:val="continue"/>
            <w:vAlign w:val="center"/>
          </w:tcPr>
          <w:p w14:paraId="5E240FFE">
            <w:pPr>
              <w:jc w:val="center"/>
            </w:pPr>
          </w:p>
        </w:tc>
        <w:tc>
          <w:tcPr>
            <w:tcW w:w="2210" w:type="dxa"/>
            <w:vAlign w:val="center"/>
          </w:tcPr>
          <w:p w14:paraId="780E3D5F">
            <w:pPr>
              <w:jc w:val="center"/>
              <w:rPr>
                <w:rFonts w:hint="default" w:eastAsia="宋体"/>
                <w:lang w:val="en-US" w:eastAsia="zh-CN"/>
              </w:rPr>
            </w:pPr>
            <w:r>
              <w:rPr>
                <w:rFonts w:hint="eastAsia"/>
                <w:lang w:val="en-US" w:eastAsia="zh-CN"/>
              </w:rPr>
              <w:t>废矿物油</w:t>
            </w:r>
          </w:p>
        </w:tc>
        <w:tc>
          <w:tcPr>
            <w:tcW w:w="1412" w:type="dxa"/>
            <w:vAlign w:val="center"/>
          </w:tcPr>
          <w:p w14:paraId="33CD9B97">
            <w:pPr>
              <w:jc w:val="center"/>
              <w:rPr>
                <w:rFonts w:hint="eastAsia"/>
                <w:szCs w:val="21"/>
              </w:rPr>
            </w:pPr>
            <w:r>
              <w:rPr>
                <w:rFonts w:hint="eastAsia"/>
                <w:szCs w:val="21"/>
                <w:lang w:val="en-US" w:eastAsia="zh-CN"/>
              </w:rPr>
              <w:t>0.4t/a</w:t>
            </w:r>
          </w:p>
        </w:tc>
        <w:tc>
          <w:tcPr>
            <w:tcW w:w="1213" w:type="dxa"/>
            <w:vAlign w:val="center"/>
          </w:tcPr>
          <w:p w14:paraId="11800238">
            <w:pPr>
              <w:jc w:val="center"/>
              <w:rPr>
                <w:rFonts w:hint="eastAsia" w:eastAsia="宋体"/>
                <w:szCs w:val="21"/>
                <w:lang w:val="en-US" w:eastAsia="zh-CN"/>
              </w:rPr>
            </w:pPr>
            <w:r>
              <w:rPr>
                <w:rFonts w:hint="eastAsia"/>
                <w:szCs w:val="21"/>
                <w:lang w:val="en-US" w:eastAsia="zh-CN"/>
              </w:rPr>
              <w:t>/</w:t>
            </w:r>
          </w:p>
        </w:tc>
        <w:tc>
          <w:tcPr>
            <w:tcW w:w="1239" w:type="dxa"/>
            <w:vAlign w:val="center"/>
          </w:tcPr>
          <w:p w14:paraId="436E4310">
            <w:pPr>
              <w:jc w:val="center"/>
              <w:rPr>
                <w:rFonts w:hint="eastAsia" w:eastAsia="宋体"/>
                <w:szCs w:val="21"/>
                <w:lang w:val="en-US" w:eastAsia="zh-CN"/>
              </w:rPr>
            </w:pPr>
            <w:r>
              <w:rPr>
                <w:rFonts w:hint="eastAsia"/>
                <w:szCs w:val="21"/>
                <w:lang w:val="en-US" w:eastAsia="zh-CN"/>
              </w:rPr>
              <w:t>0.35t/a</w:t>
            </w:r>
          </w:p>
        </w:tc>
        <w:tc>
          <w:tcPr>
            <w:tcW w:w="1920" w:type="dxa"/>
            <w:vAlign w:val="center"/>
          </w:tcPr>
          <w:p w14:paraId="110120AF">
            <w:pPr>
              <w:jc w:val="center"/>
              <w:rPr>
                <w:rFonts w:hint="default" w:eastAsia="宋体"/>
                <w:szCs w:val="21"/>
                <w:lang w:val="en-US" w:eastAsia="zh-CN"/>
              </w:rPr>
            </w:pPr>
            <w:r>
              <w:rPr>
                <w:rFonts w:hint="eastAsia"/>
                <w:szCs w:val="21"/>
                <w:lang w:val="en-US" w:eastAsia="zh-CN"/>
              </w:rPr>
              <w:t>0.35t/a</w:t>
            </w:r>
          </w:p>
        </w:tc>
        <w:tc>
          <w:tcPr>
            <w:tcW w:w="1543" w:type="dxa"/>
            <w:vAlign w:val="center"/>
          </w:tcPr>
          <w:p w14:paraId="688E2556">
            <w:pPr>
              <w:jc w:val="center"/>
              <w:rPr>
                <w:rFonts w:hint="eastAsia" w:eastAsia="宋体"/>
                <w:szCs w:val="21"/>
                <w:lang w:val="en-US" w:eastAsia="zh-CN"/>
              </w:rPr>
            </w:pPr>
            <w:r>
              <w:rPr>
                <w:rFonts w:hint="eastAsia"/>
                <w:szCs w:val="21"/>
                <w:lang w:val="en-US" w:eastAsia="zh-CN"/>
              </w:rPr>
              <w:t>/</w:t>
            </w:r>
          </w:p>
        </w:tc>
        <w:tc>
          <w:tcPr>
            <w:tcW w:w="1565" w:type="dxa"/>
            <w:vAlign w:val="center"/>
          </w:tcPr>
          <w:p w14:paraId="6798DA11">
            <w:pPr>
              <w:jc w:val="center"/>
              <w:rPr>
                <w:rFonts w:hint="eastAsia" w:eastAsia="宋体"/>
                <w:szCs w:val="21"/>
                <w:lang w:val="en-US" w:eastAsia="zh-CN"/>
              </w:rPr>
            </w:pPr>
            <w:r>
              <w:rPr>
                <w:rFonts w:hint="eastAsia"/>
                <w:szCs w:val="21"/>
                <w:lang w:val="en-US" w:eastAsia="zh-CN"/>
              </w:rPr>
              <w:t>0.35t/a</w:t>
            </w:r>
          </w:p>
        </w:tc>
        <w:tc>
          <w:tcPr>
            <w:tcW w:w="1158" w:type="dxa"/>
            <w:vAlign w:val="center"/>
          </w:tcPr>
          <w:p w14:paraId="0CD0DADF">
            <w:pPr>
              <w:bidi w:val="0"/>
              <w:jc w:val="center"/>
              <w:rPr>
                <w:rFonts w:hint="eastAsia" w:eastAsia="宋体"/>
                <w:color w:val="auto"/>
                <w:szCs w:val="21"/>
                <w:lang w:val="en-US" w:eastAsia="zh-CN"/>
              </w:rPr>
            </w:pPr>
            <w:r>
              <w:rPr>
                <w:rFonts w:hint="eastAsia"/>
                <w:color w:val="auto"/>
                <w:lang w:val="en-US" w:eastAsia="zh-CN"/>
              </w:rPr>
              <w:t>-0.05</w:t>
            </w:r>
          </w:p>
        </w:tc>
      </w:tr>
      <w:tr w14:paraId="573C926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10" w:hRule="atLeast"/>
        </w:trPr>
        <w:tc>
          <w:tcPr>
            <w:tcW w:w="1381" w:type="dxa"/>
            <w:vMerge w:val="continue"/>
            <w:vAlign w:val="center"/>
          </w:tcPr>
          <w:p w14:paraId="050DDB66">
            <w:pPr>
              <w:jc w:val="center"/>
            </w:pPr>
          </w:p>
        </w:tc>
        <w:tc>
          <w:tcPr>
            <w:tcW w:w="2210" w:type="dxa"/>
            <w:vAlign w:val="center"/>
          </w:tcPr>
          <w:p w14:paraId="7889DDBF">
            <w:pPr>
              <w:jc w:val="center"/>
              <w:rPr>
                <w:rFonts w:hint="default" w:eastAsia="宋体"/>
                <w:lang w:val="en-US" w:eastAsia="zh-CN"/>
              </w:rPr>
            </w:pPr>
            <w:r>
              <w:rPr>
                <w:rFonts w:hint="eastAsia"/>
                <w:lang w:val="en-US" w:eastAsia="zh-CN"/>
              </w:rPr>
              <w:t>废油桶</w:t>
            </w:r>
          </w:p>
        </w:tc>
        <w:tc>
          <w:tcPr>
            <w:tcW w:w="1412" w:type="dxa"/>
            <w:vAlign w:val="center"/>
          </w:tcPr>
          <w:p w14:paraId="4D292D30">
            <w:pPr>
              <w:jc w:val="center"/>
              <w:rPr>
                <w:rFonts w:hint="eastAsia"/>
                <w:szCs w:val="21"/>
              </w:rPr>
            </w:pPr>
            <w:r>
              <w:rPr>
                <w:rFonts w:hint="eastAsia"/>
                <w:szCs w:val="21"/>
                <w:lang w:val="en-US" w:eastAsia="zh-CN"/>
              </w:rPr>
              <w:t>0.022t/a</w:t>
            </w:r>
          </w:p>
        </w:tc>
        <w:tc>
          <w:tcPr>
            <w:tcW w:w="1213" w:type="dxa"/>
            <w:vAlign w:val="center"/>
          </w:tcPr>
          <w:p w14:paraId="1D1AAB94">
            <w:pPr>
              <w:jc w:val="center"/>
              <w:rPr>
                <w:rFonts w:hint="default" w:eastAsia="宋体"/>
                <w:szCs w:val="21"/>
                <w:lang w:val="en-US" w:eastAsia="zh-CN"/>
              </w:rPr>
            </w:pPr>
            <w:r>
              <w:rPr>
                <w:rFonts w:hint="eastAsia"/>
                <w:szCs w:val="21"/>
                <w:lang w:val="en-US" w:eastAsia="zh-CN"/>
              </w:rPr>
              <w:t>/</w:t>
            </w:r>
          </w:p>
        </w:tc>
        <w:tc>
          <w:tcPr>
            <w:tcW w:w="1239" w:type="dxa"/>
            <w:vAlign w:val="center"/>
          </w:tcPr>
          <w:p w14:paraId="51915A1D">
            <w:pPr>
              <w:jc w:val="center"/>
              <w:rPr>
                <w:rFonts w:hint="eastAsia" w:eastAsia="宋体"/>
                <w:szCs w:val="21"/>
                <w:lang w:val="en-US" w:eastAsia="zh-CN"/>
              </w:rPr>
            </w:pPr>
            <w:r>
              <w:rPr>
                <w:rFonts w:hint="eastAsia"/>
                <w:szCs w:val="21"/>
                <w:lang w:val="en-US" w:eastAsia="zh-CN"/>
              </w:rPr>
              <w:t>0.02t/a</w:t>
            </w:r>
          </w:p>
        </w:tc>
        <w:tc>
          <w:tcPr>
            <w:tcW w:w="1920" w:type="dxa"/>
            <w:vAlign w:val="center"/>
          </w:tcPr>
          <w:p w14:paraId="352F48FF">
            <w:pPr>
              <w:jc w:val="center"/>
              <w:rPr>
                <w:rFonts w:hint="default" w:eastAsia="宋体"/>
                <w:szCs w:val="21"/>
                <w:lang w:val="en-US" w:eastAsia="zh-CN"/>
              </w:rPr>
            </w:pPr>
            <w:r>
              <w:rPr>
                <w:rFonts w:hint="eastAsia"/>
                <w:szCs w:val="21"/>
                <w:lang w:val="en-US" w:eastAsia="zh-CN"/>
              </w:rPr>
              <w:t>0.02t/a</w:t>
            </w:r>
          </w:p>
        </w:tc>
        <w:tc>
          <w:tcPr>
            <w:tcW w:w="1543" w:type="dxa"/>
            <w:vAlign w:val="center"/>
          </w:tcPr>
          <w:p w14:paraId="62E38451">
            <w:pPr>
              <w:jc w:val="center"/>
              <w:rPr>
                <w:rFonts w:hint="eastAsia" w:eastAsia="宋体"/>
                <w:szCs w:val="21"/>
                <w:lang w:val="en-US" w:eastAsia="zh-CN"/>
              </w:rPr>
            </w:pPr>
            <w:r>
              <w:rPr>
                <w:rFonts w:hint="eastAsia"/>
                <w:szCs w:val="21"/>
                <w:lang w:val="en-US" w:eastAsia="zh-CN"/>
              </w:rPr>
              <w:t>/</w:t>
            </w:r>
          </w:p>
        </w:tc>
        <w:tc>
          <w:tcPr>
            <w:tcW w:w="1565" w:type="dxa"/>
            <w:vAlign w:val="center"/>
          </w:tcPr>
          <w:p w14:paraId="5CF15FBB">
            <w:pPr>
              <w:jc w:val="center"/>
              <w:rPr>
                <w:rFonts w:hint="eastAsia" w:eastAsia="宋体"/>
                <w:szCs w:val="21"/>
                <w:lang w:val="en-US" w:eastAsia="zh-CN"/>
              </w:rPr>
            </w:pPr>
            <w:r>
              <w:rPr>
                <w:rFonts w:hint="eastAsia"/>
                <w:szCs w:val="21"/>
                <w:lang w:val="en-US" w:eastAsia="zh-CN"/>
              </w:rPr>
              <w:t>0.02t/a</w:t>
            </w:r>
          </w:p>
        </w:tc>
        <w:tc>
          <w:tcPr>
            <w:tcW w:w="1158" w:type="dxa"/>
            <w:vAlign w:val="center"/>
          </w:tcPr>
          <w:p w14:paraId="3CE8C31C">
            <w:pPr>
              <w:bidi w:val="0"/>
              <w:jc w:val="center"/>
              <w:rPr>
                <w:rFonts w:hint="eastAsia" w:eastAsia="宋体"/>
                <w:color w:val="auto"/>
                <w:szCs w:val="21"/>
                <w:lang w:val="en-US" w:eastAsia="zh-CN"/>
              </w:rPr>
            </w:pPr>
            <w:r>
              <w:rPr>
                <w:rFonts w:hint="eastAsia"/>
                <w:color w:val="auto"/>
                <w:lang w:val="en-US" w:eastAsia="zh-CN"/>
              </w:rPr>
              <w:t>-0.02</w:t>
            </w:r>
          </w:p>
        </w:tc>
      </w:tr>
      <w:tr w14:paraId="56E0883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84" w:hRule="atLeast"/>
        </w:trPr>
        <w:tc>
          <w:tcPr>
            <w:tcW w:w="1381" w:type="dxa"/>
            <w:vMerge w:val="continue"/>
            <w:vAlign w:val="center"/>
          </w:tcPr>
          <w:p w14:paraId="4931ACC6">
            <w:pPr>
              <w:jc w:val="center"/>
            </w:pPr>
          </w:p>
        </w:tc>
        <w:tc>
          <w:tcPr>
            <w:tcW w:w="2210" w:type="dxa"/>
            <w:vAlign w:val="center"/>
          </w:tcPr>
          <w:p w14:paraId="4FBE4157">
            <w:pPr>
              <w:jc w:val="center"/>
              <w:rPr>
                <w:rFonts w:hint="default" w:eastAsia="宋体"/>
                <w:lang w:val="en-US" w:eastAsia="zh-CN"/>
              </w:rPr>
            </w:pPr>
            <w:r>
              <w:rPr>
                <w:rFonts w:hint="eastAsia"/>
                <w:lang w:val="en-US" w:eastAsia="zh-CN"/>
              </w:rPr>
              <w:t>废含油抹布手套</w:t>
            </w:r>
          </w:p>
        </w:tc>
        <w:tc>
          <w:tcPr>
            <w:tcW w:w="1412" w:type="dxa"/>
            <w:vAlign w:val="center"/>
          </w:tcPr>
          <w:p w14:paraId="4596912B">
            <w:pPr>
              <w:jc w:val="center"/>
              <w:rPr>
                <w:rFonts w:hint="eastAsia"/>
                <w:szCs w:val="21"/>
              </w:rPr>
            </w:pPr>
            <w:r>
              <w:rPr>
                <w:rFonts w:hint="eastAsia"/>
                <w:szCs w:val="21"/>
                <w:lang w:val="en-US" w:eastAsia="zh-CN"/>
              </w:rPr>
              <w:t>0.07t/a</w:t>
            </w:r>
          </w:p>
        </w:tc>
        <w:tc>
          <w:tcPr>
            <w:tcW w:w="1213" w:type="dxa"/>
            <w:vAlign w:val="center"/>
          </w:tcPr>
          <w:p w14:paraId="69400B39">
            <w:pPr>
              <w:jc w:val="center"/>
              <w:rPr>
                <w:rFonts w:hint="eastAsia" w:eastAsia="宋体"/>
                <w:szCs w:val="21"/>
                <w:lang w:val="en-US" w:eastAsia="zh-CN"/>
              </w:rPr>
            </w:pPr>
            <w:r>
              <w:rPr>
                <w:rFonts w:hint="eastAsia"/>
                <w:szCs w:val="21"/>
                <w:lang w:val="en-US" w:eastAsia="zh-CN"/>
              </w:rPr>
              <w:t>/</w:t>
            </w:r>
          </w:p>
        </w:tc>
        <w:tc>
          <w:tcPr>
            <w:tcW w:w="1239" w:type="dxa"/>
            <w:vAlign w:val="center"/>
          </w:tcPr>
          <w:p w14:paraId="7AB7DD67">
            <w:pPr>
              <w:jc w:val="center"/>
              <w:rPr>
                <w:rFonts w:hint="eastAsia" w:eastAsia="宋体"/>
                <w:szCs w:val="21"/>
                <w:lang w:val="en-US" w:eastAsia="zh-CN"/>
              </w:rPr>
            </w:pPr>
            <w:r>
              <w:rPr>
                <w:rFonts w:hint="eastAsia"/>
                <w:szCs w:val="21"/>
                <w:lang w:val="en-US" w:eastAsia="zh-CN"/>
              </w:rPr>
              <w:t>0.05t/a</w:t>
            </w:r>
          </w:p>
        </w:tc>
        <w:tc>
          <w:tcPr>
            <w:tcW w:w="1920" w:type="dxa"/>
            <w:vAlign w:val="center"/>
          </w:tcPr>
          <w:p w14:paraId="6643FFA7">
            <w:pPr>
              <w:jc w:val="center"/>
              <w:rPr>
                <w:rFonts w:hint="default" w:eastAsia="宋体"/>
                <w:szCs w:val="21"/>
                <w:lang w:val="en-US" w:eastAsia="zh-CN"/>
              </w:rPr>
            </w:pPr>
            <w:r>
              <w:rPr>
                <w:rFonts w:hint="eastAsia"/>
                <w:szCs w:val="21"/>
                <w:lang w:val="en-US" w:eastAsia="zh-CN"/>
              </w:rPr>
              <w:t>0.05t/a</w:t>
            </w:r>
          </w:p>
        </w:tc>
        <w:tc>
          <w:tcPr>
            <w:tcW w:w="1543" w:type="dxa"/>
            <w:vAlign w:val="center"/>
          </w:tcPr>
          <w:p w14:paraId="559C0E3A">
            <w:pPr>
              <w:jc w:val="center"/>
              <w:rPr>
                <w:rFonts w:hint="eastAsia" w:eastAsia="宋体"/>
                <w:szCs w:val="21"/>
                <w:lang w:val="en-US" w:eastAsia="zh-CN"/>
              </w:rPr>
            </w:pPr>
            <w:r>
              <w:rPr>
                <w:rFonts w:hint="eastAsia"/>
                <w:szCs w:val="21"/>
                <w:lang w:val="en-US" w:eastAsia="zh-CN"/>
              </w:rPr>
              <w:t>/</w:t>
            </w:r>
          </w:p>
        </w:tc>
        <w:tc>
          <w:tcPr>
            <w:tcW w:w="1565" w:type="dxa"/>
            <w:vAlign w:val="center"/>
          </w:tcPr>
          <w:p w14:paraId="3698648C">
            <w:pPr>
              <w:jc w:val="center"/>
              <w:rPr>
                <w:rFonts w:hint="eastAsia" w:eastAsia="宋体"/>
                <w:szCs w:val="21"/>
                <w:lang w:val="en-US" w:eastAsia="zh-CN"/>
              </w:rPr>
            </w:pPr>
            <w:r>
              <w:rPr>
                <w:rFonts w:hint="eastAsia"/>
                <w:szCs w:val="21"/>
                <w:lang w:val="en-US" w:eastAsia="zh-CN"/>
              </w:rPr>
              <w:t>0.05t/a</w:t>
            </w:r>
          </w:p>
        </w:tc>
        <w:tc>
          <w:tcPr>
            <w:tcW w:w="1158" w:type="dxa"/>
            <w:vAlign w:val="center"/>
          </w:tcPr>
          <w:p w14:paraId="6E7F692B">
            <w:pPr>
              <w:bidi w:val="0"/>
              <w:jc w:val="center"/>
              <w:rPr>
                <w:rFonts w:hint="eastAsia" w:eastAsia="宋体"/>
                <w:color w:val="auto"/>
                <w:szCs w:val="21"/>
                <w:lang w:val="en-US" w:eastAsia="zh-CN"/>
              </w:rPr>
            </w:pPr>
            <w:r>
              <w:rPr>
                <w:rFonts w:hint="eastAsia"/>
                <w:color w:val="auto"/>
                <w:lang w:val="en-US" w:eastAsia="zh-CN"/>
              </w:rPr>
              <w:t>-0.002</w:t>
            </w:r>
          </w:p>
        </w:tc>
      </w:tr>
      <w:tr w14:paraId="76D1190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28" w:hRule="atLeast"/>
        </w:trPr>
        <w:tc>
          <w:tcPr>
            <w:tcW w:w="1381" w:type="dxa"/>
            <w:vMerge w:val="continue"/>
            <w:vAlign w:val="center"/>
          </w:tcPr>
          <w:p w14:paraId="1882EFD6">
            <w:pPr>
              <w:jc w:val="center"/>
            </w:pPr>
          </w:p>
        </w:tc>
        <w:tc>
          <w:tcPr>
            <w:tcW w:w="2210" w:type="dxa"/>
            <w:vAlign w:val="center"/>
          </w:tcPr>
          <w:p w14:paraId="57EF3428">
            <w:pPr>
              <w:jc w:val="center"/>
              <w:rPr>
                <w:rFonts w:hint="default"/>
                <w:lang w:val="en-US" w:eastAsia="zh-CN"/>
              </w:rPr>
            </w:pPr>
            <w:r>
              <w:rPr>
                <w:rFonts w:hint="eastAsia"/>
                <w:lang w:val="en-US" w:eastAsia="zh-CN"/>
              </w:rPr>
              <w:t>废滤网</w:t>
            </w:r>
          </w:p>
        </w:tc>
        <w:tc>
          <w:tcPr>
            <w:tcW w:w="1412" w:type="dxa"/>
            <w:vAlign w:val="center"/>
          </w:tcPr>
          <w:p w14:paraId="789BAC54">
            <w:pPr>
              <w:jc w:val="center"/>
              <w:rPr>
                <w:rFonts w:hint="eastAsia"/>
                <w:szCs w:val="21"/>
              </w:rPr>
            </w:pPr>
            <w:r>
              <w:rPr>
                <w:rFonts w:hint="eastAsia"/>
                <w:szCs w:val="21"/>
                <w:lang w:val="en-US" w:eastAsia="zh-CN"/>
              </w:rPr>
              <w:t>0.20t/a</w:t>
            </w:r>
          </w:p>
        </w:tc>
        <w:tc>
          <w:tcPr>
            <w:tcW w:w="1213" w:type="dxa"/>
            <w:vAlign w:val="center"/>
          </w:tcPr>
          <w:p w14:paraId="787AB0C3">
            <w:pPr>
              <w:jc w:val="center"/>
              <w:rPr>
                <w:rFonts w:hint="eastAsia" w:eastAsia="宋体"/>
                <w:szCs w:val="21"/>
                <w:lang w:val="en-US" w:eastAsia="zh-CN"/>
              </w:rPr>
            </w:pPr>
            <w:r>
              <w:rPr>
                <w:rFonts w:hint="eastAsia"/>
                <w:szCs w:val="21"/>
                <w:lang w:val="en-US" w:eastAsia="zh-CN"/>
              </w:rPr>
              <w:t>/</w:t>
            </w:r>
          </w:p>
        </w:tc>
        <w:tc>
          <w:tcPr>
            <w:tcW w:w="1239" w:type="dxa"/>
            <w:vAlign w:val="center"/>
          </w:tcPr>
          <w:p w14:paraId="50F1B5D6">
            <w:pPr>
              <w:jc w:val="center"/>
              <w:rPr>
                <w:rFonts w:hint="eastAsia" w:eastAsia="宋体"/>
                <w:szCs w:val="21"/>
                <w:lang w:val="en-US" w:eastAsia="zh-CN"/>
              </w:rPr>
            </w:pPr>
            <w:r>
              <w:rPr>
                <w:rFonts w:hint="eastAsia"/>
                <w:szCs w:val="21"/>
                <w:lang w:val="en-US" w:eastAsia="zh-CN"/>
              </w:rPr>
              <w:t>0.18t/a</w:t>
            </w:r>
          </w:p>
        </w:tc>
        <w:tc>
          <w:tcPr>
            <w:tcW w:w="1920" w:type="dxa"/>
            <w:vAlign w:val="center"/>
          </w:tcPr>
          <w:p w14:paraId="39869076">
            <w:pPr>
              <w:jc w:val="center"/>
              <w:rPr>
                <w:rFonts w:hint="default" w:eastAsia="宋体"/>
                <w:szCs w:val="21"/>
                <w:lang w:val="en-US" w:eastAsia="zh-CN"/>
              </w:rPr>
            </w:pPr>
            <w:r>
              <w:rPr>
                <w:rFonts w:hint="eastAsia"/>
                <w:szCs w:val="21"/>
                <w:lang w:val="en-US" w:eastAsia="zh-CN"/>
              </w:rPr>
              <w:t>0.18t/a</w:t>
            </w:r>
          </w:p>
        </w:tc>
        <w:tc>
          <w:tcPr>
            <w:tcW w:w="1543" w:type="dxa"/>
            <w:vAlign w:val="center"/>
          </w:tcPr>
          <w:p w14:paraId="1640347B">
            <w:pPr>
              <w:jc w:val="center"/>
              <w:rPr>
                <w:rFonts w:hint="eastAsia" w:eastAsia="宋体"/>
                <w:szCs w:val="21"/>
                <w:lang w:val="en-US" w:eastAsia="zh-CN"/>
              </w:rPr>
            </w:pPr>
            <w:r>
              <w:rPr>
                <w:rFonts w:hint="eastAsia"/>
                <w:szCs w:val="21"/>
                <w:lang w:val="en-US" w:eastAsia="zh-CN"/>
              </w:rPr>
              <w:t>/</w:t>
            </w:r>
          </w:p>
        </w:tc>
        <w:tc>
          <w:tcPr>
            <w:tcW w:w="1565" w:type="dxa"/>
            <w:vAlign w:val="center"/>
          </w:tcPr>
          <w:p w14:paraId="4CAD6AD9">
            <w:pPr>
              <w:jc w:val="center"/>
              <w:rPr>
                <w:rFonts w:hint="eastAsia" w:eastAsia="宋体"/>
                <w:szCs w:val="21"/>
                <w:lang w:val="en-US" w:eastAsia="zh-CN"/>
              </w:rPr>
            </w:pPr>
            <w:r>
              <w:rPr>
                <w:rFonts w:hint="eastAsia"/>
                <w:szCs w:val="21"/>
                <w:lang w:val="en-US" w:eastAsia="zh-CN"/>
              </w:rPr>
              <w:t>0.18t/a</w:t>
            </w:r>
          </w:p>
        </w:tc>
        <w:tc>
          <w:tcPr>
            <w:tcW w:w="1158" w:type="dxa"/>
            <w:vAlign w:val="top"/>
          </w:tcPr>
          <w:p w14:paraId="3BFA7342">
            <w:pPr>
              <w:bidi w:val="0"/>
              <w:jc w:val="center"/>
              <w:rPr>
                <w:rFonts w:hint="eastAsia" w:eastAsia="宋体"/>
                <w:color w:val="auto"/>
                <w:szCs w:val="21"/>
                <w:lang w:val="en-US" w:eastAsia="zh-CN"/>
              </w:rPr>
            </w:pPr>
            <w:r>
              <w:rPr>
                <w:rFonts w:hint="eastAsia"/>
                <w:color w:val="auto"/>
                <w:lang w:val="en-US" w:eastAsia="zh-CN"/>
              </w:rPr>
              <w:t>-0.02</w:t>
            </w:r>
          </w:p>
        </w:tc>
      </w:tr>
    </w:tbl>
    <w:p w14:paraId="0E7C44DD">
      <w:pPr>
        <w:spacing w:line="360" w:lineRule="auto"/>
        <w:ind w:firstLine="420" w:firstLineChars="200"/>
        <w:sectPr>
          <w:pgSz w:w="16838" w:h="11906" w:orient="landscape"/>
          <w:pgMar w:top="1531" w:right="1701" w:bottom="1531" w:left="1701" w:header="851" w:footer="851" w:gutter="0"/>
          <w:cols w:space="720" w:num="1"/>
          <w:docGrid w:linePitch="312" w:charSpace="0"/>
        </w:sectPr>
      </w:pPr>
      <w:r>
        <w:rPr>
          <w:szCs w:val="21"/>
        </w:rPr>
        <w:t>注：</w:t>
      </w:r>
      <w:r>
        <w:rPr>
          <w:szCs w:val="21"/>
        </w:rPr>
        <w:fldChar w:fldCharType="begin"/>
      </w:r>
      <w:r>
        <w:rPr>
          <w:szCs w:val="21"/>
        </w:rPr>
        <w:instrText xml:space="preserve"> = 6 \* GB3 \* MERGEFORMAT </w:instrText>
      </w:r>
      <w:r>
        <w:rPr>
          <w:szCs w:val="21"/>
        </w:rPr>
        <w:fldChar w:fldCharType="separate"/>
      </w:r>
      <w:r>
        <w:rPr>
          <w:rFonts w:hint="eastAsia"/>
          <w:szCs w:val="21"/>
        </w:rPr>
        <w:t>⑥</w:t>
      </w:r>
      <w:r>
        <w:rPr>
          <w:szCs w:val="21"/>
        </w:rPr>
        <w:fldChar w:fldCharType="end"/>
      </w:r>
      <w:r>
        <w:rPr>
          <w:szCs w:val="21"/>
        </w:rPr>
        <w:t>=</w:t>
      </w:r>
      <w:r>
        <w:rPr>
          <w:szCs w:val="21"/>
        </w:rPr>
        <w:fldChar w:fldCharType="begin"/>
      </w:r>
      <w:r>
        <w:rPr>
          <w:szCs w:val="21"/>
        </w:rPr>
        <w:instrText xml:space="preserve"> = 1 \* GB3 \* MERGEFORMAT </w:instrText>
      </w:r>
      <w:r>
        <w:rPr>
          <w:szCs w:val="21"/>
        </w:rPr>
        <w:fldChar w:fldCharType="separate"/>
      </w:r>
      <w:r>
        <w:rPr>
          <w:rFonts w:hint="eastAsia"/>
          <w:szCs w:val="21"/>
        </w:rPr>
        <w:t>①</w:t>
      </w:r>
      <w:r>
        <w:rPr>
          <w:szCs w:val="21"/>
        </w:rPr>
        <w:fldChar w:fldCharType="end"/>
      </w:r>
      <w:r>
        <w:rPr>
          <w:szCs w:val="21"/>
        </w:rPr>
        <w:t>+</w:t>
      </w:r>
      <w:r>
        <w:rPr>
          <w:szCs w:val="21"/>
        </w:rPr>
        <w:fldChar w:fldCharType="begin"/>
      </w:r>
      <w:r>
        <w:rPr>
          <w:szCs w:val="21"/>
        </w:rPr>
        <w:instrText xml:space="preserve"> = 3 \* GB3 \* MERGEFORMAT </w:instrText>
      </w:r>
      <w:r>
        <w:rPr>
          <w:szCs w:val="21"/>
        </w:rPr>
        <w:fldChar w:fldCharType="separate"/>
      </w:r>
      <w:r>
        <w:rPr>
          <w:rFonts w:hint="eastAsia"/>
          <w:szCs w:val="21"/>
        </w:rPr>
        <w:t>③</w:t>
      </w:r>
      <w:r>
        <w:rPr>
          <w:szCs w:val="21"/>
        </w:rPr>
        <w:fldChar w:fldCharType="end"/>
      </w:r>
      <w:r>
        <w:rPr>
          <w:szCs w:val="21"/>
        </w:rPr>
        <w:t>+</w:t>
      </w:r>
      <w:r>
        <w:rPr>
          <w:szCs w:val="21"/>
        </w:rPr>
        <w:fldChar w:fldCharType="begin"/>
      </w:r>
      <w:r>
        <w:rPr>
          <w:szCs w:val="21"/>
        </w:rPr>
        <w:instrText xml:space="preserve"> = 4 \* GB3 \* MERGEFORMAT </w:instrText>
      </w:r>
      <w:r>
        <w:rPr>
          <w:szCs w:val="21"/>
        </w:rPr>
        <w:fldChar w:fldCharType="separate"/>
      </w:r>
      <w:r>
        <w:rPr>
          <w:rFonts w:hint="eastAsia"/>
          <w:szCs w:val="21"/>
        </w:rPr>
        <w:t>④</w:t>
      </w:r>
      <w:r>
        <w:rPr>
          <w:szCs w:val="21"/>
        </w:rPr>
        <w:fldChar w:fldCharType="end"/>
      </w:r>
      <w:r>
        <w:rPr>
          <w:szCs w:val="21"/>
        </w:rPr>
        <w:t>-</w:t>
      </w:r>
      <w:r>
        <w:rPr>
          <w:szCs w:val="21"/>
        </w:rPr>
        <w:fldChar w:fldCharType="begin"/>
      </w:r>
      <w:r>
        <w:rPr>
          <w:szCs w:val="21"/>
        </w:rPr>
        <w:instrText xml:space="preserve"> = 5 \* GB3 \* MERGEFORMAT </w:instrText>
      </w:r>
      <w:r>
        <w:rPr>
          <w:szCs w:val="21"/>
        </w:rPr>
        <w:fldChar w:fldCharType="separate"/>
      </w:r>
      <w:r>
        <w:rPr>
          <w:rFonts w:hint="eastAsia"/>
          <w:szCs w:val="21"/>
        </w:rPr>
        <w:t>⑤</w:t>
      </w:r>
      <w:r>
        <w:rPr>
          <w:szCs w:val="21"/>
        </w:rPr>
        <w:fldChar w:fldCharType="end"/>
      </w:r>
      <w:r>
        <w:rPr>
          <w:szCs w:val="21"/>
        </w:rPr>
        <w:t>；</w:t>
      </w:r>
      <w:r>
        <w:rPr>
          <w:szCs w:val="21"/>
        </w:rPr>
        <w:fldChar w:fldCharType="begin"/>
      </w:r>
      <w:r>
        <w:rPr>
          <w:szCs w:val="21"/>
        </w:rPr>
        <w:instrText xml:space="preserve"> = 7 \* GB3 \* MERGEFORMAT </w:instrText>
      </w:r>
      <w:r>
        <w:rPr>
          <w:szCs w:val="21"/>
        </w:rPr>
        <w:fldChar w:fldCharType="separate"/>
      </w:r>
      <w:r>
        <w:rPr>
          <w:rFonts w:hint="eastAsia"/>
          <w:szCs w:val="21"/>
        </w:rPr>
        <w:t>⑦</w:t>
      </w:r>
      <w:r>
        <w:rPr>
          <w:szCs w:val="21"/>
        </w:rPr>
        <w:fldChar w:fldCharType="end"/>
      </w:r>
      <w:r>
        <w:rPr>
          <w:szCs w:val="21"/>
        </w:rPr>
        <w:t>=</w:t>
      </w:r>
      <w:r>
        <w:rPr>
          <w:szCs w:val="21"/>
        </w:rPr>
        <w:fldChar w:fldCharType="begin"/>
      </w:r>
      <w:r>
        <w:rPr>
          <w:szCs w:val="21"/>
        </w:rPr>
        <w:instrText xml:space="preserve"> = 6 \* GB3 \* MERGEFORMAT </w:instrText>
      </w:r>
      <w:r>
        <w:rPr>
          <w:szCs w:val="21"/>
        </w:rPr>
        <w:fldChar w:fldCharType="separate"/>
      </w:r>
      <w:r>
        <w:rPr>
          <w:rFonts w:hint="eastAsia"/>
          <w:szCs w:val="21"/>
        </w:rPr>
        <w:t>⑥</w:t>
      </w:r>
      <w:r>
        <w:rPr>
          <w:szCs w:val="21"/>
        </w:rPr>
        <w:fldChar w:fldCharType="end"/>
      </w:r>
      <w:r>
        <w:rPr>
          <w:szCs w:val="21"/>
        </w:rPr>
        <w:t>-</w:t>
      </w:r>
      <w:r>
        <w:rPr>
          <w:szCs w:val="21"/>
        </w:rPr>
        <w:fldChar w:fldCharType="begin"/>
      </w:r>
      <w:r>
        <w:rPr>
          <w:szCs w:val="21"/>
        </w:rPr>
        <w:instrText xml:space="preserve"> = 1 \* GB3 \* MERGEFORMAT </w:instrText>
      </w:r>
      <w:r>
        <w:rPr>
          <w:szCs w:val="21"/>
        </w:rPr>
        <w:fldChar w:fldCharType="separate"/>
      </w:r>
      <w:r>
        <w:rPr>
          <w:rFonts w:hint="eastAsia"/>
          <w:szCs w:val="21"/>
        </w:rPr>
        <w:t>①</w:t>
      </w:r>
      <w:r>
        <w:rPr>
          <w:szCs w:val="21"/>
        </w:rPr>
        <w:fldChar w:fldCharType="end"/>
      </w:r>
      <w:bookmarkEnd w:id="26"/>
    </w:p>
    <w:p w14:paraId="5846BA62">
      <w:pPr>
        <w:overflowPunct w:val="0"/>
        <w:snapToGrid w:val="0"/>
        <w:jc w:val="distribute"/>
      </w:pPr>
    </w:p>
    <w:sectPr>
      <w:pgSz w:w="16838" w:h="11906" w:orient="landscape"/>
      <w:pgMar w:top="1531" w:right="1701" w:bottom="1531" w:left="1701" w:header="851" w:footer="851"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EFF" w:usb1="C000785B" w:usb2="00000009" w:usb3="00000000" w:csb0="400001FF" w:csb1="FFFF0000"/>
  </w:font>
  <w:font w:name="宋体">
    <w:panose1 w:val="02010600030101010101"/>
    <w:charset w:val="81"/>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新宋体-18030">
    <w:altName w:val="微软雅黑"/>
    <w:panose1 w:val="00000000000000000000"/>
    <w:charset w:val="86"/>
    <w:family w:val="auto"/>
    <w:pitch w:val="default"/>
    <w:sig w:usb0="00000000" w:usb1="00000000" w:usb2="000A005E" w:usb3="00000000" w:csb0="00040001" w:csb1="00000000"/>
  </w:font>
  <w:font w:name="微软雅黑">
    <w:panose1 w:val="020B0503020204020204"/>
    <w:charset w:val="86"/>
    <w:family w:val="swiss"/>
    <w:pitch w:val="default"/>
    <w:sig w:usb0="80000287" w:usb1="2ACF3C50" w:usb2="00000016" w:usb3="00000000" w:csb0="0004001F" w:csb1="00000000"/>
  </w:font>
  <w:font w:name="MingLiU">
    <w:altName w:val="PMingLiU-ExtB"/>
    <w:panose1 w:val="02020509000000000000"/>
    <w:charset w:val="88"/>
    <w:family w:val="modern"/>
    <w:pitch w:val="default"/>
    <w:sig w:usb0="00000000" w:usb1="00000000" w:usb2="00000016" w:usb3="00000000" w:csb0="00100001" w:csb1="00000000"/>
  </w:font>
  <w:font w:name="PMingLiU-ExtB">
    <w:panose1 w:val="02020500000000000000"/>
    <w:charset w:val="88"/>
    <w:family w:val="auto"/>
    <w:pitch w:val="default"/>
    <w:sig w:usb0="8000002F" w:usb1="02000008" w:usb2="00000000" w:usb3="00000000" w:csb0="00100001" w:csb1="00000000"/>
  </w:font>
  <w:font w:name="Georgia">
    <w:panose1 w:val="02040502050405020303"/>
    <w:charset w:val="00"/>
    <w:family w:val="roman"/>
    <w:pitch w:val="default"/>
    <w:sig w:usb0="00000287" w:usb1="00000000" w:usb2="00000000" w:usb3="00000000" w:csb0="2000009F" w:csb1="00000000"/>
  </w:font>
  <w:font w:name="Angsana New">
    <w:altName w:val="Times New Roman"/>
    <w:panose1 w:val="02020603050405020304"/>
    <w:charset w:val="00"/>
    <w:family w:val="roman"/>
    <w:pitch w:val="default"/>
    <w:sig w:usb0="00000000" w:usb1="00000000" w:usb2="00000000" w:usb3="00000000" w:csb0="00010001" w:csb1="00000000"/>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Yu Mincho">
    <w:altName w:val="@MS Gothic"/>
    <w:panose1 w:val="00000000000000000000"/>
    <w:charset w:val="80"/>
    <w:family w:val="roman"/>
    <w:pitch w:val="default"/>
    <w:sig w:usb0="00000000" w:usb1="00000000" w:usb2="00000010" w:usb3="00000000" w:csb0="00020000" w:csb1="00000000"/>
  </w:font>
  <w:font w:name="@MS Gothic">
    <w:panose1 w:val="020B0609070205080204"/>
    <w:charset w:val="80"/>
    <w:family w:val="auto"/>
    <w:pitch w:val="default"/>
    <w:sig w:usb0="E00002FF" w:usb1="6AC7FDFB" w:usb2="08000012" w:usb3="00000000" w:csb0="4002009F" w:csb1="DFD70000"/>
  </w:font>
  <w:font w:name="Malgun Gothic">
    <w:panose1 w:val="020B0503020000020004"/>
    <w:charset w:val="81"/>
    <w:family w:val="swiss"/>
    <w:pitch w:val="default"/>
    <w:sig w:usb0="9000002F" w:usb1="29D77CFB" w:usb2="00000012" w:usb3="00000000" w:csb0="00080001" w:csb1="00000000"/>
  </w:font>
  <w:font w:name="Tahoma">
    <w:panose1 w:val="020B0604030504040204"/>
    <w:charset w:val="00"/>
    <w:family w:val="swiss"/>
    <w:pitch w:val="default"/>
    <w:sig w:usb0="E1002EFF" w:usb1="C000605B" w:usb2="00000029" w:usb3="00000000" w:csb0="200101FF" w:csb1="20280000"/>
  </w:font>
  <w:font w:name="MingLiU_HKSCS">
    <w:altName w:val="PMingLiU-ExtB"/>
    <w:panose1 w:val="02020500000000000000"/>
    <w:charset w:val="88"/>
    <w:family w:val="roman"/>
    <w:pitch w:val="default"/>
    <w:sig w:usb0="00000000" w:usb1="00000000" w:usb2="00000016" w:usb3="00000000" w:csb0="00100001" w:csb1="00000000"/>
  </w:font>
  <w:font w:name="Century Gothic">
    <w:altName w:val="Yu Gothic UI"/>
    <w:panose1 w:val="00000000000000000000"/>
    <w:charset w:val="00"/>
    <w:family w:val="swiss"/>
    <w:pitch w:val="default"/>
    <w:sig w:usb0="00000000" w:usb1="00000000" w:usb2="00000000" w:usb3="00000000" w:csb0="2000009F" w:csb1="DFD70000"/>
  </w:font>
  <w:font w:name="Yu Gothic UI">
    <w:panose1 w:val="020B0500000000000000"/>
    <w:charset w:val="80"/>
    <w:family w:val="auto"/>
    <w:pitch w:val="default"/>
    <w:sig w:usb0="E00002FF" w:usb1="2AC7FDFF" w:usb2="00000016" w:usb3="00000000" w:csb0="2002009F" w:csb1="00000000"/>
  </w:font>
  <w:font w:name="Garamond">
    <w:altName w:val="Segoe Print"/>
    <w:panose1 w:val="00000000000000000000"/>
    <w:charset w:val="00"/>
    <w:family w:val="roman"/>
    <w:pitch w:val="default"/>
    <w:sig w:usb0="00000000" w:usb1="00000000" w:usb2="00000000" w:usb3="00000000" w:csb0="0000009F" w:csb1="DFD70000"/>
  </w:font>
  <w:font w:name="Segoe Print">
    <w:panose1 w:val="02000600000000000000"/>
    <w:charset w:val="00"/>
    <w:family w:val="auto"/>
    <w:pitch w:val="default"/>
    <w:sig w:usb0="0000028F" w:usb1="00000000" w:usb2="00000000" w:usb3="00000000" w:csb0="2000009F" w:csb1="47010000"/>
  </w:font>
  <w:font w:name="Lucida Sans Unicode">
    <w:panose1 w:val="020B0602030504020204"/>
    <w:charset w:val="00"/>
    <w:family w:val="swiss"/>
    <w:pitch w:val="default"/>
    <w:sig w:usb0="80001AFF" w:usb1="0000396B" w:usb2="00000000" w:usb3="00000000" w:csb0="200000BF" w:csb1="D7F70000"/>
  </w:font>
  <w:font w:name="Impact">
    <w:panose1 w:val="020B0806030902050204"/>
    <w:charset w:val="00"/>
    <w:family w:val="swiss"/>
    <w:pitch w:val="default"/>
    <w:sig w:usb0="00000287" w:usb1="00000000" w:usb2="00000000" w:usb3="00000000" w:csb0="2000009F" w:csb1="DFD70000"/>
  </w:font>
  <w:font w:name="Microsoft Sans Serif">
    <w:panose1 w:val="020B0604020202020204"/>
    <w:charset w:val="00"/>
    <w:family w:val="swiss"/>
    <w:pitch w:val="default"/>
    <w:sig w:usb0="E5002EFF" w:usb1="C000605B" w:usb2="00000029" w:usb3="00000000" w:csb0="200101FF" w:csb1="20280000"/>
  </w:font>
  <w:font w:name="Sylfaen">
    <w:panose1 w:val="010A0502050306030303"/>
    <w:charset w:val="00"/>
    <w:family w:val="roman"/>
    <w:pitch w:val="default"/>
    <w:sig w:usb0="04000687" w:usb1="00000000" w:usb2="00000000" w:usb3="00000000" w:csb0="2000009F" w:csb1="00000000"/>
  </w:font>
  <w:font w:name="CordiaUPC">
    <w:altName w:val="Microsoft Sans Serif"/>
    <w:panose1 w:val="020B0304020202020204"/>
    <w:charset w:val="00"/>
    <w:family w:val="swiss"/>
    <w:pitch w:val="default"/>
    <w:sig w:usb0="00000000" w:usb1="00000000" w:usb2="00000000" w:usb3="00000000" w:csb0="00010001" w:csb1="00000000"/>
  </w:font>
  <w:font w:name="华文仿宋">
    <w:altName w:val="仿宋"/>
    <w:panose1 w:val="00000000000000000000"/>
    <w:charset w:val="86"/>
    <w:family w:val="auto"/>
    <w:pitch w:val="default"/>
    <w:sig w:usb0="00000000" w:usb1="00000000" w:usb2="00000000" w:usb3="00000000" w:csb0="0004009F" w:csb1="DFD70000"/>
  </w:font>
  <w:font w:name="方正小标宋_GBK">
    <w:altName w:val="微软雅黑"/>
    <w:panose1 w:val="00000000000000000000"/>
    <w:charset w:val="86"/>
    <w:family w:val="script"/>
    <w:pitch w:val="default"/>
    <w:sig w:usb0="00000000" w:usb1="00000000" w:usb2="00082016" w:usb3="00000000" w:csb0="00040001" w:csb1="00000000"/>
  </w:font>
  <w:font w:name="Wingdings 2">
    <w:altName w:val="Wingdings"/>
    <w:panose1 w:val="05020102010507070707"/>
    <w:charset w:val="02"/>
    <w:family w:val="auto"/>
    <w:pitch w:val="default"/>
    <w:sig w:usb0="00000000" w:usb1="00000000" w:usb2="00000000" w:usb3="00000000" w:csb0="80000000" w:csb1="00000000"/>
  </w:font>
  <w:font w:name="新宋体">
    <w:panose1 w:val="02010609030101010101"/>
    <w:charset w:val="86"/>
    <w:family w:val="modern"/>
    <w:pitch w:val="default"/>
    <w:sig w:usb0="00000203" w:usb1="288F0000" w:usb2="00000006" w:usb3="00000000" w:csb0="00040001" w:csb1="00000000"/>
  </w:font>
  <w:font w:name="PMingLiU">
    <w:altName w:val="PMingLiU-ExtB"/>
    <w:panose1 w:val="02020500000000000000"/>
    <w:charset w:val="88"/>
    <w:family w:val="roman"/>
    <w:pitch w:val="default"/>
    <w:sig w:usb0="00000000" w:usb1="00000000" w:usb2="00000016" w:usb3="00000000" w:csb0="00100001" w:csb1="00000000"/>
  </w:font>
  <w:font w:name="KSOFE4500885">
    <w:panose1 w:val="02010609060101010101"/>
    <w:charset w:val="86"/>
    <w:family w:val="auto"/>
    <w:pitch w:val="default"/>
    <w:sig w:usb0="00000001" w:usb1="00000000" w:usb2="00000000" w:usb3="00000000" w:csb0="00040001" w:csb1="00000000"/>
  </w:font>
  <w:font w:name="Kingsoft UE">
    <w:panose1 w:val="02000100010000000000"/>
    <w:charset w:val="00"/>
    <w:family w:val="auto"/>
    <w:pitch w:val="default"/>
    <w:sig w:usb0="00000001" w:usb1="00004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6FD8BD"/>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D2CBD5">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60F629CB">
                          <w:pPr>
                            <w:pStyle w:val="25"/>
                          </w:pPr>
                          <w:r>
                            <w:fldChar w:fldCharType="begin"/>
                          </w:r>
                          <w:r>
                            <w:instrText xml:space="preserve"> PAGE  \* MERGEFORMAT </w:instrText>
                          </w:r>
                          <w:r>
                            <w:fldChar w:fldCharType="separate"/>
                          </w:r>
                          <w:r>
                            <w:t>71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文本框 12"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s0lY7tAAAAAFAQAADwAAAAAAAAABACAAAAAiAAAAZHJzL2Rvd25yZXYueG1s&#10;UEsBAhQAFAAAAAgAh07iQJtc6HE5AgAAcQQAAA4AAAAAAAAAAQAgAAAAHwEAAGRycy9lMm9Eb2Mu&#10;eG1sUEsFBgAAAAAGAAYAWQEAAMoFAAAAAA==&#10;">
              <v:fill on="f" focussize="0,0"/>
              <v:stroke on="f" weight="0.5pt"/>
              <v:imagedata o:title=""/>
              <o:lock v:ext="edit" aspectratio="f"/>
              <v:textbox inset="0mm,0mm,0mm,0mm" style="mso-fit-shape-to-text:t;">
                <w:txbxContent>
                  <w:p w14:paraId="60F629CB">
                    <w:pPr>
                      <w:pStyle w:val="25"/>
                    </w:pPr>
                    <w:r>
                      <w:fldChar w:fldCharType="begin"/>
                    </w:r>
                    <w:r>
                      <w:instrText xml:space="preserve"> PAGE  \* MERGEFORMAT </w:instrText>
                    </w:r>
                    <w:r>
                      <w:fldChar w:fldCharType="separate"/>
                    </w:r>
                    <w:r>
                      <w:t>71</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404B19F"/>
    <w:multiLevelType w:val="singleLevel"/>
    <w:tmpl w:val="9404B19F"/>
    <w:lvl w:ilvl="0" w:tentative="0">
      <w:start w:val="2"/>
      <w:numFmt w:val="decimal"/>
      <w:suff w:val="nothing"/>
      <w:lvlText w:val="%1）"/>
      <w:lvlJc w:val="left"/>
    </w:lvl>
  </w:abstractNum>
  <w:abstractNum w:abstractNumId="1">
    <w:nsid w:val="A2EF816D"/>
    <w:multiLevelType w:val="singleLevel"/>
    <w:tmpl w:val="A2EF816D"/>
    <w:lvl w:ilvl="0" w:tentative="0">
      <w:start w:val="2"/>
      <w:numFmt w:val="decimal"/>
      <w:suff w:val="nothing"/>
      <w:lvlText w:val="%1、"/>
      <w:lvlJc w:val="left"/>
    </w:lvl>
  </w:abstractNum>
  <w:abstractNum w:abstractNumId="2">
    <w:nsid w:val="C705A53C"/>
    <w:multiLevelType w:val="singleLevel"/>
    <w:tmpl w:val="C705A53C"/>
    <w:lvl w:ilvl="0" w:tentative="0">
      <w:start w:val="1"/>
      <w:numFmt w:val="decimal"/>
      <w:suff w:val="nothing"/>
      <w:lvlText w:val="（%1）"/>
      <w:lvlJc w:val="left"/>
    </w:lvl>
  </w:abstractNum>
  <w:abstractNum w:abstractNumId="3">
    <w:nsid w:val="DE4A5AB6"/>
    <w:multiLevelType w:val="singleLevel"/>
    <w:tmpl w:val="DE4A5AB6"/>
    <w:lvl w:ilvl="0" w:tentative="0">
      <w:start w:val="1"/>
      <w:numFmt w:val="decimal"/>
      <w:suff w:val="nothing"/>
      <w:lvlText w:val="%1、"/>
      <w:lvlJc w:val="left"/>
    </w:lvl>
  </w:abstractNum>
  <w:abstractNum w:abstractNumId="4">
    <w:nsid w:val="E5D8A209"/>
    <w:multiLevelType w:val="singleLevel"/>
    <w:tmpl w:val="E5D8A209"/>
    <w:lvl w:ilvl="0" w:tentative="0">
      <w:start w:val="1"/>
      <w:numFmt w:val="bullet"/>
      <w:pStyle w:val="20"/>
      <w:lvlText w:val=""/>
      <w:lvlJc w:val="left"/>
      <w:pPr>
        <w:tabs>
          <w:tab w:val="left" w:pos="2040"/>
        </w:tabs>
        <w:ind w:left="2040" w:hanging="360"/>
      </w:pPr>
      <w:rPr>
        <w:rFonts w:hint="default" w:ascii="Wingdings" w:hAnsi="Wingdings"/>
      </w:rPr>
    </w:lvl>
  </w:abstractNum>
  <w:abstractNum w:abstractNumId="5">
    <w:nsid w:val="FA3B24CB"/>
    <w:multiLevelType w:val="singleLevel"/>
    <w:tmpl w:val="FA3B24CB"/>
    <w:lvl w:ilvl="0" w:tentative="0">
      <w:start w:val="1"/>
      <w:numFmt w:val="decimal"/>
      <w:suff w:val="nothing"/>
      <w:lvlText w:val="（%1）"/>
      <w:lvlJc w:val="left"/>
    </w:lvl>
  </w:abstractNum>
  <w:abstractNum w:abstractNumId="6">
    <w:nsid w:val="2B5EC5D9"/>
    <w:multiLevelType w:val="singleLevel"/>
    <w:tmpl w:val="2B5EC5D9"/>
    <w:lvl w:ilvl="0" w:tentative="0">
      <w:start w:val="1"/>
      <w:numFmt w:val="decimal"/>
      <w:suff w:val="nothing"/>
      <w:lvlText w:val="（%1）"/>
      <w:lvlJc w:val="left"/>
    </w:lvl>
  </w:abstractNum>
  <w:abstractNum w:abstractNumId="7">
    <w:nsid w:val="5E9EB96A"/>
    <w:multiLevelType w:val="singleLevel"/>
    <w:tmpl w:val="5E9EB96A"/>
    <w:lvl w:ilvl="0" w:tentative="0">
      <w:start w:val="1"/>
      <w:numFmt w:val="decimal"/>
      <w:suff w:val="nothing"/>
      <w:lvlText w:val="（%1）"/>
      <w:lvlJc w:val="left"/>
      <w:pPr>
        <w:ind w:left="-62"/>
      </w:pPr>
    </w:lvl>
  </w:abstractNum>
  <w:abstractNum w:abstractNumId="8">
    <w:nsid w:val="685B2F40"/>
    <w:multiLevelType w:val="multilevel"/>
    <w:tmpl w:val="685B2F40"/>
    <w:lvl w:ilvl="0" w:tentative="0">
      <w:start w:val="1"/>
      <w:numFmt w:val="decimal"/>
      <w:pStyle w:val="177"/>
      <w:lvlText w:val="%1、"/>
      <w:lvlJc w:val="left"/>
      <w:pPr>
        <w:ind w:left="3260" w:firstLine="0"/>
      </w:pPr>
      <w:rPr>
        <w:rFonts w:hint="eastAsia"/>
      </w:rPr>
    </w:lvl>
    <w:lvl w:ilvl="1" w:tentative="0">
      <w:start w:val="1"/>
      <w:numFmt w:val="decimal"/>
      <w:lvlText w:val="%1.%2"/>
      <w:lvlJc w:val="left"/>
      <w:pPr>
        <w:ind w:left="709" w:hanging="425"/>
      </w:pPr>
      <w:rPr>
        <w:rFonts w:hint="eastAsia"/>
      </w:rPr>
    </w:lvl>
    <w:lvl w:ilvl="2" w:tentative="0">
      <w:start w:val="1"/>
      <w:numFmt w:val="decimal"/>
      <w:pStyle w:val="176"/>
      <w:lvlText w:val="%1.%2.%3"/>
      <w:lvlJc w:val="left"/>
      <w:pPr>
        <w:ind w:left="907" w:hanging="198"/>
      </w:pPr>
      <w:rPr>
        <w:rFonts w:hint="eastAsia"/>
      </w:rPr>
    </w:lvl>
    <w:lvl w:ilvl="3" w:tentative="0">
      <w:start w:val="1"/>
      <w:numFmt w:val="decimal"/>
      <w:lvlText w:val="%1.%2.%3.%4"/>
      <w:lvlJc w:val="left"/>
      <w:pPr>
        <w:tabs>
          <w:tab w:val="left" w:pos="454"/>
        </w:tabs>
        <w:ind w:left="425" w:firstLine="29"/>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num w:numId="1">
    <w:abstractNumId w:val="4"/>
  </w:num>
  <w:num w:numId="2">
    <w:abstractNumId w:val="8"/>
  </w:num>
  <w:num w:numId="3">
    <w:abstractNumId w:val="3"/>
  </w:num>
  <w:num w:numId="4">
    <w:abstractNumId w:val="1"/>
  </w:num>
  <w:num w:numId="5">
    <w:abstractNumId w:val="7"/>
  </w:num>
  <w:num w:numId="6">
    <w:abstractNumId w:val="2"/>
  </w:num>
  <w:num w:numId="7">
    <w:abstractNumId w:val="5"/>
  </w:num>
  <w:num w:numId="8">
    <w:abstractNumId w:val="6"/>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doNotDisplayPageBoundaries w:val="1"/>
  <w:bordersDoNotSurroundHeader w:val="1"/>
  <w:bordersDoNotSurroundFooter w:val="1"/>
  <w:hideSpellingErrors/>
  <w:documentProtection w:edit="trackedChanges" w:enforcement="0"/>
  <w:defaultTabStop w:val="420"/>
  <w:doNotHyphenateCaps/>
  <w:drawingGridVerticalSpacing w:val="156"/>
  <w:noPunctuationKerning w:val="1"/>
  <w:characterSpacingControl w:val="compressPunctuation"/>
  <w:noLineBreaksAfter w:lang="zh-CN" w:val="([{·‘“〈《「『【〔〖（．［｛￡￥"/>
  <w:noLineBreaksBefore w:lang="zh-CN" w:val="!),.:;?]}¨·ˇˉ―‖’”…∶、。〃々〉》」』】〕〗！＂＇），．：；？］｀｜｝～￠"/>
  <w:doNotValidateAgainstSchema/>
  <w:doNotDemarcateInvalidXml/>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YxMzFhMTFiYTAyZmZjYWExZmVjOTcwMzIxNmJlM2IifQ=="/>
  </w:docVars>
  <w:rsids>
    <w:rsidRoot w:val="00172A27"/>
    <w:rsid w:val="000060B3"/>
    <w:rsid w:val="00013FF1"/>
    <w:rsid w:val="00024852"/>
    <w:rsid w:val="000258E5"/>
    <w:rsid w:val="00026D64"/>
    <w:rsid w:val="000302D1"/>
    <w:rsid w:val="00031DF7"/>
    <w:rsid w:val="00032E93"/>
    <w:rsid w:val="000342FB"/>
    <w:rsid w:val="00034475"/>
    <w:rsid w:val="00035841"/>
    <w:rsid w:val="00035950"/>
    <w:rsid w:val="00040396"/>
    <w:rsid w:val="00041BCB"/>
    <w:rsid w:val="000433C8"/>
    <w:rsid w:val="0004364B"/>
    <w:rsid w:val="00043C8E"/>
    <w:rsid w:val="0004713D"/>
    <w:rsid w:val="00052B99"/>
    <w:rsid w:val="00060553"/>
    <w:rsid w:val="0006058E"/>
    <w:rsid w:val="00061B1F"/>
    <w:rsid w:val="000621AF"/>
    <w:rsid w:val="00062679"/>
    <w:rsid w:val="00062E0A"/>
    <w:rsid w:val="000722F2"/>
    <w:rsid w:val="000733C4"/>
    <w:rsid w:val="00074783"/>
    <w:rsid w:val="0007643F"/>
    <w:rsid w:val="0008070B"/>
    <w:rsid w:val="000810AC"/>
    <w:rsid w:val="00081A02"/>
    <w:rsid w:val="00082231"/>
    <w:rsid w:val="0008394B"/>
    <w:rsid w:val="00084490"/>
    <w:rsid w:val="00084962"/>
    <w:rsid w:val="000920FB"/>
    <w:rsid w:val="00092D38"/>
    <w:rsid w:val="0009377B"/>
    <w:rsid w:val="00094186"/>
    <w:rsid w:val="0009648A"/>
    <w:rsid w:val="00096B68"/>
    <w:rsid w:val="000A0643"/>
    <w:rsid w:val="000A20C9"/>
    <w:rsid w:val="000A781A"/>
    <w:rsid w:val="000B058F"/>
    <w:rsid w:val="000B13EB"/>
    <w:rsid w:val="000B1D40"/>
    <w:rsid w:val="000B3654"/>
    <w:rsid w:val="000B3D6B"/>
    <w:rsid w:val="000B4467"/>
    <w:rsid w:val="000B4DB9"/>
    <w:rsid w:val="000B55FB"/>
    <w:rsid w:val="000B5959"/>
    <w:rsid w:val="000B73D4"/>
    <w:rsid w:val="000C09AC"/>
    <w:rsid w:val="000C13A3"/>
    <w:rsid w:val="000C1589"/>
    <w:rsid w:val="000C767F"/>
    <w:rsid w:val="000C7ACD"/>
    <w:rsid w:val="000D00F5"/>
    <w:rsid w:val="000D10CF"/>
    <w:rsid w:val="000D12F0"/>
    <w:rsid w:val="000D32E2"/>
    <w:rsid w:val="000D428B"/>
    <w:rsid w:val="000D5543"/>
    <w:rsid w:val="000D5A44"/>
    <w:rsid w:val="000E28EF"/>
    <w:rsid w:val="000E34FA"/>
    <w:rsid w:val="000E3C52"/>
    <w:rsid w:val="000E3ED2"/>
    <w:rsid w:val="000E4D23"/>
    <w:rsid w:val="000E71D8"/>
    <w:rsid w:val="000F0AD2"/>
    <w:rsid w:val="000F3B97"/>
    <w:rsid w:val="000F44C9"/>
    <w:rsid w:val="000F48F5"/>
    <w:rsid w:val="000F6E3F"/>
    <w:rsid w:val="00105039"/>
    <w:rsid w:val="001068DB"/>
    <w:rsid w:val="001076E3"/>
    <w:rsid w:val="00110592"/>
    <w:rsid w:val="0011403A"/>
    <w:rsid w:val="00114362"/>
    <w:rsid w:val="001143C5"/>
    <w:rsid w:val="00114E5D"/>
    <w:rsid w:val="001274AC"/>
    <w:rsid w:val="00131F42"/>
    <w:rsid w:val="00134BB9"/>
    <w:rsid w:val="001357F1"/>
    <w:rsid w:val="00135C46"/>
    <w:rsid w:val="00135F27"/>
    <w:rsid w:val="00140FA8"/>
    <w:rsid w:val="00141E67"/>
    <w:rsid w:val="00142FEB"/>
    <w:rsid w:val="001436C1"/>
    <w:rsid w:val="00143A2D"/>
    <w:rsid w:val="00144D21"/>
    <w:rsid w:val="00145A41"/>
    <w:rsid w:val="001469E2"/>
    <w:rsid w:val="001470B1"/>
    <w:rsid w:val="00147B53"/>
    <w:rsid w:val="00151675"/>
    <w:rsid w:val="00151D20"/>
    <w:rsid w:val="00153E6A"/>
    <w:rsid w:val="00153E73"/>
    <w:rsid w:val="00153E93"/>
    <w:rsid w:val="00157435"/>
    <w:rsid w:val="00165079"/>
    <w:rsid w:val="0017087F"/>
    <w:rsid w:val="00172A27"/>
    <w:rsid w:val="00172CAB"/>
    <w:rsid w:val="00174D0D"/>
    <w:rsid w:val="00174D9F"/>
    <w:rsid w:val="0017504D"/>
    <w:rsid w:val="00176175"/>
    <w:rsid w:val="0017671A"/>
    <w:rsid w:val="00176F73"/>
    <w:rsid w:val="00177422"/>
    <w:rsid w:val="0018098A"/>
    <w:rsid w:val="00184590"/>
    <w:rsid w:val="00186F01"/>
    <w:rsid w:val="001870D1"/>
    <w:rsid w:val="0018781E"/>
    <w:rsid w:val="00192231"/>
    <w:rsid w:val="0019262D"/>
    <w:rsid w:val="001952C9"/>
    <w:rsid w:val="001A047A"/>
    <w:rsid w:val="001A12FB"/>
    <w:rsid w:val="001A1B35"/>
    <w:rsid w:val="001A2F97"/>
    <w:rsid w:val="001A48A2"/>
    <w:rsid w:val="001A6F61"/>
    <w:rsid w:val="001B0650"/>
    <w:rsid w:val="001B16AD"/>
    <w:rsid w:val="001B6855"/>
    <w:rsid w:val="001B696E"/>
    <w:rsid w:val="001B72B8"/>
    <w:rsid w:val="001B7EA2"/>
    <w:rsid w:val="001C1682"/>
    <w:rsid w:val="001C375C"/>
    <w:rsid w:val="001C3C50"/>
    <w:rsid w:val="001C55EB"/>
    <w:rsid w:val="001C594B"/>
    <w:rsid w:val="001C69B3"/>
    <w:rsid w:val="001C6EC3"/>
    <w:rsid w:val="001C7499"/>
    <w:rsid w:val="001D016D"/>
    <w:rsid w:val="001D493E"/>
    <w:rsid w:val="001D5595"/>
    <w:rsid w:val="001D5FAA"/>
    <w:rsid w:val="001D6D78"/>
    <w:rsid w:val="001D7874"/>
    <w:rsid w:val="001D7F22"/>
    <w:rsid w:val="001E1BF7"/>
    <w:rsid w:val="001E4169"/>
    <w:rsid w:val="001E6E23"/>
    <w:rsid w:val="001E7DC0"/>
    <w:rsid w:val="001F0DDC"/>
    <w:rsid w:val="001F0F17"/>
    <w:rsid w:val="001F22E3"/>
    <w:rsid w:val="001F3347"/>
    <w:rsid w:val="001F64FF"/>
    <w:rsid w:val="001F69E4"/>
    <w:rsid w:val="002024D4"/>
    <w:rsid w:val="00203BA8"/>
    <w:rsid w:val="00203BA9"/>
    <w:rsid w:val="00212531"/>
    <w:rsid w:val="002125B4"/>
    <w:rsid w:val="00213797"/>
    <w:rsid w:val="00215275"/>
    <w:rsid w:val="002155B8"/>
    <w:rsid w:val="00215765"/>
    <w:rsid w:val="00216F06"/>
    <w:rsid w:val="0022344A"/>
    <w:rsid w:val="0022358A"/>
    <w:rsid w:val="00224839"/>
    <w:rsid w:val="002249B2"/>
    <w:rsid w:val="00226574"/>
    <w:rsid w:val="00226BCC"/>
    <w:rsid w:val="00227227"/>
    <w:rsid w:val="002278EC"/>
    <w:rsid w:val="00230DA8"/>
    <w:rsid w:val="0023268F"/>
    <w:rsid w:val="0023280E"/>
    <w:rsid w:val="00232B36"/>
    <w:rsid w:val="00232C30"/>
    <w:rsid w:val="00236789"/>
    <w:rsid w:val="002377D1"/>
    <w:rsid w:val="00237C7D"/>
    <w:rsid w:val="00241F7E"/>
    <w:rsid w:val="00243125"/>
    <w:rsid w:val="00245623"/>
    <w:rsid w:val="0024628E"/>
    <w:rsid w:val="002506BC"/>
    <w:rsid w:val="00251F46"/>
    <w:rsid w:val="00254345"/>
    <w:rsid w:val="00260B72"/>
    <w:rsid w:val="00260E44"/>
    <w:rsid w:val="002611AF"/>
    <w:rsid w:val="0026377D"/>
    <w:rsid w:val="00263D00"/>
    <w:rsid w:val="0026444B"/>
    <w:rsid w:val="00264557"/>
    <w:rsid w:val="00271184"/>
    <w:rsid w:val="002805AB"/>
    <w:rsid w:val="00281CCC"/>
    <w:rsid w:val="00282689"/>
    <w:rsid w:val="00284204"/>
    <w:rsid w:val="00291159"/>
    <w:rsid w:val="00291773"/>
    <w:rsid w:val="00292B6A"/>
    <w:rsid w:val="002964C5"/>
    <w:rsid w:val="002A07F1"/>
    <w:rsid w:val="002A1174"/>
    <w:rsid w:val="002A168C"/>
    <w:rsid w:val="002A1B2E"/>
    <w:rsid w:val="002A3DC7"/>
    <w:rsid w:val="002A4169"/>
    <w:rsid w:val="002A586B"/>
    <w:rsid w:val="002A5C33"/>
    <w:rsid w:val="002B49E2"/>
    <w:rsid w:val="002B53D7"/>
    <w:rsid w:val="002B62D3"/>
    <w:rsid w:val="002B7B00"/>
    <w:rsid w:val="002B7C44"/>
    <w:rsid w:val="002C039A"/>
    <w:rsid w:val="002C232B"/>
    <w:rsid w:val="002C2B17"/>
    <w:rsid w:val="002C5197"/>
    <w:rsid w:val="002C6CA2"/>
    <w:rsid w:val="002C73C1"/>
    <w:rsid w:val="002D08F0"/>
    <w:rsid w:val="002D2742"/>
    <w:rsid w:val="002D3DD0"/>
    <w:rsid w:val="002E1F3A"/>
    <w:rsid w:val="002E298A"/>
    <w:rsid w:val="002E4D1D"/>
    <w:rsid w:val="002F1CE6"/>
    <w:rsid w:val="002F4203"/>
    <w:rsid w:val="002F5ED2"/>
    <w:rsid w:val="002F6BB6"/>
    <w:rsid w:val="00300019"/>
    <w:rsid w:val="003000F6"/>
    <w:rsid w:val="003004AF"/>
    <w:rsid w:val="003004BC"/>
    <w:rsid w:val="00301978"/>
    <w:rsid w:val="00302793"/>
    <w:rsid w:val="0030332C"/>
    <w:rsid w:val="00304013"/>
    <w:rsid w:val="00304AF2"/>
    <w:rsid w:val="003051C2"/>
    <w:rsid w:val="00311C25"/>
    <w:rsid w:val="00312296"/>
    <w:rsid w:val="00314F0E"/>
    <w:rsid w:val="00316CA8"/>
    <w:rsid w:val="0031747F"/>
    <w:rsid w:val="00317B35"/>
    <w:rsid w:val="00321D8E"/>
    <w:rsid w:val="00325928"/>
    <w:rsid w:val="00326915"/>
    <w:rsid w:val="00330478"/>
    <w:rsid w:val="003308B0"/>
    <w:rsid w:val="003321EB"/>
    <w:rsid w:val="00332863"/>
    <w:rsid w:val="00334E64"/>
    <w:rsid w:val="0033684D"/>
    <w:rsid w:val="00336F3D"/>
    <w:rsid w:val="00337B42"/>
    <w:rsid w:val="00341B42"/>
    <w:rsid w:val="0034348F"/>
    <w:rsid w:val="003434DE"/>
    <w:rsid w:val="00347DF0"/>
    <w:rsid w:val="00354A8A"/>
    <w:rsid w:val="00356653"/>
    <w:rsid w:val="0035743F"/>
    <w:rsid w:val="00357BE2"/>
    <w:rsid w:val="00357C84"/>
    <w:rsid w:val="00357D8D"/>
    <w:rsid w:val="00360328"/>
    <w:rsid w:val="00361689"/>
    <w:rsid w:val="0036170C"/>
    <w:rsid w:val="003622F3"/>
    <w:rsid w:val="00366E0F"/>
    <w:rsid w:val="003676E6"/>
    <w:rsid w:val="00371C34"/>
    <w:rsid w:val="00374E02"/>
    <w:rsid w:val="003754E5"/>
    <w:rsid w:val="0037720C"/>
    <w:rsid w:val="00381A72"/>
    <w:rsid w:val="003829DD"/>
    <w:rsid w:val="00384676"/>
    <w:rsid w:val="00386FAA"/>
    <w:rsid w:val="00387850"/>
    <w:rsid w:val="00390857"/>
    <w:rsid w:val="00390F3E"/>
    <w:rsid w:val="003925FB"/>
    <w:rsid w:val="00392787"/>
    <w:rsid w:val="0039744D"/>
    <w:rsid w:val="003977FB"/>
    <w:rsid w:val="003A15D9"/>
    <w:rsid w:val="003A2564"/>
    <w:rsid w:val="003A3113"/>
    <w:rsid w:val="003A4BF3"/>
    <w:rsid w:val="003A4D4C"/>
    <w:rsid w:val="003B420D"/>
    <w:rsid w:val="003B5084"/>
    <w:rsid w:val="003B7901"/>
    <w:rsid w:val="003C116A"/>
    <w:rsid w:val="003C4734"/>
    <w:rsid w:val="003C5522"/>
    <w:rsid w:val="003C5FEB"/>
    <w:rsid w:val="003C6C16"/>
    <w:rsid w:val="003D0493"/>
    <w:rsid w:val="003D794D"/>
    <w:rsid w:val="003E1232"/>
    <w:rsid w:val="003E303F"/>
    <w:rsid w:val="003E3058"/>
    <w:rsid w:val="003E38EF"/>
    <w:rsid w:val="003E5B2C"/>
    <w:rsid w:val="003E76A9"/>
    <w:rsid w:val="003E7751"/>
    <w:rsid w:val="003F0809"/>
    <w:rsid w:val="003F105B"/>
    <w:rsid w:val="003F4174"/>
    <w:rsid w:val="003F5168"/>
    <w:rsid w:val="003F6A8C"/>
    <w:rsid w:val="003F755C"/>
    <w:rsid w:val="004019F2"/>
    <w:rsid w:val="00402EBB"/>
    <w:rsid w:val="00406374"/>
    <w:rsid w:val="00406F01"/>
    <w:rsid w:val="00413A34"/>
    <w:rsid w:val="00416D50"/>
    <w:rsid w:val="00416FD5"/>
    <w:rsid w:val="00417772"/>
    <w:rsid w:val="0042042E"/>
    <w:rsid w:val="00420E6A"/>
    <w:rsid w:val="00421BF0"/>
    <w:rsid w:val="00422FE7"/>
    <w:rsid w:val="00423333"/>
    <w:rsid w:val="004239E4"/>
    <w:rsid w:val="00425A9E"/>
    <w:rsid w:val="00426D6B"/>
    <w:rsid w:val="00431245"/>
    <w:rsid w:val="00431E6C"/>
    <w:rsid w:val="00433CE7"/>
    <w:rsid w:val="00435AF6"/>
    <w:rsid w:val="0043677A"/>
    <w:rsid w:val="00441401"/>
    <w:rsid w:val="00442F72"/>
    <w:rsid w:val="0044518D"/>
    <w:rsid w:val="00446D9E"/>
    <w:rsid w:val="004472CA"/>
    <w:rsid w:val="00452738"/>
    <w:rsid w:val="00453F41"/>
    <w:rsid w:val="004558EE"/>
    <w:rsid w:val="00456091"/>
    <w:rsid w:val="0045771F"/>
    <w:rsid w:val="00457BA9"/>
    <w:rsid w:val="004645C5"/>
    <w:rsid w:val="0046489A"/>
    <w:rsid w:val="004648DE"/>
    <w:rsid w:val="00466321"/>
    <w:rsid w:val="00466E51"/>
    <w:rsid w:val="00470840"/>
    <w:rsid w:val="004746B3"/>
    <w:rsid w:val="00475309"/>
    <w:rsid w:val="004757E1"/>
    <w:rsid w:val="00476075"/>
    <w:rsid w:val="00480BFA"/>
    <w:rsid w:val="00483477"/>
    <w:rsid w:val="00484651"/>
    <w:rsid w:val="004847E3"/>
    <w:rsid w:val="00484B9B"/>
    <w:rsid w:val="004855F6"/>
    <w:rsid w:val="00485EA1"/>
    <w:rsid w:val="0048661E"/>
    <w:rsid w:val="00487E8B"/>
    <w:rsid w:val="00491A25"/>
    <w:rsid w:val="00492B06"/>
    <w:rsid w:val="00492ECA"/>
    <w:rsid w:val="00494348"/>
    <w:rsid w:val="00494670"/>
    <w:rsid w:val="00497E1A"/>
    <w:rsid w:val="004A3823"/>
    <w:rsid w:val="004A4A90"/>
    <w:rsid w:val="004B27ED"/>
    <w:rsid w:val="004B319B"/>
    <w:rsid w:val="004B626D"/>
    <w:rsid w:val="004B7107"/>
    <w:rsid w:val="004C38A8"/>
    <w:rsid w:val="004C55CB"/>
    <w:rsid w:val="004C63B2"/>
    <w:rsid w:val="004C7DD6"/>
    <w:rsid w:val="004D1DE8"/>
    <w:rsid w:val="004D27EA"/>
    <w:rsid w:val="004D2EB9"/>
    <w:rsid w:val="004D6623"/>
    <w:rsid w:val="004E47CC"/>
    <w:rsid w:val="004E6946"/>
    <w:rsid w:val="004E69E6"/>
    <w:rsid w:val="004E7060"/>
    <w:rsid w:val="004F006C"/>
    <w:rsid w:val="004F18D5"/>
    <w:rsid w:val="004F1AD8"/>
    <w:rsid w:val="004F4256"/>
    <w:rsid w:val="004F49B3"/>
    <w:rsid w:val="00501B06"/>
    <w:rsid w:val="005024AD"/>
    <w:rsid w:val="005039CB"/>
    <w:rsid w:val="00503ED7"/>
    <w:rsid w:val="0050558F"/>
    <w:rsid w:val="00506286"/>
    <w:rsid w:val="00507D98"/>
    <w:rsid w:val="00510813"/>
    <w:rsid w:val="00511990"/>
    <w:rsid w:val="00511DE0"/>
    <w:rsid w:val="005139AC"/>
    <w:rsid w:val="00514288"/>
    <w:rsid w:val="00514870"/>
    <w:rsid w:val="00514B9B"/>
    <w:rsid w:val="005163CF"/>
    <w:rsid w:val="00517F02"/>
    <w:rsid w:val="00522AED"/>
    <w:rsid w:val="00524303"/>
    <w:rsid w:val="005250C9"/>
    <w:rsid w:val="005258A2"/>
    <w:rsid w:val="00527998"/>
    <w:rsid w:val="005328DA"/>
    <w:rsid w:val="00532E98"/>
    <w:rsid w:val="00533D78"/>
    <w:rsid w:val="005345BD"/>
    <w:rsid w:val="00535BBB"/>
    <w:rsid w:val="00535CFE"/>
    <w:rsid w:val="0053687D"/>
    <w:rsid w:val="00536E22"/>
    <w:rsid w:val="005401AE"/>
    <w:rsid w:val="00541145"/>
    <w:rsid w:val="00542E07"/>
    <w:rsid w:val="00544173"/>
    <w:rsid w:val="00545424"/>
    <w:rsid w:val="0054706D"/>
    <w:rsid w:val="00554A7B"/>
    <w:rsid w:val="0055572C"/>
    <w:rsid w:val="0056106A"/>
    <w:rsid w:val="0056146B"/>
    <w:rsid w:val="00561E2D"/>
    <w:rsid w:val="0056560D"/>
    <w:rsid w:val="00565CD4"/>
    <w:rsid w:val="005714C6"/>
    <w:rsid w:val="00571523"/>
    <w:rsid w:val="0057192B"/>
    <w:rsid w:val="005720AE"/>
    <w:rsid w:val="00572F44"/>
    <w:rsid w:val="00573388"/>
    <w:rsid w:val="00574199"/>
    <w:rsid w:val="00576275"/>
    <w:rsid w:val="00580D1C"/>
    <w:rsid w:val="00582561"/>
    <w:rsid w:val="00587BCF"/>
    <w:rsid w:val="00594D77"/>
    <w:rsid w:val="005969E4"/>
    <w:rsid w:val="005A003D"/>
    <w:rsid w:val="005A06B7"/>
    <w:rsid w:val="005A1759"/>
    <w:rsid w:val="005A2D64"/>
    <w:rsid w:val="005A3B15"/>
    <w:rsid w:val="005A68A7"/>
    <w:rsid w:val="005B7212"/>
    <w:rsid w:val="005B7CB2"/>
    <w:rsid w:val="005C1273"/>
    <w:rsid w:val="005C23DB"/>
    <w:rsid w:val="005C42D3"/>
    <w:rsid w:val="005C668D"/>
    <w:rsid w:val="005D086A"/>
    <w:rsid w:val="005D0C52"/>
    <w:rsid w:val="005D2AA2"/>
    <w:rsid w:val="005D36AB"/>
    <w:rsid w:val="005D5DBF"/>
    <w:rsid w:val="005E0E3C"/>
    <w:rsid w:val="005E51B6"/>
    <w:rsid w:val="005E5DDE"/>
    <w:rsid w:val="005F322D"/>
    <w:rsid w:val="005F33FD"/>
    <w:rsid w:val="005F5271"/>
    <w:rsid w:val="006001D5"/>
    <w:rsid w:val="00602066"/>
    <w:rsid w:val="0060615F"/>
    <w:rsid w:val="00606ADB"/>
    <w:rsid w:val="00610906"/>
    <w:rsid w:val="00612910"/>
    <w:rsid w:val="00617CC3"/>
    <w:rsid w:val="00622FD8"/>
    <w:rsid w:val="0062372D"/>
    <w:rsid w:val="00626573"/>
    <w:rsid w:val="0063420E"/>
    <w:rsid w:val="006377A6"/>
    <w:rsid w:val="00637A3D"/>
    <w:rsid w:val="006411EF"/>
    <w:rsid w:val="00642647"/>
    <w:rsid w:val="0064326D"/>
    <w:rsid w:val="00644859"/>
    <w:rsid w:val="00645928"/>
    <w:rsid w:val="00646B85"/>
    <w:rsid w:val="0065742E"/>
    <w:rsid w:val="0066077B"/>
    <w:rsid w:val="006670D8"/>
    <w:rsid w:val="00667740"/>
    <w:rsid w:val="006734CE"/>
    <w:rsid w:val="006748B8"/>
    <w:rsid w:val="006764C7"/>
    <w:rsid w:val="006775C3"/>
    <w:rsid w:val="00682E71"/>
    <w:rsid w:val="006831D2"/>
    <w:rsid w:val="006909D5"/>
    <w:rsid w:val="0069290A"/>
    <w:rsid w:val="0069384A"/>
    <w:rsid w:val="00693A72"/>
    <w:rsid w:val="0069775A"/>
    <w:rsid w:val="00697813"/>
    <w:rsid w:val="006A09A7"/>
    <w:rsid w:val="006A3EE8"/>
    <w:rsid w:val="006A5F83"/>
    <w:rsid w:val="006A61B1"/>
    <w:rsid w:val="006A72BF"/>
    <w:rsid w:val="006B03F2"/>
    <w:rsid w:val="006B37DC"/>
    <w:rsid w:val="006B4F65"/>
    <w:rsid w:val="006B4F68"/>
    <w:rsid w:val="006B7A23"/>
    <w:rsid w:val="006C0592"/>
    <w:rsid w:val="006C272E"/>
    <w:rsid w:val="006C27B8"/>
    <w:rsid w:val="006C2D1E"/>
    <w:rsid w:val="006C358D"/>
    <w:rsid w:val="006C5479"/>
    <w:rsid w:val="006D13B5"/>
    <w:rsid w:val="006D32EE"/>
    <w:rsid w:val="006D37D5"/>
    <w:rsid w:val="006D41A8"/>
    <w:rsid w:val="006D442A"/>
    <w:rsid w:val="006D4EDA"/>
    <w:rsid w:val="006D716A"/>
    <w:rsid w:val="006D721F"/>
    <w:rsid w:val="006E03C7"/>
    <w:rsid w:val="006E12FF"/>
    <w:rsid w:val="006E228B"/>
    <w:rsid w:val="006E607E"/>
    <w:rsid w:val="006E7DBC"/>
    <w:rsid w:val="006F1B8F"/>
    <w:rsid w:val="006F5ABD"/>
    <w:rsid w:val="006F7573"/>
    <w:rsid w:val="00700DF1"/>
    <w:rsid w:val="007033FD"/>
    <w:rsid w:val="00704420"/>
    <w:rsid w:val="00705292"/>
    <w:rsid w:val="007059D0"/>
    <w:rsid w:val="00706C5D"/>
    <w:rsid w:val="007074AC"/>
    <w:rsid w:val="00713D4C"/>
    <w:rsid w:val="00715294"/>
    <w:rsid w:val="00716897"/>
    <w:rsid w:val="0072078A"/>
    <w:rsid w:val="00721AE1"/>
    <w:rsid w:val="007262D0"/>
    <w:rsid w:val="0072673A"/>
    <w:rsid w:val="00732922"/>
    <w:rsid w:val="00733903"/>
    <w:rsid w:val="007344E2"/>
    <w:rsid w:val="00734A26"/>
    <w:rsid w:val="007416B9"/>
    <w:rsid w:val="007448B1"/>
    <w:rsid w:val="0075013A"/>
    <w:rsid w:val="0075162E"/>
    <w:rsid w:val="007522CE"/>
    <w:rsid w:val="00753CBC"/>
    <w:rsid w:val="00754034"/>
    <w:rsid w:val="00754DA1"/>
    <w:rsid w:val="00755288"/>
    <w:rsid w:val="007557B0"/>
    <w:rsid w:val="0075634F"/>
    <w:rsid w:val="00756556"/>
    <w:rsid w:val="0075780E"/>
    <w:rsid w:val="007578DA"/>
    <w:rsid w:val="00760904"/>
    <w:rsid w:val="007618C4"/>
    <w:rsid w:val="00761B78"/>
    <w:rsid w:val="00766A2F"/>
    <w:rsid w:val="00767980"/>
    <w:rsid w:val="007706C5"/>
    <w:rsid w:val="00770B19"/>
    <w:rsid w:val="0077297B"/>
    <w:rsid w:val="00774418"/>
    <w:rsid w:val="0077463F"/>
    <w:rsid w:val="007778F9"/>
    <w:rsid w:val="00783526"/>
    <w:rsid w:val="007836EA"/>
    <w:rsid w:val="00784CDA"/>
    <w:rsid w:val="00785185"/>
    <w:rsid w:val="00786549"/>
    <w:rsid w:val="00786C43"/>
    <w:rsid w:val="007906C4"/>
    <w:rsid w:val="00790B26"/>
    <w:rsid w:val="007918E1"/>
    <w:rsid w:val="007940EA"/>
    <w:rsid w:val="0079589E"/>
    <w:rsid w:val="007967E8"/>
    <w:rsid w:val="00796A4B"/>
    <w:rsid w:val="00797919"/>
    <w:rsid w:val="007A0904"/>
    <w:rsid w:val="007A1B90"/>
    <w:rsid w:val="007A2170"/>
    <w:rsid w:val="007A22BF"/>
    <w:rsid w:val="007A3323"/>
    <w:rsid w:val="007A3E2C"/>
    <w:rsid w:val="007A56B8"/>
    <w:rsid w:val="007A6ABD"/>
    <w:rsid w:val="007B2DA6"/>
    <w:rsid w:val="007B37F1"/>
    <w:rsid w:val="007B72B8"/>
    <w:rsid w:val="007B7A58"/>
    <w:rsid w:val="007C21B5"/>
    <w:rsid w:val="007C5268"/>
    <w:rsid w:val="007C559D"/>
    <w:rsid w:val="007D11E5"/>
    <w:rsid w:val="007D2497"/>
    <w:rsid w:val="007D518C"/>
    <w:rsid w:val="007D526F"/>
    <w:rsid w:val="007E1FA4"/>
    <w:rsid w:val="007E38B1"/>
    <w:rsid w:val="007E4BD2"/>
    <w:rsid w:val="007E77A4"/>
    <w:rsid w:val="007F22E2"/>
    <w:rsid w:val="007F2356"/>
    <w:rsid w:val="007F2494"/>
    <w:rsid w:val="007F39C3"/>
    <w:rsid w:val="007F74C1"/>
    <w:rsid w:val="007F7CCA"/>
    <w:rsid w:val="00801393"/>
    <w:rsid w:val="0080152E"/>
    <w:rsid w:val="008016F1"/>
    <w:rsid w:val="00801D2A"/>
    <w:rsid w:val="00802F88"/>
    <w:rsid w:val="00803CF7"/>
    <w:rsid w:val="00804098"/>
    <w:rsid w:val="00811649"/>
    <w:rsid w:val="0081293E"/>
    <w:rsid w:val="00815465"/>
    <w:rsid w:val="008167C7"/>
    <w:rsid w:val="00817B62"/>
    <w:rsid w:val="00817E9A"/>
    <w:rsid w:val="00825825"/>
    <w:rsid w:val="00827F7D"/>
    <w:rsid w:val="008306BD"/>
    <w:rsid w:val="00831A80"/>
    <w:rsid w:val="00833034"/>
    <w:rsid w:val="008336F5"/>
    <w:rsid w:val="00833743"/>
    <w:rsid w:val="008340A4"/>
    <w:rsid w:val="00836C98"/>
    <w:rsid w:val="00842370"/>
    <w:rsid w:val="00851AF8"/>
    <w:rsid w:val="00856AF2"/>
    <w:rsid w:val="00857AD2"/>
    <w:rsid w:val="00860787"/>
    <w:rsid w:val="00861768"/>
    <w:rsid w:val="00864B96"/>
    <w:rsid w:val="00866A25"/>
    <w:rsid w:val="008712D5"/>
    <w:rsid w:val="0087135F"/>
    <w:rsid w:val="00872D94"/>
    <w:rsid w:val="00874E42"/>
    <w:rsid w:val="0087653E"/>
    <w:rsid w:val="00877EAE"/>
    <w:rsid w:val="00877F81"/>
    <w:rsid w:val="00880364"/>
    <w:rsid w:val="0088251D"/>
    <w:rsid w:val="00884A50"/>
    <w:rsid w:val="00886535"/>
    <w:rsid w:val="0088784F"/>
    <w:rsid w:val="00887D6A"/>
    <w:rsid w:val="008903DD"/>
    <w:rsid w:val="00891592"/>
    <w:rsid w:val="0089199C"/>
    <w:rsid w:val="00891E9E"/>
    <w:rsid w:val="00893224"/>
    <w:rsid w:val="008A2F68"/>
    <w:rsid w:val="008B31F6"/>
    <w:rsid w:val="008B3428"/>
    <w:rsid w:val="008B4FA6"/>
    <w:rsid w:val="008B5282"/>
    <w:rsid w:val="008B7C17"/>
    <w:rsid w:val="008C2D01"/>
    <w:rsid w:val="008C40E6"/>
    <w:rsid w:val="008C470F"/>
    <w:rsid w:val="008D0F7A"/>
    <w:rsid w:val="008D30A0"/>
    <w:rsid w:val="008D67D3"/>
    <w:rsid w:val="008D68E4"/>
    <w:rsid w:val="008D6AE5"/>
    <w:rsid w:val="008E0506"/>
    <w:rsid w:val="008E0CFF"/>
    <w:rsid w:val="008E2180"/>
    <w:rsid w:val="008E3493"/>
    <w:rsid w:val="008E5288"/>
    <w:rsid w:val="008E57DA"/>
    <w:rsid w:val="008E5D6B"/>
    <w:rsid w:val="008E76F0"/>
    <w:rsid w:val="008E7E76"/>
    <w:rsid w:val="008F15FE"/>
    <w:rsid w:val="008F2D29"/>
    <w:rsid w:val="008F5187"/>
    <w:rsid w:val="008F60D8"/>
    <w:rsid w:val="008F739A"/>
    <w:rsid w:val="00902727"/>
    <w:rsid w:val="0090312B"/>
    <w:rsid w:val="00910818"/>
    <w:rsid w:val="00911D8E"/>
    <w:rsid w:val="00912640"/>
    <w:rsid w:val="009140ED"/>
    <w:rsid w:val="00916FA7"/>
    <w:rsid w:val="0091729C"/>
    <w:rsid w:val="0091736D"/>
    <w:rsid w:val="0092192F"/>
    <w:rsid w:val="00923CA8"/>
    <w:rsid w:val="009272A0"/>
    <w:rsid w:val="0093037A"/>
    <w:rsid w:val="009333FC"/>
    <w:rsid w:val="00933DB7"/>
    <w:rsid w:val="00934FE1"/>
    <w:rsid w:val="009365D3"/>
    <w:rsid w:val="00937912"/>
    <w:rsid w:val="0094154D"/>
    <w:rsid w:val="00942436"/>
    <w:rsid w:val="0094364A"/>
    <w:rsid w:val="00944500"/>
    <w:rsid w:val="00945BDF"/>
    <w:rsid w:val="00946B8F"/>
    <w:rsid w:val="00947480"/>
    <w:rsid w:val="00950126"/>
    <w:rsid w:val="0095155F"/>
    <w:rsid w:val="009518C7"/>
    <w:rsid w:val="00951D4B"/>
    <w:rsid w:val="00954429"/>
    <w:rsid w:val="00955D42"/>
    <w:rsid w:val="009563CE"/>
    <w:rsid w:val="00960CBF"/>
    <w:rsid w:val="00962C45"/>
    <w:rsid w:val="009647FF"/>
    <w:rsid w:val="009660CA"/>
    <w:rsid w:val="0096626E"/>
    <w:rsid w:val="009728DB"/>
    <w:rsid w:val="0097295B"/>
    <w:rsid w:val="00973D87"/>
    <w:rsid w:val="009744A3"/>
    <w:rsid w:val="00976328"/>
    <w:rsid w:val="0097680D"/>
    <w:rsid w:val="00982438"/>
    <w:rsid w:val="009830D7"/>
    <w:rsid w:val="00983D77"/>
    <w:rsid w:val="0098404C"/>
    <w:rsid w:val="00985283"/>
    <w:rsid w:val="00987685"/>
    <w:rsid w:val="00987E98"/>
    <w:rsid w:val="00990D4B"/>
    <w:rsid w:val="00994809"/>
    <w:rsid w:val="00994FEB"/>
    <w:rsid w:val="00995992"/>
    <w:rsid w:val="009A03E5"/>
    <w:rsid w:val="009A0F3B"/>
    <w:rsid w:val="009A1499"/>
    <w:rsid w:val="009A1BB4"/>
    <w:rsid w:val="009A2628"/>
    <w:rsid w:val="009A3200"/>
    <w:rsid w:val="009A3BCB"/>
    <w:rsid w:val="009A528B"/>
    <w:rsid w:val="009A69E1"/>
    <w:rsid w:val="009B0897"/>
    <w:rsid w:val="009B1DA1"/>
    <w:rsid w:val="009B7BD9"/>
    <w:rsid w:val="009C567E"/>
    <w:rsid w:val="009C64C2"/>
    <w:rsid w:val="009C7016"/>
    <w:rsid w:val="009C7DD5"/>
    <w:rsid w:val="009D124D"/>
    <w:rsid w:val="009D1B71"/>
    <w:rsid w:val="009D2749"/>
    <w:rsid w:val="009D3DF1"/>
    <w:rsid w:val="009E0F6C"/>
    <w:rsid w:val="009E227D"/>
    <w:rsid w:val="009E4A50"/>
    <w:rsid w:val="009E5019"/>
    <w:rsid w:val="009E5D91"/>
    <w:rsid w:val="009E681E"/>
    <w:rsid w:val="009E73CB"/>
    <w:rsid w:val="009F2A86"/>
    <w:rsid w:val="009F312D"/>
    <w:rsid w:val="009F48AC"/>
    <w:rsid w:val="009F4D9F"/>
    <w:rsid w:val="009F60DB"/>
    <w:rsid w:val="009F6419"/>
    <w:rsid w:val="009F6A97"/>
    <w:rsid w:val="00A02953"/>
    <w:rsid w:val="00A02A6F"/>
    <w:rsid w:val="00A02A84"/>
    <w:rsid w:val="00A04F1B"/>
    <w:rsid w:val="00A0501B"/>
    <w:rsid w:val="00A064B2"/>
    <w:rsid w:val="00A0776C"/>
    <w:rsid w:val="00A139D1"/>
    <w:rsid w:val="00A14947"/>
    <w:rsid w:val="00A151F5"/>
    <w:rsid w:val="00A1767F"/>
    <w:rsid w:val="00A2665E"/>
    <w:rsid w:val="00A26AA7"/>
    <w:rsid w:val="00A32A83"/>
    <w:rsid w:val="00A3343C"/>
    <w:rsid w:val="00A33C4F"/>
    <w:rsid w:val="00A34BE9"/>
    <w:rsid w:val="00A3560C"/>
    <w:rsid w:val="00A366E6"/>
    <w:rsid w:val="00A368DB"/>
    <w:rsid w:val="00A37F33"/>
    <w:rsid w:val="00A423AA"/>
    <w:rsid w:val="00A44B96"/>
    <w:rsid w:val="00A467B8"/>
    <w:rsid w:val="00A502C8"/>
    <w:rsid w:val="00A53E96"/>
    <w:rsid w:val="00A53EC6"/>
    <w:rsid w:val="00A54606"/>
    <w:rsid w:val="00A55C0F"/>
    <w:rsid w:val="00A57297"/>
    <w:rsid w:val="00A63797"/>
    <w:rsid w:val="00A643A1"/>
    <w:rsid w:val="00A65F34"/>
    <w:rsid w:val="00A71CE7"/>
    <w:rsid w:val="00A73011"/>
    <w:rsid w:val="00A733A3"/>
    <w:rsid w:val="00A74116"/>
    <w:rsid w:val="00A755A8"/>
    <w:rsid w:val="00A836A3"/>
    <w:rsid w:val="00A8713F"/>
    <w:rsid w:val="00A872CC"/>
    <w:rsid w:val="00A9016D"/>
    <w:rsid w:val="00A90BA1"/>
    <w:rsid w:val="00A933C2"/>
    <w:rsid w:val="00A946D2"/>
    <w:rsid w:val="00A95D33"/>
    <w:rsid w:val="00A96E48"/>
    <w:rsid w:val="00A97A9A"/>
    <w:rsid w:val="00AA02D2"/>
    <w:rsid w:val="00AA0671"/>
    <w:rsid w:val="00AA2531"/>
    <w:rsid w:val="00AA4008"/>
    <w:rsid w:val="00AA5346"/>
    <w:rsid w:val="00AA6952"/>
    <w:rsid w:val="00AB1B26"/>
    <w:rsid w:val="00AB1E09"/>
    <w:rsid w:val="00AB47F4"/>
    <w:rsid w:val="00AB5330"/>
    <w:rsid w:val="00AB65ED"/>
    <w:rsid w:val="00AB7747"/>
    <w:rsid w:val="00AC14CE"/>
    <w:rsid w:val="00AC2A56"/>
    <w:rsid w:val="00AC3714"/>
    <w:rsid w:val="00AC5BB1"/>
    <w:rsid w:val="00AC6857"/>
    <w:rsid w:val="00AC76E9"/>
    <w:rsid w:val="00AD055E"/>
    <w:rsid w:val="00AD0CB5"/>
    <w:rsid w:val="00AD47A7"/>
    <w:rsid w:val="00AD58B2"/>
    <w:rsid w:val="00AE04C1"/>
    <w:rsid w:val="00AE27D3"/>
    <w:rsid w:val="00AE2FB8"/>
    <w:rsid w:val="00AE3C63"/>
    <w:rsid w:val="00AE49CC"/>
    <w:rsid w:val="00AE615E"/>
    <w:rsid w:val="00AE63B7"/>
    <w:rsid w:val="00AF0CBF"/>
    <w:rsid w:val="00AF114D"/>
    <w:rsid w:val="00AF1422"/>
    <w:rsid w:val="00AF257F"/>
    <w:rsid w:val="00AF2C69"/>
    <w:rsid w:val="00AF33CF"/>
    <w:rsid w:val="00AF3899"/>
    <w:rsid w:val="00AF4D50"/>
    <w:rsid w:val="00AF6179"/>
    <w:rsid w:val="00AF68A6"/>
    <w:rsid w:val="00AF70F4"/>
    <w:rsid w:val="00B0035B"/>
    <w:rsid w:val="00B03FB5"/>
    <w:rsid w:val="00B061AF"/>
    <w:rsid w:val="00B1295A"/>
    <w:rsid w:val="00B137F0"/>
    <w:rsid w:val="00B159F8"/>
    <w:rsid w:val="00B207FA"/>
    <w:rsid w:val="00B20A45"/>
    <w:rsid w:val="00B22C5C"/>
    <w:rsid w:val="00B24F30"/>
    <w:rsid w:val="00B2709C"/>
    <w:rsid w:val="00B276C3"/>
    <w:rsid w:val="00B31ABF"/>
    <w:rsid w:val="00B33BE3"/>
    <w:rsid w:val="00B417EC"/>
    <w:rsid w:val="00B42118"/>
    <w:rsid w:val="00B42366"/>
    <w:rsid w:val="00B443E0"/>
    <w:rsid w:val="00B452EA"/>
    <w:rsid w:val="00B45A9D"/>
    <w:rsid w:val="00B507D0"/>
    <w:rsid w:val="00B518CD"/>
    <w:rsid w:val="00B51FB1"/>
    <w:rsid w:val="00B530BE"/>
    <w:rsid w:val="00B53B5D"/>
    <w:rsid w:val="00B54B06"/>
    <w:rsid w:val="00B6055E"/>
    <w:rsid w:val="00B607F7"/>
    <w:rsid w:val="00B61CBD"/>
    <w:rsid w:val="00B6317D"/>
    <w:rsid w:val="00B65323"/>
    <w:rsid w:val="00B75731"/>
    <w:rsid w:val="00B7723F"/>
    <w:rsid w:val="00B80534"/>
    <w:rsid w:val="00B842E7"/>
    <w:rsid w:val="00B8433C"/>
    <w:rsid w:val="00B85906"/>
    <w:rsid w:val="00B87491"/>
    <w:rsid w:val="00B92842"/>
    <w:rsid w:val="00B9617B"/>
    <w:rsid w:val="00BA29E9"/>
    <w:rsid w:val="00BA31BD"/>
    <w:rsid w:val="00BA4DBE"/>
    <w:rsid w:val="00BA5DC6"/>
    <w:rsid w:val="00BA7142"/>
    <w:rsid w:val="00BB237C"/>
    <w:rsid w:val="00BB2CF7"/>
    <w:rsid w:val="00BB3A2F"/>
    <w:rsid w:val="00BB41A3"/>
    <w:rsid w:val="00BB5D43"/>
    <w:rsid w:val="00BC17D2"/>
    <w:rsid w:val="00BC32DC"/>
    <w:rsid w:val="00BC35AF"/>
    <w:rsid w:val="00BC35B6"/>
    <w:rsid w:val="00BC4220"/>
    <w:rsid w:val="00BC4B4F"/>
    <w:rsid w:val="00BC6487"/>
    <w:rsid w:val="00BD128B"/>
    <w:rsid w:val="00BD1B51"/>
    <w:rsid w:val="00BD2C25"/>
    <w:rsid w:val="00BD4596"/>
    <w:rsid w:val="00BD76B0"/>
    <w:rsid w:val="00BE0BF9"/>
    <w:rsid w:val="00BE1405"/>
    <w:rsid w:val="00BE1CD7"/>
    <w:rsid w:val="00BE2906"/>
    <w:rsid w:val="00BE312D"/>
    <w:rsid w:val="00BE3EC1"/>
    <w:rsid w:val="00BE6B81"/>
    <w:rsid w:val="00BE6C7D"/>
    <w:rsid w:val="00BF0057"/>
    <w:rsid w:val="00BF0EC3"/>
    <w:rsid w:val="00BF1816"/>
    <w:rsid w:val="00BF1C20"/>
    <w:rsid w:val="00BF2108"/>
    <w:rsid w:val="00BF249C"/>
    <w:rsid w:val="00BF4BBC"/>
    <w:rsid w:val="00C01DA9"/>
    <w:rsid w:val="00C02ECA"/>
    <w:rsid w:val="00C03B8E"/>
    <w:rsid w:val="00C03CFE"/>
    <w:rsid w:val="00C06291"/>
    <w:rsid w:val="00C10578"/>
    <w:rsid w:val="00C10A6F"/>
    <w:rsid w:val="00C12636"/>
    <w:rsid w:val="00C135BC"/>
    <w:rsid w:val="00C144E1"/>
    <w:rsid w:val="00C150DE"/>
    <w:rsid w:val="00C156B5"/>
    <w:rsid w:val="00C15C95"/>
    <w:rsid w:val="00C16293"/>
    <w:rsid w:val="00C16DDD"/>
    <w:rsid w:val="00C221C2"/>
    <w:rsid w:val="00C2358E"/>
    <w:rsid w:val="00C24D0C"/>
    <w:rsid w:val="00C25865"/>
    <w:rsid w:val="00C2596A"/>
    <w:rsid w:val="00C262F7"/>
    <w:rsid w:val="00C27537"/>
    <w:rsid w:val="00C31ABF"/>
    <w:rsid w:val="00C31F80"/>
    <w:rsid w:val="00C32802"/>
    <w:rsid w:val="00C328FE"/>
    <w:rsid w:val="00C33507"/>
    <w:rsid w:val="00C4317F"/>
    <w:rsid w:val="00C43B54"/>
    <w:rsid w:val="00C4409D"/>
    <w:rsid w:val="00C44E72"/>
    <w:rsid w:val="00C44EDC"/>
    <w:rsid w:val="00C45A06"/>
    <w:rsid w:val="00C45DE6"/>
    <w:rsid w:val="00C47DB0"/>
    <w:rsid w:val="00C47E5B"/>
    <w:rsid w:val="00C51635"/>
    <w:rsid w:val="00C5680C"/>
    <w:rsid w:val="00C571F6"/>
    <w:rsid w:val="00C60289"/>
    <w:rsid w:val="00C61E4B"/>
    <w:rsid w:val="00C64BFB"/>
    <w:rsid w:val="00C64BFF"/>
    <w:rsid w:val="00C64EBB"/>
    <w:rsid w:val="00C704E9"/>
    <w:rsid w:val="00C70822"/>
    <w:rsid w:val="00C70DAA"/>
    <w:rsid w:val="00C763C9"/>
    <w:rsid w:val="00C80057"/>
    <w:rsid w:val="00C80C19"/>
    <w:rsid w:val="00C82232"/>
    <w:rsid w:val="00C82913"/>
    <w:rsid w:val="00C8430A"/>
    <w:rsid w:val="00C85B88"/>
    <w:rsid w:val="00C92C4A"/>
    <w:rsid w:val="00C953F2"/>
    <w:rsid w:val="00C95B2D"/>
    <w:rsid w:val="00C969E5"/>
    <w:rsid w:val="00C972B1"/>
    <w:rsid w:val="00CA2CCE"/>
    <w:rsid w:val="00CA43FD"/>
    <w:rsid w:val="00CA5180"/>
    <w:rsid w:val="00CA6896"/>
    <w:rsid w:val="00CA6AB0"/>
    <w:rsid w:val="00CA6F5D"/>
    <w:rsid w:val="00CA768A"/>
    <w:rsid w:val="00CA7EF8"/>
    <w:rsid w:val="00CB1C28"/>
    <w:rsid w:val="00CC1188"/>
    <w:rsid w:val="00CC1932"/>
    <w:rsid w:val="00CC1A91"/>
    <w:rsid w:val="00CC489B"/>
    <w:rsid w:val="00CC65C8"/>
    <w:rsid w:val="00CC724F"/>
    <w:rsid w:val="00CD125B"/>
    <w:rsid w:val="00CD2BCD"/>
    <w:rsid w:val="00CD3A4C"/>
    <w:rsid w:val="00CD55E8"/>
    <w:rsid w:val="00CD7061"/>
    <w:rsid w:val="00CE080E"/>
    <w:rsid w:val="00CE10E9"/>
    <w:rsid w:val="00CE21BD"/>
    <w:rsid w:val="00CE2439"/>
    <w:rsid w:val="00CE2910"/>
    <w:rsid w:val="00CE42F8"/>
    <w:rsid w:val="00CE4E69"/>
    <w:rsid w:val="00CE5393"/>
    <w:rsid w:val="00CF0AEF"/>
    <w:rsid w:val="00CF36BE"/>
    <w:rsid w:val="00CF5069"/>
    <w:rsid w:val="00CF6000"/>
    <w:rsid w:val="00CF710B"/>
    <w:rsid w:val="00D003F3"/>
    <w:rsid w:val="00D0301C"/>
    <w:rsid w:val="00D0364F"/>
    <w:rsid w:val="00D04594"/>
    <w:rsid w:val="00D05EF1"/>
    <w:rsid w:val="00D05FC3"/>
    <w:rsid w:val="00D06834"/>
    <w:rsid w:val="00D10EDE"/>
    <w:rsid w:val="00D11E9C"/>
    <w:rsid w:val="00D13E82"/>
    <w:rsid w:val="00D23DA9"/>
    <w:rsid w:val="00D246A9"/>
    <w:rsid w:val="00D308ED"/>
    <w:rsid w:val="00D3153D"/>
    <w:rsid w:val="00D340E2"/>
    <w:rsid w:val="00D35D32"/>
    <w:rsid w:val="00D36D86"/>
    <w:rsid w:val="00D40733"/>
    <w:rsid w:val="00D428AA"/>
    <w:rsid w:val="00D44BC1"/>
    <w:rsid w:val="00D47B8E"/>
    <w:rsid w:val="00D50A34"/>
    <w:rsid w:val="00D53EFA"/>
    <w:rsid w:val="00D54AD4"/>
    <w:rsid w:val="00D605EB"/>
    <w:rsid w:val="00D619BA"/>
    <w:rsid w:val="00D646BC"/>
    <w:rsid w:val="00D701E0"/>
    <w:rsid w:val="00D72FFA"/>
    <w:rsid w:val="00D75D58"/>
    <w:rsid w:val="00D771B7"/>
    <w:rsid w:val="00D775C5"/>
    <w:rsid w:val="00D81386"/>
    <w:rsid w:val="00D81829"/>
    <w:rsid w:val="00D8735D"/>
    <w:rsid w:val="00D94A7C"/>
    <w:rsid w:val="00D95896"/>
    <w:rsid w:val="00D9677E"/>
    <w:rsid w:val="00D96A76"/>
    <w:rsid w:val="00DA52D3"/>
    <w:rsid w:val="00DA6299"/>
    <w:rsid w:val="00DB2983"/>
    <w:rsid w:val="00DB2A5D"/>
    <w:rsid w:val="00DB4076"/>
    <w:rsid w:val="00DB44EF"/>
    <w:rsid w:val="00DB5108"/>
    <w:rsid w:val="00DB63F4"/>
    <w:rsid w:val="00DB6CB9"/>
    <w:rsid w:val="00DC1257"/>
    <w:rsid w:val="00DC2126"/>
    <w:rsid w:val="00DC279D"/>
    <w:rsid w:val="00DC2C43"/>
    <w:rsid w:val="00DC3DC0"/>
    <w:rsid w:val="00DC5B2B"/>
    <w:rsid w:val="00DC6E52"/>
    <w:rsid w:val="00DD2F99"/>
    <w:rsid w:val="00DD318D"/>
    <w:rsid w:val="00DD38F2"/>
    <w:rsid w:val="00DD65DF"/>
    <w:rsid w:val="00DD6C81"/>
    <w:rsid w:val="00DD6DD8"/>
    <w:rsid w:val="00DD711C"/>
    <w:rsid w:val="00DE08F2"/>
    <w:rsid w:val="00DE0C43"/>
    <w:rsid w:val="00DE6D3E"/>
    <w:rsid w:val="00DF1641"/>
    <w:rsid w:val="00DF2E12"/>
    <w:rsid w:val="00DF514A"/>
    <w:rsid w:val="00DF5503"/>
    <w:rsid w:val="00DF6619"/>
    <w:rsid w:val="00DF6690"/>
    <w:rsid w:val="00DF6711"/>
    <w:rsid w:val="00DF6804"/>
    <w:rsid w:val="00E009E3"/>
    <w:rsid w:val="00E00B86"/>
    <w:rsid w:val="00E01C25"/>
    <w:rsid w:val="00E0358D"/>
    <w:rsid w:val="00E0415E"/>
    <w:rsid w:val="00E04323"/>
    <w:rsid w:val="00E04966"/>
    <w:rsid w:val="00E070A2"/>
    <w:rsid w:val="00E102C2"/>
    <w:rsid w:val="00E11A01"/>
    <w:rsid w:val="00E1402A"/>
    <w:rsid w:val="00E16791"/>
    <w:rsid w:val="00E16D6A"/>
    <w:rsid w:val="00E2174C"/>
    <w:rsid w:val="00E24DF3"/>
    <w:rsid w:val="00E25C20"/>
    <w:rsid w:val="00E2656A"/>
    <w:rsid w:val="00E26D18"/>
    <w:rsid w:val="00E32821"/>
    <w:rsid w:val="00E34C97"/>
    <w:rsid w:val="00E35289"/>
    <w:rsid w:val="00E3544E"/>
    <w:rsid w:val="00E3756F"/>
    <w:rsid w:val="00E37BEC"/>
    <w:rsid w:val="00E406D4"/>
    <w:rsid w:val="00E412D0"/>
    <w:rsid w:val="00E423EF"/>
    <w:rsid w:val="00E4403C"/>
    <w:rsid w:val="00E45823"/>
    <w:rsid w:val="00E45932"/>
    <w:rsid w:val="00E467FE"/>
    <w:rsid w:val="00E52894"/>
    <w:rsid w:val="00E542F4"/>
    <w:rsid w:val="00E56322"/>
    <w:rsid w:val="00E57064"/>
    <w:rsid w:val="00E60982"/>
    <w:rsid w:val="00E615F8"/>
    <w:rsid w:val="00E625DC"/>
    <w:rsid w:val="00E62C62"/>
    <w:rsid w:val="00E640DF"/>
    <w:rsid w:val="00E654C1"/>
    <w:rsid w:val="00E65D97"/>
    <w:rsid w:val="00E72A5A"/>
    <w:rsid w:val="00E73354"/>
    <w:rsid w:val="00E736B8"/>
    <w:rsid w:val="00E73E9A"/>
    <w:rsid w:val="00E77558"/>
    <w:rsid w:val="00E77F2F"/>
    <w:rsid w:val="00E82F7E"/>
    <w:rsid w:val="00E83E3F"/>
    <w:rsid w:val="00E8427B"/>
    <w:rsid w:val="00E9242D"/>
    <w:rsid w:val="00EA058C"/>
    <w:rsid w:val="00EA1C94"/>
    <w:rsid w:val="00EA3838"/>
    <w:rsid w:val="00EA5236"/>
    <w:rsid w:val="00EB114A"/>
    <w:rsid w:val="00EB5255"/>
    <w:rsid w:val="00EB5C47"/>
    <w:rsid w:val="00EC559E"/>
    <w:rsid w:val="00EC5A26"/>
    <w:rsid w:val="00EC76A7"/>
    <w:rsid w:val="00ED0639"/>
    <w:rsid w:val="00ED1AE2"/>
    <w:rsid w:val="00ED1E2A"/>
    <w:rsid w:val="00ED2DB2"/>
    <w:rsid w:val="00ED75B3"/>
    <w:rsid w:val="00EF2311"/>
    <w:rsid w:val="00EF4755"/>
    <w:rsid w:val="00EF7135"/>
    <w:rsid w:val="00EF74A8"/>
    <w:rsid w:val="00F01418"/>
    <w:rsid w:val="00F01AC1"/>
    <w:rsid w:val="00F027DB"/>
    <w:rsid w:val="00F0654F"/>
    <w:rsid w:val="00F06AA5"/>
    <w:rsid w:val="00F1121D"/>
    <w:rsid w:val="00F14A7A"/>
    <w:rsid w:val="00F17165"/>
    <w:rsid w:val="00F17DE1"/>
    <w:rsid w:val="00F22985"/>
    <w:rsid w:val="00F24A1C"/>
    <w:rsid w:val="00F2515D"/>
    <w:rsid w:val="00F27878"/>
    <w:rsid w:val="00F27CDB"/>
    <w:rsid w:val="00F3383E"/>
    <w:rsid w:val="00F41ED4"/>
    <w:rsid w:val="00F429BE"/>
    <w:rsid w:val="00F4498B"/>
    <w:rsid w:val="00F4585C"/>
    <w:rsid w:val="00F465A7"/>
    <w:rsid w:val="00F50B7C"/>
    <w:rsid w:val="00F51C65"/>
    <w:rsid w:val="00F534C1"/>
    <w:rsid w:val="00F550E6"/>
    <w:rsid w:val="00F6075E"/>
    <w:rsid w:val="00F61BC8"/>
    <w:rsid w:val="00F63F40"/>
    <w:rsid w:val="00F66024"/>
    <w:rsid w:val="00F66E74"/>
    <w:rsid w:val="00F66E79"/>
    <w:rsid w:val="00F673FC"/>
    <w:rsid w:val="00F7356A"/>
    <w:rsid w:val="00F74345"/>
    <w:rsid w:val="00F763E3"/>
    <w:rsid w:val="00F7751E"/>
    <w:rsid w:val="00F77E2A"/>
    <w:rsid w:val="00F80A0A"/>
    <w:rsid w:val="00F82B19"/>
    <w:rsid w:val="00F82EA2"/>
    <w:rsid w:val="00F874C1"/>
    <w:rsid w:val="00F900EF"/>
    <w:rsid w:val="00F920D9"/>
    <w:rsid w:val="00F9212D"/>
    <w:rsid w:val="00F92310"/>
    <w:rsid w:val="00F94AAD"/>
    <w:rsid w:val="00F9584E"/>
    <w:rsid w:val="00F965DA"/>
    <w:rsid w:val="00FA02AF"/>
    <w:rsid w:val="00FA406A"/>
    <w:rsid w:val="00FA4B85"/>
    <w:rsid w:val="00FA6395"/>
    <w:rsid w:val="00FB503A"/>
    <w:rsid w:val="00FB516C"/>
    <w:rsid w:val="00FB5B9D"/>
    <w:rsid w:val="00FB7B7E"/>
    <w:rsid w:val="00FB7FA4"/>
    <w:rsid w:val="00FC0127"/>
    <w:rsid w:val="00FC019B"/>
    <w:rsid w:val="00FC3FD7"/>
    <w:rsid w:val="00FC64E5"/>
    <w:rsid w:val="00FC672F"/>
    <w:rsid w:val="00FD0236"/>
    <w:rsid w:val="00FD0DCC"/>
    <w:rsid w:val="00FD18F4"/>
    <w:rsid w:val="00FD4628"/>
    <w:rsid w:val="00FD54DB"/>
    <w:rsid w:val="00FD5ACA"/>
    <w:rsid w:val="00FD5B69"/>
    <w:rsid w:val="00FD619F"/>
    <w:rsid w:val="00FE0EB4"/>
    <w:rsid w:val="00FE23FA"/>
    <w:rsid w:val="00FE3AB9"/>
    <w:rsid w:val="00FE3CC0"/>
    <w:rsid w:val="00FE3CF8"/>
    <w:rsid w:val="00FF02C7"/>
    <w:rsid w:val="00FF46E2"/>
    <w:rsid w:val="00FF584F"/>
    <w:rsid w:val="00FF6EC1"/>
    <w:rsid w:val="0121476D"/>
    <w:rsid w:val="01227D26"/>
    <w:rsid w:val="01290F7E"/>
    <w:rsid w:val="013400FE"/>
    <w:rsid w:val="01422685"/>
    <w:rsid w:val="0149684A"/>
    <w:rsid w:val="014F219D"/>
    <w:rsid w:val="015D1E09"/>
    <w:rsid w:val="017578D1"/>
    <w:rsid w:val="017B756B"/>
    <w:rsid w:val="019D115B"/>
    <w:rsid w:val="01AC75F0"/>
    <w:rsid w:val="01B6046E"/>
    <w:rsid w:val="0214287F"/>
    <w:rsid w:val="02217FDE"/>
    <w:rsid w:val="024D032C"/>
    <w:rsid w:val="02697903"/>
    <w:rsid w:val="02B10F3F"/>
    <w:rsid w:val="02B61628"/>
    <w:rsid w:val="02DE7C7D"/>
    <w:rsid w:val="02F96569"/>
    <w:rsid w:val="030F3DCA"/>
    <w:rsid w:val="032000D3"/>
    <w:rsid w:val="03204490"/>
    <w:rsid w:val="03280EF8"/>
    <w:rsid w:val="032C0635"/>
    <w:rsid w:val="0340173B"/>
    <w:rsid w:val="037800D1"/>
    <w:rsid w:val="03A569EC"/>
    <w:rsid w:val="03EA43FF"/>
    <w:rsid w:val="03EA7B21"/>
    <w:rsid w:val="0439121C"/>
    <w:rsid w:val="04463D2B"/>
    <w:rsid w:val="04624CC1"/>
    <w:rsid w:val="04695C6C"/>
    <w:rsid w:val="047B1F91"/>
    <w:rsid w:val="048E122E"/>
    <w:rsid w:val="04945913"/>
    <w:rsid w:val="050414F1"/>
    <w:rsid w:val="05080FE1"/>
    <w:rsid w:val="051756C8"/>
    <w:rsid w:val="05F83EAE"/>
    <w:rsid w:val="063E7D85"/>
    <w:rsid w:val="06D03D80"/>
    <w:rsid w:val="06FB5D01"/>
    <w:rsid w:val="0700028A"/>
    <w:rsid w:val="07075397"/>
    <w:rsid w:val="07293586"/>
    <w:rsid w:val="07295285"/>
    <w:rsid w:val="074D53D1"/>
    <w:rsid w:val="075208BC"/>
    <w:rsid w:val="07636392"/>
    <w:rsid w:val="07770C56"/>
    <w:rsid w:val="08004B16"/>
    <w:rsid w:val="08023D6D"/>
    <w:rsid w:val="081F1EEA"/>
    <w:rsid w:val="082D3F49"/>
    <w:rsid w:val="084C1133"/>
    <w:rsid w:val="08586FBA"/>
    <w:rsid w:val="08803FE2"/>
    <w:rsid w:val="08C30BBC"/>
    <w:rsid w:val="08C571E9"/>
    <w:rsid w:val="08CE609D"/>
    <w:rsid w:val="08FA104A"/>
    <w:rsid w:val="08FE573A"/>
    <w:rsid w:val="09134B08"/>
    <w:rsid w:val="092217DD"/>
    <w:rsid w:val="093A7294"/>
    <w:rsid w:val="097A6225"/>
    <w:rsid w:val="09886B94"/>
    <w:rsid w:val="09B72D90"/>
    <w:rsid w:val="09CD0BC8"/>
    <w:rsid w:val="09DC47EA"/>
    <w:rsid w:val="0A0B0E87"/>
    <w:rsid w:val="0A263993"/>
    <w:rsid w:val="0A2D3AC2"/>
    <w:rsid w:val="0A73050A"/>
    <w:rsid w:val="0A73514E"/>
    <w:rsid w:val="0AA755DF"/>
    <w:rsid w:val="0AB37C41"/>
    <w:rsid w:val="0AB81E4C"/>
    <w:rsid w:val="0B01011B"/>
    <w:rsid w:val="0B0725FA"/>
    <w:rsid w:val="0B120D44"/>
    <w:rsid w:val="0B2428ED"/>
    <w:rsid w:val="0B381EF4"/>
    <w:rsid w:val="0B5D2A85"/>
    <w:rsid w:val="0B691618"/>
    <w:rsid w:val="0B6947A3"/>
    <w:rsid w:val="0B6D619D"/>
    <w:rsid w:val="0B9A670B"/>
    <w:rsid w:val="0BB377CC"/>
    <w:rsid w:val="0BD27BF6"/>
    <w:rsid w:val="0BD7170D"/>
    <w:rsid w:val="0BDD3C34"/>
    <w:rsid w:val="0BF873AE"/>
    <w:rsid w:val="0BFC5617"/>
    <w:rsid w:val="0C050C2B"/>
    <w:rsid w:val="0C0A37B7"/>
    <w:rsid w:val="0C3B3C7D"/>
    <w:rsid w:val="0C4466D1"/>
    <w:rsid w:val="0C582550"/>
    <w:rsid w:val="0C655ADA"/>
    <w:rsid w:val="0C7F7134"/>
    <w:rsid w:val="0CAB2EAE"/>
    <w:rsid w:val="0CB3217A"/>
    <w:rsid w:val="0CBF16C1"/>
    <w:rsid w:val="0CED2325"/>
    <w:rsid w:val="0CEE4F60"/>
    <w:rsid w:val="0CFA1B57"/>
    <w:rsid w:val="0D174E3A"/>
    <w:rsid w:val="0D2E1801"/>
    <w:rsid w:val="0D4032E2"/>
    <w:rsid w:val="0D5648B3"/>
    <w:rsid w:val="0D576B3A"/>
    <w:rsid w:val="0D621C7D"/>
    <w:rsid w:val="0D816B91"/>
    <w:rsid w:val="0D887163"/>
    <w:rsid w:val="0DBA12E6"/>
    <w:rsid w:val="0DC93200"/>
    <w:rsid w:val="0DD14649"/>
    <w:rsid w:val="0DE10485"/>
    <w:rsid w:val="0DEE2C61"/>
    <w:rsid w:val="0E245572"/>
    <w:rsid w:val="0E2826F4"/>
    <w:rsid w:val="0E39220B"/>
    <w:rsid w:val="0E3C0610"/>
    <w:rsid w:val="0E4A4418"/>
    <w:rsid w:val="0E603C3C"/>
    <w:rsid w:val="0E73034D"/>
    <w:rsid w:val="0E73709D"/>
    <w:rsid w:val="0E777553"/>
    <w:rsid w:val="0E8548DB"/>
    <w:rsid w:val="0EA004DC"/>
    <w:rsid w:val="0EB126E9"/>
    <w:rsid w:val="0EC23EF9"/>
    <w:rsid w:val="0EE02FCE"/>
    <w:rsid w:val="0EFE76A6"/>
    <w:rsid w:val="0F13775A"/>
    <w:rsid w:val="0F16502F"/>
    <w:rsid w:val="0F393013"/>
    <w:rsid w:val="0F3B19BA"/>
    <w:rsid w:val="0F5F0397"/>
    <w:rsid w:val="0F5F45FE"/>
    <w:rsid w:val="0F6565D0"/>
    <w:rsid w:val="0F9A112B"/>
    <w:rsid w:val="0FB222DC"/>
    <w:rsid w:val="0FDF3286"/>
    <w:rsid w:val="10001D7C"/>
    <w:rsid w:val="10484987"/>
    <w:rsid w:val="10592E40"/>
    <w:rsid w:val="10653ED3"/>
    <w:rsid w:val="106D2F64"/>
    <w:rsid w:val="10B63710"/>
    <w:rsid w:val="10B71B0D"/>
    <w:rsid w:val="10D34B99"/>
    <w:rsid w:val="10F10820"/>
    <w:rsid w:val="11056D1C"/>
    <w:rsid w:val="110671EB"/>
    <w:rsid w:val="111C2F7A"/>
    <w:rsid w:val="114A2981"/>
    <w:rsid w:val="11665CA1"/>
    <w:rsid w:val="11891552"/>
    <w:rsid w:val="11957C2D"/>
    <w:rsid w:val="119B31DD"/>
    <w:rsid w:val="11F55566"/>
    <w:rsid w:val="11FA62F1"/>
    <w:rsid w:val="12045226"/>
    <w:rsid w:val="1288104C"/>
    <w:rsid w:val="12892176"/>
    <w:rsid w:val="12B6616E"/>
    <w:rsid w:val="12F04B4F"/>
    <w:rsid w:val="13053004"/>
    <w:rsid w:val="130665F3"/>
    <w:rsid w:val="130C6AC1"/>
    <w:rsid w:val="134D7DB6"/>
    <w:rsid w:val="135A334F"/>
    <w:rsid w:val="13951726"/>
    <w:rsid w:val="139B1394"/>
    <w:rsid w:val="13AB5F50"/>
    <w:rsid w:val="13AD202C"/>
    <w:rsid w:val="13E92BA1"/>
    <w:rsid w:val="14396509"/>
    <w:rsid w:val="14A65A15"/>
    <w:rsid w:val="14AF11C5"/>
    <w:rsid w:val="14CF21C1"/>
    <w:rsid w:val="14D507B4"/>
    <w:rsid w:val="14DD2C3C"/>
    <w:rsid w:val="14E153AA"/>
    <w:rsid w:val="150F7A06"/>
    <w:rsid w:val="151C3478"/>
    <w:rsid w:val="15215C39"/>
    <w:rsid w:val="152534E9"/>
    <w:rsid w:val="15272026"/>
    <w:rsid w:val="15657D89"/>
    <w:rsid w:val="15800ED5"/>
    <w:rsid w:val="158F3058"/>
    <w:rsid w:val="15F86E50"/>
    <w:rsid w:val="16087E1D"/>
    <w:rsid w:val="1637590D"/>
    <w:rsid w:val="16595F00"/>
    <w:rsid w:val="16897AA8"/>
    <w:rsid w:val="16933481"/>
    <w:rsid w:val="16A909BC"/>
    <w:rsid w:val="16E125BC"/>
    <w:rsid w:val="16ED6288"/>
    <w:rsid w:val="17701D14"/>
    <w:rsid w:val="17735226"/>
    <w:rsid w:val="17803FEC"/>
    <w:rsid w:val="178D5376"/>
    <w:rsid w:val="17A20BD4"/>
    <w:rsid w:val="17A327EC"/>
    <w:rsid w:val="17C70888"/>
    <w:rsid w:val="182C0C67"/>
    <w:rsid w:val="182E497F"/>
    <w:rsid w:val="183B1275"/>
    <w:rsid w:val="186C7681"/>
    <w:rsid w:val="18971142"/>
    <w:rsid w:val="189F1804"/>
    <w:rsid w:val="189F624C"/>
    <w:rsid w:val="18DC0363"/>
    <w:rsid w:val="18FC27B3"/>
    <w:rsid w:val="193E0CE5"/>
    <w:rsid w:val="196969A8"/>
    <w:rsid w:val="19AF3CC9"/>
    <w:rsid w:val="19BD7615"/>
    <w:rsid w:val="19C201A3"/>
    <w:rsid w:val="19D61256"/>
    <w:rsid w:val="19D96275"/>
    <w:rsid w:val="19E55F7D"/>
    <w:rsid w:val="19FB3C03"/>
    <w:rsid w:val="1A1324AA"/>
    <w:rsid w:val="1A1C66C0"/>
    <w:rsid w:val="1A200723"/>
    <w:rsid w:val="1A310B82"/>
    <w:rsid w:val="1A3D3083"/>
    <w:rsid w:val="1A42393B"/>
    <w:rsid w:val="1A4A278D"/>
    <w:rsid w:val="1A600C7A"/>
    <w:rsid w:val="1A646826"/>
    <w:rsid w:val="1A690AB9"/>
    <w:rsid w:val="1A862C7C"/>
    <w:rsid w:val="1AAD45DE"/>
    <w:rsid w:val="1ACB68E1"/>
    <w:rsid w:val="1AD57714"/>
    <w:rsid w:val="1AF079B3"/>
    <w:rsid w:val="1AFA71C6"/>
    <w:rsid w:val="1B043BA1"/>
    <w:rsid w:val="1B046F80"/>
    <w:rsid w:val="1B067812"/>
    <w:rsid w:val="1B11161C"/>
    <w:rsid w:val="1B1628EF"/>
    <w:rsid w:val="1B224E7F"/>
    <w:rsid w:val="1B232D94"/>
    <w:rsid w:val="1B3267B5"/>
    <w:rsid w:val="1B40161D"/>
    <w:rsid w:val="1B423649"/>
    <w:rsid w:val="1B430B6D"/>
    <w:rsid w:val="1B441859"/>
    <w:rsid w:val="1B6606B1"/>
    <w:rsid w:val="1B83082F"/>
    <w:rsid w:val="1BB43819"/>
    <w:rsid w:val="1C014982"/>
    <w:rsid w:val="1C4D4DB5"/>
    <w:rsid w:val="1C4F6C7E"/>
    <w:rsid w:val="1C5E7925"/>
    <w:rsid w:val="1C6A3ED7"/>
    <w:rsid w:val="1C7B4C46"/>
    <w:rsid w:val="1C8B48E5"/>
    <w:rsid w:val="1CD6156D"/>
    <w:rsid w:val="1CFD070F"/>
    <w:rsid w:val="1D01483C"/>
    <w:rsid w:val="1D175E0D"/>
    <w:rsid w:val="1D352737"/>
    <w:rsid w:val="1D5F6196"/>
    <w:rsid w:val="1D6132A5"/>
    <w:rsid w:val="1D7B5975"/>
    <w:rsid w:val="1D7C3EC2"/>
    <w:rsid w:val="1D8E56D5"/>
    <w:rsid w:val="1DAA799F"/>
    <w:rsid w:val="1DCE29EC"/>
    <w:rsid w:val="1DF40DA2"/>
    <w:rsid w:val="1DFE0D7B"/>
    <w:rsid w:val="1E3F55AB"/>
    <w:rsid w:val="1E4C331B"/>
    <w:rsid w:val="1E6A169D"/>
    <w:rsid w:val="1E7A43DA"/>
    <w:rsid w:val="1EDC0404"/>
    <w:rsid w:val="1F1F101A"/>
    <w:rsid w:val="1F240FC9"/>
    <w:rsid w:val="1F374269"/>
    <w:rsid w:val="1F38206B"/>
    <w:rsid w:val="1F4D2E79"/>
    <w:rsid w:val="1F59095F"/>
    <w:rsid w:val="1F615A66"/>
    <w:rsid w:val="1F6967AD"/>
    <w:rsid w:val="1FA44090"/>
    <w:rsid w:val="1FA616CA"/>
    <w:rsid w:val="1FCA53B9"/>
    <w:rsid w:val="1FD57283"/>
    <w:rsid w:val="1FE7539E"/>
    <w:rsid w:val="1FEE4DCF"/>
    <w:rsid w:val="20014B53"/>
    <w:rsid w:val="204B441F"/>
    <w:rsid w:val="205E6B2A"/>
    <w:rsid w:val="20671BE0"/>
    <w:rsid w:val="20963CB8"/>
    <w:rsid w:val="20A81A1B"/>
    <w:rsid w:val="20B07FB6"/>
    <w:rsid w:val="20B646FB"/>
    <w:rsid w:val="20BD3FB9"/>
    <w:rsid w:val="213B74B1"/>
    <w:rsid w:val="213F215E"/>
    <w:rsid w:val="214E7AE6"/>
    <w:rsid w:val="215A2310"/>
    <w:rsid w:val="215C4736"/>
    <w:rsid w:val="21C440BD"/>
    <w:rsid w:val="21DE318A"/>
    <w:rsid w:val="21EF5B80"/>
    <w:rsid w:val="22576990"/>
    <w:rsid w:val="225E44DE"/>
    <w:rsid w:val="229E6F1F"/>
    <w:rsid w:val="22F47480"/>
    <w:rsid w:val="233E2F98"/>
    <w:rsid w:val="23677C98"/>
    <w:rsid w:val="236F7465"/>
    <w:rsid w:val="23D305B4"/>
    <w:rsid w:val="23DE1C48"/>
    <w:rsid w:val="23F618F0"/>
    <w:rsid w:val="240210CD"/>
    <w:rsid w:val="24267B5E"/>
    <w:rsid w:val="242E19C9"/>
    <w:rsid w:val="243A0EE4"/>
    <w:rsid w:val="2472601F"/>
    <w:rsid w:val="2479620F"/>
    <w:rsid w:val="247E48FC"/>
    <w:rsid w:val="2491560E"/>
    <w:rsid w:val="2498734E"/>
    <w:rsid w:val="24B37C65"/>
    <w:rsid w:val="24BF09F7"/>
    <w:rsid w:val="24C130F1"/>
    <w:rsid w:val="251B554A"/>
    <w:rsid w:val="25227EB3"/>
    <w:rsid w:val="25294EDE"/>
    <w:rsid w:val="252D53FE"/>
    <w:rsid w:val="253A3071"/>
    <w:rsid w:val="25626093"/>
    <w:rsid w:val="25EC2D81"/>
    <w:rsid w:val="26094761"/>
    <w:rsid w:val="26555BF8"/>
    <w:rsid w:val="26637CBF"/>
    <w:rsid w:val="266B7D98"/>
    <w:rsid w:val="269E134D"/>
    <w:rsid w:val="26FD5492"/>
    <w:rsid w:val="275B2D9A"/>
    <w:rsid w:val="277057A2"/>
    <w:rsid w:val="27910EB2"/>
    <w:rsid w:val="279F35CF"/>
    <w:rsid w:val="27E40FE2"/>
    <w:rsid w:val="280027B3"/>
    <w:rsid w:val="28064A66"/>
    <w:rsid w:val="2816104E"/>
    <w:rsid w:val="28292E99"/>
    <w:rsid w:val="2833607F"/>
    <w:rsid w:val="283C0E1E"/>
    <w:rsid w:val="28445F24"/>
    <w:rsid w:val="28754330"/>
    <w:rsid w:val="289526D2"/>
    <w:rsid w:val="28AD3ACA"/>
    <w:rsid w:val="28D95C89"/>
    <w:rsid w:val="28DC0900"/>
    <w:rsid w:val="29206EB8"/>
    <w:rsid w:val="29583A35"/>
    <w:rsid w:val="29595666"/>
    <w:rsid w:val="296A19BB"/>
    <w:rsid w:val="29874881"/>
    <w:rsid w:val="29BF5862"/>
    <w:rsid w:val="29D5755C"/>
    <w:rsid w:val="29E325E0"/>
    <w:rsid w:val="29F038B5"/>
    <w:rsid w:val="2A0837F0"/>
    <w:rsid w:val="2A2B593B"/>
    <w:rsid w:val="2A2D4E78"/>
    <w:rsid w:val="2A452503"/>
    <w:rsid w:val="2AFC31CB"/>
    <w:rsid w:val="2AFE685E"/>
    <w:rsid w:val="2B3330AA"/>
    <w:rsid w:val="2B9C0FC5"/>
    <w:rsid w:val="2BA936A8"/>
    <w:rsid w:val="2C1D0F66"/>
    <w:rsid w:val="2C315A5A"/>
    <w:rsid w:val="2C477D91"/>
    <w:rsid w:val="2C4B1C25"/>
    <w:rsid w:val="2C542812"/>
    <w:rsid w:val="2C9F0AB9"/>
    <w:rsid w:val="2CA433CB"/>
    <w:rsid w:val="2CB5119F"/>
    <w:rsid w:val="2CB76CC5"/>
    <w:rsid w:val="2D07420F"/>
    <w:rsid w:val="2D0D5A44"/>
    <w:rsid w:val="2D570494"/>
    <w:rsid w:val="2D9E56F5"/>
    <w:rsid w:val="2DAF13E3"/>
    <w:rsid w:val="2E0834DB"/>
    <w:rsid w:val="2E2A7EFB"/>
    <w:rsid w:val="2E602427"/>
    <w:rsid w:val="2E667F96"/>
    <w:rsid w:val="2E8226AB"/>
    <w:rsid w:val="2E8B1EF3"/>
    <w:rsid w:val="2E8D676F"/>
    <w:rsid w:val="2E9B6172"/>
    <w:rsid w:val="2E9B66A9"/>
    <w:rsid w:val="2EAC72B5"/>
    <w:rsid w:val="2EC77C50"/>
    <w:rsid w:val="2ED95618"/>
    <w:rsid w:val="2F2F5238"/>
    <w:rsid w:val="2F400F4C"/>
    <w:rsid w:val="2F4245AA"/>
    <w:rsid w:val="2F6E5A5D"/>
    <w:rsid w:val="2F781BEF"/>
    <w:rsid w:val="2F8B61E7"/>
    <w:rsid w:val="2FAE5D95"/>
    <w:rsid w:val="2FC1242B"/>
    <w:rsid w:val="2FD065E6"/>
    <w:rsid w:val="2FD96870"/>
    <w:rsid w:val="2FE05238"/>
    <w:rsid w:val="2FEF2C1A"/>
    <w:rsid w:val="301D32E3"/>
    <w:rsid w:val="301F34FF"/>
    <w:rsid w:val="302F3016"/>
    <w:rsid w:val="30580BC9"/>
    <w:rsid w:val="307355F9"/>
    <w:rsid w:val="307F49A0"/>
    <w:rsid w:val="30BC3460"/>
    <w:rsid w:val="30E450F8"/>
    <w:rsid w:val="311E2ED7"/>
    <w:rsid w:val="313528AE"/>
    <w:rsid w:val="313A1850"/>
    <w:rsid w:val="315619EE"/>
    <w:rsid w:val="3157592E"/>
    <w:rsid w:val="315C449C"/>
    <w:rsid w:val="318D26EA"/>
    <w:rsid w:val="31B82709"/>
    <w:rsid w:val="31B934DF"/>
    <w:rsid w:val="31BB2DB3"/>
    <w:rsid w:val="31D05482"/>
    <w:rsid w:val="32075FF9"/>
    <w:rsid w:val="322E79BD"/>
    <w:rsid w:val="32400B34"/>
    <w:rsid w:val="32790F3E"/>
    <w:rsid w:val="329E0316"/>
    <w:rsid w:val="329E6876"/>
    <w:rsid w:val="32AD0295"/>
    <w:rsid w:val="32B532F2"/>
    <w:rsid w:val="32B83797"/>
    <w:rsid w:val="32E26A66"/>
    <w:rsid w:val="33162750"/>
    <w:rsid w:val="333015F2"/>
    <w:rsid w:val="33376EEA"/>
    <w:rsid w:val="334B6320"/>
    <w:rsid w:val="338D3607"/>
    <w:rsid w:val="33B41AE1"/>
    <w:rsid w:val="33D934D4"/>
    <w:rsid w:val="33FE2F6A"/>
    <w:rsid w:val="34091826"/>
    <w:rsid w:val="340E07E5"/>
    <w:rsid w:val="34235BF7"/>
    <w:rsid w:val="34364798"/>
    <w:rsid w:val="34843B19"/>
    <w:rsid w:val="34B011CE"/>
    <w:rsid w:val="34C046A4"/>
    <w:rsid w:val="34C06933"/>
    <w:rsid w:val="34F97E4B"/>
    <w:rsid w:val="350322BD"/>
    <w:rsid w:val="351F1291"/>
    <w:rsid w:val="352670DE"/>
    <w:rsid w:val="35635C3C"/>
    <w:rsid w:val="3579793F"/>
    <w:rsid w:val="358C5FA8"/>
    <w:rsid w:val="35904557"/>
    <w:rsid w:val="35A72E10"/>
    <w:rsid w:val="35C15DF1"/>
    <w:rsid w:val="35E46651"/>
    <w:rsid w:val="36074A7F"/>
    <w:rsid w:val="36321AB2"/>
    <w:rsid w:val="36343134"/>
    <w:rsid w:val="365561E3"/>
    <w:rsid w:val="36726C40"/>
    <w:rsid w:val="36923549"/>
    <w:rsid w:val="36B75FBF"/>
    <w:rsid w:val="36BD0C45"/>
    <w:rsid w:val="36BD137C"/>
    <w:rsid w:val="36D747AC"/>
    <w:rsid w:val="36E41D9C"/>
    <w:rsid w:val="36E45F36"/>
    <w:rsid w:val="371C5729"/>
    <w:rsid w:val="375D490D"/>
    <w:rsid w:val="376F248B"/>
    <w:rsid w:val="378105FB"/>
    <w:rsid w:val="378D641A"/>
    <w:rsid w:val="37E00298"/>
    <w:rsid w:val="37FC4C51"/>
    <w:rsid w:val="382117A3"/>
    <w:rsid w:val="383B0CA5"/>
    <w:rsid w:val="386A72E1"/>
    <w:rsid w:val="38733B2C"/>
    <w:rsid w:val="388F32B6"/>
    <w:rsid w:val="38B302F9"/>
    <w:rsid w:val="38B44A00"/>
    <w:rsid w:val="38F12CD3"/>
    <w:rsid w:val="38F94775"/>
    <w:rsid w:val="392971ED"/>
    <w:rsid w:val="393022D9"/>
    <w:rsid w:val="39325651"/>
    <w:rsid w:val="3938118D"/>
    <w:rsid w:val="395A1104"/>
    <w:rsid w:val="395F3399"/>
    <w:rsid w:val="396B1563"/>
    <w:rsid w:val="39BD78E5"/>
    <w:rsid w:val="39CE0565"/>
    <w:rsid w:val="39D32C64"/>
    <w:rsid w:val="39E67069"/>
    <w:rsid w:val="39F552D0"/>
    <w:rsid w:val="3A45074D"/>
    <w:rsid w:val="3A5A5133"/>
    <w:rsid w:val="3A6F0C32"/>
    <w:rsid w:val="3A7754FB"/>
    <w:rsid w:val="3A872856"/>
    <w:rsid w:val="3AB1315A"/>
    <w:rsid w:val="3ABB5629"/>
    <w:rsid w:val="3AF23BDF"/>
    <w:rsid w:val="3B223EA3"/>
    <w:rsid w:val="3B3763D1"/>
    <w:rsid w:val="3B3F4A55"/>
    <w:rsid w:val="3B404A2E"/>
    <w:rsid w:val="3B61659F"/>
    <w:rsid w:val="3B7F699A"/>
    <w:rsid w:val="3B800F61"/>
    <w:rsid w:val="3B850DB6"/>
    <w:rsid w:val="3B961DB8"/>
    <w:rsid w:val="3B977B51"/>
    <w:rsid w:val="3BA13CE3"/>
    <w:rsid w:val="3BBF61AC"/>
    <w:rsid w:val="3BBF7944"/>
    <w:rsid w:val="3C165F53"/>
    <w:rsid w:val="3C2F6E1E"/>
    <w:rsid w:val="3C4E10CE"/>
    <w:rsid w:val="3C4F64BA"/>
    <w:rsid w:val="3C84201E"/>
    <w:rsid w:val="3CCF005B"/>
    <w:rsid w:val="3CCF4216"/>
    <w:rsid w:val="3CDA245A"/>
    <w:rsid w:val="3CFB2E96"/>
    <w:rsid w:val="3D1E06B7"/>
    <w:rsid w:val="3D37507E"/>
    <w:rsid w:val="3D4059EB"/>
    <w:rsid w:val="3D532A3A"/>
    <w:rsid w:val="3D891FB8"/>
    <w:rsid w:val="3D96446D"/>
    <w:rsid w:val="3DC141B0"/>
    <w:rsid w:val="3DD612C3"/>
    <w:rsid w:val="3DE63FD0"/>
    <w:rsid w:val="3DEC3F6B"/>
    <w:rsid w:val="3DEE4511"/>
    <w:rsid w:val="3DFD6502"/>
    <w:rsid w:val="3E356434"/>
    <w:rsid w:val="3E682CBA"/>
    <w:rsid w:val="3E725379"/>
    <w:rsid w:val="3E93546F"/>
    <w:rsid w:val="3EDA0523"/>
    <w:rsid w:val="3F057D64"/>
    <w:rsid w:val="3F3C3A3F"/>
    <w:rsid w:val="3F91510D"/>
    <w:rsid w:val="3F9A3787"/>
    <w:rsid w:val="3FDA4D4C"/>
    <w:rsid w:val="3FFD6C8D"/>
    <w:rsid w:val="402121C3"/>
    <w:rsid w:val="4038148A"/>
    <w:rsid w:val="405151E1"/>
    <w:rsid w:val="407A6407"/>
    <w:rsid w:val="409273D5"/>
    <w:rsid w:val="409A1871"/>
    <w:rsid w:val="409D025C"/>
    <w:rsid w:val="40A84E4B"/>
    <w:rsid w:val="40AA200A"/>
    <w:rsid w:val="40DD5821"/>
    <w:rsid w:val="40E26B54"/>
    <w:rsid w:val="414A1F2F"/>
    <w:rsid w:val="41B415CD"/>
    <w:rsid w:val="41DD27B7"/>
    <w:rsid w:val="4200449D"/>
    <w:rsid w:val="423A3BCC"/>
    <w:rsid w:val="424E57D2"/>
    <w:rsid w:val="42813BA5"/>
    <w:rsid w:val="42823479"/>
    <w:rsid w:val="42905B96"/>
    <w:rsid w:val="42A930FC"/>
    <w:rsid w:val="42B26C49"/>
    <w:rsid w:val="42C13FA2"/>
    <w:rsid w:val="42E109D3"/>
    <w:rsid w:val="433A6FE6"/>
    <w:rsid w:val="433B14DC"/>
    <w:rsid w:val="43480868"/>
    <w:rsid w:val="434A35B8"/>
    <w:rsid w:val="4350713C"/>
    <w:rsid w:val="436653E0"/>
    <w:rsid w:val="43C24475"/>
    <w:rsid w:val="43C4431A"/>
    <w:rsid w:val="43CF26EE"/>
    <w:rsid w:val="445B5032"/>
    <w:rsid w:val="44970336"/>
    <w:rsid w:val="44B951CC"/>
    <w:rsid w:val="44CD14E0"/>
    <w:rsid w:val="44E7342E"/>
    <w:rsid w:val="44F20B0B"/>
    <w:rsid w:val="450B59A8"/>
    <w:rsid w:val="452E5F4C"/>
    <w:rsid w:val="454C1007"/>
    <w:rsid w:val="45610C7F"/>
    <w:rsid w:val="45612018"/>
    <w:rsid w:val="4565330A"/>
    <w:rsid w:val="458946E9"/>
    <w:rsid w:val="45944278"/>
    <w:rsid w:val="45A47C0E"/>
    <w:rsid w:val="45B918A8"/>
    <w:rsid w:val="45E83F3B"/>
    <w:rsid w:val="4607616F"/>
    <w:rsid w:val="46250CEB"/>
    <w:rsid w:val="46401681"/>
    <w:rsid w:val="46577FD6"/>
    <w:rsid w:val="46D955A7"/>
    <w:rsid w:val="47133957"/>
    <w:rsid w:val="47436C47"/>
    <w:rsid w:val="479E0D55"/>
    <w:rsid w:val="47A07E0C"/>
    <w:rsid w:val="47A645D6"/>
    <w:rsid w:val="47B24801"/>
    <w:rsid w:val="47C02A7A"/>
    <w:rsid w:val="47E871A6"/>
    <w:rsid w:val="480858BC"/>
    <w:rsid w:val="48362D3C"/>
    <w:rsid w:val="48483FF3"/>
    <w:rsid w:val="484D44E8"/>
    <w:rsid w:val="4870272E"/>
    <w:rsid w:val="48B3438D"/>
    <w:rsid w:val="48E24C51"/>
    <w:rsid w:val="490C7F41"/>
    <w:rsid w:val="49331BA1"/>
    <w:rsid w:val="49400171"/>
    <w:rsid w:val="495B0CF5"/>
    <w:rsid w:val="498B5309"/>
    <w:rsid w:val="49AC346A"/>
    <w:rsid w:val="49D87C2C"/>
    <w:rsid w:val="49DC7715"/>
    <w:rsid w:val="49EC224C"/>
    <w:rsid w:val="49F3594F"/>
    <w:rsid w:val="4A023139"/>
    <w:rsid w:val="4A6F2535"/>
    <w:rsid w:val="4A7B576F"/>
    <w:rsid w:val="4A8835F7"/>
    <w:rsid w:val="4A9106FD"/>
    <w:rsid w:val="4AC07235"/>
    <w:rsid w:val="4AC30D91"/>
    <w:rsid w:val="4AF561A9"/>
    <w:rsid w:val="4AF56EDE"/>
    <w:rsid w:val="4B1040E2"/>
    <w:rsid w:val="4B105AC6"/>
    <w:rsid w:val="4B2E24D4"/>
    <w:rsid w:val="4B5736F5"/>
    <w:rsid w:val="4B920BD1"/>
    <w:rsid w:val="4C3156B2"/>
    <w:rsid w:val="4C45329B"/>
    <w:rsid w:val="4C4A0649"/>
    <w:rsid w:val="4C79769B"/>
    <w:rsid w:val="4C7E5ECA"/>
    <w:rsid w:val="4C876AA5"/>
    <w:rsid w:val="4C8C533A"/>
    <w:rsid w:val="4CCC2FE6"/>
    <w:rsid w:val="4CD17A13"/>
    <w:rsid w:val="4D0E00FB"/>
    <w:rsid w:val="4D176606"/>
    <w:rsid w:val="4D21045F"/>
    <w:rsid w:val="4D3637DE"/>
    <w:rsid w:val="4D5A127B"/>
    <w:rsid w:val="4D7F6F33"/>
    <w:rsid w:val="4D902EEE"/>
    <w:rsid w:val="4DE726A0"/>
    <w:rsid w:val="4DEC4FB0"/>
    <w:rsid w:val="4E075D8A"/>
    <w:rsid w:val="4E105DDD"/>
    <w:rsid w:val="4E2A5CA7"/>
    <w:rsid w:val="4E574D2E"/>
    <w:rsid w:val="4E577758"/>
    <w:rsid w:val="4E6F51FA"/>
    <w:rsid w:val="4E7B177A"/>
    <w:rsid w:val="4E8011B5"/>
    <w:rsid w:val="4E850CE5"/>
    <w:rsid w:val="4E9231D3"/>
    <w:rsid w:val="4EA31D2D"/>
    <w:rsid w:val="4EB50EAE"/>
    <w:rsid w:val="4EBD41B7"/>
    <w:rsid w:val="4EC00FAD"/>
    <w:rsid w:val="4EDD03B5"/>
    <w:rsid w:val="4EDE6C38"/>
    <w:rsid w:val="4EF663A7"/>
    <w:rsid w:val="4F052D43"/>
    <w:rsid w:val="4F0A5FB2"/>
    <w:rsid w:val="4F4A0E3B"/>
    <w:rsid w:val="4F622668"/>
    <w:rsid w:val="4F9843DC"/>
    <w:rsid w:val="4FC62A8C"/>
    <w:rsid w:val="4FE20F0D"/>
    <w:rsid w:val="4FE51552"/>
    <w:rsid w:val="4FE62517"/>
    <w:rsid w:val="4FE65048"/>
    <w:rsid w:val="5000564D"/>
    <w:rsid w:val="50412E5C"/>
    <w:rsid w:val="504D50C7"/>
    <w:rsid w:val="50504C4B"/>
    <w:rsid w:val="509C6E7C"/>
    <w:rsid w:val="50A76B4B"/>
    <w:rsid w:val="50C90269"/>
    <w:rsid w:val="50D024A2"/>
    <w:rsid w:val="510C5E8C"/>
    <w:rsid w:val="512F3B40"/>
    <w:rsid w:val="51614DEC"/>
    <w:rsid w:val="5162104E"/>
    <w:rsid w:val="518071FC"/>
    <w:rsid w:val="51E02400"/>
    <w:rsid w:val="51E43809"/>
    <w:rsid w:val="52147A57"/>
    <w:rsid w:val="52173BDE"/>
    <w:rsid w:val="522105B9"/>
    <w:rsid w:val="52250A78"/>
    <w:rsid w:val="52552958"/>
    <w:rsid w:val="52662470"/>
    <w:rsid w:val="527E63CA"/>
    <w:rsid w:val="528F38F6"/>
    <w:rsid w:val="52A805EC"/>
    <w:rsid w:val="52B610C5"/>
    <w:rsid w:val="52BC6534"/>
    <w:rsid w:val="52DE111E"/>
    <w:rsid w:val="52E361B6"/>
    <w:rsid w:val="531A1D19"/>
    <w:rsid w:val="532126BC"/>
    <w:rsid w:val="5329137C"/>
    <w:rsid w:val="532B70B9"/>
    <w:rsid w:val="53395DBB"/>
    <w:rsid w:val="534704F3"/>
    <w:rsid w:val="536C1D08"/>
    <w:rsid w:val="537B019D"/>
    <w:rsid w:val="537C0E35"/>
    <w:rsid w:val="53874D93"/>
    <w:rsid w:val="53875408"/>
    <w:rsid w:val="53896B1D"/>
    <w:rsid w:val="539352A0"/>
    <w:rsid w:val="53941AF0"/>
    <w:rsid w:val="53A039CC"/>
    <w:rsid w:val="53A1505A"/>
    <w:rsid w:val="53E44857"/>
    <w:rsid w:val="54063E08"/>
    <w:rsid w:val="54091C4C"/>
    <w:rsid w:val="540B7773"/>
    <w:rsid w:val="541064B9"/>
    <w:rsid w:val="54170C10"/>
    <w:rsid w:val="543437E8"/>
    <w:rsid w:val="54637DFF"/>
    <w:rsid w:val="548117E3"/>
    <w:rsid w:val="549A0285"/>
    <w:rsid w:val="549A7327"/>
    <w:rsid w:val="54AC0343"/>
    <w:rsid w:val="54D95840"/>
    <w:rsid w:val="54F73313"/>
    <w:rsid w:val="54F80955"/>
    <w:rsid w:val="54FF75F4"/>
    <w:rsid w:val="552E1370"/>
    <w:rsid w:val="555170A7"/>
    <w:rsid w:val="5587536D"/>
    <w:rsid w:val="559B174B"/>
    <w:rsid w:val="55A03790"/>
    <w:rsid w:val="55CE0CF4"/>
    <w:rsid w:val="56106AD2"/>
    <w:rsid w:val="564F7480"/>
    <w:rsid w:val="56B22A9C"/>
    <w:rsid w:val="56B55151"/>
    <w:rsid w:val="56BE6D1E"/>
    <w:rsid w:val="56BF65F2"/>
    <w:rsid w:val="56CB4F97"/>
    <w:rsid w:val="57673F41"/>
    <w:rsid w:val="577B69BD"/>
    <w:rsid w:val="578F4217"/>
    <w:rsid w:val="579F2FE3"/>
    <w:rsid w:val="57A71560"/>
    <w:rsid w:val="57A83681"/>
    <w:rsid w:val="57B72A76"/>
    <w:rsid w:val="57C3426C"/>
    <w:rsid w:val="57C87BA9"/>
    <w:rsid w:val="57CD55B4"/>
    <w:rsid w:val="57CE1F93"/>
    <w:rsid w:val="57ED39CE"/>
    <w:rsid w:val="580164DA"/>
    <w:rsid w:val="58055D78"/>
    <w:rsid w:val="5814630E"/>
    <w:rsid w:val="5853283B"/>
    <w:rsid w:val="58535244"/>
    <w:rsid w:val="58707E7C"/>
    <w:rsid w:val="588743D1"/>
    <w:rsid w:val="5887701A"/>
    <w:rsid w:val="589444C1"/>
    <w:rsid w:val="5905591A"/>
    <w:rsid w:val="590B1B63"/>
    <w:rsid w:val="5915074C"/>
    <w:rsid w:val="59417793"/>
    <w:rsid w:val="5943175D"/>
    <w:rsid w:val="59573F52"/>
    <w:rsid w:val="596F2552"/>
    <w:rsid w:val="59C0439F"/>
    <w:rsid w:val="59EA607C"/>
    <w:rsid w:val="5A000E9E"/>
    <w:rsid w:val="5A0031AA"/>
    <w:rsid w:val="5A014287"/>
    <w:rsid w:val="5A582D49"/>
    <w:rsid w:val="5AAF3758"/>
    <w:rsid w:val="5ABE2233"/>
    <w:rsid w:val="5B08713A"/>
    <w:rsid w:val="5B101B12"/>
    <w:rsid w:val="5B1E30CB"/>
    <w:rsid w:val="5B7976B8"/>
    <w:rsid w:val="5B955B74"/>
    <w:rsid w:val="5B98055B"/>
    <w:rsid w:val="5BA815A4"/>
    <w:rsid w:val="5BDF5D95"/>
    <w:rsid w:val="5BFD2097"/>
    <w:rsid w:val="5BFE7528"/>
    <w:rsid w:val="5C164F06"/>
    <w:rsid w:val="5C6931B0"/>
    <w:rsid w:val="5CCB3F43"/>
    <w:rsid w:val="5CFA2231"/>
    <w:rsid w:val="5D8B5697"/>
    <w:rsid w:val="5DBB0D84"/>
    <w:rsid w:val="5DC41EBC"/>
    <w:rsid w:val="5E2467F1"/>
    <w:rsid w:val="5E36029B"/>
    <w:rsid w:val="5E3E6996"/>
    <w:rsid w:val="5E4E4E2C"/>
    <w:rsid w:val="5E750A97"/>
    <w:rsid w:val="5EBA6D40"/>
    <w:rsid w:val="5EC47F69"/>
    <w:rsid w:val="5EDC0C85"/>
    <w:rsid w:val="5EE31B38"/>
    <w:rsid w:val="5EE44E48"/>
    <w:rsid w:val="5F08322C"/>
    <w:rsid w:val="5F0D7CE9"/>
    <w:rsid w:val="5F1A2B43"/>
    <w:rsid w:val="5F414256"/>
    <w:rsid w:val="5F511A4D"/>
    <w:rsid w:val="5F532C14"/>
    <w:rsid w:val="5F58344B"/>
    <w:rsid w:val="5F8959EF"/>
    <w:rsid w:val="5FB011CE"/>
    <w:rsid w:val="5FB837BB"/>
    <w:rsid w:val="5FEB5560"/>
    <w:rsid w:val="603303C5"/>
    <w:rsid w:val="60BE7CE5"/>
    <w:rsid w:val="60CC405A"/>
    <w:rsid w:val="60E07891"/>
    <w:rsid w:val="60F00519"/>
    <w:rsid w:val="61447995"/>
    <w:rsid w:val="617D1584"/>
    <w:rsid w:val="61A423DF"/>
    <w:rsid w:val="61E215D8"/>
    <w:rsid w:val="620F4273"/>
    <w:rsid w:val="6216683A"/>
    <w:rsid w:val="621B3775"/>
    <w:rsid w:val="62362A87"/>
    <w:rsid w:val="62364782"/>
    <w:rsid w:val="62483940"/>
    <w:rsid w:val="625366D6"/>
    <w:rsid w:val="63253BB8"/>
    <w:rsid w:val="635C63E0"/>
    <w:rsid w:val="63616FBA"/>
    <w:rsid w:val="6394356A"/>
    <w:rsid w:val="63C61B2C"/>
    <w:rsid w:val="63CD67F3"/>
    <w:rsid w:val="63D40BE9"/>
    <w:rsid w:val="63E23AAC"/>
    <w:rsid w:val="63E42EEF"/>
    <w:rsid w:val="64102431"/>
    <w:rsid w:val="641414C0"/>
    <w:rsid w:val="64557D2B"/>
    <w:rsid w:val="64A5243A"/>
    <w:rsid w:val="64F531DE"/>
    <w:rsid w:val="64F93536"/>
    <w:rsid w:val="652C6EBB"/>
    <w:rsid w:val="65314B5F"/>
    <w:rsid w:val="65373578"/>
    <w:rsid w:val="65400E93"/>
    <w:rsid w:val="65425E84"/>
    <w:rsid w:val="656C5B97"/>
    <w:rsid w:val="657A4D0E"/>
    <w:rsid w:val="65962C14"/>
    <w:rsid w:val="66352BF9"/>
    <w:rsid w:val="663A7A43"/>
    <w:rsid w:val="66404D9A"/>
    <w:rsid w:val="66482DB6"/>
    <w:rsid w:val="666F5BFE"/>
    <w:rsid w:val="6672542F"/>
    <w:rsid w:val="66842E5D"/>
    <w:rsid w:val="66CD423A"/>
    <w:rsid w:val="66D103A8"/>
    <w:rsid w:val="66FA5A00"/>
    <w:rsid w:val="671F124A"/>
    <w:rsid w:val="67650AF0"/>
    <w:rsid w:val="677A33C6"/>
    <w:rsid w:val="678E44EB"/>
    <w:rsid w:val="679F2254"/>
    <w:rsid w:val="67A96C2F"/>
    <w:rsid w:val="67B13D35"/>
    <w:rsid w:val="681F6961"/>
    <w:rsid w:val="68436455"/>
    <w:rsid w:val="68610A2F"/>
    <w:rsid w:val="68701E42"/>
    <w:rsid w:val="68805514"/>
    <w:rsid w:val="68A66DCE"/>
    <w:rsid w:val="68D777CC"/>
    <w:rsid w:val="692C6FA9"/>
    <w:rsid w:val="69316E2F"/>
    <w:rsid w:val="693A0CA8"/>
    <w:rsid w:val="693A17B3"/>
    <w:rsid w:val="693E784B"/>
    <w:rsid w:val="69407A67"/>
    <w:rsid w:val="694E2071"/>
    <w:rsid w:val="696439CE"/>
    <w:rsid w:val="69733998"/>
    <w:rsid w:val="69766163"/>
    <w:rsid w:val="697A3B33"/>
    <w:rsid w:val="697E574E"/>
    <w:rsid w:val="69D44760"/>
    <w:rsid w:val="69EC51E7"/>
    <w:rsid w:val="6A1D4790"/>
    <w:rsid w:val="6A2465BA"/>
    <w:rsid w:val="6A520EC7"/>
    <w:rsid w:val="6A554E4C"/>
    <w:rsid w:val="6A831AF0"/>
    <w:rsid w:val="6A926D23"/>
    <w:rsid w:val="6A9D3F84"/>
    <w:rsid w:val="6ADF6E0B"/>
    <w:rsid w:val="6AEB57B0"/>
    <w:rsid w:val="6AEE5828"/>
    <w:rsid w:val="6AF87E20"/>
    <w:rsid w:val="6B0F16E3"/>
    <w:rsid w:val="6B322639"/>
    <w:rsid w:val="6B375765"/>
    <w:rsid w:val="6B481837"/>
    <w:rsid w:val="6B543355"/>
    <w:rsid w:val="6B625A72"/>
    <w:rsid w:val="6B806369"/>
    <w:rsid w:val="6BD66460"/>
    <w:rsid w:val="6C1F5711"/>
    <w:rsid w:val="6C213CFD"/>
    <w:rsid w:val="6C2C42D2"/>
    <w:rsid w:val="6C3C5623"/>
    <w:rsid w:val="6C4E5FF7"/>
    <w:rsid w:val="6C537AB1"/>
    <w:rsid w:val="6C636C38"/>
    <w:rsid w:val="6C8B2DA7"/>
    <w:rsid w:val="6C9827BF"/>
    <w:rsid w:val="6CDF1459"/>
    <w:rsid w:val="6CE5122B"/>
    <w:rsid w:val="6D05021A"/>
    <w:rsid w:val="6D125276"/>
    <w:rsid w:val="6D464F20"/>
    <w:rsid w:val="6D595A34"/>
    <w:rsid w:val="6D5C13DA"/>
    <w:rsid w:val="6D7F7086"/>
    <w:rsid w:val="6D894084"/>
    <w:rsid w:val="6DB34098"/>
    <w:rsid w:val="6DB545B6"/>
    <w:rsid w:val="6DDD65DA"/>
    <w:rsid w:val="6DE02FB4"/>
    <w:rsid w:val="6DF1713D"/>
    <w:rsid w:val="6DF25CAC"/>
    <w:rsid w:val="6DF52EE6"/>
    <w:rsid w:val="6DF70677"/>
    <w:rsid w:val="6E061710"/>
    <w:rsid w:val="6E0B23B0"/>
    <w:rsid w:val="6E2A521F"/>
    <w:rsid w:val="6E4C2E04"/>
    <w:rsid w:val="6E514CED"/>
    <w:rsid w:val="6E6C09B6"/>
    <w:rsid w:val="6E755ABD"/>
    <w:rsid w:val="6E81177F"/>
    <w:rsid w:val="6E970129"/>
    <w:rsid w:val="6EB563D5"/>
    <w:rsid w:val="6ED56FC9"/>
    <w:rsid w:val="6ED92677"/>
    <w:rsid w:val="6EDA1DC4"/>
    <w:rsid w:val="6F094457"/>
    <w:rsid w:val="6F0B01CF"/>
    <w:rsid w:val="6F225983"/>
    <w:rsid w:val="6F7F0159"/>
    <w:rsid w:val="6FB809F5"/>
    <w:rsid w:val="6FFC5590"/>
    <w:rsid w:val="702D1A81"/>
    <w:rsid w:val="703260B6"/>
    <w:rsid w:val="706758D9"/>
    <w:rsid w:val="706D1DD0"/>
    <w:rsid w:val="707F70C6"/>
    <w:rsid w:val="708144E2"/>
    <w:rsid w:val="70856B87"/>
    <w:rsid w:val="70A95EF1"/>
    <w:rsid w:val="70BF74C3"/>
    <w:rsid w:val="70C00CA5"/>
    <w:rsid w:val="70C60851"/>
    <w:rsid w:val="70D34D1C"/>
    <w:rsid w:val="70D527EE"/>
    <w:rsid w:val="714845BD"/>
    <w:rsid w:val="715B5300"/>
    <w:rsid w:val="718D5EDE"/>
    <w:rsid w:val="71954858"/>
    <w:rsid w:val="719B468D"/>
    <w:rsid w:val="71D27F8A"/>
    <w:rsid w:val="71DF7820"/>
    <w:rsid w:val="71F118FE"/>
    <w:rsid w:val="72247ABB"/>
    <w:rsid w:val="723301EC"/>
    <w:rsid w:val="72553024"/>
    <w:rsid w:val="725C4B6E"/>
    <w:rsid w:val="728704B4"/>
    <w:rsid w:val="72A050D2"/>
    <w:rsid w:val="72F21DD2"/>
    <w:rsid w:val="72F8709A"/>
    <w:rsid w:val="73122968"/>
    <w:rsid w:val="731F5D5E"/>
    <w:rsid w:val="7377413B"/>
    <w:rsid w:val="738C5E9F"/>
    <w:rsid w:val="73AC6AB6"/>
    <w:rsid w:val="73BF7973"/>
    <w:rsid w:val="73C51AD5"/>
    <w:rsid w:val="741E793C"/>
    <w:rsid w:val="745B7B63"/>
    <w:rsid w:val="745E3944"/>
    <w:rsid w:val="74714F78"/>
    <w:rsid w:val="74A4534E"/>
    <w:rsid w:val="74DD260E"/>
    <w:rsid w:val="74E10D4F"/>
    <w:rsid w:val="74E137E8"/>
    <w:rsid w:val="74EC2851"/>
    <w:rsid w:val="7502617E"/>
    <w:rsid w:val="751C3136"/>
    <w:rsid w:val="751D60C0"/>
    <w:rsid w:val="755D611A"/>
    <w:rsid w:val="75630D65"/>
    <w:rsid w:val="75C13CDD"/>
    <w:rsid w:val="75DB4774"/>
    <w:rsid w:val="761B797B"/>
    <w:rsid w:val="7635099D"/>
    <w:rsid w:val="767E1BCE"/>
    <w:rsid w:val="768A209F"/>
    <w:rsid w:val="76A809F9"/>
    <w:rsid w:val="76D553AA"/>
    <w:rsid w:val="76EE5C11"/>
    <w:rsid w:val="76FB219D"/>
    <w:rsid w:val="774D3ED5"/>
    <w:rsid w:val="77762421"/>
    <w:rsid w:val="77B56B1F"/>
    <w:rsid w:val="77CD6969"/>
    <w:rsid w:val="77DB72D8"/>
    <w:rsid w:val="780F09F4"/>
    <w:rsid w:val="78153E6C"/>
    <w:rsid w:val="782E3BC8"/>
    <w:rsid w:val="78485FF0"/>
    <w:rsid w:val="784D42BF"/>
    <w:rsid w:val="78533273"/>
    <w:rsid w:val="78A90480"/>
    <w:rsid w:val="78B278C2"/>
    <w:rsid w:val="78DA554A"/>
    <w:rsid w:val="79167E9C"/>
    <w:rsid w:val="79246A5D"/>
    <w:rsid w:val="79435DCB"/>
    <w:rsid w:val="794A348C"/>
    <w:rsid w:val="79870D9A"/>
    <w:rsid w:val="79B53B59"/>
    <w:rsid w:val="79C67B14"/>
    <w:rsid w:val="7A304F8E"/>
    <w:rsid w:val="7A364017"/>
    <w:rsid w:val="7A810ADB"/>
    <w:rsid w:val="7A8265E1"/>
    <w:rsid w:val="7ADC1602"/>
    <w:rsid w:val="7AE07C8F"/>
    <w:rsid w:val="7AF366E7"/>
    <w:rsid w:val="7B030CF3"/>
    <w:rsid w:val="7B144EB9"/>
    <w:rsid w:val="7B686D42"/>
    <w:rsid w:val="7B841746"/>
    <w:rsid w:val="7BC5229D"/>
    <w:rsid w:val="7BF853B7"/>
    <w:rsid w:val="7C1C7EBF"/>
    <w:rsid w:val="7C6C5AC7"/>
    <w:rsid w:val="7CB742F1"/>
    <w:rsid w:val="7CC6544B"/>
    <w:rsid w:val="7CD120A1"/>
    <w:rsid w:val="7CE52222"/>
    <w:rsid w:val="7CF8031D"/>
    <w:rsid w:val="7D0239FF"/>
    <w:rsid w:val="7D0D7808"/>
    <w:rsid w:val="7D4F3319"/>
    <w:rsid w:val="7D5E40CD"/>
    <w:rsid w:val="7D8C697F"/>
    <w:rsid w:val="7DA02F57"/>
    <w:rsid w:val="7DA213C0"/>
    <w:rsid w:val="7DAC7021"/>
    <w:rsid w:val="7DBA173E"/>
    <w:rsid w:val="7DCC4FAD"/>
    <w:rsid w:val="7DCD56F2"/>
    <w:rsid w:val="7DDB3462"/>
    <w:rsid w:val="7E080065"/>
    <w:rsid w:val="7E0C68B4"/>
    <w:rsid w:val="7E146E33"/>
    <w:rsid w:val="7E290672"/>
    <w:rsid w:val="7E543940"/>
    <w:rsid w:val="7E672870"/>
    <w:rsid w:val="7E6873EC"/>
    <w:rsid w:val="7EB22415"/>
    <w:rsid w:val="7EB86885"/>
    <w:rsid w:val="7ECB7E3C"/>
    <w:rsid w:val="7EEC1DCB"/>
    <w:rsid w:val="7F001CE7"/>
    <w:rsid w:val="7F1C1F84"/>
    <w:rsid w:val="7F225A45"/>
    <w:rsid w:val="7F6851CA"/>
    <w:rsid w:val="7F8D74B9"/>
    <w:rsid w:val="7FAC4641"/>
    <w:rsid w:val="7FC652A1"/>
    <w:rsid w:val="7FE44850"/>
    <w:rsid w:val="7FE47E50"/>
    <w:rsid w:val="7FEF736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9" w:semiHidden="0" w:name="heading 2" w:locked="1"/>
    <w:lsdException w:qFormat="1" w:unhideWhenUsed="0" w:uiPriority="9" w:semiHidden="0" w:name="heading 3" w:locked="1"/>
    <w:lsdException w:qFormat="1" w:uiPriority="9" w:semiHidden="0" w:name="heading 4" w:locked="1"/>
    <w:lsdException w:qFormat="1" w:uiPriority="0" w:name="heading 5" w:locked="1"/>
    <w:lsdException w:qFormat="1" w:uiPriority="0" w:semiHidden="0" w:name="heading 6" w:locked="1"/>
    <w:lsdException w:qFormat="1" w:uiPriority="0" w:name="heading 7" w:locked="1"/>
    <w:lsdException w:qFormat="1" w:uiPriority="0" w:name="heading 8" w:locked="1"/>
    <w:lsdException w:qFormat="1" w:unhideWhenUsed="0" w:uiPriority="0" w:semiHidden="0" w:name="heading 9" w:locked="1"/>
    <w:lsdException w:unhideWhenUsed="0" w:uiPriority="0" w:semiHidden="0" w:name="index 1" w:locked="1"/>
    <w:lsdException w:unhideWhenUsed="0" w:uiPriority="0" w:semiHidden="0" w:name="index 2" w:locked="1"/>
    <w:lsdException w:unhideWhenUsed="0" w:uiPriority="0" w:semiHidden="0" w:name="index 3" w:locked="1"/>
    <w:lsdException w:unhideWhenUsed="0" w:uiPriority="0" w:semiHidden="0" w:name="index 4" w:locked="1"/>
    <w:lsdException w:unhideWhenUsed="0" w:uiPriority="0" w:semiHidden="0" w:name="index 5" w:locked="1"/>
    <w:lsdException w:unhideWhenUsed="0" w:uiPriority="0" w:semiHidden="0" w:name="index 6" w:locked="1"/>
    <w:lsdException w:unhideWhenUsed="0" w:uiPriority="0" w:semiHidden="0" w:name="index 7" w:locked="1"/>
    <w:lsdException w:unhideWhenUsed="0" w:uiPriority="0" w:semiHidden="0" w:name="index 8" w:locked="1"/>
    <w:lsdException w:unhideWhenUsed="0" w:uiPriority="0" w:semiHidden="0" w:name="index 9" w:locked="1"/>
    <w:lsdException w:qFormat="1" w:uiPriority="39" w:semiHidden="0" w:name="toc 1" w:locked="1"/>
    <w:lsdException w:qFormat="1" w:uiPriority="39" w:semiHidden="0" w:name="toc 2" w:locked="1"/>
    <w:lsdException w:qFormat="1"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qFormat="1" w:uiPriority="0" w:semiHidden="0" w:name="Normal Indent" w:locked="1"/>
    <w:lsdException w:unhideWhenUsed="0" w:uiPriority="0" w:semiHidden="0" w:name="footnote text" w:locked="1"/>
    <w:lsdException w:qFormat="1" w:unhideWhenUsed="0" w:uiPriority="99" w:name="annotation text"/>
    <w:lsdException w:qFormat="1" w:unhideWhenUsed="0" w:uiPriority="99" w:semiHidden="0" w:name="header"/>
    <w:lsdException w:qFormat="1" w:unhideWhenUsed="0" w:uiPriority="99" w:semiHidden="0" w:name="footer"/>
    <w:lsdException w:unhideWhenUsed="0" w:uiPriority="0" w:semiHidden="0" w:name="index heading" w:locked="1"/>
    <w:lsdException w:qFormat="1" w:uiPriority="0" w:semiHidden="0" w:name="caption" w:locked="1"/>
    <w:lsdException w:qFormat="1" w:unhideWhenUsed="0" w:uiPriority="0" w:semiHidden="0" w:name="table of figures" w:locked="1"/>
    <w:lsdException w:unhideWhenUsed="0" w:uiPriority="0" w:semiHidden="0" w:name="envelope address" w:locked="1"/>
    <w:lsdException w:unhideWhenUsed="0" w:uiPriority="0" w:semiHidden="0" w:name="envelope return" w:locked="1"/>
    <w:lsdException w:unhideWhenUsed="0" w:uiPriority="0" w:semiHidden="0" w:name="footnote reference" w:locked="1"/>
    <w:lsdException w:qFormat="1" w:unhideWhenUsed="0" w:uiPriority="99" w:name="annotation reference"/>
    <w:lsdException w:unhideWhenUsed="0" w:uiPriority="0" w:semiHidden="0" w:name="line number" w:locked="1"/>
    <w:lsdException w:qFormat="1" w:unhideWhenUsed="0" w:uiPriority="0" w:semiHidden="0" w:name="page number" w:locked="1"/>
    <w:lsdException w:unhideWhenUsed="0" w:uiPriority="0" w:semiHidden="0" w:name="endnote reference" w:locked="1"/>
    <w:lsdException w:qFormat="1" w:unhideWhenUsed="0" w:uiPriority="0" w:semiHidden="0" w:name="endnote text" w:locked="1"/>
    <w:lsdException w:unhideWhenUsed="0" w:uiPriority="0" w:semiHidden="0" w:name="table of authorities" w:locked="1"/>
    <w:lsdException w:unhideWhenUsed="0" w:uiPriority="0" w:semiHidden="0" w:name="macro" w:locked="1"/>
    <w:lsdException w:unhideWhenUsed="0" w:uiPriority="0" w:semiHidden="0" w:name="toa heading" w:locked="1"/>
    <w:lsdException w:qFormat="1" w:unhideWhenUsed="0" w:uiPriority="0" w:semiHidden="0" w:name="List" w:locked="1"/>
    <w:lsdException w:unhideWhenUsed="0" w:uiPriority="0" w:semiHidden="0" w:name="List Bullet" w:locked="1"/>
    <w:lsdException w:unhideWhenUsed="0" w:uiPriority="0" w:semiHidden="0" w:name="List Number" w:locked="1"/>
    <w:lsdException w:unhideWhenUsed="0" w:uiPriority="0" w:semiHidden="0" w:name="List 2" w:locked="1"/>
    <w:lsdException w:unhideWhenUsed="0" w:uiPriority="0" w:semiHidden="0" w:name="List 3" w:locked="1"/>
    <w:lsdException w:unhideWhenUsed="0" w:uiPriority="0" w:semiHidden="0" w:name="List 4" w:locked="1"/>
    <w:lsdException w:unhideWhenUsed="0" w:uiPriority="0" w:semiHidden="0" w:name="List 5" w:locked="1"/>
    <w:lsdException w:unhideWhenUsed="0" w:uiPriority="0" w:semiHidden="0" w:name="List Bullet 2" w:locked="1"/>
    <w:lsdException w:unhideWhenUsed="0" w:uiPriority="0" w:semiHidden="0" w:name="List Bullet 3" w:locked="1"/>
    <w:lsdException w:unhideWhenUsed="0" w:uiPriority="0" w:semiHidden="0" w:name="List Bullet 4" w:locked="1"/>
    <w:lsdException w:qFormat="1" w:unhideWhenUsed="0" w:uiPriority="0" w:semiHidden="0" w:name="List Bullet 5" w:locked="1"/>
    <w:lsdException w:unhideWhenUsed="0" w:uiPriority="0" w:semiHidden="0" w:name="List Number 2" w:locked="1"/>
    <w:lsdException w:unhideWhenUsed="0" w:uiPriority="0" w:semiHidden="0" w:name="List Number 3" w:locked="1"/>
    <w:lsdException w:unhideWhenUsed="0" w:uiPriority="0" w:semiHidden="0" w:name="List Number 4" w:locked="1"/>
    <w:lsdException w:unhideWhenUsed="0" w:uiPriority="0" w:semiHidden="0" w:name="List Number 5" w:locked="1"/>
    <w:lsdException w:qFormat="1" w:unhideWhenUsed="0" w:uiPriority="0" w:semiHidden="0" w:name="Title" w:locked="1"/>
    <w:lsdException w:unhideWhenUsed="0" w:uiPriority="0" w:semiHidden="0" w:name="Closing" w:locked="1"/>
    <w:lsdException w:unhideWhenUsed="0" w:uiPriority="0" w:semiHidden="0" w:name="Signature" w:locked="1"/>
    <w:lsdException w:qFormat="1" w:uiPriority="1" w:name="Default Paragraph Font"/>
    <w:lsdException w:qFormat="1" w:unhideWhenUsed="0" w:uiPriority="1" w:semiHidden="0" w:name="Body Text"/>
    <w:lsdException w:qFormat="1" w:unhideWhenUsed="0" w:uiPriority="0" w:semiHidden="0" w:name="Body Text Indent"/>
    <w:lsdException w:unhideWhenUsed="0" w:uiPriority="0" w:semiHidden="0" w:name="List Continue" w:locked="1"/>
    <w:lsdException w:unhideWhenUsed="0" w:uiPriority="0" w:semiHidden="0" w:name="List Continue 2" w:locked="1"/>
    <w:lsdException w:unhideWhenUsed="0" w:uiPriority="0" w:semiHidden="0" w:name="List Continue 3" w:locked="1"/>
    <w:lsdException w:unhideWhenUsed="0" w:uiPriority="0" w:semiHidden="0" w:name="List Continue 4" w:locked="1"/>
    <w:lsdException w:unhideWhenUsed="0" w:uiPriority="0" w:semiHidden="0" w:name="List Continue 5" w:locked="1"/>
    <w:lsdException w:unhideWhenUsed="0" w:uiPriority="0" w:semiHidden="0" w:name="Message Header" w:locked="1"/>
    <w:lsdException w:qFormat="1" w:unhideWhenUsed="0" w:uiPriority="0" w:semiHidden="0" w:name="Subtitle" w:locked="1"/>
    <w:lsdException w:unhideWhenUsed="0" w:uiPriority="0" w:semiHidden="0" w:name="Salutation" w:locked="1"/>
    <w:lsdException w:qFormat="1" w:unhideWhenUsed="0" w:uiPriority="0" w:semiHidden="0" w:name="Date"/>
    <w:lsdException w:qFormat="1" w:unhideWhenUsed="0" w:uiPriority="0" w:semiHidden="0" w:name="Body Text First Indent" w:locked="1"/>
    <w:lsdException w:qFormat="1" w:unhideWhenUsed="0" w:uiPriority="99" w:semiHidden="0" w:name="Body Text First Indent 2" w:locked="1"/>
    <w:lsdException w:unhideWhenUsed="0" w:uiPriority="0" w:semiHidden="0" w:name="Note Heading" w:locked="1"/>
    <w:lsdException w:qFormat="1" w:uiPriority="0" w:semiHidden="0" w:name="Body Text 2" w:locked="1"/>
    <w:lsdException w:unhideWhenUsed="0" w:uiPriority="0" w:semiHidden="0" w:name="Body Text 3" w:locked="1"/>
    <w:lsdException w:qFormat="1" w:uiPriority="99" w:semiHidden="0" w:name="Body Text Indent 2" w:locked="1"/>
    <w:lsdException w:unhideWhenUsed="0" w:uiPriority="0" w:semiHidden="0" w:name="Body Text Indent 3" w:locked="1"/>
    <w:lsdException w:unhideWhenUsed="0" w:uiPriority="0" w:semiHidden="0" w:name="Block Text" w:locked="1"/>
    <w:lsdException w:qFormat="1" w:uiPriority="99" w:semiHidden="0" w:name="Hyperlink" w:locked="1"/>
    <w:lsdException w:qFormat="1" w:uiPriority="99" w:semiHidden="0" w:name="FollowedHyperlink" w:locked="1"/>
    <w:lsdException w:qFormat="1" w:unhideWhenUsed="0" w:uiPriority="0" w:semiHidden="0" w:name="Strong" w:locked="1"/>
    <w:lsdException w:qFormat="1" w:unhideWhenUsed="0" w:uiPriority="0" w:semiHidden="0" w:name="Emphasis" w:locked="1"/>
    <w:lsdException w:qFormat="1" w:uiPriority="0" w:semiHidden="0" w:name="Document Map" w:locked="1"/>
    <w:lsdException w:qFormat="1" w:uiPriority="0" w:semiHidden="0" w:name="Plain Text" w:locked="1"/>
    <w:lsdException w:unhideWhenUsed="0" w:uiPriority="0" w:semiHidden="0" w:name="E-mail Signature" w:locked="1"/>
    <w:lsdException w:qFormat="1" w:unhideWhenUsed="0" w:uiPriority="0" w:semiHidden="0" w:name="Normal (Web)"/>
    <w:lsdException w:qFormat="1" w:unhideWhenUsed="0" w:uiPriority="0" w:semiHidden="0" w:name="HTML Acronym" w:locked="1"/>
    <w:lsdException w:unhideWhenUsed="0" w:uiPriority="0" w:semiHidden="0" w:name="HTML Address" w:locked="1"/>
    <w:lsdException w:qFormat="1" w:unhideWhenUsed="0" w:uiPriority="0" w:semiHidden="0" w:name="HTML Cite" w:locked="1"/>
    <w:lsdException w:qFormat="1" w:unhideWhenUsed="0" w:uiPriority="0" w:semiHidden="0" w:name="HTML Code" w:locked="1"/>
    <w:lsdException w:qFormat="1" w:uiPriority="0" w:semiHidden="0" w:name="HTML Definition" w:locked="1"/>
    <w:lsdException w:unhideWhenUsed="0" w:uiPriority="0" w:semiHidden="0" w:name="HTML Keyboard" w:locked="1"/>
    <w:lsdException w:unhideWhenUsed="0" w:uiPriority="0" w:semiHidden="0" w:name="HTML Preformatted" w:locked="1"/>
    <w:lsdException w:unhideWhenUsed="0" w:uiPriority="0" w:semiHidden="0" w:name="HTML Sample" w:locked="1"/>
    <w:lsdException w:unhideWhenUsed="0" w:uiPriority="0" w:semiHidden="0" w:name="HTML Typewriter" w:locked="1"/>
    <w:lsdException w:qFormat="1" w:unhideWhenUsed="0" w:uiPriority="0" w:semiHidden="0" w:name="HTML Variable" w:locked="1"/>
    <w:lsdException w:qFormat="1" w:uiPriority="99" w:name="Normal Table"/>
    <w:lsdException w:qFormat="1" w:unhideWhenUsed="0" w:uiPriority="99" w:name="annotation subject"/>
    <w:lsdException w:unhideWhenUsed="0" w:uiPriority="0" w:semiHidden="0" w:name="Table Simple 1" w:locked="1"/>
    <w:lsdException w:unhideWhenUsed="0" w:uiPriority="0" w:semiHidden="0" w:name="Table Simple 2" w:locked="1"/>
    <w:lsdException w:unhideWhenUsed="0" w:uiPriority="0" w:semiHidden="0" w:name="Table Simple 3" w:locked="1"/>
    <w:lsdException w:unhideWhenUsed="0" w:uiPriority="0" w:semiHidden="0" w:name="Table Classic 1" w:locked="1"/>
    <w:lsdException w:unhideWhenUsed="0" w:uiPriority="0" w:semiHidden="0" w:name="Table Classic 2" w:locked="1"/>
    <w:lsdException w:unhideWhenUsed="0" w:uiPriority="0" w:semiHidden="0" w:name="Table Classic 3" w:locked="1"/>
    <w:lsdException w:unhideWhenUsed="0" w:uiPriority="0" w:semiHidden="0" w:name="Table Classic 4" w:locked="1"/>
    <w:lsdException w:unhideWhenUsed="0" w:uiPriority="0" w:semiHidden="0" w:name="Table Colorful 1" w:locked="1"/>
    <w:lsdException w:unhideWhenUsed="0" w:uiPriority="0" w:semiHidden="0" w:name="Table Colorful 2" w:locked="1"/>
    <w:lsdException w:unhideWhenUsed="0" w:uiPriority="0" w:semiHidden="0" w:name="Table Colorful 3" w:locked="1"/>
    <w:lsdException w:unhideWhenUsed="0" w:uiPriority="0" w:semiHidden="0" w:name="Table Columns 1" w:locked="1"/>
    <w:lsdException w:unhideWhenUsed="0" w:uiPriority="0" w:semiHidden="0" w:name="Table Columns 2" w:locked="1"/>
    <w:lsdException w:unhideWhenUsed="0" w:uiPriority="0" w:semiHidden="0" w:name="Table Columns 3" w:locked="1"/>
    <w:lsdException w:unhideWhenUsed="0" w:uiPriority="0" w:semiHidden="0" w:name="Table Columns 4" w:locked="1"/>
    <w:lsdException w:unhideWhenUsed="0" w:uiPriority="0" w:semiHidden="0" w:name="Table Columns 5" w:locked="1"/>
    <w:lsdException w:unhideWhenUsed="0" w:uiPriority="0" w:semiHidden="0" w:name="Table Grid 1" w:locked="1"/>
    <w:lsdException w:unhideWhenUsed="0" w:uiPriority="0" w:semiHidden="0" w:name="Table Grid 2" w:locked="1"/>
    <w:lsdException w:unhideWhenUsed="0" w:uiPriority="0" w:semiHidden="0" w:name="Table Grid 3" w:locked="1"/>
    <w:lsdException w:unhideWhenUsed="0" w:uiPriority="0" w:semiHidden="0" w:name="Table Grid 4" w:locked="1"/>
    <w:lsdException w:unhideWhenUsed="0" w:uiPriority="0" w:semiHidden="0" w:name="Table Grid 5" w:locked="1"/>
    <w:lsdException w:unhideWhenUsed="0" w:uiPriority="0" w:semiHidden="0" w:name="Table Grid 6" w:locked="1"/>
    <w:lsdException w:unhideWhenUsed="0" w:uiPriority="0" w:semiHidden="0" w:name="Table Grid 7" w:locked="1"/>
    <w:lsdException w:unhideWhenUsed="0" w:uiPriority="0" w:semiHidden="0" w:name="Table Grid 8" w:locked="1"/>
    <w:lsdException w:unhideWhenUsed="0" w:uiPriority="0" w:semiHidden="0" w:name="Table List 1" w:locked="1"/>
    <w:lsdException w:unhideWhenUsed="0" w:uiPriority="0" w:semiHidden="0" w:name="Table List 2" w:locked="1"/>
    <w:lsdException w:unhideWhenUsed="0" w:uiPriority="0" w:semiHidden="0" w:name="Table List 3" w:locked="1"/>
    <w:lsdException w:unhideWhenUsed="0" w:uiPriority="0" w:semiHidden="0" w:name="Table List 4" w:locked="1"/>
    <w:lsdException w:unhideWhenUsed="0" w:uiPriority="0" w:semiHidden="0" w:name="Table List 5" w:locked="1"/>
    <w:lsdException w:unhideWhenUsed="0" w:uiPriority="0" w:semiHidden="0" w:name="Table List 6" w:locked="1"/>
    <w:lsdException w:unhideWhenUsed="0" w:uiPriority="0" w:semiHidden="0" w:name="Table List 7" w:locked="1"/>
    <w:lsdException w:unhideWhenUsed="0" w:uiPriority="0" w:semiHidden="0" w:name="Table List 8" w:locked="1"/>
    <w:lsdException w:unhideWhenUsed="0" w:uiPriority="0" w:semiHidden="0" w:name="Table 3D effects 1" w:locked="1"/>
    <w:lsdException w:unhideWhenUsed="0" w:uiPriority="0" w:semiHidden="0" w:name="Table 3D effects 2" w:locked="1"/>
    <w:lsdException w:unhideWhenUsed="0" w:uiPriority="0" w:semiHidden="0" w:name="Table 3D effects 3" w:locked="1"/>
    <w:lsdException w:unhideWhenUsed="0" w:uiPriority="0" w:semiHidden="0" w:name="Table Contemporary" w:locked="1"/>
    <w:lsdException w:unhideWhenUsed="0" w:uiPriority="0" w:semiHidden="0" w:name="Table Elegant" w:locked="1"/>
    <w:lsdException w:unhideWhenUsed="0" w:uiPriority="0" w:semiHidden="0" w:name="Table Professional" w:locked="1"/>
    <w:lsdException w:unhideWhenUsed="0" w:uiPriority="0" w:semiHidden="0" w:name="Table Subtle 1" w:locked="1"/>
    <w:lsdException w:unhideWhenUsed="0" w:uiPriority="0" w:semiHidden="0" w:name="Table Subtle 2" w:locked="1"/>
    <w:lsdException w:unhideWhenUsed="0" w:uiPriority="0" w:semiHidden="0" w:name="Table Web 1" w:locked="1"/>
    <w:lsdException w:unhideWhenUsed="0" w:uiPriority="0" w:semiHidden="0" w:name="Table Web 2" w:locked="1"/>
    <w:lsdException w:unhideWhenUsed="0" w:uiPriority="0" w:semiHidden="0" w:name="Table Web 3" w:locked="1"/>
    <w:lsdException w:qFormat="1" w:unhideWhenUsed="0" w:uiPriority="99" w:name="Balloon Text"/>
    <w:lsdException w:qFormat="1" w:unhideWhenUsed="0" w:uiPriority="99" w:semiHidden="0" w:name="Table Grid"/>
    <w:lsdException w:unhideWhenUsed="0" w:uiPriority="0" w:semiHidden="0"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5">
    <w:name w:val="heading 1"/>
    <w:basedOn w:val="1"/>
    <w:next w:val="1"/>
    <w:link w:val="399"/>
    <w:qFormat/>
    <w:locked/>
    <w:uiPriority w:val="0"/>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6">
    <w:name w:val="heading 2"/>
    <w:basedOn w:val="1"/>
    <w:next w:val="1"/>
    <w:link w:val="224"/>
    <w:unhideWhenUsed/>
    <w:qFormat/>
    <w:locked/>
    <w:uiPriority w:val="9"/>
    <w:pPr>
      <w:keepNext/>
      <w:keepLines/>
      <w:spacing w:before="260" w:after="260" w:line="416" w:lineRule="auto"/>
      <w:outlineLvl w:val="1"/>
    </w:pPr>
    <w:rPr>
      <w:rFonts w:ascii="等线 Light" w:hAnsi="等线 Light" w:eastAsia="等线 Light"/>
      <w:b/>
      <w:bCs/>
      <w:sz w:val="32"/>
      <w:szCs w:val="32"/>
    </w:rPr>
  </w:style>
  <w:style w:type="paragraph" w:styleId="7">
    <w:name w:val="heading 3"/>
    <w:basedOn w:val="1"/>
    <w:next w:val="1"/>
    <w:link w:val="529"/>
    <w:qFormat/>
    <w:locked/>
    <w:uiPriority w:val="9"/>
    <w:pPr>
      <w:keepNext/>
      <w:keepLines/>
      <w:spacing w:before="260" w:after="260" w:line="416" w:lineRule="auto"/>
      <w:ind w:firstLine="480" w:firstLineChars="200"/>
      <w:outlineLvl w:val="2"/>
    </w:pPr>
    <w:rPr>
      <w:b/>
      <w:bCs/>
      <w:sz w:val="32"/>
      <w:szCs w:val="32"/>
    </w:rPr>
  </w:style>
  <w:style w:type="paragraph" w:styleId="8">
    <w:name w:val="heading 4"/>
    <w:basedOn w:val="1"/>
    <w:next w:val="1"/>
    <w:link w:val="390"/>
    <w:unhideWhenUsed/>
    <w:qFormat/>
    <w:locked/>
    <w:uiPriority w:val="9"/>
    <w:pPr>
      <w:keepNext/>
      <w:keepLines/>
      <w:snapToGrid w:val="0"/>
      <w:spacing w:afterLines="75"/>
      <w:ind w:left="3402"/>
      <w:jc w:val="left"/>
      <w:outlineLvl w:val="3"/>
    </w:pPr>
    <w:rPr>
      <w:rFonts w:ascii="Calibri" w:hAnsi="Calibri" w:eastAsia="黑体"/>
      <w:bCs/>
      <w:sz w:val="24"/>
      <w:szCs w:val="28"/>
    </w:rPr>
  </w:style>
  <w:style w:type="paragraph" w:styleId="9">
    <w:name w:val="heading 6"/>
    <w:basedOn w:val="1"/>
    <w:next w:val="1"/>
    <w:link w:val="448"/>
    <w:unhideWhenUsed/>
    <w:qFormat/>
    <w:locked/>
    <w:uiPriority w:val="0"/>
    <w:pPr>
      <w:keepNext/>
      <w:keepLines/>
      <w:spacing w:before="240" w:after="64" w:line="320" w:lineRule="auto"/>
      <w:outlineLvl w:val="5"/>
    </w:pPr>
    <w:rPr>
      <w:rFonts w:ascii="等线 Light" w:hAnsi="等线 Light" w:eastAsia="等线 Light"/>
      <w:b/>
      <w:bCs/>
      <w:sz w:val="24"/>
    </w:rPr>
  </w:style>
  <w:style w:type="paragraph" w:styleId="10">
    <w:name w:val="heading 9"/>
    <w:basedOn w:val="2"/>
    <w:next w:val="1"/>
    <w:qFormat/>
    <w:locked/>
    <w:uiPriority w:val="0"/>
    <w:pPr>
      <w:spacing w:line="460" w:lineRule="exact"/>
      <w:jc w:val="center"/>
      <w:outlineLvl w:val="8"/>
    </w:pPr>
    <w:rPr>
      <w:rFonts w:ascii="Times New Roman"/>
      <w:color w:val="auto"/>
      <w:sz w:val="21"/>
      <w:szCs w:val="21"/>
    </w:rPr>
  </w:style>
  <w:style w:type="character" w:default="1" w:styleId="38">
    <w:name w:val="Default Paragraph Font"/>
    <w:semiHidden/>
    <w:unhideWhenUsed/>
    <w:qFormat/>
    <w:uiPriority w:val="1"/>
  </w:style>
  <w:style w:type="table" w:default="1" w:styleId="36">
    <w:name w:val="Normal Table"/>
    <w:semiHidden/>
    <w:unhideWhenUsed/>
    <w:qFormat/>
    <w:uiPriority w:val="99"/>
    <w:tblPr>
      <w:tblCellMar>
        <w:top w:w="0" w:type="dxa"/>
        <w:left w:w="108" w:type="dxa"/>
        <w:bottom w:w="0" w:type="dxa"/>
        <w:right w:w="108" w:type="dxa"/>
      </w:tblCellMar>
    </w:tblPr>
  </w:style>
  <w:style w:type="paragraph" w:customStyle="1" w:styleId="2">
    <w:name w:val="Default"/>
    <w:basedOn w:val="3"/>
    <w:next w:val="4"/>
    <w:link w:val="339"/>
    <w:qFormat/>
    <w:uiPriority w:val="0"/>
    <w:pPr>
      <w:autoSpaceDE w:val="0"/>
      <w:autoSpaceDN w:val="0"/>
      <w:adjustRightInd w:val="0"/>
    </w:pPr>
    <w:rPr>
      <w:rFonts w:ascii="宋体"/>
      <w:color w:val="000000"/>
      <w:sz w:val="24"/>
      <w:szCs w:val="24"/>
    </w:rPr>
  </w:style>
  <w:style w:type="paragraph" w:customStyle="1" w:styleId="3">
    <w:name w:val="！正文 Alt+0"/>
    <w:basedOn w:val="1"/>
    <w:qFormat/>
    <w:uiPriority w:val="0"/>
    <w:pPr>
      <w:spacing w:line="360" w:lineRule="auto"/>
      <w:ind w:firstLine="200" w:firstLineChars="200"/>
    </w:pPr>
    <w:rPr>
      <w:sz w:val="28"/>
      <w:szCs w:val="28"/>
    </w:rPr>
  </w:style>
  <w:style w:type="paragraph" w:styleId="4">
    <w:name w:val="List"/>
    <w:basedOn w:val="1"/>
    <w:next w:val="1"/>
    <w:qFormat/>
    <w:locked/>
    <w:uiPriority w:val="0"/>
    <w:pPr>
      <w:ind w:left="200" w:hanging="200" w:hangingChars="200"/>
      <w:contextualSpacing/>
    </w:pPr>
  </w:style>
  <w:style w:type="paragraph" w:styleId="11">
    <w:name w:val="Normal Indent"/>
    <w:basedOn w:val="1"/>
    <w:next w:val="1"/>
    <w:unhideWhenUsed/>
    <w:qFormat/>
    <w:locked/>
    <w:uiPriority w:val="0"/>
    <w:pPr>
      <w:overflowPunct w:val="0"/>
      <w:autoSpaceDE w:val="0"/>
      <w:autoSpaceDN w:val="0"/>
      <w:adjustRightInd w:val="0"/>
      <w:spacing w:before="120" w:after="120" w:line="360" w:lineRule="auto"/>
      <w:ind w:firstLine="420"/>
    </w:pPr>
    <w:rPr>
      <w:kern w:val="0"/>
      <w:sz w:val="28"/>
      <w:szCs w:val="20"/>
    </w:rPr>
  </w:style>
  <w:style w:type="paragraph" w:styleId="12">
    <w:name w:val="caption"/>
    <w:basedOn w:val="1"/>
    <w:next w:val="1"/>
    <w:link w:val="449"/>
    <w:unhideWhenUsed/>
    <w:qFormat/>
    <w:locked/>
    <w:uiPriority w:val="0"/>
    <w:pPr>
      <w:adjustRightInd w:val="0"/>
      <w:snapToGrid w:val="0"/>
      <w:spacing w:line="360" w:lineRule="auto"/>
      <w:jc w:val="left"/>
    </w:pPr>
    <w:rPr>
      <w:rFonts w:ascii="黑体" w:hAnsi="黑体" w:eastAsia="黑体"/>
      <w:sz w:val="24"/>
      <w:szCs w:val="20"/>
    </w:rPr>
  </w:style>
  <w:style w:type="paragraph" w:styleId="13">
    <w:name w:val="Document Map"/>
    <w:basedOn w:val="1"/>
    <w:link w:val="289"/>
    <w:unhideWhenUsed/>
    <w:qFormat/>
    <w:locked/>
    <w:uiPriority w:val="0"/>
    <w:pPr>
      <w:shd w:val="clear" w:color="auto" w:fill="000080"/>
    </w:pPr>
    <w:rPr>
      <w:rFonts w:ascii="Calibri" w:hAnsi="Calibri"/>
      <w:szCs w:val="22"/>
    </w:rPr>
  </w:style>
  <w:style w:type="paragraph" w:styleId="14">
    <w:name w:val="annotation text"/>
    <w:basedOn w:val="1"/>
    <w:link w:val="528"/>
    <w:semiHidden/>
    <w:qFormat/>
    <w:uiPriority w:val="99"/>
    <w:pPr>
      <w:jc w:val="left"/>
    </w:pPr>
    <w:rPr>
      <w:kern w:val="0"/>
      <w:sz w:val="24"/>
      <w:szCs w:val="20"/>
    </w:rPr>
  </w:style>
  <w:style w:type="paragraph" w:styleId="15">
    <w:name w:val="Body Text"/>
    <w:basedOn w:val="1"/>
    <w:next w:val="16"/>
    <w:link w:val="362"/>
    <w:qFormat/>
    <w:uiPriority w:val="1"/>
    <w:pPr>
      <w:widowControl/>
      <w:snapToGrid w:val="0"/>
      <w:spacing w:before="60" w:after="160" w:line="259" w:lineRule="auto"/>
      <w:ind w:right="113"/>
    </w:pPr>
    <w:rPr>
      <w:kern w:val="0"/>
      <w:sz w:val="18"/>
      <w:szCs w:val="20"/>
    </w:rPr>
  </w:style>
  <w:style w:type="paragraph" w:customStyle="1" w:styleId="16">
    <w:name w:val="xl27"/>
    <w:basedOn w:val="1"/>
    <w:next w:val="15"/>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jc w:val="center"/>
    </w:pPr>
    <w:rPr>
      <w:rFonts w:ascii="新宋体-18030" w:hAnsi="新宋体-18030" w:eastAsia="新宋体-18030" w:cs="新宋体-18030"/>
      <w:kern w:val="0"/>
    </w:rPr>
  </w:style>
  <w:style w:type="paragraph" w:styleId="17">
    <w:name w:val="Body Text Indent"/>
    <w:basedOn w:val="1"/>
    <w:link w:val="280"/>
    <w:qFormat/>
    <w:uiPriority w:val="0"/>
    <w:pPr>
      <w:spacing w:after="120"/>
      <w:ind w:left="420" w:leftChars="200"/>
    </w:pPr>
    <w:rPr>
      <w:kern w:val="0"/>
      <w:sz w:val="24"/>
      <w:szCs w:val="20"/>
    </w:rPr>
  </w:style>
  <w:style w:type="paragraph" w:styleId="18">
    <w:name w:val="toc 3"/>
    <w:basedOn w:val="1"/>
    <w:next w:val="1"/>
    <w:unhideWhenUsed/>
    <w:qFormat/>
    <w:locked/>
    <w:uiPriority w:val="0"/>
    <w:pPr>
      <w:autoSpaceDE w:val="0"/>
      <w:autoSpaceDN w:val="0"/>
      <w:ind w:left="840" w:leftChars="400"/>
      <w:jc w:val="left"/>
    </w:pPr>
    <w:rPr>
      <w:rFonts w:ascii="宋体" w:hAnsi="宋体" w:cs="宋体"/>
      <w:kern w:val="0"/>
      <w:sz w:val="22"/>
      <w:szCs w:val="22"/>
      <w:lang w:val="zh-CN" w:bidi="zh-CN"/>
    </w:rPr>
  </w:style>
  <w:style w:type="paragraph" w:styleId="19">
    <w:name w:val="Plain Text"/>
    <w:basedOn w:val="1"/>
    <w:link w:val="304"/>
    <w:unhideWhenUsed/>
    <w:qFormat/>
    <w:locked/>
    <w:uiPriority w:val="0"/>
    <w:rPr>
      <w:rFonts w:ascii="Calibri" w:hAnsi="Courier New" w:cs="Courier New"/>
      <w:szCs w:val="21"/>
    </w:rPr>
  </w:style>
  <w:style w:type="paragraph" w:styleId="20">
    <w:name w:val="List Bullet 5"/>
    <w:basedOn w:val="1"/>
    <w:qFormat/>
    <w:locked/>
    <w:uiPriority w:val="0"/>
    <w:pPr>
      <w:numPr>
        <w:ilvl w:val="0"/>
        <w:numId w:val="1"/>
      </w:numPr>
    </w:pPr>
  </w:style>
  <w:style w:type="paragraph" w:styleId="21">
    <w:name w:val="Date"/>
    <w:basedOn w:val="1"/>
    <w:next w:val="1"/>
    <w:link w:val="366"/>
    <w:qFormat/>
    <w:uiPriority w:val="0"/>
    <w:pPr>
      <w:ind w:left="100" w:leftChars="2500"/>
    </w:pPr>
    <w:rPr>
      <w:kern w:val="0"/>
      <w:sz w:val="24"/>
      <w:szCs w:val="20"/>
    </w:rPr>
  </w:style>
  <w:style w:type="paragraph" w:styleId="22">
    <w:name w:val="Body Text Indent 2"/>
    <w:basedOn w:val="1"/>
    <w:link w:val="381"/>
    <w:unhideWhenUsed/>
    <w:qFormat/>
    <w:locked/>
    <w:uiPriority w:val="99"/>
    <w:pPr>
      <w:spacing w:after="120" w:line="480" w:lineRule="auto"/>
      <w:ind w:left="420" w:leftChars="200"/>
    </w:pPr>
    <w:rPr>
      <w:rFonts w:ascii="Calibri" w:hAnsi="Calibri"/>
      <w:szCs w:val="22"/>
    </w:rPr>
  </w:style>
  <w:style w:type="paragraph" w:styleId="23">
    <w:name w:val="endnote text"/>
    <w:basedOn w:val="1"/>
    <w:qFormat/>
    <w:locked/>
    <w:uiPriority w:val="0"/>
  </w:style>
  <w:style w:type="paragraph" w:styleId="24">
    <w:name w:val="Balloon Text"/>
    <w:basedOn w:val="1"/>
    <w:link w:val="307"/>
    <w:semiHidden/>
    <w:qFormat/>
    <w:uiPriority w:val="99"/>
    <w:rPr>
      <w:kern w:val="0"/>
      <w:sz w:val="18"/>
      <w:szCs w:val="20"/>
    </w:rPr>
  </w:style>
  <w:style w:type="paragraph" w:styleId="25">
    <w:name w:val="footer"/>
    <w:basedOn w:val="1"/>
    <w:link w:val="233"/>
    <w:qFormat/>
    <w:uiPriority w:val="99"/>
    <w:pPr>
      <w:tabs>
        <w:tab w:val="center" w:pos="4153"/>
        <w:tab w:val="right" w:pos="8306"/>
      </w:tabs>
      <w:snapToGrid w:val="0"/>
      <w:jc w:val="left"/>
    </w:pPr>
    <w:rPr>
      <w:kern w:val="0"/>
      <w:sz w:val="18"/>
      <w:szCs w:val="20"/>
    </w:rPr>
  </w:style>
  <w:style w:type="paragraph" w:styleId="26">
    <w:name w:val="header"/>
    <w:basedOn w:val="1"/>
    <w:link w:val="468"/>
    <w:qFormat/>
    <w:uiPriority w:val="99"/>
    <w:pPr>
      <w:pBdr>
        <w:bottom w:val="single" w:color="auto" w:sz="6" w:space="1"/>
      </w:pBdr>
      <w:tabs>
        <w:tab w:val="center" w:pos="4153"/>
        <w:tab w:val="right" w:pos="8306"/>
      </w:tabs>
      <w:snapToGrid w:val="0"/>
      <w:jc w:val="center"/>
    </w:pPr>
    <w:rPr>
      <w:kern w:val="0"/>
      <w:sz w:val="18"/>
      <w:szCs w:val="20"/>
    </w:rPr>
  </w:style>
  <w:style w:type="paragraph" w:styleId="27">
    <w:name w:val="toc 1"/>
    <w:basedOn w:val="1"/>
    <w:next w:val="1"/>
    <w:link w:val="430"/>
    <w:unhideWhenUsed/>
    <w:qFormat/>
    <w:locked/>
    <w:uiPriority w:val="39"/>
    <w:pPr>
      <w:tabs>
        <w:tab w:val="right" w:leader="dot" w:pos="8296"/>
      </w:tabs>
      <w:snapToGrid w:val="0"/>
      <w:spacing w:afterLines="50"/>
      <w:ind w:firstLine="482"/>
      <w:jc w:val="left"/>
    </w:pPr>
    <w:rPr>
      <w:rFonts w:eastAsia="黑体"/>
      <w:kern w:val="0"/>
      <w:sz w:val="24"/>
      <w:szCs w:val="20"/>
    </w:rPr>
  </w:style>
  <w:style w:type="paragraph" w:styleId="28">
    <w:name w:val="Subtitle"/>
    <w:basedOn w:val="1"/>
    <w:next w:val="1"/>
    <w:qFormat/>
    <w:locked/>
    <w:uiPriority w:val="0"/>
    <w:pPr>
      <w:jc w:val="center"/>
    </w:pPr>
    <w:rPr>
      <w:bCs/>
      <w:kern w:val="28"/>
      <w:szCs w:val="32"/>
    </w:rPr>
  </w:style>
  <w:style w:type="paragraph" w:styleId="29">
    <w:name w:val="table of figures"/>
    <w:basedOn w:val="1"/>
    <w:next w:val="1"/>
    <w:qFormat/>
    <w:locked/>
    <w:uiPriority w:val="0"/>
    <w:pPr>
      <w:ind w:left="200" w:leftChars="200" w:hanging="200" w:hangingChars="200"/>
    </w:pPr>
  </w:style>
  <w:style w:type="paragraph" w:styleId="30">
    <w:name w:val="toc 2"/>
    <w:basedOn w:val="1"/>
    <w:next w:val="1"/>
    <w:unhideWhenUsed/>
    <w:qFormat/>
    <w:locked/>
    <w:uiPriority w:val="39"/>
    <w:pPr>
      <w:snapToGrid w:val="0"/>
      <w:spacing w:afterLines="50"/>
      <w:ind w:left="200" w:leftChars="200" w:firstLine="200" w:firstLineChars="200"/>
      <w:jc w:val="left"/>
    </w:pPr>
    <w:rPr>
      <w:rFonts w:ascii="Calibri" w:hAnsi="Calibri" w:eastAsia="黑体"/>
      <w:szCs w:val="22"/>
    </w:rPr>
  </w:style>
  <w:style w:type="paragraph" w:styleId="31">
    <w:name w:val="Body Text 2"/>
    <w:basedOn w:val="1"/>
    <w:unhideWhenUsed/>
    <w:qFormat/>
    <w:locked/>
    <w:uiPriority w:val="0"/>
    <w:rPr>
      <w:rFonts w:ascii="宋体" w:hAnsi="宋体"/>
      <w:sz w:val="24"/>
    </w:rPr>
  </w:style>
  <w:style w:type="paragraph" w:styleId="32">
    <w:name w:val="Normal (Web)"/>
    <w:basedOn w:val="1"/>
    <w:link w:val="520"/>
    <w:qFormat/>
    <w:uiPriority w:val="0"/>
    <w:pPr>
      <w:widowControl/>
      <w:spacing w:before="100" w:beforeAutospacing="1" w:after="100" w:afterAutospacing="1"/>
      <w:jc w:val="left"/>
    </w:pPr>
    <w:rPr>
      <w:rFonts w:ascii="宋体" w:hAnsi="宋体"/>
      <w:kern w:val="0"/>
      <w:sz w:val="24"/>
      <w:szCs w:val="20"/>
    </w:rPr>
  </w:style>
  <w:style w:type="paragraph" w:styleId="33">
    <w:name w:val="annotation subject"/>
    <w:basedOn w:val="14"/>
    <w:next w:val="14"/>
    <w:link w:val="431"/>
    <w:semiHidden/>
    <w:qFormat/>
    <w:uiPriority w:val="99"/>
    <w:rPr>
      <w:b/>
      <w:kern w:val="2"/>
    </w:rPr>
  </w:style>
  <w:style w:type="paragraph" w:styleId="34">
    <w:name w:val="Body Text First Indent"/>
    <w:basedOn w:val="15"/>
    <w:next w:val="1"/>
    <w:link w:val="293"/>
    <w:qFormat/>
    <w:locked/>
    <w:uiPriority w:val="0"/>
    <w:pPr>
      <w:widowControl w:val="0"/>
      <w:adjustRightInd w:val="0"/>
      <w:spacing w:beforeLines="50" w:after="0" w:line="360" w:lineRule="auto"/>
      <w:ind w:right="0" w:firstLine="200" w:firstLineChars="200"/>
    </w:pPr>
    <w:rPr>
      <w:kern w:val="2"/>
      <w:sz w:val="24"/>
    </w:rPr>
  </w:style>
  <w:style w:type="paragraph" w:styleId="35">
    <w:name w:val="Body Text First Indent 2"/>
    <w:basedOn w:val="17"/>
    <w:next w:val="1"/>
    <w:qFormat/>
    <w:locked/>
    <w:uiPriority w:val="99"/>
    <w:pPr>
      <w:ind w:firstLine="420"/>
    </w:pPr>
  </w:style>
  <w:style w:type="table" w:styleId="37">
    <w:name w:val="Table Grid"/>
    <w:basedOn w:val="36"/>
    <w:qFormat/>
    <w:uiPriority w:val="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9">
    <w:name w:val="page number"/>
    <w:basedOn w:val="38"/>
    <w:qFormat/>
    <w:locked/>
    <w:uiPriority w:val="0"/>
  </w:style>
  <w:style w:type="character" w:styleId="40">
    <w:name w:val="FollowedHyperlink"/>
    <w:unhideWhenUsed/>
    <w:qFormat/>
    <w:locked/>
    <w:uiPriority w:val="99"/>
    <w:rPr>
      <w:color w:val="954F72"/>
      <w:u w:val="single"/>
    </w:rPr>
  </w:style>
  <w:style w:type="character" w:styleId="41">
    <w:name w:val="Emphasis"/>
    <w:basedOn w:val="38"/>
    <w:qFormat/>
    <w:locked/>
    <w:uiPriority w:val="0"/>
  </w:style>
  <w:style w:type="character" w:styleId="42">
    <w:name w:val="HTML Definition"/>
    <w:unhideWhenUsed/>
    <w:qFormat/>
    <w:locked/>
    <w:uiPriority w:val="0"/>
  </w:style>
  <w:style w:type="character" w:styleId="43">
    <w:name w:val="HTML Acronym"/>
    <w:basedOn w:val="38"/>
    <w:qFormat/>
    <w:locked/>
    <w:uiPriority w:val="0"/>
  </w:style>
  <w:style w:type="character" w:styleId="44">
    <w:name w:val="HTML Variable"/>
    <w:basedOn w:val="38"/>
    <w:qFormat/>
    <w:locked/>
    <w:uiPriority w:val="0"/>
  </w:style>
  <w:style w:type="character" w:styleId="45">
    <w:name w:val="Hyperlink"/>
    <w:basedOn w:val="38"/>
    <w:unhideWhenUsed/>
    <w:qFormat/>
    <w:locked/>
    <w:uiPriority w:val="99"/>
    <w:rPr>
      <w:color w:val="333333"/>
      <w:u w:val="none"/>
    </w:rPr>
  </w:style>
  <w:style w:type="character" w:styleId="46">
    <w:name w:val="HTML Code"/>
    <w:basedOn w:val="38"/>
    <w:qFormat/>
    <w:locked/>
    <w:uiPriority w:val="0"/>
    <w:rPr>
      <w:rFonts w:hint="eastAsia" w:ascii="微软雅黑" w:hAnsi="微软雅黑" w:eastAsia="微软雅黑" w:cs="微软雅黑"/>
      <w:color w:val="333333"/>
      <w:sz w:val="21"/>
      <w:szCs w:val="21"/>
    </w:rPr>
  </w:style>
  <w:style w:type="character" w:styleId="47">
    <w:name w:val="annotation reference"/>
    <w:semiHidden/>
    <w:qFormat/>
    <w:uiPriority w:val="99"/>
    <w:rPr>
      <w:sz w:val="21"/>
    </w:rPr>
  </w:style>
  <w:style w:type="character" w:styleId="48">
    <w:name w:val="HTML Cite"/>
    <w:basedOn w:val="38"/>
    <w:qFormat/>
    <w:locked/>
    <w:uiPriority w:val="0"/>
  </w:style>
  <w:style w:type="paragraph" w:customStyle="1" w:styleId="49">
    <w:name w:val="纯文本1"/>
    <w:basedOn w:val="1"/>
    <w:qFormat/>
    <w:uiPriority w:val="0"/>
    <w:pPr>
      <w:adjustRightInd w:val="0"/>
    </w:pPr>
    <w:rPr>
      <w:rFonts w:ascii="宋体" w:hAnsi="Courier New"/>
      <w:szCs w:val="20"/>
    </w:rPr>
  </w:style>
  <w:style w:type="paragraph" w:customStyle="1" w:styleId="50">
    <w:name w:val="WPSOffice手动目录 1"/>
    <w:qFormat/>
    <w:uiPriority w:val="0"/>
    <w:rPr>
      <w:rFonts w:ascii="Times New Roman" w:hAnsi="Times New Roman" w:eastAsia="宋体" w:cs="Times New Roman"/>
      <w:lang w:val="en-US" w:eastAsia="zh-CN" w:bidi="ar-SA"/>
    </w:rPr>
  </w:style>
  <w:style w:type="paragraph" w:customStyle="1" w:styleId="51">
    <w:name w:val="正文文本 (25)"/>
    <w:basedOn w:val="1"/>
    <w:link w:val="274"/>
    <w:qFormat/>
    <w:uiPriority w:val="0"/>
    <w:pPr>
      <w:shd w:val="clear" w:color="auto" w:fill="FFFFFF"/>
      <w:spacing w:line="173" w:lineRule="exact"/>
      <w:jc w:val="distribute"/>
    </w:pPr>
    <w:rPr>
      <w:rFonts w:ascii="MingLiU" w:hAnsi="MingLiU" w:eastAsia="MingLiU"/>
      <w:kern w:val="0"/>
      <w:sz w:val="15"/>
      <w:szCs w:val="15"/>
    </w:rPr>
  </w:style>
  <w:style w:type="paragraph" w:customStyle="1" w:styleId="52">
    <w:name w:val="正本文字"/>
    <w:basedOn w:val="1"/>
    <w:qFormat/>
    <w:uiPriority w:val="0"/>
    <w:pPr>
      <w:adjustRightInd w:val="0"/>
      <w:snapToGrid w:val="0"/>
      <w:spacing w:line="360" w:lineRule="auto"/>
      <w:ind w:firstLine="480" w:firstLineChars="200"/>
      <w:jc w:val="left"/>
    </w:pPr>
    <w:rPr>
      <w:rFonts w:cs="宋体"/>
      <w:kern w:val="18"/>
      <w:sz w:val="24"/>
      <w:szCs w:val="20"/>
    </w:rPr>
  </w:style>
  <w:style w:type="paragraph" w:customStyle="1" w:styleId="53">
    <w:name w:val="表"/>
    <w:basedOn w:val="1"/>
    <w:qFormat/>
    <w:uiPriority w:val="0"/>
    <w:pPr>
      <w:jc w:val="center"/>
    </w:pPr>
    <w:rPr>
      <w:kern w:val="0"/>
      <w:szCs w:val="20"/>
    </w:rPr>
  </w:style>
  <w:style w:type="paragraph" w:customStyle="1" w:styleId="54">
    <w:name w:val="表格标题 (7)"/>
    <w:basedOn w:val="1"/>
    <w:link w:val="511"/>
    <w:qFormat/>
    <w:uiPriority w:val="0"/>
    <w:pPr>
      <w:shd w:val="clear" w:color="auto" w:fill="FFFFFF"/>
      <w:spacing w:line="240" w:lineRule="atLeast"/>
      <w:jc w:val="left"/>
    </w:pPr>
    <w:rPr>
      <w:rFonts w:ascii="MingLiU" w:hAnsi="MingLiU" w:eastAsia="MingLiU"/>
      <w:kern w:val="0"/>
      <w:sz w:val="15"/>
      <w:szCs w:val="15"/>
      <w:lang w:eastAsia="en-US"/>
    </w:rPr>
  </w:style>
  <w:style w:type="paragraph" w:customStyle="1" w:styleId="55">
    <w:name w:val="正文文本 (17)"/>
    <w:basedOn w:val="1"/>
    <w:link w:val="225"/>
    <w:qFormat/>
    <w:uiPriority w:val="0"/>
    <w:pPr>
      <w:shd w:val="clear" w:color="auto" w:fill="FFFFFF"/>
      <w:spacing w:line="240" w:lineRule="atLeast"/>
      <w:jc w:val="left"/>
    </w:pPr>
    <w:rPr>
      <w:rFonts w:ascii="Georgia" w:hAnsi="Georgia"/>
      <w:spacing w:val="120"/>
      <w:kern w:val="0"/>
      <w:sz w:val="19"/>
      <w:szCs w:val="19"/>
      <w:lang w:eastAsia="en-US"/>
    </w:rPr>
  </w:style>
  <w:style w:type="paragraph" w:customStyle="1" w:styleId="56">
    <w:name w:val="正文文本 (18)"/>
    <w:basedOn w:val="1"/>
    <w:link w:val="532"/>
    <w:qFormat/>
    <w:uiPriority w:val="0"/>
    <w:pPr>
      <w:shd w:val="clear" w:color="auto" w:fill="FFFFFF"/>
      <w:spacing w:line="240" w:lineRule="atLeast"/>
      <w:jc w:val="left"/>
    </w:pPr>
    <w:rPr>
      <w:rFonts w:ascii="MingLiU" w:hAnsi="MingLiU" w:eastAsia="MingLiU"/>
      <w:b/>
      <w:bCs/>
      <w:spacing w:val="-10"/>
      <w:kern w:val="0"/>
      <w:sz w:val="23"/>
      <w:szCs w:val="23"/>
    </w:rPr>
  </w:style>
  <w:style w:type="paragraph" w:customStyle="1" w:styleId="57">
    <w:name w:val="卓龙正文"/>
    <w:basedOn w:val="1"/>
    <w:qFormat/>
    <w:uiPriority w:val="0"/>
    <w:pPr>
      <w:spacing w:line="360" w:lineRule="auto"/>
      <w:ind w:firstLine="200" w:firstLineChars="200"/>
    </w:pPr>
    <w:rPr>
      <w:sz w:val="24"/>
    </w:rPr>
  </w:style>
  <w:style w:type="paragraph" w:customStyle="1" w:styleId="58">
    <w:name w:val="表格内容居中"/>
    <w:qFormat/>
    <w:uiPriority w:val="0"/>
    <w:pPr>
      <w:adjustRightInd w:val="0"/>
      <w:snapToGrid w:val="0"/>
      <w:jc w:val="center"/>
    </w:pPr>
    <w:rPr>
      <w:rFonts w:ascii="Calibri" w:hAnsi="Calibri" w:eastAsia="宋体" w:cs="Times New Roman"/>
      <w:sz w:val="21"/>
      <w:szCs w:val="21"/>
      <w:lang w:val="en-US" w:eastAsia="zh-CN" w:bidi="ar-SA"/>
    </w:rPr>
  </w:style>
  <w:style w:type="paragraph" w:customStyle="1" w:styleId="59">
    <w:name w:val="8.28  JQ  正文"/>
    <w:basedOn w:val="1"/>
    <w:qFormat/>
    <w:uiPriority w:val="0"/>
    <w:pPr>
      <w:autoSpaceDE w:val="0"/>
      <w:autoSpaceDN w:val="0"/>
      <w:spacing w:line="520" w:lineRule="exact"/>
      <w:ind w:firstLine="480" w:firstLineChars="200"/>
      <w:jc w:val="left"/>
    </w:pPr>
    <w:rPr>
      <w:rFonts w:hAnsi="宋体"/>
      <w:sz w:val="24"/>
    </w:rPr>
  </w:style>
  <w:style w:type="paragraph" w:customStyle="1" w:styleId="60">
    <w:name w:val="正文文本 (6)1"/>
    <w:basedOn w:val="1"/>
    <w:link w:val="474"/>
    <w:qFormat/>
    <w:uiPriority w:val="0"/>
    <w:pPr>
      <w:shd w:val="clear" w:color="auto" w:fill="FFFFFF"/>
      <w:spacing w:line="466" w:lineRule="exact"/>
      <w:jc w:val="left"/>
    </w:pPr>
    <w:rPr>
      <w:rFonts w:ascii="MingLiU" w:hAnsi="MingLiU" w:eastAsia="MingLiU"/>
      <w:b/>
      <w:bCs/>
      <w:kern w:val="0"/>
      <w:sz w:val="22"/>
      <w:szCs w:val="22"/>
    </w:rPr>
  </w:style>
  <w:style w:type="paragraph" w:customStyle="1" w:styleId="61">
    <w:name w:val="样式 正文文本缩进 + 行距: 1.5 倍行距"/>
    <w:basedOn w:val="62"/>
    <w:next w:val="1"/>
    <w:qFormat/>
    <w:uiPriority w:val="0"/>
    <w:pPr>
      <w:spacing w:after="120" w:line="360" w:lineRule="auto"/>
      <w:ind w:left="90" w:leftChars="32" w:firstLine="560" w:firstLineChars="200"/>
    </w:pPr>
    <w:rPr>
      <w:rFonts w:cs="宋体"/>
    </w:rPr>
  </w:style>
  <w:style w:type="paragraph" w:customStyle="1" w:styleId="62">
    <w:name w:val="正文文本缩进1"/>
    <w:basedOn w:val="1"/>
    <w:next w:val="61"/>
    <w:qFormat/>
    <w:uiPriority w:val="0"/>
    <w:pPr>
      <w:ind w:left="420" w:leftChars="200"/>
    </w:pPr>
    <w:rPr>
      <w:sz w:val="24"/>
    </w:rPr>
  </w:style>
  <w:style w:type="paragraph" w:customStyle="1" w:styleId="63">
    <w:name w:val="图片标题 (4)"/>
    <w:basedOn w:val="1"/>
    <w:link w:val="344"/>
    <w:qFormat/>
    <w:uiPriority w:val="0"/>
    <w:pPr>
      <w:shd w:val="clear" w:color="auto" w:fill="FFFFFF"/>
      <w:spacing w:line="240" w:lineRule="atLeast"/>
      <w:jc w:val="left"/>
    </w:pPr>
    <w:rPr>
      <w:rFonts w:ascii="MingLiU" w:hAnsi="MingLiU" w:eastAsia="MingLiU"/>
      <w:spacing w:val="-10"/>
      <w:kern w:val="0"/>
      <w:sz w:val="10"/>
      <w:szCs w:val="10"/>
      <w:lang w:eastAsia="en-US"/>
    </w:rPr>
  </w:style>
  <w:style w:type="paragraph" w:customStyle="1" w:styleId="64">
    <w:name w:val="图片标题 (13)"/>
    <w:basedOn w:val="1"/>
    <w:link w:val="294"/>
    <w:qFormat/>
    <w:uiPriority w:val="0"/>
    <w:pPr>
      <w:shd w:val="clear" w:color="auto" w:fill="FFFFFF"/>
      <w:spacing w:line="240" w:lineRule="atLeast"/>
      <w:jc w:val="left"/>
    </w:pPr>
    <w:rPr>
      <w:rFonts w:ascii="Angsana New" w:hAnsi="Angsana New" w:cs="Angsana New"/>
      <w:b/>
      <w:bCs/>
      <w:kern w:val="0"/>
      <w:sz w:val="34"/>
      <w:szCs w:val="34"/>
    </w:rPr>
  </w:style>
  <w:style w:type="paragraph" w:customStyle="1" w:styleId="65">
    <w:name w:val="正文文本 (12)"/>
    <w:basedOn w:val="1"/>
    <w:link w:val="415"/>
    <w:qFormat/>
    <w:uiPriority w:val="0"/>
    <w:pPr>
      <w:shd w:val="clear" w:color="auto" w:fill="FFFFFF"/>
      <w:spacing w:after="120" w:line="240" w:lineRule="atLeast"/>
      <w:jc w:val="left"/>
    </w:pPr>
    <w:rPr>
      <w:rFonts w:ascii="MingLiU" w:hAnsi="MingLiU" w:eastAsia="MingLiU"/>
      <w:w w:val="150"/>
      <w:kern w:val="0"/>
      <w:sz w:val="16"/>
      <w:szCs w:val="16"/>
    </w:rPr>
  </w:style>
  <w:style w:type="paragraph" w:customStyle="1" w:styleId="66">
    <w:name w:val="正文文本 (26)"/>
    <w:basedOn w:val="1"/>
    <w:link w:val="374"/>
    <w:qFormat/>
    <w:uiPriority w:val="0"/>
    <w:pPr>
      <w:shd w:val="clear" w:color="auto" w:fill="FFFFFF"/>
      <w:spacing w:line="240" w:lineRule="atLeast"/>
      <w:jc w:val="left"/>
    </w:pPr>
    <w:rPr>
      <w:rFonts w:ascii="MingLiU" w:hAnsi="MingLiU" w:eastAsia="MingLiU"/>
      <w:kern w:val="0"/>
      <w:sz w:val="16"/>
      <w:szCs w:val="16"/>
    </w:rPr>
  </w:style>
  <w:style w:type="paragraph" w:customStyle="1" w:styleId="67">
    <w:name w:val="样式 正文文本 + 首行缩进:  2 字符"/>
    <w:basedOn w:val="15"/>
    <w:next w:val="1"/>
    <w:unhideWhenUsed/>
    <w:qFormat/>
    <w:uiPriority w:val="0"/>
    <w:pPr>
      <w:spacing w:line="480" w:lineRule="exact"/>
      <w:ind w:firstLine="480" w:firstLineChars="200"/>
    </w:pPr>
    <w:rPr>
      <w:rFonts w:hint="eastAsia" w:ascii="宋体" w:hAnsi="宋体"/>
      <w:sz w:val="24"/>
    </w:rPr>
  </w:style>
  <w:style w:type="paragraph" w:customStyle="1" w:styleId="68">
    <w:name w:val="正文文本 (27)"/>
    <w:basedOn w:val="1"/>
    <w:link w:val="260"/>
    <w:qFormat/>
    <w:uiPriority w:val="0"/>
    <w:pPr>
      <w:shd w:val="clear" w:color="auto" w:fill="FFFFFF"/>
      <w:spacing w:line="82" w:lineRule="exact"/>
    </w:pPr>
    <w:rPr>
      <w:rFonts w:ascii="MingLiU" w:hAnsi="MingLiU" w:eastAsia="MingLiU"/>
      <w:spacing w:val="-20"/>
      <w:kern w:val="0"/>
      <w:sz w:val="20"/>
      <w:szCs w:val="20"/>
      <w:lang w:eastAsia="en-US"/>
    </w:rPr>
  </w:style>
  <w:style w:type="paragraph" w:customStyle="1" w:styleId="69">
    <w:name w:val="0正文"/>
    <w:unhideWhenUsed/>
    <w:qFormat/>
    <w:uiPriority w:val="0"/>
    <w:pPr>
      <w:widowControl w:val="0"/>
      <w:spacing w:line="360" w:lineRule="auto"/>
      <w:ind w:firstLine="720" w:firstLineChars="200"/>
    </w:pPr>
    <w:rPr>
      <w:rFonts w:ascii="Calibri" w:hAnsi="Calibri" w:eastAsia="宋体" w:cs="Times New Roman"/>
      <w:sz w:val="24"/>
      <w:szCs w:val="22"/>
      <w:lang w:val="en-US" w:eastAsia="zh-CN" w:bidi="ar-SA"/>
    </w:rPr>
  </w:style>
  <w:style w:type="paragraph" w:customStyle="1" w:styleId="70">
    <w:name w:val="文本"/>
    <w:basedOn w:val="1"/>
    <w:next w:val="1"/>
    <w:qFormat/>
    <w:uiPriority w:val="0"/>
    <w:pPr>
      <w:autoSpaceDE w:val="0"/>
      <w:autoSpaceDN w:val="0"/>
      <w:ind w:firstLine="480"/>
    </w:pPr>
    <w:rPr>
      <w:lang w:val="zh-CN"/>
    </w:rPr>
  </w:style>
  <w:style w:type="paragraph" w:customStyle="1" w:styleId="71">
    <w:name w:val="表格标题 (3)1"/>
    <w:basedOn w:val="1"/>
    <w:link w:val="349"/>
    <w:qFormat/>
    <w:uiPriority w:val="0"/>
    <w:pPr>
      <w:shd w:val="clear" w:color="auto" w:fill="FFFFFF"/>
      <w:spacing w:line="466" w:lineRule="exact"/>
      <w:jc w:val="left"/>
    </w:pPr>
    <w:rPr>
      <w:rFonts w:ascii="MingLiU" w:hAnsi="MingLiU" w:eastAsia="MingLiU"/>
      <w:kern w:val="0"/>
      <w:sz w:val="22"/>
      <w:szCs w:val="22"/>
    </w:rPr>
  </w:style>
  <w:style w:type="paragraph" w:customStyle="1" w:styleId="72">
    <w:name w:val="图片标题 (3)"/>
    <w:basedOn w:val="1"/>
    <w:link w:val="277"/>
    <w:qFormat/>
    <w:uiPriority w:val="0"/>
    <w:pPr>
      <w:shd w:val="clear" w:color="auto" w:fill="FFFFFF"/>
      <w:spacing w:line="240" w:lineRule="atLeast"/>
      <w:jc w:val="left"/>
    </w:pPr>
    <w:rPr>
      <w:rFonts w:ascii="MingLiU" w:hAnsi="MingLiU" w:eastAsia="MingLiU"/>
      <w:kern w:val="0"/>
      <w:sz w:val="22"/>
      <w:szCs w:val="22"/>
    </w:rPr>
  </w:style>
  <w:style w:type="paragraph" w:customStyle="1" w:styleId="73">
    <w:name w:val="图片标题 (17)"/>
    <w:basedOn w:val="1"/>
    <w:link w:val="504"/>
    <w:qFormat/>
    <w:uiPriority w:val="0"/>
    <w:pPr>
      <w:shd w:val="clear" w:color="auto" w:fill="FFFFFF"/>
      <w:spacing w:before="540" w:line="240" w:lineRule="atLeast"/>
      <w:jc w:val="left"/>
    </w:pPr>
    <w:rPr>
      <w:rFonts w:ascii="MingLiU" w:hAnsi="MingLiU" w:eastAsia="MingLiU"/>
      <w:spacing w:val="-10"/>
      <w:kern w:val="0"/>
      <w:sz w:val="17"/>
      <w:szCs w:val="17"/>
      <w:lang w:eastAsia="en-US"/>
    </w:rPr>
  </w:style>
  <w:style w:type="paragraph" w:customStyle="1" w:styleId="74">
    <w:name w:val="正文_10"/>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5">
    <w:name w:val="简单回函地址"/>
    <w:basedOn w:val="1"/>
    <w:qFormat/>
    <w:uiPriority w:val="0"/>
  </w:style>
  <w:style w:type="paragraph" w:customStyle="1" w:styleId="76">
    <w:name w:val="图片标题 (14)"/>
    <w:basedOn w:val="1"/>
    <w:link w:val="301"/>
    <w:qFormat/>
    <w:uiPriority w:val="0"/>
    <w:pPr>
      <w:shd w:val="clear" w:color="auto" w:fill="FFFFFF"/>
      <w:spacing w:line="240" w:lineRule="atLeast"/>
      <w:jc w:val="left"/>
    </w:pPr>
    <w:rPr>
      <w:rFonts w:ascii="MingLiU" w:hAnsi="MingLiU" w:eastAsia="MingLiU"/>
      <w:spacing w:val="120"/>
      <w:kern w:val="0"/>
      <w:sz w:val="20"/>
      <w:szCs w:val="20"/>
      <w:lang w:eastAsia="en-US"/>
    </w:rPr>
  </w:style>
  <w:style w:type="paragraph" w:customStyle="1" w:styleId="77">
    <w:name w:val="目录 (4)"/>
    <w:basedOn w:val="1"/>
    <w:link w:val="206"/>
    <w:qFormat/>
    <w:uiPriority w:val="0"/>
    <w:pPr>
      <w:shd w:val="clear" w:color="auto" w:fill="FFFFFF"/>
      <w:spacing w:before="300" w:line="389" w:lineRule="exact"/>
      <w:jc w:val="distribute"/>
    </w:pPr>
    <w:rPr>
      <w:rFonts w:ascii="Angsana New" w:hAnsi="Angsana New" w:cs="Angsana New"/>
      <w:b/>
      <w:bCs/>
      <w:kern w:val="0"/>
      <w:sz w:val="28"/>
      <w:szCs w:val="28"/>
    </w:rPr>
  </w:style>
  <w:style w:type="paragraph" w:customStyle="1" w:styleId="78">
    <w:name w:val="正文文本 (19)"/>
    <w:basedOn w:val="1"/>
    <w:link w:val="300"/>
    <w:qFormat/>
    <w:uiPriority w:val="0"/>
    <w:pPr>
      <w:shd w:val="clear" w:color="auto" w:fill="FFFFFF"/>
      <w:spacing w:line="240" w:lineRule="atLeast"/>
      <w:jc w:val="left"/>
    </w:pPr>
    <w:rPr>
      <w:rFonts w:ascii="MingLiU" w:hAnsi="MingLiU" w:eastAsia="MingLiU"/>
      <w:kern w:val="0"/>
      <w:sz w:val="9"/>
      <w:szCs w:val="9"/>
    </w:rPr>
  </w:style>
  <w:style w:type="paragraph" w:customStyle="1" w:styleId="79">
    <w:name w:val="图片标题 (7)"/>
    <w:basedOn w:val="1"/>
    <w:link w:val="400"/>
    <w:qFormat/>
    <w:uiPriority w:val="0"/>
    <w:pPr>
      <w:shd w:val="clear" w:color="auto" w:fill="FFFFFF"/>
      <w:spacing w:line="240" w:lineRule="atLeast"/>
      <w:jc w:val="distribute"/>
    </w:pPr>
    <w:rPr>
      <w:rFonts w:ascii="MingLiU" w:hAnsi="MingLiU" w:eastAsia="MingLiU"/>
      <w:kern w:val="0"/>
      <w:sz w:val="11"/>
      <w:szCs w:val="11"/>
    </w:rPr>
  </w:style>
  <w:style w:type="paragraph" w:customStyle="1" w:styleId="80">
    <w:name w:val="表标题"/>
    <w:basedOn w:val="1"/>
    <w:qFormat/>
    <w:uiPriority w:val="0"/>
    <w:pPr>
      <w:jc w:val="center"/>
    </w:pPr>
    <w:rPr>
      <w:b/>
      <w:kern w:val="0"/>
      <w:szCs w:val="20"/>
    </w:rPr>
  </w:style>
  <w:style w:type="paragraph" w:customStyle="1" w:styleId="81">
    <w:name w:val="msonormal"/>
    <w:basedOn w:val="1"/>
    <w:qFormat/>
    <w:uiPriority w:val="0"/>
    <w:pPr>
      <w:widowControl/>
      <w:spacing w:before="100" w:beforeAutospacing="1" w:after="100" w:afterAutospacing="1"/>
      <w:jc w:val="left"/>
    </w:pPr>
    <w:rPr>
      <w:rFonts w:ascii="Calibri" w:hAnsi="Calibri" w:cs="宋体"/>
      <w:kern w:val="0"/>
      <w:sz w:val="24"/>
    </w:rPr>
  </w:style>
  <w:style w:type="paragraph" w:customStyle="1" w:styleId="82">
    <w:name w:val="报告表格"/>
    <w:basedOn w:val="15"/>
    <w:qFormat/>
    <w:uiPriority w:val="0"/>
    <w:pPr>
      <w:spacing w:line="240" w:lineRule="auto"/>
    </w:pPr>
    <w:rPr>
      <w:sz w:val="21"/>
    </w:rPr>
  </w:style>
  <w:style w:type="paragraph" w:customStyle="1" w:styleId="83">
    <w:name w:val="图片标题 (12)"/>
    <w:basedOn w:val="1"/>
    <w:link w:val="375"/>
    <w:qFormat/>
    <w:uiPriority w:val="0"/>
    <w:pPr>
      <w:shd w:val="clear" w:color="auto" w:fill="FFFFFF"/>
      <w:spacing w:line="240" w:lineRule="atLeast"/>
      <w:jc w:val="left"/>
    </w:pPr>
    <w:rPr>
      <w:rFonts w:ascii="Georgia" w:hAnsi="Georgia"/>
      <w:kern w:val="0"/>
      <w:sz w:val="22"/>
      <w:szCs w:val="22"/>
    </w:rPr>
  </w:style>
  <w:style w:type="paragraph" w:customStyle="1" w:styleId="84">
    <w:name w:val="正文文本 (20)"/>
    <w:basedOn w:val="1"/>
    <w:link w:val="332"/>
    <w:qFormat/>
    <w:uiPriority w:val="0"/>
    <w:pPr>
      <w:shd w:val="clear" w:color="auto" w:fill="FFFFFF"/>
      <w:spacing w:line="178" w:lineRule="exact"/>
      <w:jc w:val="left"/>
    </w:pPr>
    <w:rPr>
      <w:rFonts w:ascii="MingLiU" w:hAnsi="MingLiU" w:eastAsia="MingLiU"/>
      <w:kern w:val="0"/>
      <w:sz w:val="15"/>
      <w:szCs w:val="15"/>
    </w:rPr>
  </w:style>
  <w:style w:type="paragraph" w:customStyle="1" w:styleId="85">
    <w:name w:val="样式5"/>
    <w:basedOn w:val="86"/>
    <w:qFormat/>
    <w:uiPriority w:val="0"/>
    <w:pPr>
      <w:tabs>
        <w:tab w:val="center" w:pos="4153"/>
        <w:tab w:val="right" w:pos="8306"/>
      </w:tabs>
      <w:adjustRightInd w:val="0"/>
      <w:spacing w:line="240" w:lineRule="atLeast"/>
    </w:pPr>
    <w:rPr>
      <w:rFonts w:eastAsia="仿宋_GB2312"/>
      <w:lang w:eastAsia="en-US" w:bidi="en-US"/>
    </w:rPr>
  </w:style>
  <w:style w:type="paragraph" w:customStyle="1" w:styleId="86">
    <w:name w:val="正文1"/>
    <w:basedOn w:val="1"/>
    <w:qFormat/>
    <w:uiPriority w:val="0"/>
    <w:pPr>
      <w:widowControl/>
      <w:spacing w:line="360" w:lineRule="auto"/>
      <w:ind w:firstLine="624"/>
      <w:textAlignment w:val="baseline"/>
    </w:pPr>
    <w:rPr>
      <w:color w:val="000000"/>
      <w:kern w:val="0"/>
      <w:sz w:val="24"/>
      <w:szCs w:val="20"/>
    </w:rPr>
  </w:style>
  <w:style w:type="paragraph" w:customStyle="1" w:styleId="87">
    <w:name w:val="Char Char Char Char Char Char Char Char Char Char Char Char Char Char Char Char Char Char Char"/>
    <w:basedOn w:val="1"/>
    <w:qFormat/>
    <w:uiPriority w:val="0"/>
  </w:style>
  <w:style w:type="paragraph" w:customStyle="1" w:styleId="88">
    <w:name w:val="正文文本 (15)"/>
    <w:basedOn w:val="1"/>
    <w:link w:val="535"/>
    <w:qFormat/>
    <w:uiPriority w:val="0"/>
    <w:pPr>
      <w:shd w:val="clear" w:color="auto" w:fill="FFFFFF"/>
      <w:spacing w:after="60" w:line="240" w:lineRule="atLeast"/>
      <w:jc w:val="distribute"/>
    </w:pPr>
    <w:rPr>
      <w:rFonts w:ascii="Angsana New" w:hAnsi="Angsana New" w:cs="Angsana New"/>
      <w:spacing w:val="20"/>
      <w:kern w:val="0"/>
      <w:sz w:val="34"/>
      <w:szCs w:val="34"/>
    </w:rPr>
  </w:style>
  <w:style w:type="paragraph" w:customStyle="1" w:styleId="89">
    <w:name w:val="表 图 表头"/>
    <w:qFormat/>
    <w:uiPriority w:val="0"/>
    <w:pPr>
      <w:spacing w:line="480" w:lineRule="exact"/>
      <w:jc w:val="center"/>
    </w:pPr>
    <w:rPr>
      <w:rFonts w:ascii="Times New Roman" w:hAnsi="Times New Roman" w:eastAsia="宋体" w:cs="Times New Roman"/>
      <w:b/>
      <w:kern w:val="2"/>
      <w:sz w:val="24"/>
      <w:lang w:val="en-US" w:eastAsia="zh-CN" w:bidi="ar-SA"/>
    </w:rPr>
  </w:style>
  <w:style w:type="paragraph" w:customStyle="1" w:styleId="90">
    <w:name w:val="图片标题 (11)"/>
    <w:basedOn w:val="1"/>
    <w:link w:val="464"/>
    <w:qFormat/>
    <w:uiPriority w:val="0"/>
    <w:pPr>
      <w:shd w:val="clear" w:color="auto" w:fill="FFFFFF"/>
      <w:spacing w:line="240" w:lineRule="atLeast"/>
      <w:jc w:val="left"/>
    </w:pPr>
    <w:rPr>
      <w:rFonts w:ascii="Georgia" w:hAnsi="Georgia"/>
      <w:kern w:val="0"/>
      <w:sz w:val="16"/>
      <w:szCs w:val="16"/>
      <w:lang w:eastAsia="en-US"/>
    </w:rPr>
  </w:style>
  <w:style w:type="paragraph" w:customStyle="1" w:styleId="91">
    <w:name w:val="正文文本 (5)"/>
    <w:basedOn w:val="1"/>
    <w:link w:val="328"/>
    <w:qFormat/>
    <w:uiPriority w:val="0"/>
    <w:pPr>
      <w:shd w:val="clear" w:color="auto" w:fill="FFFFFF"/>
      <w:spacing w:after="240" w:line="240" w:lineRule="atLeast"/>
      <w:jc w:val="left"/>
    </w:pPr>
    <w:rPr>
      <w:rFonts w:ascii="MingLiU" w:hAnsi="MingLiU" w:eastAsia="MingLiU"/>
      <w:kern w:val="0"/>
      <w:sz w:val="30"/>
      <w:szCs w:val="30"/>
    </w:rPr>
  </w:style>
  <w:style w:type="paragraph" w:customStyle="1" w:styleId="92">
    <w:name w:val="标题 #1"/>
    <w:basedOn w:val="1"/>
    <w:link w:val="318"/>
    <w:qFormat/>
    <w:uiPriority w:val="0"/>
    <w:pPr>
      <w:shd w:val="clear" w:color="auto" w:fill="FFFFFF"/>
      <w:spacing w:after="300" w:line="240" w:lineRule="atLeast"/>
      <w:jc w:val="center"/>
      <w:outlineLvl w:val="0"/>
    </w:pPr>
    <w:rPr>
      <w:rFonts w:ascii="MingLiU" w:hAnsi="MingLiU" w:eastAsia="MingLiU"/>
      <w:spacing w:val="190"/>
      <w:kern w:val="0"/>
      <w:sz w:val="36"/>
      <w:szCs w:val="36"/>
    </w:rPr>
  </w:style>
  <w:style w:type="paragraph" w:customStyle="1" w:styleId="93">
    <w:name w:val="表格标题 (6)"/>
    <w:basedOn w:val="1"/>
    <w:link w:val="488"/>
    <w:qFormat/>
    <w:uiPriority w:val="0"/>
    <w:pPr>
      <w:shd w:val="clear" w:color="auto" w:fill="FFFFFF"/>
      <w:spacing w:line="240" w:lineRule="atLeast"/>
      <w:jc w:val="distribute"/>
    </w:pPr>
    <w:rPr>
      <w:rFonts w:ascii="MingLiU" w:hAnsi="MingLiU" w:eastAsia="MingLiU"/>
      <w:b/>
      <w:bCs/>
      <w:kern w:val="0"/>
      <w:sz w:val="23"/>
      <w:szCs w:val="23"/>
    </w:rPr>
  </w:style>
  <w:style w:type="paragraph" w:customStyle="1" w:styleId="94">
    <w:name w:val="正文文本 (13)1"/>
    <w:basedOn w:val="1"/>
    <w:link w:val="243"/>
    <w:qFormat/>
    <w:uiPriority w:val="0"/>
    <w:pPr>
      <w:shd w:val="clear" w:color="auto" w:fill="FFFFFF"/>
      <w:spacing w:before="480" w:after="360" w:line="240" w:lineRule="atLeast"/>
      <w:jc w:val="left"/>
    </w:pPr>
    <w:rPr>
      <w:rFonts w:ascii="MingLiU" w:hAnsi="MingLiU" w:eastAsia="MingLiU"/>
      <w:spacing w:val="-10"/>
      <w:kern w:val="0"/>
      <w:sz w:val="16"/>
      <w:szCs w:val="16"/>
    </w:rPr>
  </w:style>
  <w:style w:type="paragraph" w:customStyle="1" w:styleId="95">
    <w:name w:val="表头文字"/>
    <w:basedOn w:val="1"/>
    <w:qFormat/>
    <w:uiPriority w:val="0"/>
    <w:pPr>
      <w:widowControl/>
      <w:adjustRightInd w:val="0"/>
      <w:snapToGrid w:val="0"/>
      <w:jc w:val="center"/>
    </w:pPr>
    <w:rPr>
      <w:rFonts w:ascii="Calibri" w:hAnsi="Calibri"/>
      <w:b/>
    </w:rPr>
  </w:style>
  <w:style w:type="paragraph" w:customStyle="1" w:styleId="96">
    <w:name w:val="正文文本 (31)"/>
    <w:basedOn w:val="1"/>
    <w:link w:val="405"/>
    <w:qFormat/>
    <w:uiPriority w:val="0"/>
    <w:pPr>
      <w:shd w:val="clear" w:color="auto" w:fill="FFFFFF"/>
      <w:spacing w:line="240" w:lineRule="atLeast"/>
      <w:jc w:val="left"/>
    </w:pPr>
    <w:rPr>
      <w:rFonts w:ascii="MingLiU" w:hAnsi="MingLiU" w:eastAsia="MingLiU"/>
      <w:spacing w:val="-40"/>
      <w:kern w:val="0"/>
      <w:sz w:val="20"/>
      <w:szCs w:val="20"/>
      <w:lang w:eastAsia="en-US"/>
    </w:rPr>
  </w:style>
  <w:style w:type="paragraph" w:customStyle="1" w:styleId="97">
    <w:name w:val="表格标题 (4)"/>
    <w:basedOn w:val="1"/>
    <w:link w:val="234"/>
    <w:qFormat/>
    <w:uiPriority w:val="0"/>
    <w:pPr>
      <w:shd w:val="clear" w:color="auto" w:fill="FFFFFF"/>
      <w:spacing w:line="240" w:lineRule="atLeast"/>
      <w:jc w:val="left"/>
    </w:pPr>
    <w:rPr>
      <w:rFonts w:ascii="MingLiU" w:hAnsi="MingLiU" w:eastAsia="MingLiU"/>
      <w:b/>
      <w:bCs/>
      <w:kern w:val="0"/>
      <w:sz w:val="22"/>
      <w:szCs w:val="22"/>
    </w:rPr>
  </w:style>
  <w:style w:type="paragraph" w:customStyle="1" w:styleId="98">
    <w:name w:val="Default1"/>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paragraph" w:customStyle="1" w:styleId="99">
    <w:name w:val="正文文本 (4)"/>
    <w:basedOn w:val="1"/>
    <w:link w:val="491"/>
    <w:qFormat/>
    <w:uiPriority w:val="0"/>
    <w:pPr>
      <w:shd w:val="clear" w:color="auto" w:fill="FFFFFF"/>
      <w:spacing w:after="300" w:line="240" w:lineRule="atLeast"/>
      <w:jc w:val="distribute"/>
    </w:pPr>
    <w:rPr>
      <w:rFonts w:ascii="MingLiU" w:hAnsi="MingLiU" w:eastAsia="MingLiU"/>
      <w:spacing w:val="10"/>
      <w:kern w:val="0"/>
      <w:sz w:val="18"/>
      <w:szCs w:val="18"/>
    </w:rPr>
  </w:style>
  <w:style w:type="paragraph" w:customStyle="1" w:styleId="100">
    <w:name w:val="正文文本 (21)"/>
    <w:basedOn w:val="1"/>
    <w:link w:val="286"/>
    <w:qFormat/>
    <w:uiPriority w:val="0"/>
    <w:pPr>
      <w:shd w:val="clear" w:color="auto" w:fill="FFFFFF"/>
      <w:spacing w:line="240" w:lineRule="atLeast"/>
      <w:jc w:val="left"/>
    </w:pPr>
    <w:rPr>
      <w:kern w:val="0"/>
      <w:sz w:val="20"/>
      <w:szCs w:val="20"/>
    </w:rPr>
  </w:style>
  <w:style w:type="paragraph" w:customStyle="1" w:styleId="101">
    <w:name w:val="标题 #3"/>
    <w:basedOn w:val="1"/>
    <w:link w:val="380"/>
    <w:qFormat/>
    <w:uiPriority w:val="0"/>
    <w:pPr>
      <w:shd w:val="clear" w:color="auto" w:fill="FFFFFF"/>
      <w:spacing w:before="120" w:after="180" w:line="240" w:lineRule="atLeast"/>
      <w:jc w:val="left"/>
      <w:outlineLvl w:val="2"/>
    </w:pPr>
    <w:rPr>
      <w:rFonts w:ascii="MingLiU" w:hAnsi="MingLiU" w:eastAsia="MingLiU"/>
      <w:kern w:val="0"/>
      <w:sz w:val="22"/>
      <w:szCs w:val="22"/>
    </w:rPr>
  </w:style>
  <w:style w:type="paragraph" w:customStyle="1" w:styleId="102">
    <w:name w:val="正文文本 (14)"/>
    <w:basedOn w:val="1"/>
    <w:link w:val="522"/>
    <w:qFormat/>
    <w:uiPriority w:val="0"/>
    <w:pPr>
      <w:shd w:val="clear" w:color="auto" w:fill="FFFFFF"/>
      <w:spacing w:line="240" w:lineRule="atLeast"/>
      <w:jc w:val="left"/>
    </w:pPr>
    <w:rPr>
      <w:rFonts w:ascii="Georgia" w:hAnsi="Georgia"/>
      <w:kern w:val="0"/>
      <w:sz w:val="22"/>
      <w:szCs w:val="22"/>
      <w:lang w:eastAsia="en-US"/>
    </w:rPr>
  </w:style>
  <w:style w:type="paragraph" w:styleId="103">
    <w:name w:val="List Paragraph"/>
    <w:basedOn w:val="1"/>
    <w:qFormat/>
    <w:uiPriority w:val="0"/>
    <w:pPr>
      <w:ind w:firstLine="420" w:firstLineChars="200"/>
    </w:pPr>
  </w:style>
  <w:style w:type="paragraph" w:customStyle="1" w:styleId="104">
    <w:name w:val="正 文"/>
    <w:qFormat/>
    <w:uiPriority w:val="0"/>
    <w:pPr>
      <w:widowControl w:val="0"/>
      <w:spacing w:line="480" w:lineRule="exact"/>
      <w:ind w:firstLine="471"/>
      <w:jc w:val="both"/>
    </w:pPr>
    <w:rPr>
      <w:rFonts w:ascii="Times New Roman" w:hAnsi="Times New Roman" w:eastAsia="宋体" w:cs="Times New Roman"/>
      <w:kern w:val="2"/>
      <w:sz w:val="24"/>
      <w:lang w:val="en-US" w:eastAsia="zh-CN" w:bidi="ar-SA"/>
    </w:rPr>
  </w:style>
  <w:style w:type="paragraph" w:customStyle="1" w:styleId="105">
    <w:name w:val="正文（首行缩进两个字） + 首行缩进:  2 字符"/>
    <w:basedOn w:val="1"/>
    <w:qFormat/>
    <w:uiPriority w:val="0"/>
    <w:pPr>
      <w:widowControl/>
      <w:spacing w:line="440" w:lineRule="exact"/>
      <w:ind w:firstLine="200" w:firstLineChars="200"/>
      <w:jc w:val="left"/>
    </w:pPr>
    <w:rPr>
      <w:rFonts w:eastAsia="Cambria" w:cs="宋体"/>
      <w:sz w:val="24"/>
      <w:szCs w:val="20"/>
      <w:lang w:val="zh-CN"/>
    </w:rPr>
  </w:style>
  <w:style w:type="paragraph" w:customStyle="1" w:styleId="106">
    <w:name w:val="【正文】"/>
    <w:basedOn w:val="1"/>
    <w:qFormat/>
    <w:uiPriority w:val="0"/>
    <w:pPr>
      <w:spacing w:line="360" w:lineRule="auto"/>
      <w:ind w:firstLine="560" w:firstLineChars="200"/>
    </w:pPr>
    <w:rPr>
      <w:rFonts w:ascii="宋体" w:hAnsi="宋体"/>
      <w:sz w:val="28"/>
      <w:szCs w:val="28"/>
    </w:rPr>
  </w:style>
  <w:style w:type="paragraph" w:customStyle="1" w:styleId="107">
    <w:name w:val="样式 君邦正文 + Times New Roman"/>
    <w:basedOn w:val="1"/>
    <w:link w:val="389"/>
    <w:qFormat/>
    <w:uiPriority w:val="0"/>
    <w:pPr>
      <w:widowControl/>
      <w:adjustRightInd w:val="0"/>
      <w:snapToGrid w:val="0"/>
      <w:spacing w:line="360" w:lineRule="auto"/>
      <w:ind w:left="-2" w:leftChars="-2" w:firstLine="200" w:firstLineChars="200"/>
    </w:pPr>
    <w:rPr>
      <w:sz w:val="24"/>
      <w:szCs w:val="20"/>
    </w:rPr>
  </w:style>
  <w:style w:type="paragraph" w:customStyle="1" w:styleId="108">
    <w:name w:val="样式 表头 + (西文) 黑体"/>
    <w:basedOn w:val="1"/>
    <w:link w:val="531"/>
    <w:qFormat/>
    <w:uiPriority w:val="0"/>
    <w:pPr>
      <w:snapToGrid w:val="0"/>
      <w:jc w:val="center"/>
    </w:pPr>
    <w:rPr>
      <w:rFonts w:ascii="宋体" w:hAnsi="宋体"/>
      <w:b/>
      <w:kern w:val="0"/>
      <w:szCs w:val="21"/>
    </w:rPr>
  </w:style>
  <w:style w:type="paragraph" w:customStyle="1" w:styleId="109">
    <w:name w:val="文本正文"/>
    <w:basedOn w:val="1"/>
    <w:qFormat/>
    <w:uiPriority w:val="0"/>
    <w:pPr>
      <w:spacing w:line="360" w:lineRule="auto"/>
      <w:ind w:firstLine="480" w:firstLineChars="200"/>
    </w:pPr>
    <w:rPr>
      <w:sz w:val="24"/>
    </w:rPr>
  </w:style>
  <w:style w:type="paragraph" w:customStyle="1" w:styleId="110">
    <w:name w:val="正文首行"/>
    <w:basedOn w:val="11"/>
    <w:qFormat/>
    <w:uiPriority w:val="0"/>
    <w:pPr>
      <w:spacing w:line="440" w:lineRule="exact"/>
      <w:ind w:firstLine="1440" w:firstLineChars="200"/>
    </w:pPr>
    <w:rPr>
      <w:sz w:val="24"/>
    </w:rPr>
  </w:style>
  <w:style w:type="paragraph" w:customStyle="1" w:styleId="111">
    <w:name w:val="正文文本 (11)"/>
    <w:basedOn w:val="1"/>
    <w:link w:val="329"/>
    <w:qFormat/>
    <w:uiPriority w:val="0"/>
    <w:pPr>
      <w:shd w:val="clear" w:color="auto" w:fill="FFFFFF"/>
      <w:spacing w:line="240" w:lineRule="atLeast"/>
      <w:jc w:val="left"/>
    </w:pPr>
    <w:rPr>
      <w:rFonts w:ascii="Georgia" w:hAnsi="Georgia"/>
      <w:b/>
      <w:bCs/>
      <w:kern w:val="0"/>
      <w:sz w:val="34"/>
      <w:szCs w:val="34"/>
      <w:lang w:eastAsia="en-US"/>
    </w:rPr>
  </w:style>
  <w:style w:type="paragraph" w:customStyle="1" w:styleId="112">
    <w:name w:val="图片标题 (2)"/>
    <w:basedOn w:val="1"/>
    <w:link w:val="523"/>
    <w:qFormat/>
    <w:uiPriority w:val="0"/>
    <w:pPr>
      <w:shd w:val="clear" w:color="auto" w:fill="FFFFFF"/>
      <w:spacing w:line="240" w:lineRule="atLeast"/>
      <w:jc w:val="left"/>
    </w:pPr>
    <w:rPr>
      <w:rFonts w:ascii="MingLiU" w:hAnsi="MingLiU" w:eastAsia="MingLiU"/>
      <w:kern w:val="0"/>
      <w:sz w:val="16"/>
      <w:szCs w:val="16"/>
    </w:rPr>
  </w:style>
  <w:style w:type="paragraph" w:customStyle="1" w:styleId="113">
    <w:name w:val="正文文本 (7)"/>
    <w:basedOn w:val="1"/>
    <w:link w:val="463"/>
    <w:qFormat/>
    <w:uiPriority w:val="0"/>
    <w:pPr>
      <w:shd w:val="clear" w:color="auto" w:fill="FFFFFF"/>
      <w:spacing w:line="240" w:lineRule="atLeast"/>
      <w:jc w:val="left"/>
    </w:pPr>
    <w:rPr>
      <w:rFonts w:ascii="MingLiU" w:hAnsi="MingLiU" w:eastAsia="MingLiU"/>
      <w:kern w:val="0"/>
      <w:sz w:val="15"/>
      <w:szCs w:val="15"/>
    </w:rPr>
  </w:style>
  <w:style w:type="paragraph" w:customStyle="1" w:styleId="114">
    <w:name w:val="S报告正文"/>
    <w:basedOn w:val="1"/>
    <w:qFormat/>
    <w:uiPriority w:val="0"/>
    <w:pPr>
      <w:adjustRightInd w:val="0"/>
      <w:snapToGrid w:val="0"/>
      <w:spacing w:line="480" w:lineRule="exact"/>
      <w:ind w:firstLine="510"/>
      <w:jc w:val="left"/>
    </w:pPr>
    <w:rPr>
      <w:sz w:val="24"/>
    </w:rPr>
  </w:style>
  <w:style w:type="paragraph" w:customStyle="1" w:styleId="115">
    <w:name w:val="报告表正文"/>
    <w:basedOn w:val="1"/>
    <w:link w:val="444"/>
    <w:qFormat/>
    <w:uiPriority w:val="0"/>
    <w:pPr>
      <w:spacing w:line="360" w:lineRule="auto"/>
      <w:ind w:firstLine="200" w:firstLineChars="200"/>
    </w:pPr>
    <w:rPr>
      <w:kern w:val="0"/>
      <w:sz w:val="24"/>
      <w:szCs w:val="20"/>
    </w:rPr>
  </w:style>
  <w:style w:type="paragraph" w:customStyle="1" w:styleId="116">
    <w:name w:val="段落"/>
    <w:basedOn w:val="1"/>
    <w:qFormat/>
    <w:uiPriority w:val="0"/>
    <w:pPr>
      <w:widowControl/>
      <w:tabs>
        <w:tab w:val="left" w:pos="1021"/>
      </w:tabs>
      <w:spacing w:line="360" w:lineRule="auto"/>
      <w:ind w:firstLine="560" w:firstLineChars="200"/>
      <w:jc w:val="left"/>
    </w:pPr>
    <w:rPr>
      <w:kern w:val="24"/>
      <w:sz w:val="28"/>
      <w:szCs w:val="20"/>
    </w:rPr>
  </w:style>
  <w:style w:type="paragraph" w:customStyle="1" w:styleId="117">
    <w:name w:val="样式 (符号) 宋体 小四 行距: 1.5 倍行距"/>
    <w:basedOn w:val="1"/>
    <w:link w:val="419"/>
    <w:qFormat/>
    <w:uiPriority w:val="0"/>
    <w:pPr>
      <w:widowControl/>
      <w:spacing w:line="360" w:lineRule="auto"/>
      <w:ind w:firstLine="480" w:firstLineChars="200"/>
      <w:jc w:val="left"/>
    </w:pPr>
    <w:rPr>
      <w:rFonts w:hAnsi="宋体"/>
      <w:sz w:val="24"/>
      <w:szCs w:val="20"/>
    </w:rPr>
  </w:style>
  <w:style w:type="paragraph" w:customStyle="1" w:styleId="118">
    <w:name w:val="标题 #3 (3)"/>
    <w:basedOn w:val="1"/>
    <w:link w:val="450"/>
    <w:qFormat/>
    <w:uiPriority w:val="0"/>
    <w:pPr>
      <w:shd w:val="clear" w:color="auto" w:fill="FFFFFF"/>
      <w:spacing w:line="240" w:lineRule="atLeast"/>
      <w:jc w:val="center"/>
      <w:outlineLvl w:val="2"/>
    </w:pPr>
    <w:rPr>
      <w:rFonts w:ascii="MingLiU" w:hAnsi="MingLiU" w:eastAsia="MingLiU"/>
      <w:b/>
      <w:bCs/>
      <w:kern w:val="0"/>
      <w:sz w:val="23"/>
      <w:szCs w:val="23"/>
    </w:rPr>
  </w:style>
  <w:style w:type="paragraph" w:customStyle="1" w:styleId="119">
    <w:name w:val="普通(网站)2"/>
    <w:basedOn w:val="1"/>
    <w:qFormat/>
    <w:uiPriority w:val="0"/>
    <w:pPr>
      <w:widowControl/>
      <w:spacing w:before="100" w:beforeAutospacing="1" w:after="100" w:afterAutospacing="1"/>
      <w:jc w:val="left"/>
    </w:pPr>
    <w:rPr>
      <w:rFonts w:ascii="宋体" w:hAnsi="宋体"/>
      <w:sz w:val="24"/>
      <w:szCs w:val="20"/>
    </w:rPr>
  </w:style>
  <w:style w:type="paragraph" w:customStyle="1" w:styleId="120">
    <w:name w:val="标题 #1 (2)"/>
    <w:basedOn w:val="1"/>
    <w:link w:val="425"/>
    <w:qFormat/>
    <w:uiPriority w:val="0"/>
    <w:pPr>
      <w:shd w:val="clear" w:color="auto" w:fill="FFFFFF"/>
      <w:spacing w:before="300" w:after="420" w:line="240" w:lineRule="atLeast"/>
      <w:jc w:val="left"/>
      <w:outlineLvl w:val="0"/>
    </w:pPr>
    <w:rPr>
      <w:rFonts w:ascii="MingLiU" w:hAnsi="MingLiU" w:eastAsia="MingLiU"/>
      <w:kern w:val="0"/>
      <w:sz w:val="20"/>
      <w:szCs w:val="20"/>
    </w:rPr>
  </w:style>
  <w:style w:type="paragraph" w:customStyle="1" w:styleId="121">
    <w:name w:val="正文首行缩进 2 + Times New Roman"/>
    <w:basedOn w:val="1"/>
    <w:qFormat/>
    <w:uiPriority w:val="0"/>
    <w:pPr>
      <w:tabs>
        <w:tab w:val="left" w:pos="0"/>
        <w:tab w:val="left" w:pos="870"/>
        <w:tab w:val="left" w:pos="3150"/>
      </w:tabs>
      <w:autoSpaceDE w:val="0"/>
      <w:autoSpaceDN w:val="0"/>
      <w:ind w:firstLine="480" w:firstLineChars="200"/>
    </w:pPr>
    <w:rPr>
      <w:color w:val="000000"/>
    </w:rPr>
  </w:style>
  <w:style w:type="paragraph" w:customStyle="1" w:styleId="122">
    <w:name w:val="正文文本 (29)"/>
    <w:basedOn w:val="1"/>
    <w:link w:val="364"/>
    <w:qFormat/>
    <w:uiPriority w:val="0"/>
    <w:pPr>
      <w:shd w:val="clear" w:color="auto" w:fill="FFFFFF"/>
      <w:spacing w:line="240" w:lineRule="atLeast"/>
      <w:jc w:val="left"/>
    </w:pPr>
    <w:rPr>
      <w:rFonts w:ascii="MingLiU" w:hAnsi="MingLiU" w:eastAsia="MingLiU"/>
      <w:kern w:val="0"/>
      <w:sz w:val="20"/>
      <w:szCs w:val="20"/>
      <w:lang w:eastAsia="en-US"/>
    </w:rPr>
  </w:style>
  <w:style w:type="paragraph" w:customStyle="1" w:styleId="123">
    <w:name w:val="正文文本 (8)"/>
    <w:basedOn w:val="1"/>
    <w:link w:val="254"/>
    <w:qFormat/>
    <w:uiPriority w:val="0"/>
    <w:pPr>
      <w:shd w:val="clear" w:color="auto" w:fill="FFFFFF"/>
      <w:spacing w:line="240" w:lineRule="atLeast"/>
      <w:jc w:val="left"/>
    </w:pPr>
    <w:rPr>
      <w:rFonts w:ascii="MingLiU" w:hAnsi="MingLiU" w:eastAsia="MingLiU"/>
      <w:spacing w:val="-10"/>
      <w:kern w:val="0"/>
      <w:szCs w:val="21"/>
    </w:rPr>
  </w:style>
  <w:style w:type="paragraph" w:customStyle="1" w:styleId="124">
    <w:name w:val="正文文本 (2)1"/>
    <w:basedOn w:val="1"/>
    <w:link w:val="267"/>
    <w:qFormat/>
    <w:uiPriority w:val="0"/>
    <w:pPr>
      <w:shd w:val="clear" w:color="auto" w:fill="FFFFFF"/>
      <w:spacing w:line="461" w:lineRule="exact"/>
      <w:jc w:val="right"/>
    </w:pPr>
    <w:rPr>
      <w:rFonts w:ascii="MingLiU" w:eastAsia="MingLiU"/>
      <w:kern w:val="0"/>
      <w:sz w:val="22"/>
      <w:szCs w:val="22"/>
    </w:rPr>
  </w:style>
  <w:style w:type="paragraph" w:customStyle="1" w:styleId="125">
    <w:name w:val="表题"/>
    <w:basedOn w:val="126"/>
    <w:qFormat/>
    <w:uiPriority w:val="0"/>
    <w:pPr>
      <w:spacing w:beforeLines="20" w:line="240" w:lineRule="auto"/>
      <w:ind w:firstLine="0" w:firstLineChars="0"/>
      <w:jc w:val="center"/>
    </w:pPr>
    <w:rPr>
      <w:b/>
      <w:bCs/>
      <w:sz w:val="21"/>
      <w:szCs w:val="21"/>
    </w:rPr>
  </w:style>
  <w:style w:type="paragraph" w:customStyle="1" w:styleId="126">
    <w:name w:val="报告正文"/>
    <w:basedOn w:val="1"/>
    <w:link w:val="536"/>
    <w:qFormat/>
    <w:uiPriority w:val="0"/>
    <w:pPr>
      <w:spacing w:line="360" w:lineRule="auto"/>
      <w:ind w:firstLine="1040" w:firstLineChars="200"/>
    </w:pPr>
    <w:rPr>
      <w:sz w:val="24"/>
      <w:szCs w:val="20"/>
    </w:rPr>
  </w:style>
  <w:style w:type="paragraph" w:customStyle="1" w:styleId="127">
    <w:name w:val="图片标题 (8)"/>
    <w:basedOn w:val="1"/>
    <w:link w:val="355"/>
    <w:qFormat/>
    <w:uiPriority w:val="0"/>
    <w:pPr>
      <w:shd w:val="clear" w:color="auto" w:fill="FFFFFF"/>
      <w:spacing w:line="120" w:lineRule="exact"/>
    </w:pPr>
    <w:rPr>
      <w:rFonts w:ascii="MingLiU" w:hAnsi="MingLiU" w:eastAsia="MingLiU"/>
      <w:w w:val="250"/>
      <w:kern w:val="0"/>
      <w:sz w:val="16"/>
      <w:szCs w:val="16"/>
      <w:lang w:eastAsia="en-US"/>
    </w:rPr>
  </w:style>
  <w:style w:type="paragraph" w:customStyle="1" w:styleId="128">
    <w:name w:val="图片标题 (16)"/>
    <w:basedOn w:val="1"/>
    <w:link w:val="348"/>
    <w:qFormat/>
    <w:uiPriority w:val="0"/>
    <w:pPr>
      <w:shd w:val="clear" w:color="auto" w:fill="FFFFFF"/>
      <w:spacing w:after="120" w:line="240" w:lineRule="atLeast"/>
      <w:jc w:val="left"/>
    </w:pPr>
    <w:rPr>
      <w:rFonts w:ascii="Georgia" w:hAnsi="Georgia"/>
      <w:kern w:val="0"/>
      <w:sz w:val="16"/>
      <w:szCs w:val="16"/>
      <w:lang w:eastAsia="en-US"/>
    </w:rPr>
  </w:style>
  <w:style w:type="paragraph" w:customStyle="1" w:styleId="129">
    <w:name w:val="图片标题"/>
    <w:basedOn w:val="1"/>
    <w:link w:val="272"/>
    <w:qFormat/>
    <w:uiPriority w:val="0"/>
    <w:pPr>
      <w:shd w:val="clear" w:color="auto" w:fill="FFFFFF"/>
      <w:spacing w:line="408" w:lineRule="exact"/>
      <w:jc w:val="center"/>
    </w:pPr>
    <w:rPr>
      <w:rFonts w:ascii="MingLiU" w:hAnsi="MingLiU" w:eastAsia="MingLiU"/>
      <w:b/>
      <w:bCs/>
      <w:kern w:val="0"/>
      <w:sz w:val="22"/>
      <w:szCs w:val="22"/>
    </w:rPr>
  </w:style>
  <w:style w:type="paragraph" w:customStyle="1" w:styleId="130">
    <w:name w:val="正文文本 (36)"/>
    <w:basedOn w:val="1"/>
    <w:link w:val="281"/>
    <w:qFormat/>
    <w:uiPriority w:val="0"/>
    <w:pPr>
      <w:shd w:val="clear" w:color="auto" w:fill="FFFFFF"/>
      <w:spacing w:after="420" w:line="240" w:lineRule="atLeast"/>
      <w:jc w:val="center"/>
    </w:pPr>
    <w:rPr>
      <w:rFonts w:ascii="Angsana New" w:hAnsi="Angsana New" w:cs="Angsana New"/>
      <w:spacing w:val="50"/>
      <w:kern w:val="0"/>
      <w:sz w:val="44"/>
      <w:szCs w:val="44"/>
      <w:lang w:eastAsia="en-US"/>
    </w:rPr>
  </w:style>
  <w:style w:type="paragraph" w:customStyle="1" w:styleId="131">
    <w:name w:val="表文字"/>
    <w:basedOn w:val="1"/>
    <w:qFormat/>
    <w:uiPriority w:val="0"/>
    <w:pPr>
      <w:overflowPunct w:val="0"/>
      <w:autoSpaceDE w:val="0"/>
      <w:autoSpaceDN w:val="0"/>
      <w:adjustRightInd w:val="0"/>
      <w:spacing w:line="240" w:lineRule="atLeast"/>
      <w:jc w:val="center"/>
    </w:pPr>
    <w:rPr>
      <w:rFonts w:ascii="Calibri" w:hAnsi="Calibri"/>
      <w:kern w:val="0"/>
      <w:szCs w:val="21"/>
    </w:rPr>
  </w:style>
  <w:style w:type="paragraph" w:customStyle="1" w:styleId="132">
    <w:name w:val="正文文字 6"/>
    <w:next w:val="1"/>
    <w:qFormat/>
    <w:uiPriority w:val="0"/>
    <w:pPr>
      <w:widowControl w:val="0"/>
      <w:ind w:left="240"/>
      <w:jc w:val="both"/>
    </w:pPr>
    <w:rPr>
      <w:rFonts w:ascii="宋体" w:hAnsi="Times New Roman" w:eastAsia="宋体" w:cs="Times New Roman"/>
      <w:b/>
      <w:bCs/>
      <w:kern w:val="2"/>
      <w:sz w:val="32"/>
      <w:szCs w:val="32"/>
      <w:lang w:val="en-US" w:eastAsia="zh-CN" w:bidi="ar-SA"/>
    </w:rPr>
  </w:style>
  <w:style w:type="paragraph" w:customStyle="1" w:styleId="133">
    <w:name w:val="_Style 28"/>
    <w:basedOn w:val="1"/>
    <w:qFormat/>
    <w:uiPriority w:val="0"/>
    <w:rPr>
      <w:rFonts w:eastAsia="Times New Roman"/>
      <w:szCs w:val="20"/>
    </w:rPr>
  </w:style>
  <w:style w:type="paragraph" w:customStyle="1" w:styleId="134">
    <w:name w:val="表格标题 (5)1"/>
    <w:basedOn w:val="1"/>
    <w:link w:val="393"/>
    <w:qFormat/>
    <w:uiPriority w:val="0"/>
    <w:pPr>
      <w:shd w:val="clear" w:color="auto" w:fill="FFFFFF"/>
      <w:spacing w:line="240" w:lineRule="atLeast"/>
      <w:jc w:val="left"/>
    </w:pPr>
    <w:rPr>
      <w:rFonts w:ascii="MingLiU" w:hAnsi="MingLiU" w:eastAsia="MingLiU"/>
      <w:kern w:val="0"/>
      <w:sz w:val="16"/>
      <w:szCs w:val="16"/>
    </w:rPr>
  </w:style>
  <w:style w:type="paragraph" w:customStyle="1" w:styleId="135">
    <w:name w:val="样式 样式 首行缩进:  2 字符 + 首行缩进:  2 字符"/>
    <w:basedOn w:val="1"/>
    <w:next w:val="27"/>
    <w:qFormat/>
    <w:uiPriority w:val="0"/>
    <w:pPr>
      <w:snapToGrid w:val="0"/>
      <w:spacing w:line="360" w:lineRule="auto"/>
      <w:ind w:firstLine="560" w:firstLineChars="200"/>
    </w:pPr>
    <w:rPr>
      <w:sz w:val="28"/>
    </w:rPr>
  </w:style>
  <w:style w:type="paragraph" w:customStyle="1" w:styleId="136">
    <w:name w:val="样式9"/>
    <w:basedOn w:val="1"/>
    <w:qFormat/>
    <w:uiPriority w:val="0"/>
    <w:pPr>
      <w:adjustRightInd w:val="0"/>
      <w:snapToGrid w:val="0"/>
      <w:spacing w:line="460" w:lineRule="exact"/>
      <w:ind w:firstLine="520" w:firstLineChars="200"/>
    </w:pPr>
    <w:rPr>
      <w:sz w:val="26"/>
      <w:szCs w:val="26"/>
    </w:rPr>
  </w:style>
  <w:style w:type="paragraph" w:customStyle="1" w:styleId="137">
    <w:name w:val="图片标题 (9)"/>
    <w:basedOn w:val="1"/>
    <w:link w:val="238"/>
    <w:qFormat/>
    <w:uiPriority w:val="0"/>
    <w:pPr>
      <w:shd w:val="clear" w:color="auto" w:fill="FFFFFF"/>
      <w:spacing w:line="240" w:lineRule="atLeast"/>
      <w:jc w:val="left"/>
    </w:pPr>
    <w:rPr>
      <w:rFonts w:ascii="MingLiU" w:hAnsi="MingLiU" w:eastAsia="MingLiU"/>
      <w:w w:val="70"/>
      <w:kern w:val="0"/>
      <w:sz w:val="18"/>
      <w:szCs w:val="18"/>
      <w:lang w:eastAsia="en-US"/>
    </w:rPr>
  </w:style>
  <w:style w:type="paragraph" w:customStyle="1" w:styleId="138">
    <w:name w:val="图片标题 (10)"/>
    <w:basedOn w:val="1"/>
    <w:link w:val="510"/>
    <w:qFormat/>
    <w:uiPriority w:val="0"/>
    <w:pPr>
      <w:shd w:val="clear" w:color="auto" w:fill="FFFFFF"/>
      <w:spacing w:line="163" w:lineRule="exact"/>
      <w:jc w:val="distribute"/>
    </w:pPr>
    <w:rPr>
      <w:rFonts w:ascii="MingLiU" w:hAnsi="MingLiU" w:eastAsia="MingLiU"/>
      <w:kern w:val="0"/>
      <w:sz w:val="15"/>
      <w:szCs w:val="15"/>
    </w:rPr>
  </w:style>
  <w:style w:type="paragraph" w:customStyle="1" w:styleId="139">
    <w:name w:val="小标题"/>
    <w:basedOn w:val="140"/>
    <w:qFormat/>
    <w:uiPriority w:val="0"/>
    <w:pPr>
      <w:ind w:firstLine="480"/>
    </w:pPr>
    <w:rPr>
      <w:rFonts w:ascii="宋体" w:hAnsi="宋体" w:eastAsia="黑体"/>
      <w:b/>
      <w:kern w:val="21"/>
    </w:rPr>
  </w:style>
  <w:style w:type="paragraph" w:customStyle="1" w:styleId="140">
    <w:name w:val="正文d"/>
    <w:basedOn w:val="1"/>
    <w:qFormat/>
    <w:uiPriority w:val="0"/>
    <w:pPr>
      <w:autoSpaceDE w:val="0"/>
      <w:autoSpaceDN w:val="0"/>
      <w:adjustRightInd w:val="0"/>
      <w:snapToGrid w:val="0"/>
      <w:spacing w:line="360" w:lineRule="auto"/>
      <w:ind w:firstLine="200" w:firstLineChars="200"/>
    </w:pPr>
    <w:rPr>
      <w:rFonts w:cs="宋体"/>
      <w:kern w:val="0"/>
      <w:szCs w:val="21"/>
    </w:rPr>
  </w:style>
  <w:style w:type="paragraph" w:customStyle="1" w:styleId="141">
    <w:name w:val="表格标题 (8)"/>
    <w:basedOn w:val="1"/>
    <w:link w:val="290"/>
    <w:qFormat/>
    <w:uiPriority w:val="0"/>
    <w:pPr>
      <w:shd w:val="clear" w:color="auto" w:fill="FFFFFF"/>
      <w:spacing w:line="163" w:lineRule="exact"/>
      <w:jc w:val="left"/>
    </w:pPr>
    <w:rPr>
      <w:rFonts w:ascii="MingLiU" w:hAnsi="MingLiU" w:eastAsia="MingLiU"/>
      <w:b/>
      <w:bCs/>
      <w:kern w:val="0"/>
      <w:sz w:val="14"/>
      <w:szCs w:val="14"/>
      <w:lang w:eastAsia="en-US"/>
    </w:rPr>
  </w:style>
  <w:style w:type="paragraph" w:customStyle="1" w:styleId="142">
    <w:name w:val="字元 字元"/>
    <w:basedOn w:val="1"/>
    <w:qFormat/>
    <w:uiPriority w:val="0"/>
    <w:rPr>
      <w:rFonts w:ascii="Calibri" w:hAnsi="Calibri" w:eastAsia="Times New Roman"/>
      <w:szCs w:val="20"/>
    </w:rPr>
  </w:style>
  <w:style w:type="paragraph" w:customStyle="1" w:styleId="143">
    <w:name w:val="我的正文"/>
    <w:basedOn w:val="1"/>
    <w:link w:val="340"/>
    <w:qFormat/>
    <w:uiPriority w:val="0"/>
    <w:pPr>
      <w:spacing w:line="460" w:lineRule="exact"/>
      <w:ind w:firstLine="482"/>
    </w:pPr>
    <w:rPr>
      <w:sz w:val="24"/>
    </w:rPr>
  </w:style>
  <w:style w:type="paragraph" w:customStyle="1" w:styleId="144">
    <w:name w:val="正文文本 (34)"/>
    <w:basedOn w:val="1"/>
    <w:link w:val="335"/>
    <w:qFormat/>
    <w:uiPriority w:val="0"/>
    <w:pPr>
      <w:shd w:val="clear" w:color="auto" w:fill="FFFFFF"/>
      <w:spacing w:before="600" w:line="240" w:lineRule="atLeast"/>
      <w:jc w:val="left"/>
    </w:pPr>
    <w:rPr>
      <w:rFonts w:ascii="Angsana New" w:hAnsi="Angsana New" w:cs="Angsana New"/>
      <w:i/>
      <w:iCs/>
      <w:kern w:val="0"/>
      <w:sz w:val="48"/>
      <w:szCs w:val="48"/>
      <w:lang w:eastAsia="en-US"/>
    </w:rPr>
  </w:style>
  <w:style w:type="paragraph" w:customStyle="1" w:styleId="145">
    <w:name w:val="表内容"/>
    <w:basedOn w:val="1"/>
    <w:next w:val="1"/>
    <w:qFormat/>
    <w:uiPriority w:val="0"/>
    <w:pPr>
      <w:widowControl/>
      <w:jc w:val="center"/>
    </w:pPr>
    <w:rPr>
      <w:rFonts w:ascii="@Yu Mincho" w:hAnsi="@Yu Mincho" w:eastAsia="@Yu Mincho"/>
      <w:kern w:val="0"/>
      <w:sz w:val="18"/>
      <w:szCs w:val="20"/>
    </w:rPr>
  </w:style>
  <w:style w:type="paragraph" w:customStyle="1" w:styleId="146">
    <w:name w:val="文本表格"/>
    <w:basedOn w:val="1"/>
    <w:qFormat/>
    <w:uiPriority w:val="0"/>
    <w:pPr>
      <w:jc w:val="center"/>
    </w:pPr>
    <w:rPr>
      <w:rFonts w:hint="eastAsia" w:ascii="宋体" w:hAnsi="宋体" w:cs="宋体"/>
    </w:rPr>
  </w:style>
  <w:style w:type="paragraph" w:customStyle="1" w:styleId="147">
    <w:name w:val="页眉或页脚1"/>
    <w:basedOn w:val="1"/>
    <w:link w:val="220"/>
    <w:qFormat/>
    <w:uiPriority w:val="0"/>
    <w:pPr>
      <w:shd w:val="clear" w:color="auto" w:fill="FFFFFF"/>
      <w:spacing w:line="240" w:lineRule="atLeast"/>
      <w:jc w:val="left"/>
    </w:pPr>
    <w:rPr>
      <w:rFonts w:ascii="MingLiU" w:hAnsi="MingLiU" w:eastAsia="MingLiU"/>
      <w:kern w:val="0"/>
      <w:sz w:val="18"/>
      <w:szCs w:val="18"/>
    </w:rPr>
  </w:style>
  <w:style w:type="paragraph" w:customStyle="1" w:styleId="148">
    <w:name w:val="图片标题 (6)"/>
    <w:basedOn w:val="1"/>
    <w:link w:val="447"/>
    <w:qFormat/>
    <w:uiPriority w:val="0"/>
    <w:pPr>
      <w:shd w:val="clear" w:color="auto" w:fill="FFFFFF"/>
      <w:spacing w:line="240" w:lineRule="atLeast"/>
      <w:jc w:val="left"/>
    </w:pPr>
    <w:rPr>
      <w:rFonts w:ascii="MingLiU" w:hAnsi="MingLiU" w:eastAsia="MingLiU"/>
      <w:kern w:val="0"/>
      <w:sz w:val="11"/>
      <w:szCs w:val="11"/>
    </w:rPr>
  </w:style>
  <w:style w:type="paragraph" w:customStyle="1" w:styleId="149">
    <w:name w:val="样式 (西文) Times New Roman (中文) 宋体 小四 段前: 6 磅 行距: 固定值 26 磅"/>
    <w:basedOn w:val="1"/>
    <w:qFormat/>
    <w:uiPriority w:val="0"/>
    <w:pPr>
      <w:spacing w:line="360" w:lineRule="auto"/>
      <w:ind w:firstLine="200" w:firstLineChars="200"/>
    </w:pPr>
    <w:rPr>
      <w:rFonts w:hAnsi="宋体" w:cs="宋体"/>
      <w:sz w:val="24"/>
      <w:szCs w:val="20"/>
    </w:rPr>
  </w:style>
  <w:style w:type="paragraph" w:customStyle="1" w:styleId="150">
    <w:name w:val="三级标题"/>
    <w:basedOn w:val="34"/>
    <w:qFormat/>
    <w:uiPriority w:val="0"/>
    <w:pPr>
      <w:outlineLvl w:val="2"/>
    </w:pPr>
    <w:rPr>
      <w:b/>
      <w:sz w:val="28"/>
      <w:szCs w:val="28"/>
    </w:rPr>
  </w:style>
  <w:style w:type="paragraph" w:customStyle="1" w:styleId="151">
    <w:name w:val="图表标题"/>
    <w:basedOn w:val="29"/>
    <w:next w:val="152"/>
    <w:qFormat/>
    <w:uiPriority w:val="0"/>
    <w:pPr>
      <w:jc w:val="center"/>
    </w:pPr>
    <w:rPr>
      <w:b/>
    </w:rPr>
  </w:style>
  <w:style w:type="paragraph" w:customStyle="1" w:styleId="152">
    <w:name w:val="表格"/>
    <w:basedOn w:val="153"/>
    <w:link w:val="245"/>
    <w:qFormat/>
    <w:uiPriority w:val="0"/>
    <w:pPr>
      <w:adjustRightInd w:val="0"/>
      <w:snapToGrid w:val="0"/>
      <w:spacing w:beforeLines="10" w:afterLines="10" w:line="259" w:lineRule="auto"/>
    </w:pPr>
    <w:rPr>
      <w:rFonts w:ascii="宋体"/>
      <w:kern w:val="0"/>
      <w:szCs w:val="20"/>
    </w:rPr>
  </w:style>
  <w:style w:type="paragraph" w:customStyle="1" w:styleId="153">
    <w:name w:val="表内lcc"/>
    <w:basedOn w:val="1"/>
    <w:qFormat/>
    <w:uiPriority w:val="0"/>
    <w:pPr>
      <w:jc w:val="center"/>
    </w:pPr>
    <w:rPr>
      <w:iCs/>
      <w:color w:val="000000"/>
      <w:szCs w:val="21"/>
    </w:rPr>
  </w:style>
  <w:style w:type="paragraph" w:customStyle="1" w:styleId="154">
    <w:name w:val="表字体"/>
    <w:basedOn w:val="1"/>
    <w:next w:val="1"/>
    <w:qFormat/>
    <w:uiPriority w:val="0"/>
    <w:pPr>
      <w:jc w:val="center"/>
    </w:pPr>
  </w:style>
  <w:style w:type="paragraph" w:customStyle="1" w:styleId="155">
    <w:name w:val="标题 #21"/>
    <w:basedOn w:val="1"/>
    <w:link w:val="493"/>
    <w:qFormat/>
    <w:uiPriority w:val="0"/>
    <w:pPr>
      <w:shd w:val="clear" w:color="auto" w:fill="FFFFFF"/>
      <w:spacing w:before="300" w:after="300" w:line="240" w:lineRule="atLeast"/>
      <w:jc w:val="left"/>
      <w:outlineLvl w:val="1"/>
    </w:pPr>
    <w:rPr>
      <w:rFonts w:ascii="MingLiU" w:hAnsi="MingLiU" w:eastAsia="MingLiU"/>
      <w:spacing w:val="20"/>
      <w:kern w:val="0"/>
      <w:sz w:val="20"/>
      <w:szCs w:val="20"/>
    </w:rPr>
  </w:style>
  <w:style w:type="paragraph" w:customStyle="1" w:styleId="156">
    <w:name w:val="正文文本 (16)"/>
    <w:basedOn w:val="1"/>
    <w:link w:val="512"/>
    <w:qFormat/>
    <w:uiPriority w:val="0"/>
    <w:pPr>
      <w:shd w:val="clear" w:color="auto" w:fill="FFFFFF"/>
      <w:spacing w:line="240" w:lineRule="atLeast"/>
      <w:jc w:val="left"/>
    </w:pPr>
    <w:rPr>
      <w:rFonts w:ascii="Georgia" w:hAnsi="Georgia"/>
      <w:spacing w:val="400"/>
      <w:kern w:val="0"/>
      <w:sz w:val="15"/>
      <w:szCs w:val="15"/>
      <w:lang w:eastAsia="en-US"/>
    </w:rPr>
  </w:style>
  <w:style w:type="paragraph" w:customStyle="1" w:styleId="157">
    <w:name w:val="标题 #3 (2)"/>
    <w:basedOn w:val="1"/>
    <w:link w:val="287"/>
    <w:qFormat/>
    <w:uiPriority w:val="0"/>
    <w:pPr>
      <w:shd w:val="clear" w:color="auto" w:fill="FFFFFF"/>
      <w:spacing w:after="480" w:line="240" w:lineRule="atLeast"/>
      <w:jc w:val="left"/>
      <w:outlineLvl w:val="2"/>
    </w:pPr>
    <w:rPr>
      <w:rFonts w:ascii="MingLiU" w:hAnsi="MingLiU" w:eastAsia="MingLiU"/>
      <w:kern w:val="0"/>
      <w:sz w:val="20"/>
      <w:szCs w:val="20"/>
    </w:rPr>
  </w:style>
  <w:style w:type="paragraph" w:customStyle="1" w:styleId="158">
    <w:name w:val="表格标题"/>
    <w:basedOn w:val="34"/>
    <w:next w:val="152"/>
    <w:link w:val="514"/>
    <w:qFormat/>
    <w:uiPriority w:val="0"/>
    <w:pPr>
      <w:snapToGrid/>
      <w:spacing w:beforeLines="20" w:line="240" w:lineRule="auto"/>
      <w:ind w:firstLine="0" w:firstLineChars="0"/>
      <w:jc w:val="center"/>
    </w:pPr>
    <w:rPr>
      <w:b/>
      <w:bCs/>
      <w:sz w:val="21"/>
      <w:szCs w:val="21"/>
    </w:rPr>
  </w:style>
  <w:style w:type="paragraph" w:customStyle="1" w:styleId="159">
    <w:name w:val="表格式"/>
    <w:basedOn w:val="4"/>
    <w:qFormat/>
    <w:uiPriority w:val="0"/>
    <w:pPr>
      <w:spacing w:line="340" w:lineRule="exact"/>
      <w:ind w:left="0" w:firstLine="0" w:firstLineChars="0"/>
      <w:jc w:val="center"/>
    </w:pPr>
    <w:rPr>
      <w:rFonts w:ascii="宋体" w:hAnsi="宋体"/>
    </w:rPr>
  </w:style>
  <w:style w:type="paragraph" w:customStyle="1" w:styleId="160">
    <w:name w:val="正文文本 (23)"/>
    <w:basedOn w:val="1"/>
    <w:link w:val="382"/>
    <w:qFormat/>
    <w:uiPriority w:val="0"/>
    <w:pPr>
      <w:shd w:val="clear" w:color="auto" w:fill="FFFFFF"/>
      <w:spacing w:after="60" w:line="240" w:lineRule="atLeast"/>
      <w:jc w:val="left"/>
    </w:pPr>
    <w:rPr>
      <w:rFonts w:ascii="MingLiU" w:hAnsi="MingLiU" w:eastAsia="MingLiU"/>
      <w:spacing w:val="-10"/>
      <w:kern w:val="0"/>
      <w:sz w:val="16"/>
      <w:szCs w:val="16"/>
    </w:rPr>
  </w:style>
  <w:style w:type="paragraph" w:customStyle="1" w:styleId="161">
    <w:name w:val="正文20110920"/>
    <w:basedOn w:val="162"/>
    <w:qFormat/>
    <w:uiPriority w:val="0"/>
    <w:pPr>
      <w:ind w:firstLine="480"/>
    </w:pPr>
    <w:rPr>
      <w:rFonts w:ascii="Times New Roman" w:hAnsi="Times New Roman"/>
      <w:color w:val="000000"/>
      <w:szCs w:val="24"/>
    </w:rPr>
  </w:style>
  <w:style w:type="paragraph" w:customStyle="1" w:styleId="162">
    <w:name w:val="样式 正文20110824 + 宋体 首行缩进:  2 字符"/>
    <w:basedOn w:val="1"/>
    <w:qFormat/>
    <w:uiPriority w:val="0"/>
    <w:pPr>
      <w:ind w:firstLine="200" w:firstLineChars="200"/>
    </w:pPr>
    <w:rPr>
      <w:rFonts w:ascii="宋体" w:hAnsi="宋体" w:cs="宋体"/>
      <w:szCs w:val="20"/>
    </w:rPr>
  </w:style>
  <w:style w:type="paragraph" w:customStyle="1" w:styleId="163">
    <w:name w:val="表头"/>
    <w:basedOn w:val="11"/>
    <w:next w:val="1"/>
    <w:link w:val="377"/>
    <w:qFormat/>
    <w:uiPriority w:val="0"/>
    <w:pPr>
      <w:spacing w:beforeLines="50"/>
      <w:jc w:val="center"/>
    </w:pPr>
    <w:rPr>
      <w:rFonts w:cs="宋体"/>
      <w:color w:val="000000"/>
      <w:sz w:val="24"/>
    </w:rPr>
  </w:style>
  <w:style w:type="paragraph" w:customStyle="1" w:styleId="164">
    <w:name w:val="正文文本 (32)"/>
    <w:basedOn w:val="1"/>
    <w:link w:val="240"/>
    <w:qFormat/>
    <w:uiPriority w:val="0"/>
    <w:pPr>
      <w:shd w:val="clear" w:color="auto" w:fill="FFFFFF"/>
      <w:spacing w:line="240" w:lineRule="atLeast"/>
      <w:jc w:val="left"/>
    </w:pPr>
    <w:rPr>
      <w:rFonts w:ascii="Malgun Gothic" w:hAnsi="Malgun Gothic" w:eastAsia="Malgun Gothic"/>
      <w:b/>
      <w:bCs/>
      <w:kern w:val="0"/>
      <w:szCs w:val="21"/>
      <w:lang w:eastAsia="en-US"/>
    </w:rPr>
  </w:style>
  <w:style w:type="paragraph" w:customStyle="1" w:styleId="165">
    <w:name w:val="正文文本 (33)"/>
    <w:basedOn w:val="1"/>
    <w:link w:val="259"/>
    <w:qFormat/>
    <w:uiPriority w:val="0"/>
    <w:pPr>
      <w:shd w:val="clear" w:color="auto" w:fill="FFFFFF"/>
      <w:spacing w:line="154" w:lineRule="exact"/>
      <w:jc w:val="left"/>
    </w:pPr>
    <w:rPr>
      <w:rFonts w:ascii="MingLiU" w:hAnsi="MingLiU" w:eastAsia="MingLiU"/>
      <w:b/>
      <w:bCs/>
      <w:kern w:val="0"/>
      <w:sz w:val="14"/>
      <w:szCs w:val="14"/>
    </w:rPr>
  </w:style>
  <w:style w:type="paragraph" w:customStyle="1" w:styleId="166">
    <w:name w:val="报告书正文"/>
    <w:basedOn w:val="1"/>
    <w:link w:val="411"/>
    <w:qFormat/>
    <w:uiPriority w:val="0"/>
    <w:pPr>
      <w:widowControl/>
      <w:tabs>
        <w:tab w:val="left" w:pos="0"/>
      </w:tabs>
      <w:snapToGrid w:val="0"/>
      <w:spacing w:line="360" w:lineRule="auto"/>
      <w:ind w:firstLine="200" w:firstLineChars="200"/>
    </w:pPr>
    <w:rPr>
      <w:kern w:val="0"/>
      <w:sz w:val="24"/>
    </w:rPr>
  </w:style>
  <w:style w:type="paragraph" w:customStyle="1" w:styleId="167">
    <w:name w:val="目录 (3)"/>
    <w:basedOn w:val="1"/>
    <w:link w:val="209"/>
    <w:qFormat/>
    <w:uiPriority w:val="0"/>
    <w:pPr>
      <w:shd w:val="clear" w:color="auto" w:fill="FFFFFF"/>
      <w:spacing w:before="300" w:line="389" w:lineRule="exact"/>
      <w:jc w:val="distribute"/>
    </w:pPr>
    <w:rPr>
      <w:rFonts w:ascii="MingLiU" w:hAnsi="MingLiU" w:eastAsia="MingLiU"/>
      <w:b/>
      <w:bCs/>
      <w:kern w:val="0"/>
      <w:sz w:val="22"/>
      <w:szCs w:val="22"/>
      <w:lang w:eastAsia="en-US"/>
    </w:rPr>
  </w:style>
  <w:style w:type="paragraph" w:customStyle="1" w:styleId="168">
    <w:name w:val="列出段落1"/>
    <w:basedOn w:val="1"/>
    <w:qFormat/>
    <w:uiPriority w:val="1"/>
    <w:pPr>
      <w:autoSpaceDE w:val="0"/>
      <w:autoSpaceDN w:val="0"/>
      <w:spacing w:line="360" w:lineRule="auto"/>
      <w:ind w:firstLine="1044" w:firstLineChars="200"/>
      <w:jc w:val="left"/>
    </w:pPr>
    <w:rPr>
      <w:rFonts w:ascii="宋体" w:hAnsi="宋体" w:cs="宋体"/>
      <w:kern w:val="0"/>
      <w:sz w:val="24"/>
      <w:szCs w:val="22"/>
      <w:lang w:val="zh-CN" w:bidi="zh-CN"/>
    </w:rPr>
  </w:style>
  <w:style w:type="paragraph" w:customStyle="1" w:styleId="169">
    <w:name w:val="正文文本 (3)"/>
    <w:basedOn w:val="1"/>
    <w:link w:val="376"/>
    <w:qFormat/>
    <w:uiPriority w:val="0"/>
    <w:pPr>
      <w:shd w:val="clear" w:color="auto" w:fill="FFFFFF"/>
      <w:spacing w:after="120" w:line="240" w:lineRule="atLeast"/>
      <w:jc w:val="center"/>
    </w:pPr>
    <w:rPr>
      <w:rFonts w:ascii="MingLiU" w:hAnsi="MingLiU" w:eastAsia="MingLiU"/>
      <w:kern w:val="0"/>
      <w:sz w:val="20"/>
      <w:szCs w:val="20"/>
    </w:rPr>
  </w:style>
  <w:style w:type="paragraph" w:customStyle="1" w:styleId="170">
    <w:name w:val="表格题注"/>
    <w:link w:val="453"/>
    <w:qFormat/>
    <w:uiPriority w:val="0"/>
    <w:pPr>
      <w:jc w:val="center"/>
    </w:pPr>
    <w:rPr>
      <w:rFonts w:ascii="Times New Roman" w:hAnsi="Times New Roman" w:eastAsia="宋体" w:cs="Times New Roman"/>
      <w:b/>
      <w:sz w:val="21"/>
      <w:szCs w:val="22"/>
      <w:lang w:val="en-US" w:eastAsia="zh-CN" w:bidi="ar-SA"/>
    </w:rPr>
  </w:style>
  <w:style w:type="paragraph" w:customStyle="1" w:styleId="171">
    <w:name w:val="图片标题 (15)"/>
    <w:basedOn w:val="1"/>
    <w:link w:val="223"/>
    <w:qFormat/>
    <w:uiPriority w:val="0"/>
    <w:pPr>
      <w:shd w:val="clear" w:color="auto" w:fill="FFFFFF"/>
      <w:spacing w:line="240" w:lineRule="atLeast"/>
      <w:jc w:val="left"/>
    </w:pPr>
    <w:rPr>
      <w:rFonts w:ascii="MingLiU" w:hAnsi="MingLiU" w:eastAsia="MingLiU"/>
      <w:kern w:val="0"/>
      <w:sz w:val="9"/>
      <w:szCs w:val="9"/>
    </w:rPr>
  </w:style>
  <w:style w:type="paragraph" w:customStyle="1" w:styleId="172">
    <w:name w:val="正文文本 (22)"/>
    <w:basedOn w:val="1"/>
    <w:link w:val="398"/>
    <w:qFormat/>
    <w:uiPriority w:val="0"/>
    <w:pPr>
      <w:shd w:val="clear" w:color="auto" w:fill="FFFFFF"/>
      <w:spacing w:line="240" w:lineRule="atLeast"/>
      <w:jc w:val="left"/>
    </w:pPr>
    <w:rPr>
      <w:rFonts w:ascii="MingLiU" w:hAnsi="MingLiU" w:eastAsia="MingLiU"/>
      <w:spacing w:val="120"/>
      <w:kern w:val="0"/>
      <w:sz w:val="20"/>
      <w:szCs w:val="20"/>
      <w:lang w:eastAsia="en-US"/>
    </w:rPr>
  </w:style>
  <w:style w:type="paragraph" w:customStyle="1" w:styleId="173">
    <w:name w:val="文本表头"/>
    <w:basedOn w:val="1"/>
    <w:qFormat/>
    <w:uiPriority w:val="0"/>
    <w:pPr>
      <w:spacing w:beforeLines="50"/>
      <w:jc w:val="center"/>
    </w:pPr>
    <w:rPr>
      <w:rFonts w:hint="eastAsia" w:ascii="宋体" w:hAnsi="宋体" w:cs="宋体"/>
      <w:b/>
      <w:szCs w:val="22"/>
    </w:rPr>
  </w:style>
  <w:style w:type="paragraph" w:customStyle="1" w:styleId="174">
    <w:name w:val="Table Paragraph"/>
    <w:basedOn w:val="1"/>
    <w:qFormat/>
    <w:uiPriority w:val="1"/>
    <w:pPr>
      <w:spacing w:line="360" w:lineRule="auto"/>
      <w:ind w:firstLine="480" w:firstLineChars="200"/>
      <w:jc w:val="left"/>
    </w:pPr>
    <w:rPr>
      <w:rFonts w:ascii="Calibri" w:hAnsi="Calibri"/>
      <w:kern w:val="0"/>
      <w:sz w:val="22"/>
      <w:szCs w:val="22"/>
      <w:lang w:eastAsia="en-US"/>
    </w:rPr>
  </w:style>
  <w:style w:type="paragraph" w:customStyle="1" w:styleId="175">
    <w:name w:val="图片标题 (5)"/>
    <w:basedOn w:val="1"/>
    <w:link w:val="230"/>
    <w:qFormat/>
    <w:uiPriority w:val="0"/>
    <w:pPr>
      <w:shd w:val="clear" w:color="auto" w:fill="FFFFFF"/>
      <w:spacing w:line="240" w:lineRule="atLeast"/>
      <w:jc w:val="left"/>
    </w:pPr>
    <w:rPr>
      <w:rFonts w:ascii="MingLiU" w:hAnsi="MingLiU" w:eastAsia="MingLiU"/>
      <w:kern w:val="0"/>
      <w:sz w:val="11"/>
      <w:szCs w:val="11"/>
    </w:rPr>
  </w:style>
  <w:style w:type="paragraph" w:customStyle="1" w:styleId="176">
    <w:name w:val="3"/>
    <w:basedOn w:val="177"/>
    <w:qFormat/>
    <w:uiPriority w:val="0"/>
    <w:pPr>
      <w:numPr>
        <w:ilvl w:val="2"/>
      </w:numPr>
      <w:jc w:val="left"/>
    </w:pPr>
  </w:style>
  <w:style w:type="paragraph" w:customStyle="1" w:styleId="177">
    <w:name w:val="1"/>
    <w:basedOn w:val="1"/>
    <w:qFormat/>
    <w:uiPriority w:val="0"/>
    <w:pPr>
      <w:numPr>
        <w:ilvl w:val="0"/>
        <w:numId w:val="2"/>
      </w:numPr>
      <w:jc w:val="center"/>
      <w:outlineLvl w:val="0"/>
    </w:pPr>
    <w:rPr>
      <w:b/>
    </w:rPr>
  </w:style>
  <w:style w:type="paragraph" w:customStyle="1" w:styleId="178">
    <w:name w:val="图片标题 (18)"/>
    <w:basedOn w:val="1"/>
    <w:link w:val="270"/>
    <w:qFormat/>
    <w:uiPriority w:val="0"/>
    <w:pPr>
      <w:shd w:val="clear" w:color="auto" w:fill="FFFFFF"/>
      <w:spacing w:line="240" w:lineRule="atLeast"/>
      <w:jc w:val="left"/>
    </w:pPr>
    <w:rPr>
      <w:rFonts w:ascii="MingLiU" w:hAnsi="MingLiU" w:eastAsia="MingLiU"/>
      <w:i/>
      <w:iCs/>
      <w:kern w:val="0"/>
      <w:sz w:val="15"/>
      <w:szCs w:val="15"/>
      <w:lang w:eastAsia="en-US"/>
    </w:rPr>
  </w:style>
  <w:style w:type="paragraph" w:customStyle="1" w:styleId="179">
    <w:name w:val="样式 样式 (西文) Times New Roman (中文) 宋体 小四 段前: 6 磅 行距: 固定值 26 磅 + (符号..."/>
    <w:basedOn w:val="149"/>
    <w:qFormat/>
    <w:uiPriority w:val="0"/>
    <w:rPr>
      <w:rFonts w:hAnsi="Times New Roman"/>
      <w:kern w:val="0"/>
    </w:rPr>
  </w:style>
  <w:style w:type="paragraph" w:customStyle="1" w:styleId="180">
    <w:name w:val="正文文本 (24)"/>
    <w:basedOn w:val="1"/>
    <w:link w:val="337"/>
    <w:qFormat/>
    <w:uiPriority w:val="0"/>
    <w:pPr>
      <w:shd w:val="clear" w:color="auto" w:fill="FFFFFF"/>
      <w:spacing w:before="60" w:line="240" w:lineRule="atLeast"/>
      <w:jc w:val="right"/>
    </w:pPr>
    <w:rPr>
      <w:rFonts w:ascii="MingLiU" w:hAnsi="MingLiU" w:eastAsia="MingLiU"/>
      <w:spacing w:val="-20"/>
      <w:w w:val="350"/>
      <w:kern w:val="0"/>
      <w:sz w:val="11"/>
      <w:szCs w:val="11"/>
    </w:rPr>
  </w:style>
  <w:style w:type="paragraph" w:customStyle="1" w:styleId="181">
    <w:name w:val="目录 (2)"/>
    <w:basedOn w:val="1"/>
    <w:link w:val="506"/>
    <w:qFormat/>
    <w:uiPriority w:val="0"/>
    <w:pPr>
      <w:shd w:val="clear" w:color="auto" w:fill="FFFFFF"/>
      <w:spacing w:line="504" w:lineRule="exact"/>
      <w:jc w:val="distribute"/>
    </w:pPr>
    <w:rPr>
      <w:rFonts w:ascii="MingLiU" w:hAnsi="MingLiU" w:eastAsia="MingLiU"/>
      <w:kern w:val="0"/>
      <w:sz w:val="20"/>
      <w:szCs w:val="20"/>
      <w:lang w:eastAsia="en-US"/>
    </w:rPr>
  </w:style>
  <w:style w:type="paragraph" w:customStyle="1" w:styleId="182">
    <w:name w:val="正文格式"/>
    <w:basedOn w:val="1"/>
    <w:qFormat/>
    <w:uiPriority w:val="0"/>
    <w:pPr>
      <w:ind w:firstLine="544"/>
    </w:pPr>
    <w:rPr>
      <w:rFonts w:cs="宋体"/>
    </w:rPr>
  </w:style>
  <w:style w:type="paragraph" w:customStyle="1" w:styleId="183">
    <w:name w:val="表格文字"/>
    <w:basedOn w:val="34"/>
    <w:next w:val="1"/>
    <w:link w:val="291"/>
    <w:qFormat/>
    <w:uiPriority w:val="0"/>
    <w:pPr>
      <w:spacing w:line="240" w:lineRule="auto"/>
      <w:ind w:firstLine="0" w:firstLineChars="0"/>
      <w:jc w:val="center"/>
      <w:textAlignment w:val="center"/>
    </w:pPr>
    <w:rPr>
      <w:sz w:val="21"/>
    </w:rPr>
  </w:style>
  <w:style w:type="paragraph" w:customStyle="1" w:styleId="184">
    <w:name w:val="正文文本 (30)"/>
    <w:basedOn w:val="1"/>
    <w:link w:val="410"/>
    <w:qFormat/>
    <w:uiPriority w:val="0"/>
    <w:pPr>
      <w:shd w:val="clear" w:color="auto" w:fill="FFFFFF"/>
      <w:spacing w:line="154" w:lineRule="exact"/>
      <w:jc w:val="distribute"/>
    </w:pPr>
    <w:rPr>
      <w:rFonts w:ascii="MingLiU" w:hAnsi="MingLiU" w:eastAsia="MingLiU"/>
      <w:spacing w:val="60"/>
      <w:kern w:val="0"/>
      <w:sz w:val="16"/>
      <w:szCs w:val="16"/>
    </w:rPr>
  </w:style>
  <w:style w:type="paragraph" w:customStyle="1" w:styleId="185">
    <w:name w:val="标题1"/>
    <w:basedOn w:val="1"/>
    <w:next w:val="1"/>
    <w:link w:val="258"/>
    <w:qFormat/>
    <w:uiPriority w:val="0"/>
    <w:pPr>
      <w:widowControl/>
      <w:spacing w:before="240" w:after="60" w:line="360" w:lineRule="auto"/>
      <w:ind w:firstLine="200" w:firstLineChars="200"/>
      <w:jc w:val="center"/>
      <w:outlineLvl w:val="0"/>
    </w:pPr>
    <w:rPr>
      <w:rFonts w:ascii="Cambria" w:hAnsi="Cambria"/>
      <w:b/>
      <w:bCs/>
      <w:kern w:val="0"/>
      <w:sz w:val="32"/>
      <w:szCs w:val="32"/>
    </w:rPr>
  </w:style>
  <w:style w:type="paragraph" w:customStyle="1" w:styleId="186">
    <w:name w:val="真·正文"/>
    <w:basedOn w:val="1"/>
    <w:qFormat/>
    <w:uiPriority w:val="0"/>
    <w:pPr>
      <w:spacing w:line="360" w:lineRule="auto"/>
      <w:ind w:firstLine="200" w:firstLineChars="200"/>
    </w:pPr>
    <w:rPr>
      <w:sz w:val="24"/>
      <w:szCs w:val="21"/>
    </w:rPr>
  </w:style>
  <w:style w:type="paragraph" w:customStyle="1" w:styleId="187">
    <w:name w:val="表格内容"/>
    <w:basedOn w:val="11"/>
    <w:next w:val="1"/>
    <w:qFormat/>
    <w:uiPriority w:val="0"/>
    <w:pPr>
      <w:spacing w:line="240" w:lineRule="atLeast"/>
      <w:ind w:firstLine="480" w:firstLineChars="200"/>
      <w:jc w:val="center"/>
    </w:pPr>
    <w:rPr>
      <w:sz w:val="24"/>
    </w:rPr>
  </w:style>
  <w:style w:type="paragraph" w:customStyle="1" w:styleId="188">
    <w:name w:val="报告书内容"/>
    <w:basedOn w:val="1"/>
    <w:link w:val="217"/>
    <w:qFormat/>
    <w:uiPriority w:val="0"/>
    <w:pPr>
      <w:spacing w:line="360" w:lineRule="auto"/>
      <w:ind w:firstLine="200" w:firstLineChars="200"/>
    </w:pPr>
    <w:rPr>
      <w:kern w:val="0"/>
      <w:sz w:val="24"/>
    </w:rPr>
  </w:style>
  <w:style w:type="paragraph" w:customStyle="1" w:styleId="189">
    <w:name w:val="环评正文"/>
    <w:basedOn w:val="1"/>
    <w:qFormat/>
    <w:uiPriority w:val="0"/>
    <w:pPr>
      <w:spacing w:beforeLines="30" w:line="360" w:lineRule="auto"/>
      <w:ind w:firstLine="480" w:firstLineChars="200"/>
    </w:pPr>
    <w:rPr>
      <w:rFonts w:ascii="Tahoma" w:hAnsi="Tahoma" w:cs="Tahoma"/>
      <w:kern w:val="0"/>
      <w:sz w:val="24"/>
      <w:szCs w:val="20"/>
    </w:rPr>
  </w:style>
  <w:style w:type="paragraph" w:customStyle="1" w:styleId="190">
    <w:name w:val="表格标题1"/>
    <w:basedOn w:val="1"/>
    <w:link w:val="490"/>
    <w:qFormat/>
    <w:uiPriority w:val="0"/>
    <w:pPr>
      <w:shd w:val="clear" w:color="auto" w:fill="FFFFFF"/>
      <w:spacing w:line="240" w:lineRule="atLeast"/>
      <w:jc w:val="left"/>
    </w:pPr>
    <w:rPr>
      <w:rFonts w:ascii="MingLiU" w:hAnsi="MingLiU" w:eastAsia="MingLiU"/>
      <w:kern w:val="0"/>
      <w:sz w:val="18"/>
      <w:szCs w:val="18"/>
    </w:rPr>
  </w:style>
  <w:style w:type="paragraph" w:customStyle="1" w:styleId="191">
    <w:name w:val="正文文本 (28)"/>
    <w:basedOn w:val="1"/>
    <w:link w:val="401"/>
    <w:qFormat/>
    <w:uiPriority w:val="0"/>
    <w:pPr>
      <w:shd w:val="clear" w:color="auto" w:fill="FFFFFF"/>
      <w:spacing w:line="240" w:lineRule="atLeast"/>
      <w:jc w:val="left"/>
    </w:pPr>
    <w:rPr>
      <w:rFonts w:ascii="Angsana New" w:hAnsi="Angsana New" w:cs="Angsana New"/>
      <w:b/>
      <w:bCs/>
      <w:kern w:val="0"/>
      <w:sz w:val="34"/>
      <w:szCs w:val="34"/>
    </w:rPr>
  </w:style>
  <w:style w:type="paragraph" w:customStyle="1" w:styleId="192">
    <w:name w:val="_Style 44"/>
    <w:basedOn w:val="1"/>
    <w:qFormat/>
    <w:uiPriority w:val="0"/>
    <w:rPr>
      <w:rFonts w:eastAsia="Times New Roman"/>
      <w:szCs w:val="20"/>
    </w:rPr>
  </w:style>
  <w:style w:type="paragraph" w:customStyle="1" w:styleId="193">
    <w:name w:val="正文文本 (35)"/>
    <w:basedOn w:val="1"/>
    <w:link w:val="249"/>
    <w:qFormat/>
    <w:uiPriority w:val="0"/>
    <w:pPr>
      <w:shd w:val="clear" w:color="auto" w:fill="FFFFFF"/>
      <w:spacing w:line="240" w:lineRule="atLeast"/>
      <w:jc w:val="left"/>
    </w:pPr>
    <w:rPr>
      <w:rFonts w:ascii="Angsana New" w:hAnsi="Angsana New" w:cs="Angsana New"/>
      <w:spacing w:val="70"/>
      <w:kern w:val="0"/>
      <w:sz w:val="36"/>
      <w:szCs w:val="36"/>
      <w:lang w:eastAsia="en-US"/>
    </w:rPr>
  </w:style>
  <w:style w:type="paragraph" w:customStyle="1" w:styleId="194">
    <w:name w:val="表格标题 (2)"/>
    <w:basedOn w:val="1"/>
    <w:link w:val="517"/>
    <w:qFormat/>
    <w:uiPriority w:val="0"/>
    <w:pPr>
      <w:shd w:val="clear" w:color="auto" w:fill="FFFFFF"/>
      <w:spacing w:line="230" w:lineRule="exact"/>
      <w:ind w:hanging="280"/>
      <w:jc w:val="distribute"/>
    </w:pPr>
    <w:rPr>
      <w:rFonts w:ascii="MingLiU" w:hAnsi="MingLiU" w:eastAsia="MingLiU"/>
      <w:kern w:val="0"/>
      <w:sz w:val="17"/>
      <w:szCs w:val="17"/>
    </w:rPr>
  </w:style>
  <w:style w:type="paragraph" w:customStyle="1" w:styleId="195">
    <w:name w:val="正文文本 (9)"/>
    <w:basedOn w:val="1"/>
    <w:link w:val="503"/>
    <w:qFormat/>
    <w:uiPriority w:val="0"/>
    <w:pPr>
      <w:shd w:val="clear" w:color="auto" w:fill="FFFFFF"/>
      <w:spacing w:line="240" w:lineRule="atLeast"/>
      <w:jc w:val="left"/>
    </w:pPr>
    <w:rPr>
      <w:rFonts w:ascii="MingLiU" w:hAnsi="MingLiU" w:eastAsia="MingLiU"/>
      <w:kern w:val="0"/>
      <w:sz w:val="17"/>
      <w:szCs w:val="17"/>
    </w:rPr>
  </w:style>
  <w:style w:type="paragraph" w:customStyle="1" w:styleId="196">
    <w:name w:val="默认段落字体 Para Char Char Char Char"/>
    <w:basedOn w:val="1"/>
    <w:qFormat/>
    <w:uiPriority w:val="0"/>
    <w:pPr>
      <w:keepNext/>
      <w:keepLines/>
      <w:spacing w:before="60" w:after="60"/>
      <w:outlineLvl w:val="2"/>
    </w:pPr>
    <w:rPr>
      <w:rFonts w:eastAsia="黑体" w:cs="宋体"/>
      <w:b/>
      <w:bCs/>
      <w:sz w:val="28"/>
      <w:szCs w:val="32"/>
    </w:rPr>
  </w:style>
  <w:style w:type="paragraph" w:customStyle="1" w:styleId="197">
    <w:name w:val="标题 #31"/>
    <w:basedOn w:val="1"/>
    <w:qFormat/>
    <w:uiPriority w:val="0"/>
    <w:pPr>
      <w:shd w:val="clear" w:color="auto" w:fill="FFFFFF"/>
      <w:spacing w:line="240" w:lineRule="atLeast"/>
      <w:jc w:val="center"/>
      <w:outlineLvl w:val="2"/>
    </w:pPr>
    <w:rPr>
      <w:rFonts w:ascii="MingLiU" w:hAnsi="MingLiU_HKSCS" w:eastAsia="MingLiU" w:cs="MingLiU"/>
      <w:kern w:val="0"/>
      <w:sz w:val="22"/>
      <w:szCs w:val="22"/>
    </w:rPr>
  </w:style>
  <w:style w:type="paragraph" w:customStyle="1" w:styleId="198">
    <w:name w:val="表文"/>
    <w:basedOn w:val="1"/>
    <w:qFormat/>
    <w:uiPriority w:val="0"/>
    <w:pPr>
      <w:overflowPunct w:val="0"/>
      <w:autoSpaceDE w:val="0"/>
      <w:autoSpaceDN w:val="0"/>
      <w:adjustRightInd w:val="0"/>
      <w:jc w:val="center"/>
      <w:textAlignment w:val="baseline"/>
    </w:pPr>
    <w:rPr>
      <w:szCs w:val="21"/>
    </w:rPr>
  </w:style>
  <w:style w:type="paragraph" w:customStyle="1" w:styleId="199">
    <w:name w:val="金光华文本正文"/>
    <w:basedOn w:val="1"/>
    <w:link w:val="343"/>
    <w:qFormat/>
    <w:uiPriority w:val="0"/>
    <w:pPr>
      <w:widowControl/>
      <w:tabs>
        <w:tab w:val="left" w:pos="6840"/>
      </w:tabs>
      <w:spacing w:line="360" w:lineRule="auto"/>
      <w:ind w:firstLine="510"/>
      <w:jc w:val="left"/>
    </w:pPr>
    <w:rPr>
      <w:rFonts w:ascii="宋体" w:hAnsi="宋体"/>
      <w:kern w:val="0"/>
      <w:sz w:val="24"/>
    </w:rPr>
  </w:style>
  <w:style w:type="paragraph" w:customStyle="1" w:styleId="200">
    <w:name w:val="正文文本 (10)"/>
    <w:basedOn w:val="1"/>
    <w:link w:val="434"/>
    <w:qFormat/>
    <w:uiPriority w:val="0"/>
    <w:pPr>
      <w:shd w:val="clear" w:color="auto" w:fill="FFFFFF"/>
      <w:spacing w:line="240" w:lineRule="atLeast"/>
      <w:jc w:val="left"/>
    </w:pPr>
    <w:rPr>
      <w:rFonts w:ascii="Georgia" w:hAnsi="Georgia"/>
      <w:kern w:val="0"/>
      <w:sz w:val="17"/>
      <w:szCs w:val="17"/>
    </w:rPr>
  </w:style>
  <w:style w:type="paragraph" w:customStyle="1" w:styleId="201">
    <w:name w:val="标准正文"/>
    <w:basedOn w:val="1"/>
    <w:qFormat/>
    <w:uiPriority w:val="0"/>
    <w:pPr>
      <w:spacing w:line="360" w:lineRule="auto"/>
      <w:ind w:firstLine="480" w:firstLineChars="200"/>
      <w:jc w:val="left"/>
    </w:pPr>
    <w:rPr>
      <w:sz w:val="24"/>
      <w:szCs w:val="22"/>
    </w:rPr>
  </w:style>
  <w:style w:type="paragraph" w:customStyle="1" w:styleId="202">
    <w:name w:val="样式2"/>
    <w:basedOn w:val="1"/>
    <w:qFormat/>
    <w:uiPriority w:val="0"/>
  </w:style>
  <w:style w:type="paragraph" w:customStyle="1" w:styleId="203">
    <w:name w:val="正文（最新）"/>
    <w:basedOn w:val="1"/>
    <w:qFormat/>
    <w:uiPriority w:val="0"/>
    <w:pPr>
      <w:tabs>
        <w:tab w:val="left" w:pos="425"/>
      </w:tabs>
      <w:spacing w:line="360" w:lineRule="auto"/>
      <w:ind w:firstLine="200" w:firstLineChars="200"/>
      <w:jc w:val="left"/>
    </w:pPr>
    <w:rPr>
      <w:snapToGrid w:val="0"/>
      <w:kern w:val="0"/>
      <w:sz w:val="24"/>
    </w:rPr>
  </w:style>
  <w:style w:type="character" w:customStyle="1" w:styleId="204">
    <w:name w:val="fontstyle01"/>
    <w:qFormat/>
    <w:uiPriority w:val="0"/>
    <w:rPr>
      <w:rFonts w:hint="eastAsia" w:ascii="宋体" w:hAnsi="宋体" w:eastAsia="宋体"/>
      <w:color w:val="000000"/>
      <w:sz w:val="24"/>
      <w:szCs w:val="24"/>
    </w:rPr>
  </w:style>
  <w:style w:type="character" w:customStyle="1" w:styleId="205">
    <w:name w:val="表格标题 (5)"/>
    <w:qFormat/>
    <w:uiPriority w:val="0"/>
  </w:style>
  <w:style w:type="character" w:customStyle="1" w:styleId="206">
    <w:name w:val="目录 (4)_"/>
    <w:link w:val="77"/>
    <w:qFormat/>
    <w:locked/>
    <w:uiPriority w:val="0"/>
    <w:rPr>
      <w:rFonts w:ascii="Angsana New" w:hAnsi="Angsana New" w:cs="Angsana New"/>
      <w:b/>
      <w:bCs/>
      <w:sz w:val="28"/>
      <w:szCs w:val="28"/>
      <w:shd w:val="clear" w:color="auto" w:fill="FFFFFF"/>
    </w:rPr>
  </w:style>
  <w:style w:type="character" w:customStyle="1" w:styleId="207">
    <w:name w:val="正文文本 (9) Exact"/>
    <w:qFormat/>
    <w:uiPriority w:val="0"/>
    <w:rPr>
      <w:rFonts w:hint="eastAsia" w:ascii="MingLiU" w:hAnsi="MingLiU" w:eastAsia="MingLiU" w:cs="MingLiU"/>
      <w:sz w:val="17"/>
      <w:szCs w:val="17"/>
      <w:u w:val="none"/>
    </w:rPr>
  </w:style>
  <w:style w:type="character" w:customStyle="1" w:styleId="208">
    <w:name w:val="表格标题 (3) + 12 pt"/>
    <w:qFormat/>
    <w:uiPriority w:val="0"/>
    <w:rPr>
      <w:rFonts w:hint="eastAsia" w:ascii="MingLiU" w:hAnsi="MingLiU" w:eastAsia="MingLiU" w:cs="MingLiU"/>
      <w:sz w:val="24"/>
      <w:szCs w:val="24"/>
      <w:u w:val="none"/>
      <w:lang w:bidi="ar-SA"/>
    </w:rPr>
  </w:style>
  <w:style w:type="character" w:customStyle="1" w:styleId="209">
    <w:name w:val="目录 (3)_"/>
    <w:link w:val="167"/>
    <w:qFormat/>
    <w:locked/>
    <w:uiPriority w:val="0"/>
    <w:rPr>
      <w:rFonts w:ascii="MingLiU" w:hAnsi="MingLiU" w:eastAsia="MingLiU"/>
      <w:b/>
      <w:bCs/>
      <w:sz w:val="22"/>
      <w:szCs w:val="22"/>
      <w:shd w:val="clear" w:color="auto" w:fill="FFFFFF"/>
      <w:lang w:eastAsia="en-US"/>
    </w:rPr>
  </w:style>
  <w:style w:type="character" w:customStyle="1" w:styleId="210">
    <w:name w:val="正文文本 (2) + 8 pt"/>
    <w:qFormat/>
    <w:uiPriority w:val="0"/>
    <w:rPr>
      <w:rFonts w:hint="eastAsia" w:ascii="MingLiU" w:hAnsi="MingLiU" w:eastAsia="MingLiU" w:cs="MingLiU"/>
      <w:sz w:val="16"/>
      <w:szCs w:val="16"/>
      <w:u w:val="none"/>
      <w:lang w:bidi="ar-SA"/>
    </w:rPr>
  </w:style>
  <w:style w:type="character" w:customStyle="1" w:styleId="211">
    <w:name w:val="正文文本 (6)"/>
    <w:qFormat/>
    <w:uiPriority w:val="0"/>
    <w:rPr>
      <w:rFonts w:hint="eastAsia" w:ascii="MingLiU" w:hAnsi="MingLiU" w:eastAsia="MingLiU" w:cs="MingLiU"/>
      <w:bCs/>
      <w:sz w:val="22"/>
      <w:szCs w:val="22"/>
      <w:u w:val="single"/>
      <w:lang w:bidi="ar-SA"/>
    </w:rPr>
  </w:style>
  <w:style w:type="character" w:customStyle="1" w:styleId="212">
    <w:name w:val="正文文本 (2) + Century Gothic"/>
    <w:qFormat/>
    <w:uiPriority w:val="0"/>
    <w:rPr>
      <w:rFonts w:hint="default" w:ascii="Century Gothic" w:hAnsi="Century Gothic" w:eastAsia="Century Gothic" w:cs="Century Gothic"/>
      <w:color w:val="000000"/>
      <w:spacing w:val="0"/>
      <w:w w:val="100"/>
      <w:position w:val="0"/>
      <w:sz w:val="34"/>
      <w:szCs w:val="34"/>
      <w:shd w:val="clear" w:color="auto" w:fill="FFFFFF"/>
      <w:lang w:val="en-US" w:eastAsia="en-US" w:bidi="en-US"/>
    </w:rPr>
  </w:style>
  <w:style w:type="character" w:customStyle="1" w:styleId="213">
    <w:name w:val="hj-easyread-speakerprocesser-position-action-icon"/>
    <w:basedOn w:val="38"/>
    <w:qFormat/>
    <w:uiPriority w:val="0"/>
  </w:style>
  <w:style w:type="character" w:customStyle="1" w:styleId="214">
    <w:name w:val="正文文本 (2) + 间距 0 pt1"/>
    <w:qFormat/>
    <w:uiPriority w:val="0"/>
    <w:rPr>
      <w:rFonts w:hint="eastAsia" w:ascii="MingLiU" w:hAnsi="MingLiU" w:eastAsia="MingLiU" w:cs="MingLiU"/>
      <w:spacing w:val="-10"/>
      <w:sz w:val="22"/>
      <w:szCs w:val="22"/>
      <w:u w:val="single"/>
      <w:lang w:val="en-US" w:eastAsia="en-US" w:bidi="ar-SA"/>
    </w:rPr>
  </w:style>
  <w:style w:type="character" w:customStyle="1" w:styleId="215">
    <w:name w:val="正文文本 (2) + Georgia1"/>
    <w:qFormat/>
    <w:uiPriority w:val="0"/>
    <w:rPr>
      <w:rFonts w:hint="default" w:ascii="Georgia" w:hAnsi="Georgia" w:eastAsia="MingLiU" w:cs="Georgia"/>
      <w:sz w:val="19"/>
      <w:szCs w:val="19"/>
      <w:u w:val="none"/>
      <w:lang w:val="en-US" w:eastAsia="en-US" w:bidi="ar-SA"/>
    </w:rPr>
  </w:style>
  <w:style w:type="character" w:customStyle="1" w:styleId="216">
    <w:name w:val="正文文本 (2) + 7 pt"/>
    <w:qFormat/>
    <w:uiPriority w:val="0"/>
    <w:rPr>
      <w:rFonts w:hint="eastAsia" w:ascii="MingLiU" w:hAnsi="MingLiU" w:eastAsia="MingLiU" w:cs="MingLiU"/>
      <w:sz w:val="14"/>
      <w:szCs w:val="14"/>
      <w:u w:val="none"/>
      <w:lang w:bidi="ar-SA"/>
    </w:rPr>
  </w:style>
  <w:style w:type="character" w:customStyle="1" w:styleId="217">
    <w:name w:val="报告书内容 Char"/>
    <w:link w:val="188"/>
    <w:qFormat/>
    <w:locked/>
    <w:uiPriority w:val="0"/>
    <w:rPr>
      <w:sz w:val="24"/>
      <w:szCs w:val="24"/>
    </w:rPr>
  </w:style>
  <w:style w:type="character" w:customStyle="1" w:styleId="218">
    <w:name w:val="正文文本 (2) + Georgia Exact"/>
    <w:qFormat/>
    <w:uiPriority w:val="0"/>
    <w:rPr>
      <w:rFonts w:hint="default" w:ascii="Georgia" w:hAnsi="Georgia" w:eastAsia="MingLiU" w:cs="Georgia"/>
      <w:sz w:val="22"/>
      <w:szCs w:val="22"/>
      <w:u w:val="none"/>
      <w:lang w:val="en-US" w:eastAsia="en-US" w:bidi="ar-SA"/>
    </w:rPr>
  </w:style>
  <w:style w:type="character" w:customStyle="1" w:styleId="219">
    <w:name w:val="正文文本 (7) Exact1"/>
    <w:qFormat/>
    <w:uiPriority w:val="0"/>
    <w:rPr>
      <w:rFonts w:hint="eastAsia" w:ascii="MingLiU" w:hAnsi="MingLiU" w:eastAsia="MingLiU"/>
      <w:color w:val="FFFFFF"/>
      <w:sz w:val="15"/>
      <w:szCs w:val="15"/>
      <w:lang w:bidi="ar-SA"/>
    </w:rPr>
  </w:style>
  <w:style w:type="character" w:customStyle="1" w:styleId="220">
    <w:name w:val="页眉或页脚_"/>
    <w:link w:val="147"/>
    <w:qFormat/>
    <w:locked/>
    <w:uiPriority w:val="0"/>
    <w:rPr>
      <w:rFonts w:ascii="MingLiU" w:hAnsi="MingLiU" w:eastAsia="MingLiU"/>
      <w:sz w:val="18"/>
      <w:szCs w:val="18"/>
      <w:shd w:val="clear" w:color="auto" w:fill="FFFFFF"/>
    </w:rPr>
  </w:style>
  <w:style w:type="character" w:customStyle="1" w:styleId="221">
    <w:name w:val="正文文本 (2) + 9 pt"/>
    <w:qFormat/>
    <w:uiPriority w:val="0"/>
    <w:rPr>
      <w:rFonts w:hint="eastAsia" w:ascii="MingLiU" w:hAnsi="MingLiU" w:eastAsia="MingLiU" w:cs="MingLiU"/>
      <w:sz w:val="18"/>
      <w:szCs w:val="18"/>
      <w:u w:val="none"/>
      <w:lang w:bidi="ar-SA"/>
    </w:rPr>
  </w:style>
  <w:style w:type="character" w:customStyle="1" w:styleId="222">
    <w:name w:val="正文文本 (18) Exact"/>
    <w:qFormat/>
    <w:uiPriority w:val="0"/>
    <w:rPr>
      <w:rFonts w:hint="eastAsia" w:ascii="MingLiU" w:hAnsi="MingLiU" w:eastAsia="MingLiU" w:cs="MingLiU"/>
      <w:b/>
      <w:bCs/>
      <w:spacing w:val="-10"/>
      <w:sz w:val="23"/>
      <w:szCs w:val="23"/>
      <w:u w:val="none"/>
      <w:lang w:val="en-US" w:eastAsia="en-US"/>
    </w:rPr>
  </w:style>
  <w:style w:type="character" w:customStyle="1" w:styleId="223">
    <w:name w:val="图片标题 (15) Exact"/>
    <w:link w:val="171"/>
    <w:qFormat/>
    <w:locked/>
    <w:uiPriority w:val="0"/>
    <w:rPr>
      <w:rFonts w:ascii="MingLiU" w:hAnsi="MingLiU" w:eastAsia="MingLiU"/>
      <w:sz w:val="9"/>
      <w:szCs w:val="9"/>
      <w:shd w:val="clear" w:color="auto" w:fill="FFFFFF"/>
    </w:rPr>
  </w:style>
  <w:style w:type="character" w:customStyle="1" w:styleId="224">
    <w:name w:val="标题 2 Char"/>
    <w:link w:val="6"/>
    <w:semiHidden/>
    <w:qFormat/>
    <w:uiPriority w:val="9"/>
    <w:rPr>
      <w:rFonts w:ascii="等线 Light" w:hAnsi="等线 Light" w:eastAsia="等线 Light" w:cs="Times New Roman"/>
      <w:b/>
      <w:bCs/>
      <w:kern w:val="2"/>
      <w:sz w:val="32"/>
      <w:szCs w:val="32"/>
    </w:rPr>
  </w:style>
  <w:style w:type="character" w:customStyle="1" w:styleId="225">
    <w:name w:val="正文文本 (17) Exact"/>
    <w:link w:val="55"/>
    <w:qFormat/>
    <w:locked/>
    <w:uiPriority w:val="0"/>
    <w:rPr>
      <w:rFonts w:ascii="Georgia" w:hAnsi="Georgia"/>
      <w:spacing w:val="120"/>
      <w:sz w:val="19"/>
      <w:szCs w:val="19"/>
      <w:shd w:val="clear" w:color="auto" w:fill="FFFFFF"/>
      <w:lang w:eastAsia="en-US"/>
    </w:rPr>
  </w:style>
  <w:style w:type="character" w:customStyle="1" w:styleId="226">
    <w:name w:val="正文文本 (2) + Garamond"/>
    <w:qFormat/>
    <w:uiPriority w:val="0"/>
    <w:rPr>
      <w:rFonts w:hint="default" w:ascii="Garamond" w:hAnsi="Garamond" w:eastAsia="MingLiU" w:cs="Garamond"/>
      <w:sz w:val="8"/>
      <w:szCs w:val="8"/>
      <w:u w:val="none"/>
      <w:lang w:val="en-US" w:eastAsia="en-US" w:bidi="ar-SA"/>
    </w:rPr>
  </w:style>
  <w:style w:type="character" w:customStyle="1" w:styleId="227">
    <w:name w:val="页眉或页脚 + Georgia"/>
    <w:qFormat/>
    <w:uiPriority w:val="0"/>
    <w:rPr>
      <w:rFonts w:hint="default" w:ascii="Georgia" w:hAnsi="Georgia" w:eastAsia="MingLiU" w:cs="Georgia"/>
      <w:sz w:val="20"/>
      <w:szCs w:val="20"/>
      <w:lang w:bidi="ar-SA"/>
    </w:rPr>
  </w:style>
  <w:style w:type="character" w:customStyle="1" w:styleId="228">
    <w:name w:val="正文文本 (29) + 5.5 pt"/>
    <w:qFormat/>
    <w:uiPriority w:val="0"/>
    <w:rPr>
      <w:rFonts w:hint="eastAsia" w:ascii="MingLiU" w:hAnsi="MingLiU" w:eastAsia="MingLiU"/>
      <w:spacing w:val="-20"/>
      <w:w w:val="350"/>
      <w:sz w:val="11"/>
      <w:szCs w:val="11"/>
      <w:lang w:val="en-US" w:eastAsia="en-US" w:bidi="ar-SA"/>
    </w:rPr>
  </w:style>
  <w:style w:type="character" w:customStyle="1" w:styleId="229">
    <w:name w:val="font21"/>
    <w:basedOn w:val="38"/>
    <w:qFormat/>
    <w:uiPriority w:val="0"/>
    <w:rPr>
      <w:rFonts w:hint="default" w:ascii="Times New Roman" w:hAnsi="Times New Roman" w:cs="Times New Roman"/>
      <w:b/>
      <w:color w:val="000000"/>
      <w:sz w:val="21"/>
      <w:szCs w:val="21"/>
      <w:u w:val="none"/>
    </w:rPr>
  </w:style>
  <w:style w:type="character" w:customStyle="1" w:styleId="230">
    <w:name w:val="图片标题 (5) Exact"/>
    <w:link w:val="175"/>
    <w:qFormat/>
    <w:locked/>
    <w:uiPriority w:val="0"/>
    <w:rPr>
      <w:rFonts w:ascii="MingLiU" w:hAnsi="MingLiU" w:eastAsia="MingLiU"/>
      <w:sz w:val="11"/>
      <w:szCs w:val="11"/>
      <w:shd w:val="clear" w:color="auto" w:fill="FFFFFF"/>
    </w:rPr>
  </w:style>
  <w:style w:type="character" w:customStyle="1" w:styleId="231">
    <w:name w:val="表格标题 (6) + 11 pt"/>
    <w:qFormat/>
    <w:uiPriority w:val="0"/>
    <w:rPr>
      <w:rFonts w:hint="eastAsia" w:ascii="MingLiU" w:hAnsi="MingLiU" w:eastAsia="MingLiU"/>
      <w:b/>
      <w:bCs/>
      <w:spacing w:val="-10"/>
      <w:sz w:val="22"/>
      <w:szCs w:val="22"/>
      <w:lang w:val="en-US" w:eastAsia="en-US" w:bidi="ar-SA"/>
    </w:rPr>
  </w:style>
  <w:style w:type="character" w:customStyle="1" w:styleId="232">
    <w:name w:val="图片标题 (2) Exact1"/>
    <w:qFormat/>
    <w:uiPriority w:val="0"/>
  </w:style>
  <w:style w:type="character" w:customStyle="1" w:styleId="233">
    <w:name w:val="页脚 Char"/>
    <w:link w:val="25"/>
    <w:qFormat/>
    <w:locked/>
    <w:uiPriority w:val="99"/>
    <w:rPr>
      <w:sz w:val="18"/>
    </w:rPr>
  </w:style>
  <w:style w:type="character" w:customStyle="1" w:styleId="234">
    <w:name w:val="表格标题 (4)_"/>
    <w:link w:val="97"/>
    <w:qFormat/>
    <w:locked/>
    <w:uiPriority w:val="0"/>
    <w:rPr>
      <w:rFonts w:ascii="MingLiU" w:hAnsi="MingLiU" w:eastAsia="MingLiU"/>
      <w:b/>
      <w:bCs/>
      <w:sz w:val="22"/>
      <w:szCs w:val="22"/>
      <w:shd w:val="clear" w:color="auto" w:fill="FFFFFF"/>
    </w:rPr>
  </w:style>
  <w:style w:type="character" w:customStyle="1" w:styleId="235">
    <w:name w:val="标题 #2 + 间距 -1 pt"/>
    <w:qFormat/>
    <w:uiPriority w:val="0"/>
    <w:rPr>
      <w:rFonts w:hint="eastAsia" w:ascii="MingLiU" w:hAnsi="MingLiU" w:eastAsia="MingLiU"/>
      <w:spacing w:val="-30"/>
      <w:lang w:val="en-US" w:eastAsia="en-US" w:bidi="ar-SA"/>
    </w:rPr>
  </w:style>
  <w:style w:type="character" w:customStyle="1" w:styleId="236">
    <w:name w:val="图片标题 (18) + 非斜体 Exact"/>
    <w:qFormat/>
    <w:uiPriority w:val="0"/>
  </w:style>
  <w:style w:type="character" w:customStyle="1" w:styleId="237">
    <w:name w:val="正文文本 (35) + 4.5 pt1"/>
    <w:qFormat/>
    <w:uiPriority w:val="0"/>
    <w:rPr>
      <w:rFonts w:hint="cs" w:ascii="Angsana New" w:hAnsi="Angsana New" w:cs="Angsana New"/>
      <w:spacing w:val="0"/>
      <w:sz w:val="9"/>
      <w:szCs w:val="9"/>
      <w:u w:val="none"/>
      <w:cs/>
      <w:lang w:val="en-US" w:eastAsia="en-US" w:bidi="ar-SA"/>
    </w:rPr>
  </w:style>
  <w:style w:type="character" w:customStyle="1" w:styleId="238">
    <w:name w:val="图片标题 (9) Exact"/>
    <w:link w:val="137"/>
    <w:qFormat/>
    <w:locked/>
    <w:uiPriority w:val="0"/>
    <w:rPr>
      <w:rFonts w:ascii="MingLiU" w:hAnsi="MingLiU" w:eastAsia="MingLiU"/>
      <w:w w:val="70"/>
      <w:sz w:val="18"/>
      <w:szCs w:val="18"/>
      <w:shd w:val="clear" w:color="auto" w:fill="FFFFFF"/>
      <w:lang w:eastAsia="en-US"/>
    </w:rPr>
  </w:style>
  <w:style w:type="character" w:customStyle="1" w:styleId="239">
    <w:name w:val="页眉或页脚 + 12 pt"/>
    <w:qFormat/>
    <w:uiPriority w:val="0"/>
    <w:rPr>
      <w:rFonts w:hint="eastAsia" w:ascii="MingLiU" w:hAnsi="MingLiU" w:eastAsia="MingLiU" w:cs="MingLiU"/>
      <w:b/>
      <w:bCs/>
      <w:spacing w:val="0"/>
      <w:sz w:val="24"/>
      <w:szCs w:val="24"/>
      <w:u w:val="none"/>
      <w:lang w:bidi="ar-SA"/>
    </w:rPr>
  </w:style>
  <w:style w:type="character" w:customStyle="1" w:styleId="240">
    <w:name w:val="正文文本 (32) Exact"/>
    <w:link w:val="164"/>
    <w:qFormat/>
    <w:locked/>
    <w:uiPriority w:val="0"/>
    <w:rPr>
      <w:rFonts w:ascii="Malgun Gothic" w:hAnsi="Malgun Gothic" w:eastAsia="Malgun Gothic"/>
      <w:b/>
      <w:bCs/>
      <w:sz w:val="21"/>
      <w:szCs w:val="21"/>
      <w:shd w:val="clear" w:color="auto" w:fill="FFFFFF"/>
      <w:lang w:eastAsia="en-US"/>
    </w:rPr>
  </w:style>
  <w:style w:type="character" w:customStyle="1" w:styleId="241">
    <w:name w:val="图片标题 Exact"/>
    <w:qFormat/>
    <w:uiPriority w:val="0"/>
    <w:rPr>
      <w:rFonts w:hint="eastAsia" w:ascii="MingLiU" w:hAnsi="MingLiU" w:eastAsia="MingLiU" w:cs="MingLiU"/>
      <w:b/>
      <w:bCs/>
      <w:sz w:val="22"/>
      <w:szCs w:val="22"/>
      <w:u w:val="none"/>
      <w:lang w:val="en-US" w:eastAsia="en-US"/>
    </w:rPr>
  </w:style>
  <w:style w:type="character" w:customStyle="1" w:styleId="242">
    <w:name w:val="图片标题 (17) + 间距 1 pt Exact"/>
    <w:qFormat/>
    <w:uiPriority w:val="0"/>
    <w:rPr>
      <w:rFonts w:hint="eastAsia" w:ascii="MingLiU" w:hAnsi="MingLiU" w:eastAsia="MingLiU"/>
      <w:spacing w:val="20"/>
      <w:sz w:val="17"/>
      <w:szCs w:val="17"/>
      <w:lang w:val="en-US" w:eastAsia="en-US" w:bidi="ar-SA"/>
    </w:rPr>
  </w:style>
  <w:style w:type="character" w:customStyle="1" w:styleId="243">
    <w:name w:val="正文文本 (13)_"/>
    <w:link w:val="94"/>
    <w:qFormat/>
    <w:locked/>
    <w:uiPriority w:val="0"/>
    <w:rPr>
      <w:rFonts w:ascii="MingLiU" w:hAnsi="MingLiU" w:eastAsia="MingLiU"/>
      <w:spacing w:val="-10"/>
      <w:sz w:val="16"/>
      <w:szCs w:val="16"/>
      <w:shd w:val="clear" w:color="auto" w:fill="FFFFFF"/>
    </w:rPr>
  </w:style>
  <w:style w:type="character" w:customStyle="1" w:styleId="244">
    <w:name w:val="正文文本 (6) + Georgia"/>
    <w:qFormat/>
    <w:uiPriority w:val="0"/>
    <w:rPr>
      <w:rFonts w:hint="default" w:ascii="Georgia" w:hAnsi="Georgia" w:eastAsia="MingLiU" w:cs="Georgia"/>
      <w:b/>
      <w:bCs/>
      <w:sz w:val="22"/>
      <w:szCs w:val="22"/>
      <w:u w:val="none"/>
      <w:lang w:val="en-US" w:eastAsia="en-US" w:bidi="ar-SA"/>
    </w:rPr>
  </w:style>
  <w:style w:type="character" w:customStyle="1" w:styleId="245">
    <w:name w:val="表格 Char"/>
    <w:link w:val="152"/>
    <w:qFormat/>
    <w:locked/>
    <w:uiPriority w:val="0"/>
    <w:rPr>
      <w:rFonts w:ascii="宋体"/>
      <w:sz w:val="21"/>
    </w:rPr>
  </w:style>
  <w:style w:type="character" w:customStyle="1" w:styleId="246">
    <w:name w:val="正文文本 字符1"/>
    <w:semiHidden/>
    <w:qFormat/>
    <w:uiPriority w:val="99"/>
    <w:rPr>
      <w:rFonts w:ascii="Times New Roman" w:hAnsi="Times New Roman" w:eastAsia="宋体"/>
      <w:sz w:val="24"/>
    </w:rPr>
  </w:style>
  <w:style w:type="character" w:customStyle="1" w:styleId="247">
    <w:name w:val="图片标题 (7) Exact1"/>
    <w:qFormat/>
    <w:uiPriority w:val="0"/>
  </w:style>
  <w:style w:type="character" w:customStyle="1" w:styleId="248">
    <w:name w:val="正文文本 (6) + Georgia1"/>
    <w:qFormat/>
    <w:uiPriority w:val="0"/>
    <w:rPr>
      <w:rFonts w:hint="default" w:ascii="Georgia" w:hAnsi="Georgia" w:eastAsia="MingLiU" w:cs="Georgia"/>
      <w:b/>
      <w:bCs/>
      <w:sz w:val="22"/>
      <w:szCs w:val="22"/>
      <w:u w:val="none"/>
      <w:lang w:val="en-US" w:eastAsia="en-US" w:bidi="ar-SA"/>
    </w:rPr>
  </w:style>
  <w:style w:type="character" w:customStyle="1" w:styleId="249">
    <w:name w:val="正文文本 (35)_"/>
    <w:link w:val="193"/>
    <w:qFormat/>
    <w:locked/>
    <w:uiPriority w:val="0"/>
    <w:rPr>
      <w:rFonts w:ascii="Angsana New" w:hAnsi="Angsana New" w:cs="Angsana New"/>
      <w:spacing w:val="70"/>
      <w:sz w:val="36"/>
      <w:szCs w:val="36"/>
      <w:shd w:val="clear" w:color="auto" w:fill="FFFFFF"/>
      <w:lang w:eastAsia="en-US"/>
    </w:rPr>
  </w:style>
  <w:style w:type="character" w:customStyle="1" w:styleId="250">
    <w:name w:val="正文文本 (23) Exact1"/>
    <w:qFormat/>
    <w:uiPriority w:val="0"/>
    <w:rPr>
      <w:rFonts w:hint="eastAsia" w:ascii="MingLiU" w:hAnsi="MingLiU" w:eastAsia="MingLiU"/>
      <w:spacing w:val="-10"/>
      <w:sz w:val="16"/>
      <w:szCs w:val="16"/>
      <w:lang w:val="en-US" w:eastAsia="en-US" w:bidi="ar-SA"/>
    </w:rPr>
  </w:style>
  <w:style w:type="character" w:customStyle="1" w:styleId="251">
    <w:name w:val="图片标题 (17) + Georgia"/>
    <w:qFormat/>
    <w:uiPriority w:val="0"/>
    <w:rPr>
      <w:rFonts w:hint="default" w:ascii="Georgia" w:hAnsi="Georgia" w:eastAsia="MingLiU" w:cs="Georgia"/>
      <w:spacing w:val="0"/>
      <w:sz w:val="17"/>
      <w:szCs w:val="17"/>
      <w:lang w:val="en-US" w:eastAsia="en-US" w:bidi="ar-SA"/>
    </w:rPr>
  </w:style>
  <w:style w:type="character" w:customStyle="1" w:styleId="252">
    <w:name w:val="正文文本 (20) Exact1"/>
    <w:qFormat/>
    <w:uiPriority w:val="0"/>
    <w:rPr>
      <w:rFonts w:hint="eastAsia" w:ascii="MingLiU" w:hAnsi="MingLiU" w:eastAsia="MingLiU"/>
      <w:sz w:val="15"/>
      <w:szCs w:val="15"/>
      <w:lang w:val="en-US" w:eastAsia="en-US" w:bidi="ar-SA"/>
    </w:rPr>
  </w:style>
  <w:style w:type="character" w:customStyle="1" w:styleId="253">
    <w:name w:val="图片标题 + Georgia"/>
    <w:qFormat/>
    <w:uiPriority w:val="0"/>
    <w:rPr>
      <w:rFonts w:hint="default" w:ascii="Georgia" w:hAnsi="Georgia" w:eastAsia="MingLiU" w:cs="Georgia"/>
      <w:b/>
      <w:bCs/>
      <w:color w:val="000000"/>
      <w:spacing w:val="0"/>
      <w:w w:val="100"/>
      <w:position w:val="0"/>
      <w:sz w:val="22"/>
      <w:szCs w:val="22"/>
      <w:lang w:val="en-US" w:eastAsia="en-US" w:bidi="ar-SA"/>
    </w:rPr>
  </w:style>
  <w:style w:type="character" w:customStyle="1" w:styleId="254">
    <w:name w:val="正文文本 (8) Exact"/>
    <w:link w:val="123"/>
    <w:qFormat/>
    <w:locked/>
    <w:uiPriority w:val="0"/>
    <w:rPr>
      <w:rFonts w:ascii="MingLiU" w:hAnsi="MingLiU" w:eastAsia="MingLiU"/>
      <w:spacing w:val="-10"/>
      <w:sz w:val="21"/>
      <w:szCs w:val="21"/>
      <w:shd w:val="clear" w:color="auto" w:fill="FFFFFF"/>
    </w:rPr>
  </w:style>
  <w:style w:type="character" w:customStyle="1" w:styleId="255">
    <w:name w:val="正文文本 (2) + 间距 0 pt2"/>
    <w:qFormat/>
    <w:uiPriority w:val="0"/>
    <w:rPr>
      <w:rFonts w:hint="eastAsia" w:ascii="MingLiU" w:hAnsi="MingLiU" w:eastAsia="MingLiU" w:cs="MingLiU"/>
      <w:spacing w:val="-10"/>
      <w:sz w:val="22"/>
      <w:szCs w:val="22"/>
      <w:u w:val="none"/>
      <w:lang w:val="en-US" w:eastAsia="en-US" w:bidi="ar-SA"/>
    </w:rPr>
  </w:style>
  <w:style w:type="character" w:customStyle="1" w:styleId="256">
    <w:name w:val="表格标题 (3) + Angsana New"/>
    <w:qFormat/>
    <w:uiPriority w:val="0"/>
    <w:rPr>
      <w:rFonts w:hint="cs" w:ascii="Angsana New" w:hAnsi="Angsana New" w:eastAsia="MingLiU" w:cs="Angsana New"/>
      <w:b/>
      <w:bCs/>
      <w:sz w:val="30"/>
      <w:szCs w:val="30"/>
      <w:u w:val="none"/>
      <w:cs/>
      <w:lang w:val="en-US" w:eastAsia="en-US" w:bidi="ar-SA"/>
    </w:rPr>
  </w:style>
  <w:style w:type="character" w:customStyle="1" w:styleId="257">
    <w:name w:val="正文文本 (8) Exact1"/>
    <w:qFormat/>
    <w:uiPriority w:val="0"/>
    <w:rPr>
      <w:rFonts w:hint="eastAsia" w:ascii="MingLiU" w:hAnsi="MingLiU" w:eastAsia="MingLiU"/>
      <w:color w:val="FFFFFF"/>
      <w:spacing w:val="-10"/>
      <w:sz w:val="21"/>
      <w:szCs w:val="21"/>
      <w:lang w:bidi="ar-SA"/>
    </w:rPr>
  </w:style>
  <w:style w:type="character" w:customStyle="1" w:styleId="258">
    <w:name w:val="标题1 Char"/>
    <w:link w:val="185"/>
    <w:qFormat/>
    <w:locked/>
    <w:uiPriority w:val="0"/>
    <w:rPr>
      <w:rFonts w:ascii="Cambria" w:hAnsi="Cambria"/>
      <w:b/>
      <w:bCs/>
      <w:sz w:val="32"/>
      <w:szCs w:val="32"/>
    </w:rPr>
  </w:style>
  <w:style w:type="character" w:customStyle="1" w:styleId="259">
    <w:name w:val="正文文本 (33) Exact"/>
    <w:link w:val="165"/>
    <w:qFormat/>
    <w:locked/>
    <w:uiPriority w:val="0"/>
    <w:rPr>
      <w:rFonts w:ascii="MingLiU" w:hAnsi="MingLiU" w:eastAsia="MingLiU"/>
      <w:b/>
      <w:bCs/>
      <w:sz w:val="14"/>
      <w:szCs w:val="14"/>
      <w:shd w:val="clear" w:color="auto" w:fill="FFFFFF"/>
    </w:rPr>
  </w:style>
  <w:style w:type="character" w:customStyle="1" w:styleId="260">
    <w:name w:val="正文文本 (27) Exact"/>
    <w:link w:val="68"/>
    <w:qFormat/>
    <w:locked/>
    <w:uiPriority w:val="0"/>
    <w:rPr>
      <w:rFonts w:ascii="MingLiU" w:hAnsi="MingLiU" w:eastAsia="MingLiU"/>
      <w:spacing w:val="-20"/>
      <w:shd w:val="clear" w:color="auto" w:fill="FFFFFF"/>
      <w:lang w:eastAsia="en-US"/>
    </w:rPr>
  </w:style>
  <w:style w:type="character" w:customStyle="1" w:styleId="261">
    <w:name w:val="页眉或页脚 + 8 pt1"/>
    <w:qFormat/>
    <w:uiPriority w:val="0"/>
    <w:rPr>
      <w:rFonts w:hint="eastAsia" w:ascii="MingLiU" w:hAnsi="MingLiU" w:eastAsia="MingLiU" w:cs="MingLiU"/>
      <w:b/>
      <w:bCs/>
      <w:spacing w:val="10"/>
      <w:sz w:val="16"/>
      <w:szCs w:val="16"/>
      <w:u w:val="none"/>
      <w:lang w:val="en-US" w:eastAsia="en-US" w:bidi="ar-SA"/>
    </w:rPr>
  </w:style>
  <w:style w:type="character" w:customStyle="1" w:styleId="262">
    <w:name w:val="正文文本 (2) + Georgia6"/>
    <w:qFormat/>
    <w:uiPriority w:val="0"/>
    <w:rPr>
      <w:rFonts w:hint="default" w:ascii="Georgia" w:hAnsi="Georgia" w:eastAsia="MingLiU" w:cs="Georgia"/>
      <w:sz w:val="22"/>
      <w:szCs w:val="22"/>
      <w:u w:val="single"/>
      <w:lang w:val="en-US" w:eastAsia="en-US" w:bidi="ar-SA"/>
    </w:rPr>
  </w:style>
  <w:style w:type="character" w:customStyle="1" w:styleId="263">
    <w:name w:val="正文文本 (30) + 8.5 pt"/>
    <w:qFormat/>
    <w:uiPriority w:val="0"/>
    <w:rPr>
      <w:rFonts w:hint="eastAsia" w:ascii="MingLiU" w:hAnsi="MingLiU" w:eastAsia="MingLiU"/>
      <w:spacing w:val="0"/>
      <w:sz w:val="17"/>
      <w:szCs w:val="17"/>
      <w:lang w:val="en-US" w:eastAsia="en-US" w:bidi="ar-SA"/>
    </w:rPr>
  </w:style>
  <w:style w:type="character" w:customStyle="1" w:styleId="264">
    <w:name w:val="正文文本 (2) + 间距 3 pt"/>
    <w:qFormat/>
    <w:uiPriority w:val="0"/>
    <w:rPr>
      <w:rFonts w:hint="eastAsia" w:ascii="MingLiU" w:hAnsi="MingLiU" w:eastAsia="MingLiU" w:cs="MingLiU"/>
      <w:spacing w:val="60"/>
      <w:sz w:val="22"/>
      <w:szCs w:val="22"/>
      <w:u w:val="none"/>
      <w:lang w:bidi="ar-SA"/>
    </w:rPr>
  </w:style>
  <w:style w:type="character" w:customStyle="1" w:styleId="265">
    <w:name w:val="正文文本 (9) + 间距 1 pt Exact"/>
    <w:qFormat/>
    <w:uiPriority w:val="0"/>
    <w:rPr>
      <w:rFonts w:hint="eastAsia" w:ascii="MingLiU" w:hAnsi="MingLiU" w:eastAsia="MingLiU"/>
      <w:color w:val="000000"/>
      <w:spacing w:val="20"/>
      <w:w w:val="100"/>
      <w:position w:val="0"/>
      <w:sz w:val="17"/>
      <w:szCs w:val="17"/>
      <w:lang w:val="en-US" w:eastAsia="en-US" w:bidi="ar-SA"/>
    </w:rPr>
  </w:style>
  <w:style w:type="character" w:customStyle="1" w:styleId="266">
    <w:name w:val="正文文本 (2) + Georgia"/>
    <w:basedOn w:val="267"/>
    <w:qFormat/>
    <w:uiPriority w:val="0"/>
    <w:rPr>
      <w:rFonts w:hint="default" w:ascii="Georgia" w:hAnsi="Georgia" w:eastAsia="MingLiU" w:cs="Georgia"/>
      <w:sz w:val="22"/>
      <w:szCs w:val="22"/>
      <w:lang w:val="en-US" w:eastAsia="en-US" w:bidi="ar-SA"/>
    </w:rPr>
  </w:style>
  <w:style w:type="character" w:customStyle="1" w:styleId="267">
    <w:name w:val="正文文本 (2)_"/>
    <w:basedOn w:val="38"/>
    <w:link w:val="124"/>
    <w:qFormat/>
    <w:uiPriority w:val="0"/>
    <w:rPr>
      <w:rFonts w:ascii="MingLiU" w:eastAsia="MingLiU"/>
      <w:sz w:val="22"/>
      <w:szCs w:val="22"/>
      <w:shd w:val="clear" w:color="auto" w:fill="FFFFFF"/>
    </w:rPr>
  </w:style>
  <w:style w:type="character" w:customStyle="1" w:styleId="268">
    <w:name w:val="表格标题 (3) + 11.5 pt"/>
    <w:qFormat/>
    <w:uiPriority w:val="0"/>
    <w:rPr>
      <w:rFonts w:hint="eastAsia" w:ascii="MingLiU" w:hAnsi="MingLiU" w:eastAsia="MingLiU" w:cs="MingLiU"/>
      <w:b/>
      <w:bCs/>
      <w:sz w:val="23"/>
      <w:szCs w:val="23"/>
      <w:u w:val="none"/>
      <w:lang w:val="en-US" w:eastAsia="en-US" w:bidi="ar-SA"/>
    </w:rPr>
  </w:style>
  <w:style w:type="character" w:customStyle="1" w:styleId="269">
    <w:name w:val="正文文本 (6) + Georgia3"/>
    <w:qFormat/>
    <w:uiPriority w:val="0"/>
    <w:rPr>
      <w:rFonts w:hint="default" w:ascii="Georgia" w:hAnsi="Georgia" w:eastAsia="MingLiU" w:cs="Georgia"/>
      <w:b/>
      <w:bCs/>
      <w:sz w:val="22"/>
      <w:szCs w:val="22"/>
      <w:u w:val="single"/>
      <w:lang w:val="en-US" w:eastAsia="en-US" w:bidi="ar-SA"/>
    </w:rPr>
  </w:style>
  <w:style w:type="character" w:customStyle="1" w:styleId="270">
    <w:name w:val="图片标题 (18) Exact"/>
    <w:link w:val="178"/>
    <w:qFormat/>
    <w:locked/>
    <w:uiPriority w:val="0"/>
    <w:rPr>
      <w:rFonts w:ascii="MingLiU" w:hAnsi="MingLiU" w:eastAsia="MingLiU"/>
      <w:i/>
      <w:iCs/>
      <w:sz w:val="15"/>
      <w:szCs w:val="15"/>
      <w:shd w:val="clear" w:color="auto" w:fill="FFFFFF"/>
      <w:lang w:eastAsia="en-US"/>
    </w:rPr>
  </w:style>
  <w:style w:type="character" w:customStyle="1" w:styleId="271">
    <w:name w:val="图片标题 (2) + 间距 1 pt Exact"/>
    <w:qFormat/>
    <w:uiPriority w:val="0"/>
    <w:rPr>
      <w:rFonts w:hint="eastAsia" w:ascii="MingLiU" w:hAnsi="MingLiU" w:eastAsia="MingLiU"/>
      <w:spacing w:val="20"/>
      <w:sz w:val="16"/>
      <w:szCs w:val="16"/>
      <w:lang w:bidi="ar-SA"/>
    </w:rPr>
  </w:style>
  <w:style w:type="character" w:customStyle="1" w:styleId="272">
    <w:name w:val="图片标题_"/>
    <w:link w:val="129"/>
    <w:qFormat/>
    <w:locked/>
    <w:uiPriority w:val="0"/>
    <w:rPr>
      <w:rFonts w:ascii="MingLiU" w:hAnsi="MingLiU" w:eastAsia="MingLiU"/>
      <w:b/>
      <w:bCs/>
      <w:sz w:val="22"/>
      <w:szCs w:val="22"/>
      <w:shd w:val="clear" w:color="auto" w:fill="FFFFFF"/>
    </w:rPr>
  </w:style>
  <w:style w:type="character" w:customStyle="1" w:styleId="273">
    <w:name w:val="图片标题 (10) + Malgun Gothic"/>
    <w:qFormat/>
    <w:uiPriority w:val="0"/>
    <w:rPr>
      <w:rFonts w:hint="eastAsia" w:ascii="Malgun Gothic" w:hAnsi="Malgun Gothic" w:eastAsia="Malgun Gothic" w:cs="Malgun Gothic"/>
      <w:b/>
      <w:bCs/>
      <w:sz w:val="13"/>
      <w:szCs w:val="13"/>
      <w:lang w:bidi="ar-SA"/>
    </w:rPr>
  </w:style>
  <w:style w:type="character" w:customStyle="1" w:styleId="274">
    <w:name w:val="正文文本 (25) Exact"/>
    <w:link w:val="51"/>
    <w:qFormat/>
    <w:locked/>
    <w:uiPriority w:val="0"/>
    <w:rPr>
      <w:rFonts w:ascii="MingLiU" w:hAnsi="MingLiU" w:eastAsia="MingLiU"/>
      <w:sz w:val="15"/>
      <w:szCs w:val="15"/>
      <w:shd w:val="clear" w:color="auto" w:fill="FFFFFF"/>
    </w:rPr>
  </w:style>
  <w:style w:type="character" w:customStyle="1" w:styleId="275">
    <w:name w:val="正文文本 (24) + 10 pt"/>
    <w:qFormat/>
    <w:uiPriority w:val="0"/>
    <w:rPr>
      <w:rFonts w:hint="eastAsia" w:ascii="MingLiU" w:hAnsi="MingLiU" w:eastAsia="MingLiU"/>
      <w:spacing w:val="0"/>
      <w:w w:val="100"/>
      <w:sz w:val="20"/>
      <w:szCs w:val="20"/>
      <w:lang w:bidi="ar-SA"/>
    </w:rPr>
  </w:style>
  <w:style w:type="character" w:customStyle="1" w:styleId="276">
    <w:name w:val="NormalCharacter"/>
    <w:semiHidden/>
    <w:qFormat/>
    <w:uiPriority w:val="0"/>
  </w:style>
  <w:style w:type="character" w:customStyle="1" w:styleId="277">
    <w:name w:val="图片标题 (3) Exact"/>
    <w:link w:val="72"/>
    <w:qFormat/>
    <w:locked/>
    <w:uiPriority w:val="0"/>
    <w:rPr>
      <w:rFonts w:ascii="MingLiU" w:hAnsi="MingLiU" w:eastAsia="MingLiU"/>
      <w:sz w:val="22"/>
      <w:szCs w:val="22"/>
      <w:shd w:val="clear" w:color="auto" w:fill="FFFFFF"/>
    </w:rPr>
  </w:style>
  <w:style w:type="character" w:customStyle="1" w:styleId="278">
    <w:name w:val="正文文本 (2) + 间距 2 pt3"/>
    <w:qFormat/>
    <w:uiPriority w:val="0"/>
    <w:rPr>
      <w:rFonts w:hint="eastAsia" w:ascii="MingLiU" w:hAnsi="MingLiU" w:eastAsia="MingLiU" w:cs="MingLiU"/>
      <w:spacing w:val="50"/>
      <w:sz w:val="22"/>
      <w:szCs w:val="22"/>
      <w:u w:val="single"/>
      <w:lang w:bidi="ar-SA"/>
    </w:rPr>
  </w:style>
  <w:style w:type="character" w:customStyle="1" w:styleId="279">
    <w:name w:val="表格标题 (4) + Georgia"/>
    <w:qFormat/>
    <w:uiPriority w:val="0"/>
    <w:rPr>
      <w:rFonts w:hint="default" w:ascii="Georgia" w:hAnsi="Georgia" w:eastAsia="MingLiU" w:cs="Georgia"/>
      <w:b/>
      <w:bCs/>
      <w:sz w:val="22"/>
      <w:szCs w:val="22"/>
      <w:lang w:val="en-US" w:eastAsia="en-US" w:bidi="ar-SA"/>
    </w:rPr>
  </w:style>
  <w:style w:type="character" w:customStyle="1" w:styleId="280">
    <w:name w:val="正文文本缩进 Char"/>
    <w:link w:val="17"/>
    <w:semiHidden/>
    <w:qFormat/>
    <w:locked/>
    <w:uiPriority w:val="0"/>
    <w:rPr>
      <w:rFonts w:ascii="Times New Roman" w:hAnsi="Times New Roman" w:eastAsia="宋体"/>
      <w:sz w:val="24"/>
    </w:rPr>
  </w:style>
  <w:style w:type="character" w:customStyle="1" w:styleId="281">
    <w:name w:val="正文文本 (36)_"/>
    <w:link w:val="130"/>
    <w:qFormat/>
    <w:locked/>
    <w:uiPriority w:val="0"/>
    <w:rPr>
      <w:rFonts w:ascii="Angsana New" w:hAnsi="Angsana New" w:cs="Angsana New"/>
      <w:spacing w:val="50"/>
      <w:sz w:val="44"/>
      <w:szCs w:val="44"/>
      <w:shd w:val="clear" w:color="auto" w:fill="FFFFFF"/>
      <w:lang w:eastAsia="en-US"/>
    </w:rPr>
  </w:style>
  <w:style w:type="character" w:customStyle="1" w:styleId="282">
    <w:name w:val="图片标题 (9) Exact3"/>
    <w:qFormat/>
    <w:uiPriority w:val="0"/>
  </w:style>
  <w:style w:type="character" w:customStyle="1" w:styleId="283">
    <w:name w:val="表格标题 (3) + 间距 0 pt1"/>
    <w:qFormat/>
    <w:uiPriority w:val="0"/>
    <w:rPr>
      <w:rFonts w:hint="eastAsia" w:ascii="MingLiU" w:hAnsi="MingLiU" w:eastAsia="MingLiU" w:cs="MingLiU"/>
      <w:spacing w:val="-10"/>
      <w:sz w:val="22"/>
      <w:szCs w:val="22"/>
      <w:u w:val="single"/>
      <w:lang w:val="en-US" w:eastAsia="en-US" w:bidi="ar-SA"/>
    </w:rPr>
  </w:style>
  <w:style w:type="character" w:customStyle="1" w:styleId="284">
    <w:name w:val="正文文本 (25) Exact1"/>
    <w:qFormat/>
    <w:uiPriority w:val="0"/>
    <w:rPr>
      <w:rFonts w:hint="eastAsia" w:ascii="MingLiU" w:hAnsi="MingLiU" w:eastAsia="MingLiU"/>
      <w:sz w:val="15"/>
      <w:szCs w:val="15"/>
      <w:lang w:val="en-US" w:eastAsia="en-US" w:bidi="ar-SA"/>
    </w:rPr>
  </w:style>
  <w:style w:type="character" w:customStyle="1" w:styleId="285">
    <w:name w:val="正文文本 (3) + 间距 -1 pt Exact1"/>
    <w:qFormat/>
    <w:uiPriority w:val="0"/>
    <w:rPr>
      <w:rFonts w:hint="eastAsia" w:ascii="MingLiU" w:hAnsi="MingLiU" w:eastAsia="MingLiU"/>
      <w:spacing w:val="-20"/>
      <w:u w:val="single"/>
      <w:lang w:bidi="ar-SA"/>
    </w:rPr>
  </w:style>
  <w:style w:type="character" w:customStyle="1" w:styleId="286">
    <w:name w:val="正文文本 (21) Exact"/>
    <w:link w:val="100"/>
    <w:qFormat/>
    <w:locked/>
    <w:uiPriority w:val="0"/>
    <w:rPr>
      <w:shd w:val="clear" w:color="auto" w:fill="FFFFFF"/>
    </w:rPr>
  </w:style>
  <w:style w:type="character" w:customStyle="1" w:styleId="287">
    <w:name w:val="标题 #3 (2)_"/>
    <w:link w:val="157"/>
    <w:qFormat/>
    <w:locked/>
    <w:uiPriority w:val="0"/>
    <w:rPr>
      <w:rFonts w:ascii="MingLiU" w:hAnsi="MingLiU" w:eastAsia="MingLiU"/>
      <w:shd w:val="clear" w:color="auto" w:fill="FFFFFF"/>
    </w:rPr>
  </w:style>
  <w:style w:type="character" w:customStyle="1" w:styleId="288">
    <w:name w:val="正文文本 (2) + 粗体2"/>
    <w:qFormat/>
    <w:uiPriority w:val="0"/>
    <w:rPr>
      <w:rFonts w:hint="eastAsia" w:ascii="MingLiU" w:hAnsi="MingLiU" w:eastAsia="MingLiU" w:cs="MingLiU"/>
      <w:b/>
      <w:bCs/>
      <w:sz w:val="22"/>
      <w:szCs w:val="22"/>
      <w:u w:val="single"/>
      <w:lang w:val="en-US" w:eastAsia="en-US" w:bidi="ar-SA"/>
    </w:rPr>
  </w:style>
  <w:style w:type="character" w:customStyle="1" w:styleId="289">
    <w:name w:val="文档结构图 Char"/>
    <w:link w:val="13"/>
    <w:qFormat/>
    <w:uiPriority w:val="0"/>
    <w:rPr>
      <w:rFonts w:ascii="Calibri" w:hAnsi="Calibri"/>
      <w:kern w:val="2"/>
      <w:sz w:val="21"/>
      <w:szCs w:val="22"/>
      <w:shd w:val="clear" w:color="auto" w:fill="000080"/>
    </w:rPr>
  </w:style>
  <w:style w:type="character" w:customStyle="1" w:styleId="290">
    <w:name w:val="表格标题 (8) Exact"/>
    <w:link w:val="141"/>
    <w:qFormat/>
    <w:locked/>
    <w:uiPriority w:val="0"/>
    <w:rPr>
      <w:rFonts w:ascii="MingLiU" w:hAnsi="MingLiU" w:eastAsia="MingLiU"/>
      <w:b/>
      <w:bCs/>
      <w:sz w:val="14"/>
      <w:szCs w:val="14"/>
      <w:shd w:val="clear" w:color="auto" w:fill="FFFFFF"/>
      <w:lang w:eastAsia="en-US"/>
    </w:rPr>
  </w:style>
  <w:style w:type="character" w:customStyle="1" w:styleId="291">
    <w:name w:val="表格文字 Char"/>
    <w:link w:val="183"/>
    <w:qFormat/>
    <w:uiPriority w:val="0"/>
    <w:rPr>
      <w:kern w:val="2"/>
      <w:sz w:val="21"/>
    </w:rPr>
  </w:style>
  <w:style w:type="character" w:customStyle="1" w:styleId="292">
    <w:name w:val="正文文本 (16) + MingLiU"/>
    <w:qFormat/>
    <w:uiPriority w:val="0"/>
    <w:rPr>
      <w:rFonts w:hint="eastAsia" w:ascii="MingLiU" w:hAnsi="Georgia" w:eastAsia="MingLiU" w:cs="MingLiU"/>
      <w:spacing w:val="-20"/>
      <w:sz w:val="24"/>
      <w:szCs w:val="24"/>
      <w:lang w:bidi="ar-SA"/>
    </w:rPr>
  </w:style>
  <w:style w:type="character" w:customStyle="1" w:styleId="293">
    <w:name w:val="正文首行缩进 Char"/>
    <w:link w:val="34"/>
    <w:qFormat/>
    <w:uiPriority w:val="0"/>
    <w:rPr>
      <w:kern w:val="2"/>
      <w:sz w:val="24"/>
    </w:rPr>
  </w:style>
  <w:style w:type="character" w:customStyle="1" w:styleId="294">
    <w:name w:val="图片标题 (13) Exact"/>
    <w:link w:val="64"/>
    <w:qFormat/>
    <w:locked/>
    <w:uiPriority w:val="0"/>
    <w:rPr>
      <w:rFonts w:ascii="Angsana New" w:hAnsi="Angsana New" w:cs="Angsana New"/>
      <w:b/>
      <w:bCs/>
      <w:sz w:val="34"/>
      <w:szCs w:val="34"/>
      <w:shd w:val="clear" w:color="auto" w:fill="FFFFFF"/>
    </w:rPr>
  </w:style>
  <w:style w:type="character" w:customStyle="1" w:styleId="295">
    <w:name w:val="表格标题 (3) + Georgia1"/>
    <w:qFormat/>
    <w:uiPriority w:val="0"/>
    <w:rPr>
      <w:rFonts w:hint="default" w:ascii="Georgia" w:hAnsi="Georgia" w:eastAsia="MingLiU" w:cs="Georgia"/>
      <w:sz w:val="22"/>
      <w:szCs w:val="22"/>
      <w:u w:val="single"/>
      <w:lang w:val="en-US" w:eastAsia="en-US" w:bidi="ar-SA"/>
    </w:rPr>
  </w:style>
  <w:style w:type="character" w:customStyle="1" w:styleId="296">
    <w:name w:val="图片标题 (9) Exact2"/>
    <w:qFormat/>
    <w:uiPriority w:val="0"/>
  </w:style>
  <w:style w:type="character" w:customStyle="1" w:styleId="297">
    <w:name w:val="正文文本 (2) + 8.5 pt5"/>
    <w:qFormat/>
    <w:uiPriority w:val="0"/>
    <w:rPr>
      <w:rFonts w:hint="eastAsia" w:ascii="MingLiU" w:hAnsi="MingLiU" w:eastAsia="MingLiU"/>
      <w:kern w:val="0"/>
      <w:sz w:val="17"/>
      <w:szCs w:val="17"/>
      <w:lang w:bidi="ar-SA"/>
    </w:rPr>
  </w:style>
  <w:style w:type="character" w:customStyle="1" w:styleId="298">
    <w:name w:val="正文文本 (2) + 间距 3 pt1"/>
    <w:qFormat/>
    <w:uiPriority w:val="0"/>
    <w:rPr>
      <w:rFonts w:hint="eastAsia" w:ascii="MingLiU" w:hAnsi="MingLiU" w:eastAsia="MingLiU" w:cs="MingLiU"/>
      <w:spacing w:val="70"/>
      <w:sz w:val="22"/>
      <w:szCs w:val="22"/>
      <w:u w:val="none"/>
      <w:lang w:val="en-US" w:eastAsia="en-US" w:bidi="ar-SA"/>
    </w:rPr>
  </w:style>
  <w:style w:type="character" w:customStyle="1" w:styleId="299">
    <w:name w:val="页眉或页脚"/>
    <w:qFormat/>
    <w:uiPriority w:val="0"/>
  </w:style>
  <w:style w:type="character" w:customStyle="1" w:styleId="300">
    <w:name w:val="正文文本 (19) Exact"/>
    <w:link w:val="78"/>
    <w:qFormat/>
    <w:locked/>
    <w:uiPriority w:val="0"/>
    <w:rPr>
      <w:rFonts w:ascii="MingLiU" w:hAnsi="MingLiU" w:eastAsia="MingLiU"/>
      <w:sz w:val="9"/>
      <w:szCs w:val="9"/>
      <w:shd w:val="clear" w:color="auto" w:fill="FFFFFF"/>
    </w:rPr>
  </w:style>
  <w:style w:type="character" w:customStyle="1" w:styleId="301">
    <w:name w:val="图片标题 (14) Exact"/>
    <w:link w:val="76"/>
    <w:qFormat/>
    <w:locked/>
    <w:uiPriority w:val="0"/>
    <w:rPr>
      <w:rFonts w:ascii="MingLiU" w:hAnsi="MingLiU" w:eastAsia="MingLiU"/>
      <w:spacing w:val="120"/>
      <w:shd w:val="clear" w:color="auto" w:fill="FFFFFF"/>
      <w:lang w:eastAsia="en-US"/>
    </w:rPr>
  </w:style>
  <w:style w:type="character" w:customStyle="1" w:styleId="302">
    <w:name w:val="图片标题 (5) + Lucida Sans Unicode"/>
    <w:qFormat/>
    <w:uiPriority w:val="0"/>
    <w:rPr>
      <w:rFonts w:hint="default" w:ascii="Lucida Sans Unicode" w:hAnsi="Lucida Sans Unicode" w:eastAsia="MingLiU" w:cs="Lucida Sans Unicode"/>
      <w:sz w:val="18"/>
      <w:szCs w:val="18"/>
      <w:lang w:bidi="ar-SA"/>
    </w:rPr>
  </w:style>
  <w:style w:type="character" w:customStyle="1" w:styleId="303">
    <w:name w:val="表格标题 (6) + Georgia"/>
    <w:qFormat/>
    <w:uiPriority w:val="0"/>
    <w:rPr>
      <w:rFonts w:hint="default" w:ascii="Georgia" w:hAnsi="Georgia" w:eastAsia="MingLiU" w:cs="Georgia"/>
      <w:b/>
      <w:bCs/>
      <w:sz w:val="19"/>
      <w:szCs w:val="19"/>
      <w:lang w:val="en-US" w:eastAsia="en-US" w:bidi="ar-SA"/>
    </w:rPr>
  </w:style>
  <w:style w:type="character" w:customStyle="1" w:styleId="304">
    <w:name w:val="纯文本 Char"/>
    <w:link w:val="19"/>
    <w:qFormat/>
    <w:uiPriority w:val="0"/>
    <w:rPr>
      <w:rFonts w:ascii="Calibri" w:hAnsi="Courier New" w:cs="Courier New"/>
      <w:kern w:val="2"/>
      <w:sz w:val="21"/>
      <w:szCs w:val="21"/>
    </w:rPr>
  </w:style>
  <w:style w:type="character" w:customStyle="1" w:styleId="305">
    <w:name w:val="正文文本 (2) + 7.5 pt2"/>
    <w:qFormat/>
    <w:uiPriority w:val="0"/>
    <w:rPr>
      <w:rFonts w:hint="eastAsia" w:ascii="MingLiU" w:hAnsi="MingLiU" w:eastAsia="MingLiU" w:cs="MingLiU"/>
      <w:sz w:val="15"/>
      <w:szCs w:val="15"/>
      <w:u w:val="none"/>
      <w:lang w:val="en-US" w:eastAsia="en-US" w:bidi="ar-SA"/>
    </w:rPr>
  </w:style>
  <w:style w:type="character" w:customStyle="1" w:styleId="306">
    <w:name w:val="正文文本 (2) + Georgia7"/>
    <w:qFormat/>
    <w:uiPriority w:val="0"/>
    <w:rPr>
      <w:rFonts w:hint="default" w:ascii="Georgia" w:hAnsi="Georgia" w:eastAsia="MingLiU" w:cs="Georgia"/>
      <w:sz w:val="17"/>
      <w:szCs w:val="17"/>
      <w:u w:val="none"/>
      <w:lang w:val="en-US" w:eastAsia="en-US" w:bidi="ar-SA"/>
    </w:rPr>
  </w:style>
  <w:style w:type="character" w:customStyle="1" w:styleId="307">
    <w:name w:val="批注框文本 Char"/>
    <w:link w:val="24"/>
    <w:semiHidden/>
    <w:qFormat/>
    <w:locked/>
    <w:uiPriority w:val="99"/>
    <w:rPr>
      <w:rFonts w:ascii="Times New Roman" w:hAnsi="Times New Roman" w:eastAsia="宋体"/>
      <w:sz w:val="18"/>
    </w:rPr>
  </w:style>
  <w:style w:type="character" w:customStyle="1" w:styleId="308">
    <w:name w:val="图片标题 (9) Exact4"/>
    <w:qFormat/>
    <w:uiPriority w:val="0"/>
  </w:style>
  <w:style w:type="character" w:customStyle="1" w:styleId="309">
    <w:name w:val="正文文本 (14) + MingLiU Exact"/>
    <w:qFormat/>
    <w:uiPriority w:val="0"/>
    <w:rPr>
      <w:rFonts w:hint="eastAsia" w:ascii="MingLiU" w:hAnsi="Georgia" w:eastAsia="MingLiU" w:cs="MingLiU"/>
      <w:color w:val="000000"/>
      <w:spacing w:val="0"/>
      <w:w w:val="100"/>
      <w:position w:val="0"/>
      <w:sz w:val="22"/>
      <w:szCs w:val="22"/>
      <w:lang w:val="en-US" w:eastAsia="en-US" w:bidi="ar-SA"/>
    </w:rPr>
  </w:style>
  <w:style w:type="character" w:customStyle="1" w:styleId="310">
    <w:name w:val="正文文本 (2) + Georgia4"/>
    <w:qFormat/>
    <w:uiPriority w:val="0"/>
    <w:rPr>
      <w:rFonts w:hint="default" w:ascii="Georgia" w:hAnsi="Georgia" w:eastAsia="MingLiU" w:cs="Georgia"/>
      <w:spacing w:val="0"/>
      <w:sz w:val="19"/>
      <w:szCs w:val="19"/>
      <w:u w:val="none"/>
      <w:lang w:val="en-US" w:eastAsia="en-US" w:bidi="ar-SA"/>
    </w:rPr>
  </w:style>
  <w:style w:type="character" w:customStyle="1" w:styleId="311">
    <w:name w:val="标题 #3 + Georgia2"/>
    <w:qFormat/>
    <w:uiPriority w:val="0"/>
    <w:rPr>
      <w:rFonts w:hint="default" w:ascii="Georgia" w:hAnsi="Georgia" w:eastAsia="MingLiU" w:cs="Georgia"/>
      <w:sz w:val="22"/>
      <w:szCs w:val="22"/>
      <w:u w:val="none"/>
      <w:lang w:val="en-US" w:eastAsia="en-US" w:bidi="ar-SA"/>
    </w:rPr>
  </w:style>
  <w:style w:type="character" w:customStyle="1" w:styleId="312">
    <w:name w:val="正文文本 (18) + 间距 -2 pt"/>
    <w:qFormat/>
    <w:uiPriority w:val="0"/>
    <w:rPr>
      <w:rFonts w:hint="eastAsia" w:ascii="MingLiU" w:hAnsi="MingLiU" w:eastAsia="MingLiU"/>
      <w:b/>
      <w:bCs/>
      <w:spacing w:val="-40"/>
      <w:sz w:val="23"/>
      <w:szCs w:val="23"/>
      <w:lang w:val="en-US" w:eastAsia="en-US" w:bidi="ar-SA"/>
    </w:rPr>
  </w:style>
  <w:style w:type="character" w:customStyle="1" w:styleId="313">
    <w:name w:val="正文文本 (19) + 间距 9 pt Exact"/>
    <w:qFormat/>
    <w:uiPriority w:val="0"/>
    <w:rPr>
      <w:rFonts w:hint="eastAsia" w:ascii="MingLiU" w:hAnsi="MingLiU" w:eastAsia="MingLiU"/>
      <w:spacing w:val="190"/>
      <w:sz w:val="9"/>
      <w:szCs w:val="9"/>
      <w:lang w:bidi="ar-SA"/>
    </w:rPr>
  </w:style>
  <w:style w:type="character" w:customStyle="1" w:styleId="314">
    <w:name w:val="表格标题 (8) Exact1"/>
    <w:qFormat/>
    <w:uiPriority w:val="0"/>
    <w:rPr>
      <w:rFonts w:hint="eastAsia" w:ascii="MingLiU" w:hAnsi="MingLiU" w:eastAsia="MingLiU"/>
      <w:b/>
      <w:bCs/>
      <w:sz w:val="14"/>
      <w:szCs w:val="14"/>
      <w:u w:val="single"/>
      <w:lang w:val="en-US" w:eastAsia="en-US" w:bidi="ar-SA"/>
    </w:rPr>
  </w:style>
  <w:style w:type="character" w:customStyle="1" w:styleId="315">
    <w:name w:val="正文文本 (3) + Georgia"/>
    <w:qFormat/>
    <w:uiPriority w:val="0"/>
    <w:rPr>
      <w:rFonts w:hint="default" w:ascii="Georgia" w:hAnsi="Georgia" w:eastAsia="MingLiU" w:cs="Georgia"/>
      <w:spacing w:val="400"/>
      <w:sz w:val="15"/>
      <w:szCs w:val="15"/>
      <w:lang w:val="en-US" w:eastAsia="en-US" w:bidi="ar-SA"/>
    </w:rPr>
  </w:style>
  <w:style w:type="character" w:customStyle="1" w:styleId="316">
    <w:name w:val="标题 #2 + 间距 1 pt"/>
    <w:qFormat/>
    <w:uiPriority w:val="0"/>
    <w:rPr>
      <w:rFonts w:hint="eastAsia" w:ascii="MingLiU" w:hAnsi="MingLiU" w:eastAsia="MingLiU" w:cs="MingLiU"/>
      <w:spacing w:val="30"/>
      <w:u w:val="none"/>
      <w:lang w:bidi="ar-SA"/>
    </w:rPr>
  </w:style>
  <w:style w:type="character" w:customStyle="1" w:styleId="317">
    <w:name w:val="正文文本 (27) + 5.5 pt"/>
    <w:qFormat/>
    <w:uiPriority w:val="0"/>
    <w:rPr>
      <w:rFonts w:hint="eastAsia" w:ascii="MingLiU" w:hAnsi="MingLiU" w:eastAsia="MingLiU"/>
      <w:spacing w:val="-20"/>
      <w:w w:val="350"/>
      <w:sz w:val="11"/>
      <w:szCs w:val="11"/>
      <w:lang w:val="en-US" w:eastAsia="en-US" w:bidi="ar-SA"/>
    </w:rPr>
  </w:style>
  <w:style w:type="character" w:customStyle="1" w:styleId="318">
    <w:name w:val="标题 #1_"/>
    <w:link w:val="92"/>
    <w:qFormat/>
    <w:locked/>
    <w:uiPriority w:val="0"/>
    <w:rPr>
      <w:rFonts w:ascii="MingLiU" w:hAnsi="MingLiU" w:eastAsia="MingLiU"/>
      <w:spacing w:val="190"/>
      <w:sz w:val="36"/>
      <w:szCs w:val="36"/>
      <w:shd w:val="clear" w:color="auto" w:fill="FFFFFF"/>
    </w:rPr>
  </w:style>
  <w:style w:type="character" w:customStyle="1" w:styleId="319">
    <w:name w:val="正文文本 (2) + Georgia5"/>
    <w:qFormat/>
    <w:uiPriority w:val="0"/>
    <w:rPr>
      <w:rFonts w:hint="default" w:ascii="Georgia" w:hAnsi="Georgia" w:eastAsia="MingLiU" w:cs="Georgia"/>
      <w:sz w:val="18"/>
      <w:szCs w:val="18"/>
      <w:lang w:val="en-US" w:eastAsia="en-US" w:bidi="ar-SA"/>
    </w:rPr>
  </w:style>
  <w:style w:type="character" w:customStyle="1" w:styleId="320">
    <w:name w:val="正文文本 (2) + 间距 -1 pt1"/>
    <w:qFormat/>
    <w:uiPriority w:val="0"/>
    <w:rPr>
      <w:rFonts w:hint="eastAsia" w:ascii="MingLiU" w:hAnsi="MingLiU" w:eastAsia="MingLiU"/>
      <w:spacing w:val="-30"/>
      <w:sz w:val="22"/>
      <w:szCs w:val="22"/>
      <w:u w:val="single"/>
      <w:lang w:bidi="ar-SA"/>
    </w:rPr>
  </w:style>
  <w:style w:type="character" w:customStyle="1" w:styleId="321">
    <w:name w:val="图片标题 (9) + 间距 2 pt Exact"/>
    <w:qFormat/>
    <w:uiPriority w:val="0"/>
    <w:rPr>
      <w:rFonts w:hint="eastAsia" w:ascii="MingLiU" w:hAnsi="MingLiU" w:eastAsia="MingLiU"/>
      <w:spacing w:val="40"/>
      <w:w w:val="70"/>
      <w:sz w:val="18"/>
      <w:szCs w:val="18"/>
      <w:lang w:val="en-US" w:eastAsia="en-US" w:bidi="ar-SA"/>
    </w:rPr>
  </w:style>
  <w:style w:type="character" w:customStyle="1" w:styleId="322">
    <w:name w:val="正文文本 (2)4"/>
    <w:qFormat/>
    <w:uiPriority w:val="0"/>
    <w:rPr>
      <w:rFonts w:hint="eastAsia" w:ascii="MingLiU" w:hAnsi="MingLiU" w:eastAsia="MingLiU" w:cs="MingLiU"/>
      <w:sz w:val="22"/>
      <w:szCs w:val="22"/>
      <w:u w:val="none"/>
      <w:lang w:bidi="ar-SA"/>
    </w:rPr>
  </w:style>
  <w:style w:type="character" w:customStyle="1" w:styleId="323">
    <w:name w:val="正文文本 (2) + 11.5 pt2"/>
    <w:qFormat/>
    <w:uiPriority w:val="0"/>
    <w:rPr>
      <w:rFonts w:hint="eastAsia" w:ascii="MingLiU" w:hAnsi="MingLiU" w:eastAsia="MingLiU" w:cs="MingLiU"/>
      <w:b/>
      <w:bCs/>
      <w:spacing w:val="30"/>
      <w:sz w:val="23"/>
      <w:szCs w:val="23"/>
      <w:u w:val="none"/>
      <w:lang w:bidi="ar-SA"/>
    </w:rPr>
  </w:style>
  <w:style w:type="character" w:customStyle="1" w:styleId="324">
    <w:name w:val="正文文本 (2) + 8 pt2"/>
    <w:qFormat/>
    <w:uiPriority w:val="0"/>
    <w:rPr>
      <w:rFonts w:hint="eastAsia" w:ascii="MingLiU" w:hAnsi="MingLiU" w:eastAsia="MingLiU" w:cs="MingLiU"/>
      <w:sz w:val="16"/>
      <w:szCs w:val="16"/>
      <w:u w:val="none"/>
      <w:lang w:bidi="ar-SA"/>
    </w:rPr>
  </w:style>
  <w:style w:type="character" w:customStyle="1" w:styleId="325">
    <w:name w:val="图片标题 (4) + 间距 0 pt Exact1"/>
    <w:qFormat/>
    <w:uiPriority w:val="0"/>
    <w:rPr>
      <w:rFonts w:hint="eastAsia" w:ascii="MingLiU" w:hAnsi="MingLiU" w:eastAsia="MingLiU"/>
      <w:spacing w:val="0"/>
      <w:sz w:val="10"/>
      <w:szCs w:val="10"/>
      <w:lang w:val="en-US" w:eastAsia="en-US" w:bidi="ar-SA"/>
    </w:rPr>
  </w:style>
  <w:style w:type="character" w:customStyle="1" w:styleId="326">
    <w:name w:val="标题 #3 + Georgia"/>
    <w:qFormat/>
    <w:uiPriority w:val="0"/>
    <w:rPr>
      <w:rFonts w:hint="default" w:ascii="Georgia" w:hAnsi="Georgia" w:eastAsia="MingLiU" w:cs="Georgia"/>
      <w:sz w:val="22"/>
      <w:szCs w:val="22"/>
      <w:lang w:val="en-US" w:eastAsia="en-US" w:bidi="ar-SA"/>
    </w:rPr>
  </w:style>
  <w:style w:type="character" w:customStyle="1" w:styleId="327">
    <w:name w:val="正文文本 (2) + 11.5 pt4"/>
    <w:qFormat/>
    <w:uiPriority w:val="0"/>
    <w:rPr>
      <w:rFonts w:hint="eastAsia" w:ascii="MingLiU" w:hAnsi="MingLiU" w:eastAsia="MingLiU" w:cs="MingLiU"/>
      <w:b/>
      <w:bCs/>
      <w:spacing w:val="-40"/>
      <w:sz w:val="23"/>
      <w:szCs w:val="23"/>
      <w:u w:val="none"/>
      <w:lang w:val="en-US" w:eastAsia="en-US" w:bidi="ar-SA"/>
    </w:rPr>
  </w:style>
  <w:style w:type="character" w:customStyle="1" w:styleId="328">
    <w:name w:val="正文文本 (5)_"/>
    <w:link w:val="91"/>
    <w:qFormat/>
    <w:locked/>
    <w:uiPriority w:val="0"/>
    <w:rPr>
      <w:rFonts w:ascii="MingLiU" w:hAnsi="MingLiU" w:eastAsia="MingLiU"/>
      <w:sz w:val="30"/>
      <w:szCs w:val="30"/>
      <w:shd w:val="clear" w:color="auto" w:fill="FFFFFF"/>
    </w:rPr>
  </w:style>
  <w:style w:type="character" w:customStyle="1" w:styleId="329">
    <w:name w:val="正文文本 (11)_"/>
    <w:link w:val="111"/>
    <w:qFormat/>
    <w:locked/>
    <w:uiPriority w:val="0"/>
    <w:rPr>
      <w:rFonts w:ascii="Georgia" w:hAnsi="Georgia"/>
      <w:b/>
      <w:bCs/>
      <w:sz w:val="34"/>
      <w:szCs w:val="34"/>
      <w:shd w:val="clear" w:color="auto" w:fill="FFFFFF"/>
      <w:lang w:eastAsia="en-US"/>
    </w:rPr>
  </w:style>
  <w:style w:type="character" w:customStyle="1" w:styleId="330">
    <w:name w:val="正文文本 (13)"/>
    <w:qFormat/>
    <w:uiPriority w:val="0"/>
  </w:style>
  <w:style w:type="character" w:customStyle="1" w:styleId="331">
    <w:name w:val="表格标题 (3) + 间距 0 pt"/>
    <w:qFormat/>
    <w:uiPriority w:val="0"/>
    <w:rPr>
      <w:rFonts w:hint="eastAsia" w:ascii="MingLiU" w:hAnsi="MingLiU" w:eastAsia="MingLiU" w:cs="MingLiU"/>
      <w:spacing w:val="-10"/>
      <w:sz w:val="22"/>
      <w:szCs w:val="22"/>
      <w:u w:val="none"/>
      <w:lang w:val="en-US" w:eastAsia="en-US" w:bidi="ar-SA"/>
    </w:rPr>
  </w:style>
  <w:style w:type="character" w:customStyle="1" w:styleId="332">
    <w:name w:val="正文文本 (20) Exact"/>
    <w:link w:val="84"/>
    <w:qFormat/>
    <w:locked/>
    <w:uiPriority w:val="0"/>
    <w:rPr>
      <w:rFonts w:ascii="MingLiU" w:hAnsi="MingLiU" w:eastAsia="MingLiU"/>
      <w:sz w:val="15"/>
      <w:szCs w:val="15"/>
      <w:shd w:val="clear" w:color="auto" w:fill="FFFFFF"/>
    </w:rPr>
  </w:style>
  <w:style w:type="character" w:customStyle="1" w:styleId="333">
    <w:name w:val="正文文本 (6) + 非粗体"/>
    <w:qFormat/>
    <w:uiPriority w:val="0"/>
    <w:rPr>
      <w:rFonts w:hint="eastAsia" w:ascii="MingLiU" w:hAnsi="MingLiU" w:eastAsia="MingLiU" w:cs="MingLiU"/>
      <w:b/>
      <w:bCs/>
      <w:spacing w:val="-10"/>
      <w:sz w:val="22"/>
      <w:szCs w:val="22"/>
      <w:u w:val="single"/>
      <w:lang w:val="en-US" w:eastAsia="en-US"/>
    </w:rPr>
  </w:style>
  <w:style w:type="character" w:customStyle="1" w:styleId="334">
    <w:name w:val="正文文本 (2)"/>
    <w:qFormat/>
    <w:uiPriority w:val="0"/>
    <w:rPr>
      <w:rFonts w:ascii="MingLiU" w:eastAsia="MingLiU" w:cs="MingLiU"/>
      <w:sz w:val="22"/>
      <w:szCs w:val="22"/>
      <w:u w:val="single"/>
      <w:lang w:bidi="ar-SA"/>
    </w:rPr>
  </w:style>
  <w:style w:type="character" w:customStyle="1" w:styleId="335">
    <w:name w:val="正文文本 (34) Exact"/>
    <w:link w:val="144"/>
    <w:qFormat/>
    <w:locked/>
    <w:uiPriority w:val="0"/>
    <w:rPr>
      <w:rFonts w:ascii="Angsana New" w:hAnsi="Angsana New" w:cs="Angsana New"/>
      <w:i/>
      <w:iCs/>
      <w:sz w:val="48"/>
      <w:szCs w:val="48"/>
      <w:shd w:val="clear" w:color="auto" w:fill="FFFFFF"/>
      <w:lang w:eastAsia="en-US"/>
    </w:rPr>
  </w:style>
  <w:style w:type="character" w:customStyle="1" w:styleId="336">
    <w:name w:val="日期 字符"/>
    <w:semiHidden/>
    <w:qFormat/>
    <w:uiPriority w:val="0"/>
    <w:rPr>
      <w:rFonts w:ascii="Times New Roman" w:hAnsi="Times New Roman" w:eastAsia="宋体"/>
      <w:sz w:val="24"/>
    </w:rPr>
  </w:style>
  <w:style w:type="character" w:customStyle="1" w:styleId="337">
    <w:name w:val="正文文本 (24) Exact"/>
    <w:link w:val="180"/>
    <w:qFormat/>
    <w:locked/>
    <w:uiPriority w:val="0"/>
    <w:rPr>
      <w:rFonts w:ascii="MingLiU" w:hAnsi="MingLiU" w:eastAsia="MingLiU"/>
      <w:spacing w:val="-20"/>
      <w:w w:val="350"/>
      <w:sz w:val="11"/>
      <w:szCs w:val="11"/>
      <w:shd w:val="clear" w:color="auto" w:fill="FFFFFF"/>
    </w:rPr>
  </w:style>
  <w:style w:type="character" w:customStyle="1" w:styleId="338">
    <w:name w:val="标题 #3 + Georgia Exact"/>
    <w:qFormat/>
    <w:uiPriority w:val="0"/>
    <w:rPr>
      <w:rFonts w:hint="default" w:ascii="Georgia" w:hAnsi="Georgia" w:eastAsia="MingLiU" w:cs="Georgia"/>
      <w:sz w:val="22"/>
      <w:szCs w:val="22"/>
      <w:u w:val="none"/>
      <w:lang w:val="en-US" w:eastAsia="en-US" w:bidi="ar-SA"/>
    </w:rPr>
  </w:style>
  <w:style w:type="character" w:customStyle="1" w:styleId="339">
    <w:name w:val="Default Char"/>
    <w:link w:val="2"/>
    <w:qFormat/>
    <w:uiPriority w:val="0"/>
    <w:rPr>
      <w:rFonts w:ascii="宋体"/>
      <w:color w:val="000000"/>
      <w:sz w:val="24"/>
      <w:szCs w:val="24"/>
      <w:lang w:val="en-US" w:eastAsia="zh-CN" w:bidi="ar-SA"/>
    </w:rPr>
  </w:style>
  <w:style w:type="character" w:customStyle="1" w:styleId="340">
    <w:name w:val="我的正文 Char"/>
    <w:link w:val="143"/>
    <w:qFormat/>
    <w:locked/>
    <w:uiPriority w:val="0"/>
    <w:rPr>
      <w:kern w:val="2"/>
      <w:sz w:val="24"/>
      <w:szCs w:val="24"/>
    </w:rPr>
  </w:style>
  <w:style w:type="character" w:customStyle="1" w:styleId="341">
    <w:name w:val="正文文本 (2) + 间距 0 pt"/>
    <w:qFormat/>
    <w:uiPriority w:val="0"/>
    <w:rPr>
      <w:rFonts w:ascii="MingLiU" w:eastAsia="MingLiU" w:cs="MingLiU"/>
      <w:spacing w:val="-10"/>
      <w:sz w:val="22"/>
      <w:szCs w:val="22"/>
      <w:u w:val="none"/>
      <w:lang w:bidi="ar-SA"/>
    </w:rPr>
  </w:style>
  <w:style w:type="character" w:customStyle="1" w:styleId="342">
    <w:name w:val="正文文本 (2) + 8.5 pt1"/>
    <w:qFormat/>
    <w:uiPriority w:val="0"/>
    <w:rPr>
      <w:rFonts w:hint="eastAsia" w:ascii="MingLiU" w:hAnsi="MingLiU" w:eastAsia="MingLiU" w:cs="MingLiU"/>
      <w:spacing w:val="80"/>
      <w:sz w:val="17"/>
      <w:szCs w:val="17"/>
      <w:u w:val="none"/>
      <w:lang w:bidi="ar-SA"/>
    </w:rPr>
  </w:style>
  <w:style w:type="character" w:customStyle="1" w:styleId="343">
    <w:name w:val="金光华文本正文 Char Char"/>
    <w:link w:val="199"/>
    <w:qFormat/>
    <w:locked/>
    <w:uiPriority w:val="0"/>
    <w:rPr>
      <w:rFonts w:ascii="宋体" w:hAnsi="宋体"/>
      <w:sz w:val="24"/>
      <w:szCs w:val="24"/>
    </w:rPr>
  </w:style>
  <w:style w:type="character" w:customStyle="1" w:styleId="344">
    <w:name w:val="图片标题 (4) Exact"/>
    <w:link w:val="63"/>
    <w:qFormat/>
    <w:locked/>
    <w:uiPriority w:val="0"/>
    <w:rPr>
      <w:rFonts w:ascii="MingLiU" w:hAnsi="MingLiU" w:eastAsia="MingLiU"/>
      <w:spacing w:val="-10"/>
      <w:sz w:val="10"/>
      <w:szCs w:val="10"/>
      <w:shd w:val="clear" w:color="auto" w:fill="FFFFFF"/>
      <w:lang w:eastAsia="en-US"/>
    </w:rPr>
  </w:style>
  <w:style w:type="character" w:customStyle="1" w:styleId="345">
    <w:name w:val="表格标题 (4) + Georgia1"/>
    <w:qFormat/>
    <w:uiPriority w:val="0"/>
    <w:rPr>
      <w:rFonts w:hint="default" w:ascii="Georgia" w:hAnsi="Georgia" w:eastAsia="MingLiU" w:cs="Georgia"/>
      <w:b/>
      <w:bCs/>
      <w:spacing w:val="0"/>
      <w:sz w:val="22"/>
      <w:szCs w:val="22"/>
      <w:lang w:val="en-US" w:eastAsia="en-US" w:bidi="ar-SA"/>
    </w:rPr>
  </w:style>
  <w:style w:type="character" w:customStyle="1" w:styleId="346">
    <w:name w:val="标题 #3 + 间距 -1 pt1"/>
    <w:qFormat/>
    <w:uiPriority w:val="0"/>
    <w:rPr>
      <w:rFonts w:hint="eastAsia" w:ascii="MingLiU" w:hAnsi="MingLiU" w:eastAsia="MingLiU"/>
      <w:spacing w:val="-30"/>
      <w:sz w:val="22"/>
      <w:szCs w:val="22"/>
      <w:lang w:val="en-US" w:eastAsia="en-US" w:bidi="ar-SA"/>
    </w:rPr>
  </w:style>
  <w:style w:type="character" w:customStyle="1" w:styleId="347">
    <w:name w:val="正文文本 (6) + 非粗体2"/>
    <w:qFormat/>
    <w:uiPriority w:val="0"/>
    <w:rPr>
      <w:rFonts w:hint="eastAsia" w:ascii="MingLiU" w:hAnsi="MingLiU" w:eastAsia="MingLiU" w:cs="MingLiU"/>
      <w:bCs/>
      <w:spacing w:val="-10"/>
      <w:sz w:val="22"/>
      <w:szCs w:val="22"/>
      <w:u w:val="none"/>
      <w:lang w:bidi="ar-SA"/>
    </w:rPr>
  </w:style>
  <w:style w:type="character" w:customStyle="1" w:styleId="348">
    <w:name w:val="图片标题 (16) Exact"/>
    <w:link w:val="128"/>
    <w:qFormat/>
    <w:locked/>
    <w:uiPriority w:val="0"/>
    <w:rPr>
      <w:rFonts w:ascii="Georgia" w:hAnsi="Georgia"/>
      <w:sz w:val="16"/>
      <w:szCs w:val="16"/>
      <w:shd w:val="clear" w:color="auto" w:fill="FFFFFF"/>
      <w:lang w:eastAsia="en-US"/>
    </w:rPr>
  </w:style>
  <w:style w:type="character" w:customStyle="1" w:styleId="349">
    <w:name w:val="表格标题 (3)_"/>
    <w:link w:val="71"/>
    <w:qFormat/>
    <w:locked/>
    <w:uiPriority w:val="0"/>
    <w:rPr>
      <w:rFonts w:ascii="MingLiU" w:hAnsi="MingLiU" w:eastAsia="MingLiU"/>
      <w:sz w:val="22"/>
      <w:szCs w:val="22"/>
      <w:shd w:val="clear" w:color="auto" w:fill="FFFFFF"/>
    </w:rPr>
  </w:style>
  <w:style w:type="character" w:customStyle="1" w:styleId="350">
    <w:name w:val="页眉或页脚 + 8 pt"/>
    <w:qFormat/>
    <w:uiPriority w:val="0"/>
    <w:rPr>
      <w:rFonts w:hint="eastAsia" w:ascii="MingLiU" w:hAnsi="MingLiU" w:eastAsia="MingLiU" w:cs="MingLiU"/>
      <w:b/>
      <w:bCs/>
      <w:spacing w:val="10"/>
      <w:sz w:val="16"/>
      <w:szCs w:val="16"/>
      <w:u w:val="none"/>
      <w:lang w:val="en-US" w:eastAsia="en-US" w:bidi="ar-SA"/>
    </w:rPr>
  </w:style>
  <w:style w:type="character" w:customStyle="1" w:styleId="351">
    <w:name w:val="正文文本 (25) + Malgun Gothic"/>
    <w:qFormat/>
    <w:uiPriority w:val="0"/>
    <w:rPr>
      <w:rFonts w:hint="eastAsia" w:ascii="Malgun Gothic" w:hAnsi="Malgun Gothic" w:eastAsia="Malgun Gothic" w:cs="Malgun Gothic"/>
      <w:b/>
      <w:bCs/>
      <w:sz w:val="13"/>
      <w:szCs w:val="13"/>
      <w:lang w:bidi="ar-SA"/>
    </w:rPr>
  </w:style>
  <w:style w:type="character" w:customStyle="1" w:styleId="352">
    <w:name w:val="font11"/>
    <w:basedOn w:val="38"/>
    <w:qFormat/>
    <w:uiPriority w:val="0"/>
    <w:rPr>
      <w:rFonts w:hint="default" w:ascii="Times New Roman" w:hAnsi="Times New Roman" w:cs="Times New Roman"/>
      <w:b/>
      <w:color w:val="000000"/>
      <w:sz w:val="21"/>
      <w:szCs w:val="21"/>
      <w:u w:val="none"/>
      <w:vertAlign w:val="superscript"/>
    </w:rPr>
  </w:style>
  <w:style w:type="character" w:customStyle="1" w:styleId="353">
    <w:name w:val="正文文本 (35) + 4.5 pt"/>
    <w:qFormat/>
    <w:uiPriority w:val="0"/>
    <w:rPr>
      <w:rFonts w:hint="cs" w:ascii="Angsana New" w:hAnsi="Angsana New" w:cs="Angsana New"/>
      <w:b/>
      <w:bCs/>
      <w:spacing w:val="30"/>
      <w:sz w:val="9"/>
      <w:szCs w:val="9"/>
      <w:cs/>
      <w:lang w:val="en-US" w:eastAsia="en-US" w:bidi="ar-SA"/>
    </w:rPr>
  </w:style>
  <w:style w:type="character" w:customStyle="1" w:styleId="354">
    <w:name w:val="表格标题 (4) + 非粗体"/>
    <w:qFormat/>
    <w:uiPriority w:val="0"/>
    <w:rPr>
      <w:rFonts w:ascii="MingLiU" w:hAnsi="MingLiU" w:eastAsia="MingLiU"/>
      <w:sz w:val="22"/>
      <w:szCs w:val="22"/>
      <w:shd w:val="clear" w:color="auto" w:fill="FFFFFF"/>
    </w:rPr>
  </w:style>
  <w:style w:type="character" w:customStyle="1" w:styleId="355">
    <w:name w:val="图片标题 (8) Exact"/>
    <w:link w:val="127"/>
    <w:qFormat/>
    <w:locked/>
    <w:uiPriority w:val="0"/>
    <w:rPr>
      <w:rFonts w:ascii="MingLiU" w:hAnsi="MingLiU" w:eastAsia="MingLiU"/>
      <w:w w:val="250"/>
      <w:sz w:val="16"/>
      <w:szCs w:val="16"/>
      <w:shd w:val="clear" w:color="auto" w:fill="FFFFFF"/>
      <w:lang w:eastAsia="en-US"/>
    </w:rPr>
  </w:style>
  <w:style w:type="character" w:customStyle="1" w:styleId="356">
    <w:name w:val="图片标题 (4) Exact2"/>
    <w:qFormat/>
    <w:uiPriority w:val="0"/>
  </w:style>
  <w:style w:type="character" w:customStyle="1" w:styleId="357">
    <w:name w:val="正文文本 (2) + Impact1"/>
    <w:qFormat/>
    <w:uiPriority w:val="0"/>
    <w:rPr>
      <w:rFonts w:hint="default" w:ascii="Impact" w:hAnsi="Impact" w:eastAsia="MingLiU" w:cs="Impact"/>
      <w:sz w:val="17"/>
      <w:szCs w:val="17"/>
      <w:u w:val="none"/>
      <w:lang w:bidi="ar-SA"/>
    </w:rPr>
  </w:style>
  <w:style w:type="character" w:customStyle="1" w:styleId="358">
    <w:name w:val="正文文本 (2) + 粗体"/>
    <w:qFormat/>
    <w:uiPriority w:val="0"/>
    <w:rPr>
      <w:rFonts w:hint="eastAsia" w:ascii="MingLiU" w:hAnsi="MingLiU" w:eastAsia="MingLiU" w:cs="MingLiU"/>
      <w:b/>
      <w:bCs/>
      <w:sz w:val="22"/>
      <w:szCs w:val="22"/>
      <w:u w:val="none"/>
      <w:lang w:bidi="ar-SA"/>
    </w:rPr>
  </w:style>
  <w:style w:type="character" w:customStyle="1" w:styleId="359">
    <w:name w:val="图片标题 (6) Exact1"/>
    <w:qFormat/>
    <w:uiPriority w:val="0"/>
  </w:style>
  <w:style w:type="character" w:customStyle="1" w:styleId="360">
    <w:name w:val="正文文本 (2) + 12 pt1"/>
    <w:qFormat/>
    <w:uiPriority w:val="0"/>
    <w:rPr>
      <w:rFonts w:hint="eastAsia" w:ascii="MingLiU" w:hAnsi="MingLiU" w:eastAsia="MingLiU" w:cs="MingLiU"/>
      <w:sz w:val="24"/>
      <w:szCs w:val="24"/>
      <w:u w:val="single"/>
      <w:lang w:bidi="ar-SA"/>
    </w:rPr>
  </w:style>
  <w:style w:type="character" w:customStyle="1" w:styleId="361">
    <w:name w:val="图片标题 (14) + 8 pt"/>
    <w:qFormat/>
    <w:uiPriority w:val="0"/>
    <w:rPr>
      <w:rFonts w:hint="eastAsia" w:ascii="MingLiU" w:hAnsi="MingLiU" w:eastAsia="MingLiU"/>
      <w:spacing w:val="-10"/>
      <w:sz w:val="16"/>
      <w:szCs w:val="16"/>
      <w:lang w:val="en-US" w:eastAsia="en-US" w:bidi="ar-SA"/>
    </w:rPr>
  </w:style>
  <w:style w:type="character" w:customStyle="1" w:styleId="362">
    <w:name w:val="正文文本 Char"/>
    <w:link w:val="15"/>
    <w:qFormat/>
    <w:locked/>
    <w:uiPriority w:val="1"/>
    <w:rPr>
      <w:sz w:val="18"/>
    </w:rPr>
  </w:style>
  <w:style w:type="character" w:customStyle="1" w:styleId="363">
    <w:name w:val="正文文本 (22) + 8 pt"/>
    <w:qFormat/>
    <w:uiPriority w:val="0"/>
    <w:rPr>
      <w:rFonts w:hint="eastAsia" w:ascii="MingLiU" w:hAnsi="MingLiU" w:eastAsia="MingLiU"/>
      <w:spacing w:val="-10"/>
      <w:sz w:val="16"/>
      <w:szCs w:val="16"/>
      <w:lang w:val="en-US" w:eastAsia="en-US" w:bidi="ar-SA"/>
    </w:rPr>
  </w:style>
  <w:style w:type="character" w:customStyle="1" w:styleId="364">
    <w:name w:val="正文文本 (29) Exact"/>
    <w:link w:val="122"/>
    <w:qFormat/>
    <w:locked/>
    <w:uiPriority w:val="0"/>
    <w:rPr>
      <w:rFonts w:ascii="MingLiU" w:hAnsi="MingLiU" w:eastAsia="MingLiU"/>
      <w:shd w:val="clear" w:color="auto" w:fill="FFFFFF"/>
      <w:lang w:eastAsia="en-US"/>
    </w:rPr>
  </w:style>
  <w:style w:type="character" w:customStyle="1" w:styleId="365">
    <w:name w:val="正文文本 (2) + Georgia2"/>
    <w:qFormat/>
    <w:uiPriority w:val="0"/>
    <w:rPr>
      <w:rFonts w:hint="default" w:ascii="Georgia" w:hAnsi="Georgia" w:eastAsia="MingLiU" w:cs="Georgia"/>
      <w:sz w:val="22"/>
      <w:szCs w:val="22"/>
      <w:lang w:val="en-US" w:eastAsia="en-US" w:bidi="ar-SA"/>
    </w:rPr>
  </w:style>
  <w:style w:type="character" w:customStyle="1" w:styleId="366">
    <w:name w:val="日期 Char"/>
    <w:link w:val="21"/>
    <w:qFormat/>
    <w:locked/>
    <w:uiPriority w:val="0"/>
    <w:rPr>
      <w:rFonts w:ascii="Times New Roman" w:hAnsi="Times New Roman" w:eastAsia="宋体"/>
      <w:sz w:val="24"/>
    </w:rPr>
  </w:style>
  <w:style w:type="character" w:customStyle="1" w:styleId="367">
    <w:name w:val="正文文本 (2) + 间距 1 pt1"/>
    <w:qFormat/>
    <w:uiPriority w:val="0"/>
    <w:rPr>
      <w:rFonts w:hint="eastAsia" w:ascii="MingLiU" w:hAnsi="MingLiU" w:eastAsia="MingLiU"/>
      <w:spacing w:val="30"/>
      <w:sz w:val="22"/>
      <w:szCs w:val="22"/>
      <w:u w:val="single"/>
      <w:lang w:bidi="ar-SA"/>
    </w:rPr>
  </w:style>
  <w:style w:type="character" w:customStyle="1" w:styleId="368">
    <w:name w:val="正文文本 (2) + 11.5 pt5"/>
    <w:qFormat/>
    <w:uiPriority w:val="0"/>
    <w:rPr>
      <w:rFonts w:hint="eastAsia" w:ascii="MingLiU" w:hAnsi="MingLiU" w:eastAsia="MingLiU" w:cs="MingLiU"/>
      <w:b/>
      <w:bCs/>
      <w:spacing w:val="-10"/>
      <w:sz w:val="23"/>
      <w:szCs w:val="23"/>
      <w:u w:val="none"/>
      <w:lang w:val="en-US" w:eastAsia="en-US" w:bidi="ar-SA"/>
    </w:rPr>
  </w:style>
  <w:style w:type="character" w:customStyle="1" w:styleId="369">
    <w:name w:val="正文文本 (2) + Georgia15"/>
    <w:qFormat/>
    <w:uiPriority w:val="0"/>
    <w:rPr>
      <w:rFonts w:hint="default" w:ascii="Georgia" w:hAnsi="Georgia" w:eastAsia="MingLiU" w:cs="Georgia"/>
      <w:sz w:val="22"/>
      <w:szCs w:val="22"/>
      <w:u w:val="none"/>
      <w:lang w:val="en-US" w:eastAsia="en-US" w:bidi="ar-SA"/>
    </w:rPr>
  </w:style>
  <w:style w:type="character" w:customStyle="1" w:styleId="370">
    <w:name w:val="标题 #3 Exact"/>
    <w:qFormat/>
    <w:uiPriority w:val="0"/>
    <w:rPr>
      <w:rFonts w:hint="eastAsia" w:ascii="MingLiU" w:hAnsi="MingLiU" w:eastAsia="MingLiU" w:cs="MingLiU"/>
      <w:sz w:val="22"/>
      <w:szCs w:val="22"/>
      <w:u w:val="none"/>
    </w:rPr>
  </w:style>
  <w:style w:type="character" w:customStyle="1" w:styleId="371">
    <w:name w:val="正文文本 (2) + Georgia81"/>
    <w:qFormat/>
    <w:uiPriority w:val="0"/>
    <w:rPr>
      <w:rFonts w:hint="default" w:ascii="Georgia" w:hAnsi="Georgia" w:eastAsia="MingLiU" w:cs="Georgia"/>
      <w:sz w:val="22"/>
      <w:szCs w:val="22"/>
      <w:u w:val="single"/>
      <w:lang w:val="en-US" w:eastAsia="en-US" w:bidi="ar-SA"/>
    </w:rPr>
  </w:style>
  <w:style w:type="character" w:customStyle="1" w:styleId="372">
    <w:name w:val="正文文本 (2) + Impact"/>
    <w:qFormat/>
    <w:uiPriority w:val="0"/>
    <w:rPr>
      <w:rFonts w:hint="default" w:ascii="Impact" w:hAnsi="Impact" w:eastAsia="MingLiU" w:cs="Impact"/>
      <w:sz w:val="17"/>
      <w:szCs w:val="17"/>
      <w:u w:val="none"/>
      <w:lang w:bidi="ar-SA"/>
    </w:rPr>
  </w:style>
  <w:style w:type="character" w:customStyle="1" w:styleId="373">
    <w:name w:val="正文文本 (18) + Georgia1"/>
    <w:qFormat/>
    <w:uiPriority w:val="0"/>
    <w:rPr>
      <w:rFonts w:hint="default" w:ascii="Georgia" w:hAnsi="Georgia" w:eastAsia="MingLiU" w:cs="Georgia"/>
      <w:b/>
      <w:bCs/>
      <w:color w:val="000000"/>
      <w:spacing w:val="120"/>
      <w:w w:val="100"/>
      <w:position w:val="0"/>
      <w:sz w:val="19"/>
      <w:szCs w:val="19"/>
      <w:u w:val="single"/>
      <w:lang w:val="en-US" w:eastAsia="en-US" w:bidi="ar-SA"/>
    </w:rPr>
  </w:style>
  <w:style w:type="character" w:customStyle="1" w:styleId="374">
    <w:name w:val="正文文本 (26) Exact"/>
    <w:link w:val="66"/>
    <w:qFormat/>
    <w:locked/>
    <w:uiPriority w:val="0"/>
    <w:rPr>
      <w:rFonts w:ascii="MingLiU" w:hAnsi="MingLiU" w:eastAsia="MingLiU"/>
      <w:sz w:val="16"/>
      <w:szCs w:val="16"/>
      <w:shd w:val="clear" w:color="auto" w:fill="FFFFFF"/>
    </w:rPr>
  </w:style>
  <w:style w:type="character" w:customStyle="1" w:styleId="375">
    <w:name w:val="图片标题 (12) Exact"/>
    <w:link w:val="83"/>
    <w:qFormat/>
    <w:locked/>
    <w:uiPriority w:val="0"/>
    <w:rPr>
      <w:rFonts w:ascii="Georgia" w:hAnsi="Georgia"/>
      <w:sz w:val="22"/>
      <w:szCs w:val="22"/>
      <w:shd w:val="clear" w:color="auto" w:fill="FFFFFF"/>
    </w:rPr>
  </w:style>
  <w:style w:type="character" w:customStyle="1" w:styleId="376">
    <w:name w:val="正文文本 (3)_"/>
    <w:link w:val="169"/>
    <w:qFormat/>
    <w:locked/>
    <w:uiPriority w:val="0"/>
    <w:rPr>
      <w:rFonts w:ascii="MingLiU" w:hAnsi="MingLiU" w:eastAsia="MingLiU"/>
      <w:shd w:val="clear" w:color="auto" w:fill="FFFFFF"/>
    </w:rPr>
  </w:style>
  <w:style w:type="character" w:customStyle="1" w:styleId="377">
    <w:name w:val="表头 Char"/>
    <w:link w:val="163"/>
    <w:qFormat/>
    <w:locked/>
    <w:uiPriority w:val="0"/>
    <w:rPr>
      <w:rFonts w:cs="宋体"/>
      <w:b/>
      <w:color w:val="000000"/>
      <w:sz w:val="24"/>
    </w:rPr>
  </w:style>
  <w:style w:type="character" w:customStyle="1" w:styleId="378">
    <w:name w:val="正文文本 (2) + 8.5 pt2"/>
    <w:qFormat/>
    <w:uiPriority w:val="0"/>
    <w:rPr>
      <w:rFonts w:hint="eastAsia" w:ascii="MingLiU" w:hAnsi="MingLiU" w:eastAsia="MingLiU" w:cs="MingLiU"/>
      <w:spacing w:val="-10"/>
      <w:sz w:val="17"/>
      <w:szCs w:val="17"/>
      <w:u w:val="none"/>
      <w:lang w:bidi="ar-SA"/>
    </w:rPr>
  </w:style>
  <w:style w:type="character" w:customStyle="1" w:styleId="379">
    <w:name w:val="图片标题 (9) + 间距 -1 pt Exact"/>
    <w:qFormat/>
    <w:uiPriority w:val="0"/>
    <w:rPr>
      <w:rFonts w:hint="eastAsia" w:ascii="MingLiU" w:hAnsi="MingLiU" w:eastAsia="MingLiU"/>
      <w:spacing w:val="-30"/>
      <w:w w:val="70"/>
      <w:sz w:val="18"/>
      <w:szCs w:val="18"/>
      <w:lang w:val="en-US" w:eastAsia="en-US" w:bidi="ar-SA"/>
    </w:rPr>
  </w:style>
  <w:style w:type="character" w:customStyle="1" w:styleId="380">
    <w:name w:val="标题 #3_"/>
    <w:link w:val="101"/>
    <w:qFormat/>
    <w:locked/>
    <w:uiPriority w:val="0"/>
    <w:rPr>
      <w:rFonts w:ascii="MingLiU" w:hAnsi="MingLiU" w:eastAsia="MingLiU"/>
      <w:sz w:val="22"/>
      <w:szCs w:val="22"/>
      <w:shd w:val="clear" w:color="auto" w:fill="FFFFFF"/>
    </w:rPr>
  </w:style>
  <w:style w:type="character" w:customStyle="1" w:styleId="381">
    <w:name w:val="正文文本缩进 2 Char"/>
    <w:link w:val="22"/>
    <w:qFormat/>
    <w:uiPriority w:val="99"/>
    <w:rPr>
      <w:rFonts w:ascii="Calibri" w:hAnsi="Calibri"/>
      <w:kern w:val="2"/>
      <w:sz w:val="21"/>
      <w:szCs w:val="22"/>
    </w:rPr>
  </w:style>
  <w:style w:type="character" w:customStyle="1" w:styleId="382">
    <w:name w:val="正文文本 (23) Exact"/>
    <w:link w:val="160"/>
    <w:qFormat/>
    <w:locked/>
    <w:uiPriority w:val="0"/>
    <w:rPr>
      <w:rFonts w:ascii="MingLiU" w:hAnsi="MingLiU" w:eastAsia="MingLiU"/>
      <w:spacing w:val="-10"/>
      <w:sz w:val="16"/>
      <w:szCs w:val="16"/>
      <w:shd w:val="clear" w:color="auto" w:fill="FFFFFF"/>
    </w:rPr>
  </w:style>
  <w:style w:type="character" w:customStyle="1" w:styleId="383">
    <w:name w:val="正文文本 (3) + 间距 -1 pt Exact"/>
    <w:qFormat/>
    <w:uiPriority w:val="0"/>
    <w:rPr>
      <w:rFonts w:hint="eastAsia" w:ascii="MingLiU" w:hAnsi="MingLiU" w:eastAsia="MingLiU"/>
      <w:spacing w:val="-20"/>
      <w:lang w:bidi="ar-SA"/>
    </w:rPr>
  </w:style>
  <w:style w:type="character" w:customStyle="1" w:styleId="384">
    <w:name w:val="表格标题 (8) + 非粗体 Exact"/>
    <w:qFormat/>
    <w:uiPriority w:val="0"/>
  </w:style>
  <w:style w:type="character" w:customStyle="1" w:styleId="385">
    <w:name w:val="正文文本 (2) + 7 pt1"/>
    <w:qFormat/>
    <w:uiPriority w:val="0"/>
    <w:rPr>
      <w:rFonts w:hint="eastAsia" w:ascii="MingLiU" w:hAnsi="MingLiU" w:eastAsia="MingLiU" w:cs="MingLiU"/>
      <w:sz w:val="14"/>
      <w:szCs w:val="14"/>
      <w:u w:val="none"/>
      <w:lang w:val="en-US" w:eastAsia="en-US" w:bidi="ar-SA"/>
    </w:rPr>
  </w:style>
  <w:style w:type="character" w:customStyle="1" w:styleId="386">
    <w:name w:val="正文文本 (2) + 11.5 pt"/>
    <w:qFormat/>
    <w:uiPriority w:val="0"/>
    <w:rPr>
      <w:rFonts w:hint="eastAsia" w:ascii="MingLiU" w:hAnsi="MingLiU" w:eastAsia="MingLiU" w:cs="MingLiU"/>
      <w:b/>
      <w:bCs/>
      <w:spacing w:val="-10"/>
      <w:sz w:val="23"/>
      <w:szCs w:val="23"/>
      <w:u w:val="none"/>
      <w:lang w:bidi="ar-SA"/>
    </w:rPr>
  </w:style>
  <w:style w:type="character" w:customStyle="1" w:styleId="387">
    <w:name w:val="正文文本 (2) + 10 pt"/>
    <w:basedOn w:val="267"/>
    <w:qFormat/>
    <w:uiPriority w:val="0"/>
    <w:rPr>
      <w:rFonts w:hint="eastAsia" w:ascii="MingLiU" w:hAnsi="MingLiU" w:eastAsia="MingLiU" w:cs="MingLiU"/>
      <w:b/>
      <w:bCs/>
      <w:sz w:val="20"/>
      <w:szCs w:val="20"/>
      <w:u w:val="none"/>
      <w:lang w:bidi="ar-SA"/>
    </w:rPr>
  </w:style>
  <w:style w:type="character" w:customStyle="1" w:styleId="388">
    <w:name w:val="正文文本 (21) + MingLiU"/>
    <w:qFormat/>
    <w:uiPriority w:val="0"/>
    <w:rPr>
      <w:rFonts w:hint="eastAsia" w:ascii="MingLiU" w:hAnsi="MingLiU" w:eastAsia="MingLiU" w:cs="MingLiU"/>
      <w:sz w:val="22"/>
      <w:szCs w:val="22"/>
      <w:lang w:bidi="ar-SA"/>
    </w:rPr>
  </w:style>
  <w:style w:type="character" w:customStyle="1" w:styleId="389">
    <w:name w:val="样式 君邦正文 + Times New Roman Char"/>
    <w:link w:val="107"/>
    <w:qFormat/>
    <w:locked/>
    <w:uiPriority w:val="0"/>
    <w:rPr>
      <w:kern w:val="2"/>
      <w:sz w:val="24"/>
    </w:rPr>
  </w:style>
  <w:style w:type="character" w:customStyle="1" w:styleId="390">
    <w:name w:val="标题 4 Char"/>
    <w:link w:val="8"/>
    <w:semiHidden/>
    <w:qFormat/>
    <w:uiPriority w:val="9"/>
    <w:rPr>
      <w:rFonts w:ascii="Calibri" w:hAnsi="Calibri" w:eastAsia="黑体"/>
      <w:bCs/>
      <w:kern w:val="2"/>
      <w:sz w:val="24"/>
      <w:szCs w:val="28"/>
    </w:rPr>
  </w:style>
  <w:style w:type="character" w:customStyle="1" w:styleId="391">
    <w:name w:val="正文文本 (2) + 11.5 pt3"/>
    <w:qFormat/>
    <w:uiPriority w:val="0"/>
    <w:rPr>
      <w:rFonts w:hint="eastAsia" w:ascii="MingLiU" w:hAnsi="MingLiU" w:eastAsia="MingLiU" w:cs="MingLiU"/>
      <w:b/>
      <w:bCs/>
      <w:sz w:val="23"/>
      <w:szCs w:val="23"/>
      <w:u w:val="none"/>
      <w:lang w:bidi="ar-SA"/>
    </w:rPr>
  </w:style>
  <w:style w:type="character" w:customStyle="1" w:styleId="392">
    <w:name w:val="正文文本 (2) + Georgia9"/>
    <w:qFormat/>
    <w:uiPriority w:val="0"/>
    <w:rPr>
      <w:rFonts w:ascii="Georgia" w:hAnsi="Georgia" w:eastAsia="MingLiU" w:cs="Georgia"/>
      <w:sz w:val="22"/>
      <w:szCs w:val="22"/>
      <w:u w:val="none"/>
      <w:lang w:val="en-US" w:eastAsia="en-US" w:bidi="ar-SA"/>
    </w:rPr>
  </w:style>
  <w:style w:type="character" w:customStyle="1" w:styleId="393">
    <w:name w:val="表格标题 (5)_"/>
    <w:link w:val="134"/>
    <w:qFormat/>
    <w:locked/>
    <w:uiPriority w:val="0"/>
    <w:rPr>
      <w:rFonts w:ascii="MingLiU" w:hAnsi="MingLiU" w:eastAsia="MingLiU"/>
      <w:sz w:val="16"/>
      <w:szCs w:val="16"/>
      <w:shd w:val="clear" w:color="auto" w:fill="FFFFFF"/>
    </w:rPr>
  </w:style>
  <w:style w:type="character" w:customStyle="1" w:styleId="394">
    <w:name w:val="图片标题 (4) Exact1"/>
    <w:qFormat/>
    <w:uiPriority w:val="0"/>
  </w:style>
  <w:style w:type="character" w:customStyle="1" w:styleId="395">
    <w:name w:val="正文文本 (6)2"/>
    <w:qFormat/>
    <w:uiPriority w:val="0"/>
    <w:rPr>
      <w:rFonts w:hint="eastAsia" w:ascii="MingLiU" w:hAnsi="MingLiU" w:eastAsia="MingLiU" w:cs="MingLiU"/>
      <w:bCs/>
      <w:sz w:val="22"/>
      <w:szCs w:val="22"/>
      <w:u w:val="none"/>
      <w:lang w:bidi="ar-SA"/>
    </w:rPr>
  </w:style>
  <w:style w:type="character" w:customStyle="1" w:styleId="396">
    <w:name w:val="图片标题 (3) + Georgia Exact"/>
    <w:qFormat/>
    <w:uiPriority w:val="0"/>
    <w:rPr>
      <w:rFonts w:hint="default" w:ascii="Georgia" w:hAnsi="Georgia" w:eastAsia="MingLiU" w:cs="Georgia"/>
      <w:sz w:val="22"/>
      <w:szCs w:val="22"/>
      <w:lang w:val="en-US" w:eastAsia="en-US" w:bidi="ar-SA"/>
    </w:rPr>
  </w:style>
  <w:style w:type="character" w:customStyle="1" w:styleId="397">
    <w:name w:val="正文文本 (2) + 12 pt"/>
    <w:qFormat/>
    <w:uiPriority w:val="0"/>
    <w:rPr>
      <w:rFonts w:hint="eastAsia" w:ascii="MingLiU" w:hAnsi="MingLiU" w:eastAsia="MingLiU" w:cs="MingLiU"/>
      <w:sz w:val="24"/>
      <w:szCs w:val="24"/>
      <w:u w:val="none"/>
      <w:lang w:val="en-US" w:eastAsia="en-US" w:bidi="ar-SA"/>
    </w:rPr>
  </w:style>
  <w:style w:type="character" w:customStyle="1" w:styleId="398">
    <w:name w:val="正文文本 (22) Exact"/>
    <w:link w:val="172"/>
    <w:qFormat/>
    <w:locked/>
    <w:uiPriority w:val="0"/>
    <w:rPr>
      <w:rFonts w:ascii="MingLiU" w:hAnsi="MingLiU" w:eastAsia="MingLiU"/>
      <w:spacing w:val="120"/>
      <w:shd w:val="clear" w:color="auto" w:fill="FFFFFF"/>
      <w:lang w:eastAsia="en-US"/>
    </w:rPr>
  </w:style>
  <w:style w:type="character" w:customStyle="1" w:styleId="399">
    <w:name w:val="标题 1 Char"/>
    <w:link w:val="5"/>
    <w:qFormat/>
    <w:uiPriority w:val="0"/>
    <w:rPr>
      <w:rFonts w:eastAsia="黑体"/>
      <w:b/>
      <w:bCs/>
      <w:color w:val="000000"/>
      <w:kern w:val="44"/>
      <w:sz w:val="30"/>
      <w:szCs w:val="30"/>
    </w:rPr>
  </w:style>
  <w:style w:type="character" w:customStyle="1" w:styleId="400">
    <w:name w:val="图片标题 (7) Exact"/>
    <w:link w:val="79"/>
    <w:qFormat/>
    <w:locked/>
    <w:uiPriority w:val="0"/>
    <w:rPr>
      <w:rFonts w:ascii="MingLiU" w:hAnsi="MingLiU" w:eastAsia="MingLiU"/>
      <w:sz w:val="11"/>
      <w:szCs w:val="11"/>
      <w:shd w:val="clear" w:color="auto" w:fill="FFFFFF"/>
    </w:rPr>
  </w:style>
  <w:style w:type="character" w:customStyle="1" w:styleId="401">
    <w:name w:val="正文文本 (28) Exact"/>
    <w:link w:val="191"/>
    <w:qFormat/>
    <w:locked/>
    <w:uiPriority w:val="0"/>
    <w:rPr>
      <w:rFonts w:ascii="Angsana New" w:hAnsi="Angsana New" w:cs="Angsana New"/>
      <w:b/>
      <w:bCs/>
      <w:sz w:val="34"/>
      <w:szCs w:val="34"/>
      <w:shd w:val="clear" w:color="auto" w:fill="FFFFFF"/>
    </w:rPr>
  </w:style>
  <w:style w:type="character" w:customStyle="1" w:styleId="402">
    <w:name w:val="正文文本 (14) + MingLiU"/>
    <w:qFormat/>
    <w:uiPriority w:val="0"/>
    <w:rPr>
      <w:rFonts w:hint="eastAsia" w:ascii="MingLiU" w:hAnsi="Georgia" w:eastAsia="MingLiU" w:cs="MingLiU"/>
      <w:sz w:val="22"/>
      <w:szCs w:val="22"/>
      <w:lang w:val="en-US" w:eastAsia="en-US" w:bidi="ar-SA"/>
    </w:rPr>
  </w:style>
  <w:style w:type="character" w:customStyle="1" w:styleId="403">
    <w:name w:val="正文文本 (2) + 粗体4"/>
    <w:qFormat/>
    <w:uiPriority w:val="0"/>
    <w:rPr>
      <w:rFonts w:ascii="MingLiU" w:eastAsia="MingLiU" w:cs="MingLiU"/>
      <w:b/>
      <w:bCs/>
      <w:sz w:val="22"/>
      <w:szCs w:val="22"/>
      <w:u w:val="none"/>
      <w:lang w:bidi="ar-SA"/>
    </w:rPr>
  </w:style>
  <w:style w:type="character" w:customStyle="1" w:styleId="404">
    <w:name w:val="正文文本 (2) + Georgia14"/>
    <w:qFormat/>
    <w:uiPriority w:val="0"/>
    <w:rPr>
      <w:rFonts w:hint="default" w:ascii="Georgia" w:hAnsi="Georgia" w:eastAsia="MingLiU" w:cs="Georgia"/>
      <w:spacing w:val="0"/>
      <w:sz w:val="22"/>
      <w:szCs w:val="22"/>
      <w:u w:val="none"/>
      <w:lang w:val="en-US" w:eastAsia="en-US" w:bidi="ar-SA"/>
    </w:rPr>
  </w:style>
  <w:style w:type="character" w:customStyle="1" w:styleId="405">
    <w:name w:val="正文文本 (31) Exact"/>
    <w:link w:val="96"/>
    <w:qFormat/>
    <w:locked/>
    <w:uiPriority w:val="0"/>
    <w:rPr>
      <w:rFonts w:ascii="MingLiU" w:hAnsi="MingLiU" w:eastAsia="MingLiU"/>
      <w:spacing w:val="-40"/>
      <w:shd w:val="clear" w:color="auto" w:fill="FFFFFF"/>
      <w:lang w:eastAsia="en-US"/>
    </w:rPr>
  </w:style>
  <w:style w:type="character" w:customStyle="1" w:styleId="406">
    <w:name w:val="表格标题 (3)"/>
    <w:qFormat/>
    <w:uiPriority w:val="0"/>
    <w:rPr>
      <w:rFonts w:hint="eastAsia" w:ascii="MingLiU" w:hAnsi="MingLiU" w:eastAsia="MingLiU"/>
      <w:sz w:val="22"/>
      <w:szCs w:val="22"/>
      <w:u w:val="single"/>
      <w:lang w:bidi="ar-SA"/>
    </w:rPr>
  </w:style>
  <w:style w:type="character" w:customStyle="1" w:styleId="407">
    <w:name w:val="正文文本 (14) + 10 pt"/>
    <w:qFormat/>
    <w:uiPriority w:val="0"/>
    <w:rPr>
      <w:rFonts w:hint="default" w:ascii="Georgia" w:hAnsi="Georgia" w:cs="Georgia"/>
      <w:i/>
      <w:iCs/>
      <w:sz w:val="20"/>
      <w:szCs w:val="20"/>
      <w:u w:val="none"/>
      <w:lang w:val="en-US" w:eastAsia="en-US" w:bidi="ar-SA"/>
    </w:rPr>
  </w:style>
  <w:style w:type="character" w:customStyle="1" w:styleId="408">
    <w:name w:val="正文文本 (2) + Microsoft Sans Serif"/>
    <w:qFormat/>
    <w:uiPriority w:val="0"/>
    <w:rPr>
      <w:rFonts w:hint="default" w:ascii="Microsoft Sans Serif" w:hAnsi="Microsoft Sans Serif" w:eastAsia="Microsoft Sans Serif" w:cs="Microsoft Sans Serif"/>
      <w:color w:val="000000"/>
      <w:spacing w:val="0"/>
      <w:w w:val="100"/>
      <w:position w:val="0"/>
      <w:sz w:val="28"/>
      <w:szCs w:val="28"/>
      <w:shd w:val="clear" w:color="auto" w:fill="FFFFFF"/>
      <w:lang w:val="en-US" w:eastAsia="en-US" w:bidi="en-US"/>
    </w:rPr>
  </w:style>
  <w:style w:type="character" w:customStyle="1" w:styleId="409">
    <w:name w:val="标题 #2 + 间距 0 pt2"/>
    <w:qFormat/>
    <w:uiPriority w:val="0"/>
    <w:rPr>
      <w:rFonts w:hint="eastAsia" w:ascii="MingLiU" w:hAnsi="MingLiU" w:eastAsia="MingLiU"/>
      <w:spacing w:val="0"/>
      <w:lang w:bidi="ar-SA"/>
    </w:rPr>
  </w:style>
  <w:style w:type="character" w:customStyle="1" w:styleId="410">
    <w:name w:val="正文文本 (30) Exact"/>
    <w:link w:val="184"/>
    <w:qFormat/>
    <w:locked/>
    <w:uiPriority w:val="0"/>
    <w:rPr>
      <w:rFonts w:ascii="MingLiU" w:hAnsi="MingLiU" w:eastAsia="MingLiU"/>
      <w:spacing w:val="60"/>
      <w:sz w:val="16"/>
      <w:szCs w:val="16"/>
      <w:shd w:val="clear" w:color="auto" w:fill="FFFFFF"/>
    </w:rPr>
  </w:style>
  <w:style w:type="character" w:customStyle="1" w:styleId="411">
    <w:name w:val="报告书正文 Char"/>
    <w:link w:val="166"/>
    <w:qFormat/>
    <w:locked/>
    <w:uiPriority w:val="0"/>
    <w:rPr>
      <w:sz w:val="24"/>
      <w:szCs w:val="24"/>
    </w:rPr>
  </w:style>
  <w:style w:type="character" w:customStyle="1" w:styleId="412">
    <w:name w:val="表格标题 (2) + 11 pt"/>
    <w:qFormat/>
    <w:uiPriority w:val="0"/>
    <w:rPr>
      <w:rFonts w:hint="eastAsia" w:ascii="MingLiU" w:hAnsi="MingLiU" w:eastAsia="MingLiU"/>
      <w:sz w:val="22"/>
      <w:szCs w:val="22"/>
      <w:lang w:bidi="ar-SA"/>
    </w:rPr>
  </w:style>
  <w:style w:type="character" w:customStyle="1" w:styleId="413">
    <w:name w:val="表格标题 + 11 pt"/>
    <w:qFormat/>
    <w:uiPriority w:val="0"/>
    <w:rPr>
      <w:rFonts w:hint="eastAsia" w:ascii="MingLiU" w:hAnsi="MingLiU" w:eastAsia="MingLiU" w:cs="MingLiU"/>
      <w:spacing w:val="-10"/>
      <w:sz w:val="22"/>
      <w:szCs w:val="22"/>
      <w:u w:val="none"/>
      <w:lang w:val="en-US" w:eastAsia="en-US" w:bidi="ar-SA"/>
    </w:rPr>
  </w:style>
  <w:style w:type="character" w:customStyle="1" w:styleId="414">
    <w:name w:val="图片标题 (15) + 间距 12 pt Exact"/>
    <w:qFormat/>
    <w:uiPriority w:val="0"/>
    <w:rPr>
      <w:rFonts w:hint="eastAsia" w:ascii="MingLiU" w:hAnsi="MingLiU" w:eastAsia="MingLiU"/>
      <w:spacing w:val="250"/>
      <w:sz w:val="9"/>
      <w:szCs w:val="9"/>
      <w:lang w:bidi="ar-SA"/>
    </w:rPr>
  </w:style>
  <w:style w:type="character" w:customStyle="1" w:styleId="415">
    <w:name w:val="正文文本 (12)_"/>
    <w:link w:val="65"/>
    <w:qFormat/>
    <w:locked/>
    <w:uiPriority w:val="0"/>
    <w:rPr>
      <w:rFonts w:ascii="MingLiU" w:hAnsi="MingLiU" w:eastAsia="MingLiU"/>
      <w:w w:val="150"/>
      <w:sz w:val="16"/>
      <w:szCs w:val="16"/>
      <w:shd w:val="clear" w:color="auto" w:fill="FFFFFF"/>
    </w:rPr>
  </w:style>
  <w:style w:type="character" w:customStyle="1" w:styleId="416">
    <w:name w:val="正文文本 (2) + 11.5 pt1"/>
    <w:qFormat/>
    <w:uiPriority w:val="0"/>
    <w:rPr>
      <w:rFonts w:hint="eastAsia" w:ascii="MingLiU" w:hAnsi="MingLiU" w:eastAsia="MingLiU" w:cs="MingLiU"/>
      <w:b/>
      <w:bCs/>
      <w:spacing w:val="-20"/>
      <w:sz w:val="23"/>
      <w:szCs w:val="23"/>
      <w:u w:val="none"/>
      <w:lang w:bidi="ar-SA"/>
    </w:rPr>
  </w:style>
  <w:style w:type="character" w:customStyle="1" w:styleId="417">
    <w:name w:val="正文文本 (6) + 非粗体1"/>
    <w:qFormat/>
    <w:uiPriority w:val="0"/>
  </w:style>
  <w:style w:type="character" w:customStyle="1" w:styleId="418">
    <w:name w:val="正文文本 (2)2"/>
    <w:qFormat/>
    <w:uiPriority w:val="0"/>
    <w:rPr>
      <w:rFonts w:hint="eastAsia" w:ascii="MingLiU" w:hAnsi="MingLiU" w:eastAsia="MingLiU" w:cs="MingLiU"/>
      <w:sz w:val="22"/>
      <w:szCs w:val="22"/>
      <w:u w:val="none"/>
      <w:lang w:bidi="ar-SA"/>
    </w:rPr>
  </w:style>
  <w:style w:type="character" w:customStyle="1" w:styleId="419">
    <w:name w:val="样式 (符号) 宋体 小四 行距: 1.5 倍行距 Char"/>
    <w:link w:val="117"/>
    <w:qFormat/>
    <w:uiPriority w:val="0"/>
    <w:rPr>
      <w:rFonts w:hAnsi="宋体"/>
      <w:kern w:val="2"/>
      <w:sz w:val="24"/>
    </w:rPr>
  </w:style>
  <w:style w:type="character" w:customStyle="1" w:styleId="420">
    <w:name w:val="正文文本 (2)3"/>
    <w:qFormat/>
    <w:uiPriority w:val="0"/>
    <w:rPr>
      <w:rFonts w:hint="eastAsia" w:ascii="MingLiU" w:hAnsi="MingLiU" w:eastAsia="MingLiU" w:cs="MingLiU"/>
      <w:sz w:val="22"/>
      <w:szCs w:val="22"/>
      <w:u w:val="none"/>
      <w:lang w:bidi="ar-SA"/>
    </w:rPr>
  </w:style>
  <w:style w:type="character" w:customStyle="1" w:styleId="421">
    <w:name w:val="正文文本 (2) Exact1"/>
    <w:qFormat/>
    <w:uiPriority w:val="0"/>
    <w:rPr>
      <w:rFonts w:hint="eastAsia" w:ascii="MingLiU" w:hAnsi="MingLiU" w:eastAsia="MingLiU" w:cs="MingLiU"/>
      <w:sz w:val="22"/>
      <w:szCs w:val="22"/>
      <w:u w:val="single"/>
      <w:lang w:bidi="ar-SA"/>
    </w:rPr>
  </w:style>
  <w:style w:type="character" w:customStyle="1" w:styleId="422">
    <w:name w:val="18"/>
    <w:qFormat/>
    <w:uiPriority w:val="0"/>
    <w:rPr>
      <w:rFonts w:hint="eastAsia" w:ascii="宋体" w:hAnsi="宋体" w:eastAsia="宋体"/>
      <w:sz w:val="14"/>
      <w:szCs w:val="14"/>
    </w:rPr>
  </w:style>
  <w:style w:type="character" w:customStyle="1" w:styleId="423">
    <w:name w:val="正文文本 (2) + 7 pt2"/>
    <w:qFormat/>
    <w:uiPriority w:val="0"/>
    <w:rPr>
      <w:rFonts w:hint="eastAsia" w:ascii="MingLiU" w:hAnsi="MingLiU" w:eastAsia="MingLiU" w:cs="MingLiU"/>
      <w:b/>
      <w:bCs/>
      <w:sz w:val="14"/>
      <w:szCs w:val="14"/>
      <w:u w:val="none"/>
      <w:lang w:val="en-US" w:eastAsia="en-US" w:bidi="ar-SA"/>
    </w:rPr>
  </w:style>
  <w:style w:type="character" w:customStyle="1" w:styleId="424">
    <w:name w:val="正文文本 (30) + 间距 1 pt Exact"/>
    <w:qFormat/>
    <w:uiPriority w:val="0"/>
    <w:rPr>
      <w:rFonts w:hint="eastAsia" w:ascii="MingLiU" w:hAnsi="MingLiU" w:eastAsia="MingLiU"/>
      <w:spacing w:val="20"/>
      <w:sz w:val="16"/>
      <w:szCs w:val="16"/>
      <w:lang w:bidi="ar-SA"/>
    </w:rPr>
  </w:style>
  <w:style w:type="character" w:customStyle="1" w:styleId="425">
    <w:name w:val="标题 #1 (2)_"/>
    <w:link w:val="120"/>
    <w:qFormat/>
    <w:locked/>
    <w:uiPriority w:val="0"/>
    <w:rPr>
      <w:rFonts w:ascii="MingLiU" w:hAnsi="MingLiU" w:eastAsia="MingLiU"/>
      <w:shd w:val="clear" w:color="auto" w:fill="FFFFFF"/>
    </w:rPr>
  </w:style>
  <w:style w:type="character" w:customStyle="1" w:styleId="426">
    <w:name w:val="标题 #3 (3) + 11 pt"/>
    <w:qFormat/>
    <w:uiPriority w:val="0"/>
    <w:rPr>
      <w:rFonts w:hint="eastAsia" w:ascii="MingLiU" w:hAnsi="MingLiU" w:eastAsia="MingLiU"/>
      <w:b/>
      <w:bCs/>
      <w:spacing w:val="-10"/>
      <w:sz w:val="22"/>
      <w:szCs w:val="22"/>
      <w:lang w:val="en-US" w:eastAsia="en-US" w:bidi="ar-SA"/>
    </w:rPr>
  </w:style>
  <w:style w:type="character" w:customStyle="1" w:styleId="427">
    <w:name w:val="正文文本 (14) + 小型大写"/>
    <w:qFormat/>
    <w:uiPriority w:val="0"/>
    <w:rPr>
      <w:rFonts w:hint="default" w:ascii="Georgia" w:hAnsi="Georgia"/>
      <w:smallCaps/>
      <w:sz w:val="22"/>
      <w:szCs w:val="22"/>
      <w:lang w:val="en-US" w:eastAsia="en-US" w:bidi="ar-SA"/>
    </w:rPr>
  </w:style>
  <w:style w:type="character" w:customStyle="1" w:styleId="428">
    <w:name w:val="正文文本 (2) + 12 pt2"/>
    <w:qFormat/>
    <w:uiPriority w:val="0"/>
    <w:rPr>
      <w:rFonts w:hint="eastAsia" w:ascii="MingLiU" w:hAnsi="MingLiU" w:eastAsia="MingLiU" w:cs="MingLiU"/>
      <w:sz w:val="24"/>
      <w:szCs w:val="24"/>
      <w:u w:val="none"/>
      <w:lang w:bidi="ar-SA"/>
    </w:rPr>
  </w:style>
  <w:style w:type="character" w:customStyle="1" w:styleId="429">
    <w:name w:val="表格标题 (3) + Georgia"/>
    <w:qFormat/>
    <w:uiPriority w:val="0"/>
    <w:rPr>
      <w:rFonts w:hint="default" w:ascii="Georgia" w:hAnsi="Georgia" w:eastAsia="MingLiU" w:cs="Georgia"/>
      <w:sz w:val="22"/>
      <w:szCs w:val="22"/>
      <w:u w:val="single"/>
      <w:lang w:val="en-US" w:eastAsia="en-US" w:bidi="ar-SA"/>
    </w:rPr>
  </w:style>
  <w:style w:type="character" w:customStyle="1" w:styleId="430">
    <w:name w:val="目录 1 Char"/>
    <w:link w:val="27"/>
    <w:qFormat/>
    <w:locked/>
    <w:uiPriority w:val="39"/>
    <w:rPr>
      <w:rFonts w:eastAsia="黑体"/>
      <w:sz w:val="24"/>
    </w:rPr>
  </w:style>
  <w:style w:type="character" w:customStyle="1" w:styleId="431">
    <w:name w:val="批注主题 Char"/>
    <w:link w:val="33"/>
    <w:semiHidden/>
    <w:qFormat/>
    <w:locked/>
    <w:uiPriority w:val="99"/>
    <w:rPr>
      <w:rFonts w:ascii="Times New Roman" w:hAnsi="Times New Roman" w:eastAsia="宋体"/>
      <w:b/>
      <w:kern w:val="2"/>
      <w:sz w:val="24"/>
    </w:rPr>
  </w:style>
  <w:style w:type="character" w:customStyle="1" w:styleId="432">
    <w:name w:val="正文文本 (2) + SimHei"/>
    <w:qFormat/>
    <w:uiPriority w:val="0"/>
    <w:rPr>
      <w:rFonts w:hint="eastAsia" w:ascii="黑体" w:hAnsi="黑体" w:eastAsia="黑体" w:cs="黑体"/>
      <w:color w:val="000000"/>
      <w:spacing w:val="0"/>
      <w:w w:val="100"/>
      <w:position w:val="0"/>
      <w:sz w:val="20"/>
      <w:szCs w:val="20"/>
      <w:u w:val="none"/>
      <w:shd w:val="clear" w:color="auto" w:fill="FFFFFF"/>
      <w:lang w:val="en-US" w:eastAsia="en-US" w:bidi="en-US"/>
    </w:rPr>
  </w:style>
  <w:style w:type="character" w:customStyle="1" w:styleId="433">
    <w:name w:val="正文文本 (2) + Georgia8"/>
    <w:qFormat/>
    <w:uiPriority w:val="0"/>
    <w:rPr>
      <w:rFonts w:hint="default" w:ascii="Georgia" w:hAnsi="Georgia" w:eastAsia="MingLiU" w:cs="Georgia"/>
      <w:sz w:val="22"/>
      <w:szCs w:val="22"/>
      <w:u w:val="single"/>
      <w:lang w:val="en-US" w:eastAsia="en-US" w:bidi="ar-SA"/>
    </w:rPr>
  </w:style>
  <w:style w:type="character" w:customStyle="1" w:styleId="434">
    <w:name w:val="正文文本 (10)_"/>
    <w:link w:val="200"/>
    <w:qFormat/>
    <w:locked/>
    <w:uiPriority w:val="0"/>
    <w:rPr>
      <w:rFonts w:ascii="Georgia" w:hAnsi="Georgia"/>
      <w:sz w:val="17"/>
      <w:szCs w:val="17"/>
      <w:shd w:val="clear" w:color="auto" w:fill="FFFFFF"/>
    </w:rPr>
  </w:style>
  <w:style w:type="character" w:customStyle="1" w:styleId="435">
    <w:name w:val="表格标题 (3) + Angsana New1"/>
    <w:qFormat/>
    <w:uiPriority w:val="0"/>
    <w:rPr>
      <w:rFonts w:hint="cs" w:ascii="Angsana New" w:hAnsi="Angsana New" w:eastAsia="MingLiU" w:cs="Angsana New"/>
      <w:b/>
      <w:bCs/>
      <w:sz w:val="26"/>
      <w:szCs w:val="26"/>
      <w:u w:val="none"/>
      <w:cs/>
      <w:lang w:val="en-US" w:eastAsia="en-US" w:bidi="ar-SA"/>
    </w:rPr>
  </w:style>
  <w:style w:type="character" w:customStyle="1" w:styleId="436">
    <w:name w:val="正文文本 (15) + Georgia"/>
    <w:qFormat/>
    <w:uiPriority w:val="0"/>
    <w:rPr>
      <w:rFonts w:hint="default" w:ascii="Georgia" w:hAnsi="Georgia" w:cs="Georgia"/>
      <w:spacing w:val="0"/>
      <w:sz w:val="20"/>
      <w:szCs w:val="20"/>
      <w:lang w:val="en-US" w:eastAsia="en-US" w:bidi="ar-SA"/>
    </w:rPr>
  </w:style>
  <w:style w:type="character" w:customStyle="1" w:styleId="437">
    <w:name w:val="标题 #1 + 间距 0 pt"/>
    <w:qFormat/>
    <w:uiPriority w:val="0"/>
    <w:rPr>
      <w:rFonts w:hint="eastAsia" w:ascii="MingLiU" w:hAnsi="MingLiU" w:eastAsia="MingLiU"/>
      <w:spacing w:val="0"/>
      <w:sz w:val="36"/>
      <w:szCs w:val="36"/>
      <w:lang w:bidi="ar-SA"/>
    </w:rPr>
  </w:style>
  <w:style w:type="character" w:customStyle="1" w:styleId="438">
    <w:name w:val="正文文本 (2) + MingLiU"/>
    <w:qFormat/>
    <w:uiPriority w:val="0"/>
    <w:rPr>
      <w:rFonts w:hint="eastAsia" w:ascii="MingLiU" w:hAnsi="MingLiU" w:eastAsia="MingLiU" w:cs="MingLiU"/>
      <w:sz w:val="22"/>
      <w:szCs w:val="22"/>
      <w:u w:val="none"/>
      <w:lang w:bidi="ar-SA"/>
    </w:rPr>
  </w:style>
  <w:style w:type="character" w:customStyle="1" w:styleId="439">
    <w:name w:val="标题 #3 + 9 pt"/>
    <w:qFormat/>
    <w:uiPriority w:val="0"/>
    <w:rPr>
      <w:rFonts w:hint="eastAsia" w:ascii="MingLiU" w:hAnsi="MingLiU" w:eastAsia="MingLiU" w:cs="MingLiU"/>
      <w:spacing w:val="-20"/>
      <w:sz w:val="18"/>
      <w:szCs w:val="18"/>
      <w:u w:val="none"/>
      <w:lang w:bidi="ar-SA"/>
    </w:rPr>
  </w:style>
  <w:style w:type="character" w:customStyle="1" w:styleId="440">
    <w:name w:val="正文文本 (2) + 10.5 pt"/>
    <w:qFormat/>
    <w:uiPriority w:val="0"/>
    <w:rPr>
      <w:rFonts w:ascii="宋体" w:hAnsi="宋体" w:eastAsia="宋体" w:cs="宋体"/>
      <w:color w:val="000000"/>
      <w:spacing w:val="0"/>
      <w:w w:val="100"/>
      <w:position w:val="0"/>
      <w:sz w:val="21"/>
      <w:szCs w:val="21"/>
      <w:u w:val="none"/>
      <w:shd w:val="clear" w:color="auto" w:fill="FFFFFF"/>
      <w:lang w:val="zh-TW" w:eastAsia="zh-TW" w:bidi="zh-TW"/>
    </w:rPr>
  </w:style>
  <w:style w:type="character" w:customStyle="1" w:styleId="441">
    <w:name w:val="font01"/>
    <w:basedOn w:val="38"/>
    <w:qFormat/>
    <w:uiPriority w:val="0"/>
    <w:rPr>
      <w:rFonts w:hint="eastAsia" w:ascii="宋体" w:hAnsi="宋体" w:eastAsia="宋体" w:cs="宋体"/>
      <w:color w:val="000000"/>
      <w:sz w:val="22"/>
      <w:szCs w:val="22"/>
      <w:u w:val="none"/>
    </w:rPr>
  </w:style>
  <w:style w:type="character" w:customStyle="1" w:styleId="442">
    <w:name w:val="正文文本首行缩进 字符1"/>
    <w:qFormat/>
    <w:uiPriority w:val="0"/>
    <w:rPr>
      <w:kern w:val="2"/>
      <w:sz w:val="21"/>
      <w:szCs w:val="24"/>
    </w:rPr>
  </w:style>
  <w:style w:type="character" w:customStyle="1" w:styleId="443">
    <w:name w:val="font31"/>
    <w:qFormat/>
    <w:uiPriority w:val="0"/>
    <w:rPr>
      <w:rFonts w:hint="default" w:ascii="Times New Roman" w:hAnsi="Times New Roman" w:cs="Times New Roman"/>
      <w:color w:val="000000"/>
      <w:sz w:val="21"/>
      <w:szCs w:val="21"/>
      <w:u w:val="none"/>
    </w:rPr>
  </w:style>
  <w:style w:type="character" w:customStyle="1" w:styleId="444">
    <w:name w:val="报告表正文 Char"/>
    <w:link w:val="115"/>
    <w:qFormat/>
    <w:locked/>
    <w:uiPriority w:val="0"/>
    <w:rPr>
      <w:sz w:val="24"/>
    </w:rPr>
  </w:style>
  <w:style w:type="character" w:customStyle="1" w:styleId="445">
    <w:name w:val="正文文本 (2) + 8.5 pt"/>
    <w:qFormat/>
    <w:uiPriority w:val="0"/>
    <w:rPr>
      <w:rFonts w:hint="eastAsia" w:ascii="MingLiU" w:hAnsi="MingLiU" w:eastAsia="MingLiU" w:cs="MingLiU"/>
      <w:sz w:val="17"/>
      <w:szCs w:val="17"/>
      <w:u w:val="none"/>
      <w:lang w:bidi="ar-SA"/>
    </w:rPr>
  </w:style>
  <w:style w:type="character" w:customStyle="1" w:styleId="446">
    <w:name w:val="表格标题 (3) + 6.5 pt"/>
    <w:qFormat/>
    <w:uiPriority w:val="0"/>
    <w:rPr>
      <w:rFonts w:hint="eastAsia" w:ascii="MingLiU" w:hAnsi="MingLiU" w:eastAsia="MingLiU" w:cs="MingLiU"/>
      <w:sz w:val="13"/>
      <w:szCs w:val="13"/>
      <w:u w:val="single"/>
      <w:lang w:val="en-US" w:eastAsia="en-US" w:bidi="ar-SA"/>
    </w:rPr>
  </w:style>
  <w:style w:type="character" w:customStyle="1" w:styleId="447">
    <w:name w:val="图片标题 (6) Exact"/>
    <w:link w:val="148"/>
    <w:qFormat/>
    <w:locked/>
    <w:uiPriority w:val="0"/>
    <w:rPr>
      <w:rFonts w:ascii="MingLiU" w:hAnsi="MingLiU" w:eastAsia="MingLiU"/>
      <w:sz w:val="11"/>
      <w:szCs w:val="11"/>
      <w:shd w:val="clear" w:color="auto" w:fill="FFFFFF"/>
    </w:rPr>
  </w:style>
  <w:style w:type="character" w:customStyle="1" w:styleId="448">
    <w:name w:val="标题 6 Char"/>
    <w:link w:val="9"/>
    <w:semiHidden/>
    <w:qFormat/>
    <w:uiPriority w:val="0"/>
    <w:rPr>
      <w:rFonts w:ascii="等线 Light" w:hAnsi="等线 Light" w:eastAsia="等线 Light" w:cs="Times New Roman"/>
      <w:b/>
      <w:bCs/>
      <w:kern w:val="2"/>
      <w:sz w:val="24"/>
      <w:szCs w:val="24"/>
    </w:rPr>
  </w:style>
  <w:style w:type="character" w:customStyle="1" w:styleId="449">
    <w:name w:val="题注 Char"/>
    <w:link w:val="12"/>
    <w:semiHidden/>
    <w:qFormat/>
    <w:locked/>
    <w:uiPriority w:val="0"/>
    <w:rPr>
      <w:rFonts w:ascii="黑体" w:hAnsi="黑体" w:eastAsia="黑体"/>
      <w:kern w:val="2"/>
      <w:sz w:val="24"/>
    </w:rPr>
  </w:style>
  <w:style w:type="character" w:customStyle="1" w:styleId="450">
    <w:name w:val="标题 #3 (3)_"/>
    <w:link w:val="118"/>
    <w:qFormat/>
    <w:locked/>
    <w:uiPriority w:val="0"/>
    <w:rPr>
      <w:rFonts w:ascii="MingLiU" w:hAnsi="MingLiU" w:eastAsia="MingLiU"/>
      <w:b/>
      <w:bCs/>
      <w:sz w:val="23"/>
      <w:szCs w:val="23"/>
      <w:shd w:val="clear" w:color="auto" w:fill="FFFFFF"/>
    </w:rPr>
  </w:style>
  <w:style w:type="character" w:customStyle="1" w:styleId="451">
    <w:name w:val="正文文本 (2) Exact"/>
    <w:qFormat/>
    <w:uiPriority w:val="0"/>
    <w:rPr>
      <w:rFonts w:hint="eastAsia" w:ascii="MingLiU" w:hAnsi="MingLiU" w:eastAsia="MingLiU" w:cs="MingLiU"/>
      <w:sz w:val="22"/>
      <w:szCs w:val="22"/>
      <w:u w:val="none"/>
    </w:rPr>
  </w:style>
  <w:style w:type="character" w:customStyle="1" w:styleId="452">
    <w:name w:val="正文文本 (27) + 间距 0 pt Exact"/>
    <w:qFormat/>
    <w:uiPriority w:val="0"/>
    <w:rPr>
      <w:rFonts w:hint="eastAsia" w:ascii="MingLiU" w:hAnsi="MingLiU" w:eastAsia="MingLiU"/>
      <w:spacing w:val="0"/>
      <w:lang w:val="en-US" w:eastAsia="en-US" w:bidi="ar-SA"/>
    </w:rPr>
  </w:style>
  <w:style w:type="character" w:customStyle="1" w:styleId="453">
    <w:name w:val="表格题注 Char"/>
    <w:link w:val="170"/>
    <w:qFormat/>
    <w:locked/>
    <w:uiPriority w:val="0"/>
    <w:rPr>
      <w:b/>
      <w:sz w:val="21"/>
      <w:szCs w:val="22"/>
    </w:rPr>
  </w:style>
  <w:style w:type="character" w:customStyle="1" w:styleId="454">
    <w:name w:val="正文文本 (2) + 8 pt1"/>
    <w:qFormat/>
    <w:uiPriority w:val="0"/>
    <w:rPr>
      <w:rFonts w:hint="eastAsia" w:ascii="MingLiU" w:hAnsi="MingLiU" w:eastAsia="MingLiU" w:cs="MingLiU"/>
      <w:sz w:val="16"/>
      <w:szCs w:val="16"/>
      <w:u w:val="none"/>
      <w:lang w:val="en-US" w:eastAsia="en-US" w:bidi="ar-SA"/>
    </w:rPr>
  </w:style>
  <w:style w:type="character" w:customStyle="1" w:styleId="455">
    <w:name w:val="正文文本 (20) + 间距 1 pt Exact"/>
    <w:qFormat/>
    <w:uiPriority w:val="0"/>
    <w:rPr>
      <w:rFonts w:hint="eastAsia" w:ascii="MingLiU" w:hAnsi="MingLiU" w:eastAsia="MingLiU"/>
      <w:spacing w:val="20"/>
      <w:sz w:val="15"/>
      <w:szCs w:val="15"/>
      <w:lang w:bidi="ar-SA"/>
    </w:rPr>
  </w:style>
  <w:style w:type="character" w:customStyle="1" w:styleId="456">
    <w:name w:val="正文文本 (2) + 9.5 pt"/>
    <w:basedOn w:val="267"/>
    <w:qFormat/>
    <w:uiPriority w:val="0"/>
    <w:rPr>
      <w:rFonts w:ascii="宋体" w:hAnsi="宋体" w:cs="宋体"/>
      <w:color w:val="000000"/>
      <w:spacing w:val="0"/>
      <w:w w:val="100"/>
      <w:position w:val="0"/>
      <w:sz w:val="19"/>
      <w:szCs w:val="19"/>
      <w:shd w:val="clear" w:color="auto" w:fill="FFFFFF"/>
      <w:lang w:val="zh-TW" w:eastAsia="zh-TW" w:bidi="zh-TW"/>
    </w:rPr>
  </w:style>
  <w:style w:type="character" w:customStyle="1" w:styleId="457">
    <w:name w:val="图片标题 (18) + Sylfaen"/>
    <w:qFormat/>
    <w:uiPriority w:val="0"/>
    <w:rPr>
      <w:rFonts w:hint="default" w:ascii="Sylfaen" w:hAnsi="Sylfaen" w:eastAsia="MingLiU" w:cs="Sylfaen"/>
      <w:i/>
      <w:iCs/>
      <w:sz w:val="13"/>
      <w:szCs w:val="13"/>
      <w:lang w:val="en-US" w:eastAsia="en-US" w:bidi="ar-SA"/>
    </w:rPr>
  </w:style>
  <w:style w:type="character" w:customStyle="1" w:styleId="458">
    <w:name w:val="正文文本 (2) + Georgia111"/>
    <w:qFormat/>
    <w:uiPriority w:val="0"/>
    <w:rPr>
      <w:rFonts w:hint="default" w:ascii="Georgia" w:hAnsi="Georgia" w:eastAsia="MingLiU" w:cs="Georgia"/>
      <w:sz w:val="18"/>
      <w:szCs w:val="18"/>
      <w:u w:val="none"/>
      <w:lang w:val="en-US" w:eastAsia="en-US" w:bidi="ar-SA"/>
    </w:rPr>
  </w:style>
  <w:style w:type="character" w:customStyle="1" w:styleId="459">
    <w:name w:val="正文文本 (6) + Georgia2"/>
    <w:qFormat/>
    <w:uiPriority w:val="0"/>
    <w:rPr>
      <w:rFonts w:hint="default" w:ascii="Georgia" w:hAnsi="Georgia" w:eastAsia="MingLiU" w:cs="Georgia"/>
      <w:b/>
      <w:bCs/>
      <w:spacing w:val="0"/>
      <w:sz w:val="22"/>
      <w:szCs w:val="22"/>
      <w:u w:val="none"/>
      <w:lang w:val="en-US" w:eastAsia="en-US" w:bidi="ar-SA"/>
    </w:rPr>
  </w:style>
  <w:style w:type="character" w:customStyle="1" w:styleId="460">
    <w:name w:val="图片标题 (9) Exact1"/>
    <w:qFormat/>
    <w:uiPriority w:val="0"/>
  </w:style>
  <w:style w:type="character" w:customStyle="1" w:styleId="461">
    <w:name w:val="页脚 字符"/>
    <w:basedOn w:val="38"/>
    <w:qFormat/>
    <w:uiPriority w:val="99"/>
  </w:style>
  <w:style w:type="character" w:customStyle="1" w:styleId="462">
    <w:name w:val="正文文本 (30) + 6.5 pt"/>
    <w:qFormat/>
    <w:uiPriority w:val="0"/>
    <w:rPr>
      <w:rFonts w:hint="eastAsia" w:ascii="MingLiU" w:hAnsi="MingLiU" w:eastAsia="MingLiU"/>
      <w:spacing w:val="0"/>
      <w:sz w:val="13"/>
      <w:szCs w:val="13"/>
      <w:lang w:val="en-US" w:eastAsia="en-US" w:bidi="ar-SA"/>
    </w:rPr>
  </w:style>
  <w:style w:type="character" w:customStyle="1" w:styleId="463">
    <w:name w:val="正文文本 (7) Exact"/>
    <w:link w:val="113"/>
    <w:qFormat/>
    <w:locked/>
    <w:uiPriority w:val="0"/>
    <w:rPr>
      <w:rFonts w:ascii="MingLiU" w:hAnsi="MingLiU" w:eastAsia="MingLiU"/>
      <w:sz w:val="15"/>
      <w:szCs w:val="15"/>
      <w:shd w:val="clear" w:color="auto" w:fill="FFFFFF"/>
    </w:rPr>
  </w:style>
  <w:style w:type="character" w:customStyle="1" w:styleId="464">
    <w:name w:val="图片标题 (11) Exact"/>
    <w:link w:val="90"/>
    <w:qFormat/>
    <w:locked/>
    <w:uiPriority w:val="0"/>
    <w:rPr>
      <w:rFonts w:ascii="Georgia" w:hAnsi="Georgia"/>
      <w:sz w:val="16"/>
      <w:szCs w:val="16"/>
      <w:shd w:val="clear" w:color="auto" w:fill="FFFFFF"/>
      <w:lang w:eastAsia="en-US"/>
    </w:rPr>
  </w:style>
  <w:style w:type="character" w:customStyle="1" w:styleId="465">
    <w:name w:val="正文文本 (2) + Georgia11"/>
    <w:qFormat/>
    <w:uiPriority w:val="0"/>
    <w:rPr>
      <w:rFonts w:hint="default" w:ascii="Georgia" w:hAnsi="Georgia" w:eastAsia="MingLiU" w:cs="Georgia"/>
      <w:sz w:val="18"/>
      <w:szCs w:val="18"/>
      <w:u w:val="none"/>
      <w:lang w:val="en-US" w:eastAsia="en-US" w:bidi="ar-SA"/>
    </w:rPr>
  </w:style>
  <w:style w:type="character" w:customStyle="1" w:styleId="466">
    <w:name w:val="正文文本 (2) + Georgia13"/>
    <w:qFormat/>
    <w:uiPriority w:val="0"/>
    <w:rPr>
      <w:rFonts w:hint="default" w:ascii="Georgia" w:hAnsi="Georgia" w:eastAsia="MingLiU" w:cs="Georgia"/>
      <w:spacing w:val="0"/>
      <w:sz w:val="22"/>
      <w:szCs w:val="22"/>
      <w:u w:val="none"/>
      <w:lang w:val="en-US" w:eastAsia="en-US" w:bidi="ar-SA"/>
    </w:rPr>
  </w:style>
  <w:style w:type="character" w:customStyle="1" w:styleId="467">
    <w:name w:val="页眉或页脚 + Angsana New1"/>
    <w:qFormat/>
    <w:uiPriority w:val="0"/>
    <w:rPr>
      <w:rFonts w:hint="cs" w:ascii="Angsana New" w:hAnsi="Angsana New" w:eastAsia="MingLiU" w:cs="Angsana New"/>
      <w:sz w:val="26"/>
      <w:szCs w:val="26"/>
      <w:cs/>
      <w:lang w:bidi="ar-SA"/>
    </w:rPr>
  </w:style>
  <w:style w:type="character" w:customStyle="1" w:styleId="468">
    <w:name w:val="页眉 Char"/>
    <w:link w:val="26"/>
    <w:qFormat/>
    <w:locked/>
    <w:uiPriority w:val="99"/>
    <w:rPr>
      <w:sz w:val="18"/>
    </w:rPr>
  </w:style>
  <w:style w:type="character" w:customStyle="1" w:styleId="469">
    <w:name w:val="正文文本 (27) + 8 pt"/>
    <w:qFormat/>
    <w:uiPriority w:val="0"/>
    <w:rPr>
      <w:rFonts w:hint="eastAsia" w:ascii="MingLiU" w:hAnsi="MingLiU" w:eastAsia="MingLiU"/>
      <w:spacing w:val="-10"/>
      <w:sz w:val="16"/>
      <w:szCs w:val="16"/>
      <w:lang w:val="en-US" w:eastAsia="en-US" w:bidi="ar-SA"/>
    </w:rPr>
  </w:style>
  <w:style w:type="character" w:customStyle="1" w:styleId="470">
    <w:name w:val="表格标题 (5) + Impact"/>
    <w:qFormat/>
    <w:uiPriority w:val="0"/>
    <w:rPr>
      <w:rFonts w:hint="default" w:ascii="Impact" w:hAnsi="Impact" w:eastAsia="MingLiU" w:cs="Impact"/>
      <w:sz w:val="17"/>
      <w:szCs w:val="17"/>
      <w:lang w:val="en-US" w:eastAsia="en-US" w:bidi="ar-SA"/>
    </w:rPr>
  </w:style>
  <w:style w:type="character" w:customStyle="1" w:styleId="471">
    <w:name w:val="正文文本 (9) + 间距 4 pt Exact"/>
    <w:qFormat/>
    <w:uiPriority w:val="0"/>
    <w:rPr>
      <w:rFonts w:hint="eastAsia" w:ascii="MingLiU" w:hAnsi="MingLiU" w:eastAsia="MingLiU"/>
      <w:color w:val="000000"/>
      <w:spacing w:val="80"/>
      <w:w w:val="100"/>
      <w:position w:val="0"/>
      <w:sz w:val="17"/>
      <w:szCs w:val="17"/>
      <w:lang w:bidi="ar-SA"/>
    </w:rPr>
  </w:style>
  <w:style w:type="character" w:customStyle="1" w:styleId="472">
    <w:name w:val="标题 #3 + Georgia1"/>
    <w:qFormat/>
    <w:uiPriority w:val="0"/>
    <w:rPr>
      <w:rFonts w:hint="default" w:ascii="Georgia" w:hAnsi="Georgia" w:eastAsia="MingLiU" w:cs="Georgia"/>
      <w:sz w:val="22"/>
      <w:szCs w:val="22"/>
      <w:u w:val="none"/>
      <w:lang w:val="en-US" w:eastAsia="en-US" w:bidi="ar-SA"/>
    </w:rPr>
  </w:style>
  <w:style w:type="character" w:customStyle="1" w:styleId="473">
    <w:name w:val="正文文本 (2) + 间距 3 pt2"/>
    <w:qFormat/>
    <w:uiPriority w:val="0"/>
    <w:rPr>
      <w:rFonts w:hint="eastAsia" w:ascii="MingLiU" w:hAnsi="MingLiU" w:eastAsia="MingLiU" w:cs="MingLiU"/>
      <w:spacing w:val="70"/>
      <w:sz w:val="22"/>
      <w:szCs w:val="22"/>
      <w:u w:val="single"/>
      <w:lang w:bidi="ar-SA"/>
    </w:rPr>
  </w:style>
  <w:style w:type="character" w:customStyle="1" w:styleId="474">
    <w:name w:val="正文文本 (6)_"/>
    <w:link w:val="60"/>
    <w:qFormat/>
    <w:locked/>
    <w:uiPriority w:val="0"/>
    <w:rPr>
      <w:rFonts w:ascii="MingLiU" w:hAnsi="MingLiU" w:eastAsia="MingLiU"/>
      <w:b/>
      <w:bCs/>
      <w:sz w:val="22"/>
      <w:szCs w:val="22"/>
      <w:shd w:val="clear" w:color="auto" w:fill="FFFFFF"/>
    </w:rPr>
  </w:style>
  <w:style w:type="character" w:customStyle="1" w:styleId="475">
    <w:name w:val="正文文本 (14) Exact"/>
    <w:qFormat/>
    <w:uiPriority w:val="0"/>
    <w:rPr>
      <w:rFonts w:hint="default" w:ascii="Georgia" w:hAnsi="Georgia" w:cs="Georgia"/>
      <w:sz w:val="22"/>
      <w:szCs w:val="22"/>
      <w:u w:val="none"/>
    </w:rPr>
  </w:style>
  <w:style w:type="character" w:customStyle="1" w:styleId="476">
    <w:name w:val="正文文本 (34) + MingLiU"/>
    <w:qFormat/>
    <w:uiPriority w:val="0"/>
    <w:rPr>
      <w:rFonts w:hint="eastAsia" w:ascii="MingLiU" w:hAnsi="Angsana New" w:eastAsia="MingLiU" w:cs="MingLiU"/>
      <w:i/>
      <w:iCs/>
      <w:sz w:val="62"/>
      <w:szCs w:val="62"/>
      <w:lang w:val="en-US" w:eastAsia="en-US" w:bidi="ar-SA"/>
    </w:rPr>
  </w:style>
  <w:style w:type="character" w:customStyle="1" w:styleId="477">
    <w:name w:val="页眉或页脚 + Angsana New"/>
    <w:qFormat/>
    <w:uiPriority w:val="0"/>
    <w:rPr>
      <w:rFonts w:hint="cs" w:ascii="Angsana New" w:hAnsi="Angsana New" w:eastAsia="MingLiU" w:cs="Angsana New"/>
      <w:sz w:val="26"/>
      <w:szCs w:val="26"/>
      <w:cs/>
      <w:lang w:bidi="ar-SA"/>
    </w:rPr>
  </w:style>
  <w:style w:type="character" w:customStyle="1" w:styleId="478">
    <w:name w:val="正文文本 (18) + Georgia"/>
    <w:qFormat/>
    <w:uiPriority w:val="0"/>
    <w:rPr>
      <w:rFonts w:hint="default" w:ascii="Georgia" w:hAnsi="Georgia" w:eastAsia="MingLiU" w:cs="Georgia"/>
      <w:b/>
      <w:bCs/>
      <w:color w:val="000000"/>
      <w:spacing w:val="120"/>
      <w:w w:val="100"/>
      <w:position w:val="0"/>
      <w:sz w:val="19"/>
      <w:szCs w:val="19"/>
      <w:lang w:val="en-US" w:eastAsia="en-US" w:bidi="ar-SA"/>
    </w:rPr>
  </w:style>
  <w:style w:type="character" w:customStyle="1" w:styleId="479">
    <w:name w:val="正文文本 (18) Exact1"/>
    <w:qFormat/>
    <w:uiPriority w:val="0"/>
    <w:rPr>
      <w:rFonts w:hint="eastAsia" w:ascii="MingLiU" w:hAnsi="MingLiU" w:eastAsia="MingLiU"/>
      <w:b/>
      <w:bCs/>
      <w:color w:val="000000"/>
      <w:spacing w:val="-10"/>
      <w:w w:val="100"/>
      <w:position w:val="0"/>
      <w:sz w:val="23"/>
      <w:szCs w:val="23"/>
      <w:u w:val="single"/>
      <w:lang w:bidi="ar-SA"/>
    </w:rPr>
  </w:style>
  <w:style w:type="character" w:customStyle="1" w:styleId="480">
    <w:name w:val="正文文本 (2) + 粗体3"/>
    <w:qFormat/>
    <w:uiPriority w:val="0"/>
    <w:rPr>
      <w:rFonts w:hint="eastAsia" w:ascii="MingLiU" w:hAnsi="MingLiU" w:eastAsia="MingLiU" w:cs="MingLiU"/>
      <w:b/>
      <w:bCs/>
      <w:spacing w:val="-30"/>
      <w:sz w:val="22"/>
      <w:szCs w:val="22"/>
      <w:u w:val="none"/>
      <w:lang w:val="en-US" w:eastAsia="en-US" w:bidi="ar-SA"/>
    </w:rPr>
  </w:style>
  <w:style w:type="character" w:customStyle="1" w:styleId="481">
    <w:name w:val="图片标题 (5) Exact1"/>
    <w:qFormat/>
    <w:uiPriority w:val="0"/>
  </w:style>
  <w:style w:type="character" w:customStyle="1" w:styleId="482">
    <w:name w:val="图片标题 (4) + 间距 0 pt Exact"/>
    <w:qFormat/>
    <w:uiPriority w:val="0"/>
    <w:rPr>
      <w:rFonts w:hint="eastAsia" w:ascii="MingLiU" w:hAnsi="MingLiU" w:eastAsia="MingLiU"/>
      <w:spacing w:val="0"/>
      <w:sz w:val="10"/>
      <w:szCs w:val="10"/>
      <w:lang w:val="en-US" w:eastAsia="en-US" w:bidi="ar-SA"/>
    </w:rPr>
  </w:style>
  <w:style w:type="character" w:customStyle="1" w:styleId="483">
    <w:name w:val="正文文本 (2) + 7.5 pt"/>
    <w:qFormat/>
    <w:uiPriority w:val="0"/>
    <w:rPr>
      <w:rFonts w:hint="eastAsia" w:ascii="MingLiU" w:hAnsi="MingLiU" w:eastAsia="MingLiU" w:cs="MingLiU"/>
      <w:sz w:val="15"/>
      <w:szCs w:val="15"/>
      <w:u w:val="none"/>
      <w:lang w:val="en-US" w:eastAsia="en-US" w:bidi="ar-SA"/>
    </w:rPr>
  </w:style>
  <w:style w:type="character" w:customStyle="1" w:styleId="484">
    <w:name w:val="图片标题 (7) + Georgia"/>
    <w:qFormat/>
    <w:uiPriority w:val="0"/>
    <w:rPr>
      <w:rFonts w:hint="default" w:ascii="Georgia" w:hAnsi="Georgia" w:eastAsia="MingLiU" w:cs="Georgia"/>
      <w:sz w:val="12"/>
      <w:szCs w:val="12"/>
      <w:lang w:val="en-US" w:eastAsia="en-US" w:bidi="ar-SA"/>
    </w:rPr>
  </w:style>
  <w:style w:type="character" w:customStyle="1" w:styleId="485">
    <w:name w:val="正文文本 (2) + 8 pt3"/>
    <w:qFormat/>
    <w:uiPriority w:val="0"/>
    <w:rPr>
      <w:rFonts w:hint="eastAsia" w:ascii="MingLiU" w:hAnsi="MingLiU" w:eastAsia="MingLiU" w:cs="MingLiU"/>
      <w:sz w:val="16"/>
      <w:szCs w:val="16"/>
      <w:u w:val="none"/>
      <w:lang w:bidi="ar-SA"/>
    </w:rPr>
  </w:style>
  <w:style w:type="character" w:customStyle="1" w:styleId="486">
    <w:name w:val="正文文本 (2) + 粗体5"/>
    <w:qFormat/>
    <w:uiPriority w:val="0"/>
    <w:rPr>
      <w:rFonts w:hint="eastAsia" w:ascii="MingLiU" w:hAnsi="MingLiU" w:eastAsia="MingLiU" w:cs="MingLiU"/>
      <w:b/>
      <w:bCs/>
      <w:sz w:val="22"/>
      <w:szCs w:val="22"/>
      <w:u w:val="none"/>
      <w:lang w:bidi="ar-SA"/>
    </w:rPr>
  </w:style>
  <w:style w:type="character" w:customStyle="1" w:styleId="487">
    <w:name w:val="正文文本 (2) + 间距 2 pt2"/>
    <w:qFormat/>
    <w:uiPriority w:val="0"/>
    <w:rPr>
      <w:rFonts w:hint="eastAsia" w:ascii="MingLiU" w:hAnsi="MingLiU" w:eastAsia="MingLiU" w:cs="MingLiU"/>
      <w:spacing w:val="50"/>
      <w:sz w:val="22"/>
      <w:szCs w:val="22"/>
      <w:u w:val="none"/>
      <w:lang w:bidi="ar-SA"/>
    </w:rPr>
  </w:style>
  <w:style w:type="character" w:customStyle="1" w:styleId="488">
    <w:name w:val="表格标题 (6)_"/>
    <w:link w:val="93"/>
    <w:qFormat/>
    <w:locked/>
    <w:uiPriority w:val="0"/>
    <w:rPr>
      <w:rFonts w:ascii="MingLiU" w:hAnsi="MingLiU" w:eastAsia="MingLiU"/>
      <w:b/>
      <w:bCs/>
      <w:sz w:val="23"/>
      <w:szCs w:val="23"/>
      <w:shd w:val="clear" w:color="auto" w:fill="FFFFFF"/>
    </w:rPr>
  </w:style>
  <w:style w:type="character" w:customStyle="1" w:styleId="489">
    <w:name w:val="表格标题 (3) + CordiaUPC"/>
    <w:qFormat/>
    <w:uiPriority w:val="0"/>
    <w:rPr>
      <w:rFonts w:hint="cs" w:ascii="CordiaUPC" w:hAnsi="CordiaUPC" w:eastAsia="MingLiU" w:cs="CordiaUPC"/>
      <w:b/>
      <w:bCs/>
      <w:sz w:val="28"/>
      <w:szCs w:val="28"/>
      <w:u w:val="none"/>
      <w:cs/>
      <w:lang w:val="en-US" w:eastAsia="en-US" w:bidi="ar-SA"/>
    </w:rPr>
  </w:style>
  <w:style w:type="character" w:customStyle="1" w:styleId="490">
    <w:name w:val="表格标题_"/>
    <w:link w:val="190"/>
    <w:qFormat/>
    <w:locked/>
    <w:uiPriority w:val="0"/>
    <w:rPr>
      <w:rFonts w:ascii="MingLiU" w:hAnsi="MingLiU" w:eastAsia="MingLiU"/>
      <w:sz w:val="18"/>
      <w:szCs w:val="18"/>
      <w:shd w:val="clear" w:color="auto" w:fill="FFFFFF"/>
    </w:rPr>
  </w:style>
  <w:style w:type="character" w:customStyle="1" w:styleId="491">
    <w:name w:val="正文文本 (4)_"/>
    <w:link w:val="99"/>
    <w:qFormat/>
    <w:locked/>
    <w:uiPriority w:val="0"/>
    <w:rPr>
      <w:rFonts w:ascii="MingLiU" w:hAnsi="MingLiU" w:eastAsia="MingLiU"/>
      <w:spacing w:val="10"/>
      <w:sz w:val="18"/>
      <w:szCs w:val="18"/>
      <w:shd w:val="clear" w:color="auto" w:fill="FFFFFF"/>
    </w:rPr>
  </w:style>
  <w:style w:type="character" w:customStyle="1" w:styleId="492">
    <w:name w:val="正文文本 (34) + Sylfaen"/>
    <w:qFormat/>
    <w:uiPriority w:val="0"/>
    <w:rPr>
      <w:rFonts w:hint="default" w:ascii="Sylfaen" w:hAnsi="Sylfaen" w:cs="Sylfaen"/>
      <w:i/>
      <w:iCs/>
      <w:sz w:val="13"/>
      <w:szCs w:val="13"/>
      <w:lang w:val="en-US" w:eastAsia="en-US" w:bidi="ar-SA"/>
    </w:rPr>
  </w:style>
  <w:style w:type="character" w:customStyle="1" w:styleId="493">
    <w:name w:val="标题 #2_"/>
    <w:link w:val="155"/>
    <w:qFormat/>
    <w:locked/>
    <w:uiPriority w:val="0"/>
    <w:rPr>
      <w:rFonts w:ascii="MingLiU" w:hAnsi="MingLiU" w:eastAsia="MingLiU"/>
      <w:spacing w:val="20"/>
      <w:shd w:val="clear" w:color="auto" w:fill="FFFFFF"/>
    </w:rPr>
  </w:style>
  <w:style w:type="character" w:customStyle="1" w:styleId="494">
    <w:name w:val="标题 #2 + 间距 0 pt1"/>
    <w:qFormat/>
    <w:uiPriority w:val="0"/>
    <w:rPr>
      <w:rFonts w:hint="eastAsia" w:ascii="MingLiU" w:hAnsi="MingLiU" w:eastAsia="MingLiU"/>
      <w:spacing w:val="0"/>
      <w:u w:val="single"/>
      <w:lang w:bidi="ar-SA"/>
    </w:rPr>
  </w:style>
  <w:style w:type="character" w:customStyle="1" w:styleId="495">
    <w:name w:val="表格标题 (7) Exact1"/>
    <w:qFormat/>
    <w:uiPriority w:val="0"/>
  </w:style>
  <w:style w:type="character" w:customStyle="1" w:styleId="496">
    <w:name w:val="正文文本 (2) + 间距 1 pt"/>
    <w:qFormat/>
    <w:uiPriority w:val="0"/>
    <w:rPr>
      <w:rFonts w:hint="eastAsia" w:ascii="MingLiU" w:hAnsi="MingLiU" w:eastAsia="MingLiU"/>
      <w:spacing w:val="30"/>
      <w:sz w:val="22"/>
      <w:szCs w:val="22"/>
      <w:lang w:bidi="ar-SA"/>
    </w:rPr>
  </w:style>
  <w:style w:type="character" w:customStyle="1" w:styleId="497">
    <w:name w:val="正文文本 (2) + 间距 2 pt"/>
    <w:qFormat/>
    <w:uiPriority w:val="0"/>
    <w:rPr>
      <w:rFonts w:hint="eastAsia" w:ascii="MingLiU" w:hAnsi="MingLiU" w:eastAsia="MingLiU" w:cs="MingLiU"/>
      <w:spacing w:val="40"/>
      <w:sz w:val="22"/>
      <w:szCs w:val="22"/>
      <w:u w:val="single"/>
      <w:lang w:bidi="ar-SA"/>
    </w:rPr>
  </w:style>
  <w:style w:type="character" w:customStyle="1" w:styleId="498">
    <w:name w:val="批注文字 字符1"/>
    <w:semiHidden/>
    <w:qFormat/>
    <w:uiPriority w:val="99"/>
    <w:rPr>
      <w:rFonts w:ascii="Times New Roman" w:hAnsi="Times New Roman" w:eastAsia="宋体"/>
      <w:sz w:val="24"/>
    </w:rPr>
  </w:style>
  <w:style w:type="character" w:customStyle="1" w:styleId="499">
    <w:name w:val="正文文本 (2) + Georgia12"/>
    <w:qFormat/>
    <w:uiPriority w:val="0"/>
    <w:rPr>
      <w:rFonts w:hint="default" w:ascii="Georgia" w:hAnsi="Georgia" w:eastAsia="MingLiU" w:cs="Georgia"/>
      <w:spacing w:val="0"/>
      <w:sz w:val="22"/>
      <w:szCs w:val="22"/>
      <w:u w:val="single"/>
      <w:lang w:val="en-US" w:eastAsia="en-US" w:bidi="ar-SA"/>
    </w:rPr>
  </w:style>
  <w:style w:type="character" w:customStyle="1" w:styleId="500">
    <w:name w:val="正文文本 (6) Exact"/>
    <w:qFormat/>
    <w:uiPriority w:val="0"/>
    <w:rPr>
      <w:rFonts w:hint="eastAsia" w:ascii="MingLiU" w:hAnsi="MingLiU" w:eastAsia="MingLiU" w:cs="MingLiU"/>
      <w:b/>
      <w:bCs/>
      <w:sz w:val="22"/>
      <w:szCs w:val="22"/>
      <w:u w:val="none"/>
      <w:lang w:val="en-US" w:eastAsia="en-US"/>
    </w:rPr>
  </w:style>
  <w:style w:type="character" w:customStyle="1" w:styleId="501">
    <w:name w:val="标题 #3 (2) + 11 pt"/>
    <w:qFormat/>
    <w:uiPriority w:val="0"/>
    <w:rPr>
      <w:rFonts w:hint="eastAsia" w:ascii="MingLiU" w:hAnsi="MingLiU" w:eastAsia="MingLiU"/>
      <w:spacing w:val="-10"/>
      <w:sz w:val="22"/>
      <w:szCs w:val="22"/>
      <w:lang w:val="en-US" w:eastAsia="en-US" w:bidi="ar-SA"/>
    </w:rPr>
  </w:style>
  <w:style w:type="character" w:customStyle="1" w:styleId="502">
    <w:name w:val="表格标题 (2) + Georgia"/>
    <w:qFormat/>
    <w:uiPriority w:val="0"/>
    <w:rPr>
      <w:rFonts w:hint="default" w:ascii="Georgia" w:hAnsi="Georgia" w:eastAsia="MingLiU" w:cs="Georgia"/>
      <w:sz w:val="17"/>
      <w:szCs w:val="17"/>
      <w:lang w:val="en-US" w:eastAsia="en-US" w:bidi="ar-SA"/>
    </w:rPr>
  </w:style>
  <w:style w:type="character" w:customStyle="1" w:styleId="503">
    <w:name w:val="正文文本 (9)_"/>
    <w:link w:val="195"/>
    <w:qFormat/>
    <w:locked/>
    <w:uiPriority w:val="0"/>
    <w:rPr>
      <w:rFonts w:ascii="MingLiU" w:hAnsi="MingLiU" w:eastAsia="MingLiU"/>
      <w:sz w:val="17"/>
      <w:szCs w:val="17"/>
      <w:shd w:val="clear" w:color="auto" w:fill="FFFFFF"/>
    </w:rPr>
  </w:style>
  <w:style w:type="character" w:customStyle="1" w:styleId="504">
    <w:name w:val="图片标题 (17) Exact"/>
    <w:link w:val="73"/>
    <w:qFormat/>
    <w:locked/>
    <w:uiPriority w:val="0"/>
    <w:rPr>
      <w:rFonts w:ascii="MingLiU" w:hAnsi="MingLiU" w:eastAsia="MingLiU"/>
      <w:spacing w:val="-10"/>
      <w:sz w:val="17"/>
      <w:szCs w:val="17"/>
      <w:shd w:val="clear" w:color="auto" w:fill="FFFFFF"/>
      <w:lang w:eastAsia="en-US"/>
    </w:rPr>
  </w:style>
  <w:style w:type="character" w:customStyle="1" w:styleId="505">
    <w:name w:val="正文文本 (3) + 间距 -2 pt Exact"/>
    <w:qFormat/>
    <w:uiPriority w:val="0"/>
    <w:rPr>
      <w:rFonts w:hint="eastAsia" w:ascii="MingLiU" w:hAnsi="MingLiU" w:eastAsia="MingLiU"/>
      <w:spacing w:val="-40"/>
      <w:lang w:bidi="ar-SA"/>
    </w:rPr>
  </w:style>
  <w:style w:type="character" w:customStyle="1" w:styleId="506">
    <w:name w:val="目录 (2)_"/>
    <w:link w:val="181"/>
    <w:qFormat/>
    <w:locked/>
    <w:uiPriority w:val="0"/>
    <w:rPr>
      <w:rFonts w:ascii="MingLiU" w:hAnsi="MingLiU" w:eastAsia="MingLiU"/>
      <w:shd w:val="clear" w:color="auto" w:fill="FFFFFF"/>
      <w:lang w:eastAsia="en-US"/>
    </w:rPr>
  </w:style>
  <w:style w:type="character" w:customStyle="1" w:styleId="507">
    <w:name w:val="正文文本 (2) + 10 pt1"/>
    <w:qFormat/>
    <w:uiPriority w:val="0"/>
    <w:rPr>
      <w:rFonts w:hint="eastAsia" w:ascii="MingLiU" w:hAnsi="MingLiU" w:eastAsia="MingLiU" w:cs="MingLiU"/>
      <w:b/>
      <w:bCs/>
      <w:sz w:val="20"/>
      <w:szCs w:val="20"/>
      <w:u w:val="none"/>
      <w:lang w:bidi="ar-SA"/>
    </w:rPr>
  </w:style>
  <w:style w:type="character" w:customStyle="1" w:styleId="508">
    <w:name w:val="标题 #3 + 间距 0 pt"/>
    <w:qFormat/>
    <w:uiPriority w:val="0"/>
    <w:rPr>
      <w:rFonts w:hint="eastAsia" w:ascii="MingLiU" w:hAnsi="MingLiU" w:eastAsia="MingLiU" w:cs="MingLiU"/>
      <w:spacing w:val="-10"/>
      <w:sz w:val="22"/>
      <w:szCs w:val="22"/>
      <w:u w:val="none"/>
      <w:lang w:val="en-US" w:eastAsia="en-US" w:bidi="ar-SA"/>
    </w:rPr>
  </w:style>
  <w:style w:type="character" w:customStyle="1" w:styleId="509">
    <w:name w:val="正文文本 (34) + MingLiU1"/>
    <w:qFormat/>
    <w:uiPriority w:val="0"/>
    <w:rPr>
      <w:rFonts w:hint="eastAsia" w:ascii="MingLiU" w:hAnsi="Angsana New" w:eastAsia="MingLiU" w:cs="MingLiU"/>
      <w:i/>
      <w:iCs/>
      <w:sz w:val="15"/>
      <w:szCs w:val="15"/>
      <w:u w:val="none"/>
      <w:lang w:val="en-US" w:eastAsia="en-US" w:bidi="ar-SA"/>
    </w:rPr>
  </w:style>
  <w:style w:type="character" w:customStyle="1" w:styleId="510">
    <w:name w:val="图片标题 (10) Exact"/>
    <w:link w:val="138"/>
    <w:qFormat/>
    <w:locked/>
    <w:uiPriority w:val="0"/>
    <w:rPr>
      <w:rFonts w:ascii="MingLiU" w:hAnsi="MingLiU" w:eastAsia="MingLiU"/>
      <w:sz w:val="15"/>
      <w:szCs w:val="15"/>
      <w:shd w:val="clear" w:color="auto" w:fill="FFFFFF"/>
    </w:rPr>
  </w:style>
  <w:style w:type="character" w:customStyle="1" w:styleId="511">
    <w:name w:val="表格标题 (7) Exact"/>
    <w:link w:val="54"/>
    <w:qFormat/>
    <w:locked/>
    <w:uiPriority w:val="0"/>
    <w:rPr>
      <w:rFonts w:ascii="MingLiU" w:hAnsi="MingLiU" w:eastAsia="MingLiU"/>
      <w:sz w:val="15"/>
      <w:szCs w:val="15"/>
      <w:shd w:val="clear" w:color="auto" w:fill="FFFFFF"/>
      <w:lang w:eastAsia="en-US"/>
    </w:rPr>
  </w:style>
  <w:style w:type="character" w:customStyle="1" w:styleId="512">
    <w:name w:val="正文文本 (16) Exact"/>
    <w:link w:val="156"/>
    <w:qFormat/>
    <w:locked/>
    <w:uiPriority w:val="0"/>
    <w:rPr>
      <w:rFonts w:ascii="Georgia" w:hAnsi="Georgia"/>
      <w:spacing w:val="400"/>
      <w:sz w:val="15"/>
      <w:szCs w:val="15"/>
      <w:shd w:val="clear" w:color="auto" w:fill="FFFFFF"/>
      <w:lang w:eastAsia="en-US"/>
    </w:rPr>
  </w:style>
  <w:style w:type="character" w:customStyle="1" w:styleId="513">
    <w:name w:val="正文文本 (2) + Georgia16"/>
    <w:qFormat/>
    <w:uiPriority w:val="0"/>
    <w:rPr>
      <w:rFonts w:hint="default" w:ascii="Georgia" w:hAnsi="Georgia" w:eastAsia="MingLiU" w:cs="Georgia"/>
      <w:sz w:val="22"/>
      <w:szCs w:val="22"/>
      <w:u w:val="none"/>
      <w:lang w:val="en-US" w:eastAsia="en-US" w:bidi="ar-SA"/>
    </w:rPr>
  </w:style>
  <w:style w:type="character" w:customStyle="1" w:styleId="514">
    <w:name w:val="表格标题 Char Char"/>
    <w:link w:val="158"/>
    <w:qFormat/>
    <w:locked/>
    <w:uiPriority w:val="0"/>
    <w:rPr>
      <w:b/>
      <w:bCs/>
      <w:sz w:val="21"/>
      <w:szCs w:val="21"/>
    </w:rPr>
  </w:style>
  <w:style w:type="character" w:customStyle="1" w:styleId="515">
    <w:name w:val="正文文本 (2) + 8.5 pt3"/>
    <w:qFormat/>
    <w:uiPriority w:val="0"/>
    <w:rPr>
      <w:rFonts w:hint="eastAsia" w:ascii="MingLiU" w:hAnsi="MingLiU" w:eastAsia="MingLiU" w:cs="MingLiU"/>
      <w:sz w:val="17"/>
      <w:szCs w:val="17"/>
      <w:u w:val="none"/>
      <w:lang w:bidi="ar-SA"/>
    </w:rPr>
  </w:style>
  <w:style w:type="character" w:customStyle="1" w:styleId="516">
    <w:name w:val="表格标题 (5) + 间距 4 pt"/>
    <w:qFormat/>
    <w:uiPriority w:val="0"/>
    <w:rPr>
      <w:rFonts w:hint="eastAsia" w:ascii="MingLiU" w:hAnsi="MingLiU" w:eastAsia="MingLiU"/>
      <w:spacing w:val="80"/>
      <w:sz w:val="16"/>
      <w:szCs w:val="16"/>
      <w:lang w:bidi="ar-SA"/>
    </w:rPr>
  </w:style>
  <w:style w:type="character" w:customStyle="1" w:styleId="517">
    <w:name w:val="表格标题 (2)_"/>
    <w:link w:val="194"/>
    <w:qFormat/>
    <w:locked/>
    <w:uiPriority w:val="0"/>
    <w:rPr>
      <w:rFonts w:ascii="MingLiU" w:hAnsi="MingLiU" w:eastAsia="MingLiU"/>
      <w:sz w:val="17"/>
      <w:szCs w:val="17"/>
      <w:shd w:val="clear" w:color="auto" w:fill="FFFFFF"/>
    </w:rPr>
  </w:style>
  <w:style w:type="character" w:customStyle="1" w:styleId="518">
    <w:name w:val="图片标题 (6) + 5 pt Exact"/>
    <w:qFormat/>
    <w:uiPriority w:val="0"/>
    <w:rPr>
      <w:rFonts w:hint="eastAsia" w:ascii="MingLiU" w:hAnsi="MingLiU" w:eastAsia="MingLiU"/>
      <w:spacing w:val="0"/>
      <w:sz w:val="10"/>
      <w:szCs w:val="10"/>
      <w:lang w:val="en-US" w:eastAsia="en-US" w:bidi="ar-SA"/>
    </w:rPr>
  </w:style>
  <w:style w:type="character" w:customStyle="1" w:styleId="519">
    <w:name w:val="正文文本 (2) + Georgia10"/>
    <w:qFormat/>
    <w:uiPriority w:val="0"/>
    <w:rPr>
      <w:rFonts w:hint="default" w:ascii="Georgia" w:hAnsi="Georgia" w:eastAsia="MingLiU" w:cs="Georgia"/>
      <w:sz w:val="22"/>
      <w:szCs w:val="22"/>
      <w:u w:val="single"/>
      <w:lang w:val="en-US" w:eastAsia="en-US" w:bidi="ar-SA"/>
    </w:rPr>
  </w:style>
  <w:style w:type="character" w:customStyle="1" w:styleId="520">
    <w:name w:val="普通(网站) Char"/>
    <w:link w:val="32"/>
    <w:qFormat/>
    <w:locked/>
    <w:uiPriority w:val="0"/>
    <w:rPr>
      <w:rFonts w:ascii="宋体" w:hAnsi="宋体" w:eastAsia="宋体"/>
      <w:sz w:val="24"/>
    </w:rPr>
  </w:style>
  <w:style w:type="character" w:customStyle="1" w:styleId="521">
    <w:name w:val="正文文本 (35) + MingLiU"/>
    <w:qFormat/>
    <w:uiPriority w:val="0"/>
    <w:rPr>
      <w:rFonts w:hint="eastAsia" w:ascii="MingLiU" w:hAnsi="Angsana New" w:eastAsia="MingLiU" w:cs="MingLiU"/>
      <w:spacing w:val="0"/>
      <w:sz w:val="40"/>
      <w:szCs w:val="40"/>
      <w:lang w:val="en-US" w:eastAsia="en-US" w:bidi="ar-SA"/>
    </w:rPr>
  </w:style>
  <w:style w:type="character" w:customStyle="1" w:styleId="522">
    <w:name w:val="正文文本 (14)_"/>
    <w:link w:val="102"/>
    <w:qFormat/>
    <w:locked/>
    <w:uiPriority w:val="0"/>
    <w:rPr>
      <w:rFonts w:ascii="Georgia" w:hAnsi="Georgia"/>
      <w:sz w:val="22"/>
      <w:szCs w:val="22"/>
      <w:shd w:val="clear" w:color="auto" w:fill="FFFFFF"/>
      <w:lang w:eastAsia="en-US"/>
    </w:rPr>
  </w:style>
  <w:style w:type="character" w:customStyle="1" w:styleId="523">
    <w:name w:val="图片标题 (2) Exact"/>
    <w:link w:val="112"/>
    <w:qFormat/>
    <w:locked/>
    <w:uiPriority w:val="0"/>
    <w:rPr>
      <w:rFonts w:ascii="MingLiU" w:hAnsi="MingLiU" w:eastAsia="MingLiU"/>
      <w:sz w:val="16"/>
      <w:szCs w:val="16"/>
      <w:shd w:val="clear" w:color="auto" w:fill="FFFFFF"/>
    </w:rPr>
  </w:style>
  <w:style w:type="character" w:customStyle="1" w:styleId="524">
    <w:name w:val="图片标题 (14) + 间距 0 pt Exact"/>
    <w:qFormat/>
    <w:uiPriority w:val="0"/>
    <w:rPr>
      <w:rFonts w:hint="eastAsia" w:ascii="MingLiU" w:hAnsi="MingLiU" w:eastAsia="MingLiU"/>
      <w:spacing w:val="-10"/>
      <w:lang w:val="en-US" w:eastAsia="en-US" w:bidi="ar-SA"/>
    </w:rPr>
  </w:style>
  <w:style w:type="character" w:customStyle="1" w:styleId="525">
    <w:name w:val="Char Char33"/>
    <w:qFormat/>
    <w:uiPriority w:val="0"/>
    <w:rPr>
      <w:rFonts w:hint="eastAsia" w:ascii="宋体" w:hAnsi="宋体" w:eastAsia="宋体"/>
      <w:b/>
      <w:kern w:val="2"/>
      <w:sz w:val="21"/>
      <w:szCs w:val="21"/>
      <w:u w:val="single"/>
      <w:lang w:val="en-US" w:eastAsia="zh-CN" w:bidi="ar-SA"/>
    </w:rPr>
  </w:style>
  <w:style w:type="character" w:customStyle="1" w:styleId="526">
    <w:name w:val="正文文本 (30) + 间距 0 pt Exact"/>
    <w:qFormat/>
    <w:uiPriority w:val="0"/>
    <w:rPr>
      <w:rFonts w:hint="eastAsia" w:ascii="MingLiU" w:hAnsi="MingLiU" w:eastAsia="MingLiU"/>
      <w:spacing w:val="0"/>
      <w:sz w:val="16"/>
      <w:szCs w:val="16"/>
      <w:lang w:bidi="ar-SA"/>
    </w:rPr>
  </w:style>
  <w:style w:type="character" w:customStyle="1" w:styleId="527">
    <w:name w:val="正文文本 (3) + 11 pt"/>
    <w:qFormat/>
    <w:uiPriority w:val="0"/>
    <w:rPr>
      <w:rFonts w:hint="eastAsia" w:ascii="MingLiU" w:hAnsi="MingLiU" w:eastAsia="MingLiU"/>
      <w:spacing w:val="-10"/>
      <w:sz w:val="22"/>
      <w:szCs w:val="22"/>
      <w:lang w:val="en-US" w:eastAsia="en-US" w:bidi="ar-SA"/>
    </w:rPr>
  </w:style>
  <w:style w:type="character" w:customStyle="1" w:styleId="528">
    <w:name w:val="批注文字 Char"/>
    <w:link w:val="14"/>
    <w:qFormat/>
    <w:locked/>
    <w:uiPriority w:val="99"/>
    <w:rPr>
      <w:rFonts w:ascii="Times New Roman" w:hAnsi="Times New Roman" w:eastAsia="宋体"/>
      <w:sz w:val="24"/>
    </w:rPr>
  </w:style>
  <w:style w:type="character" w:customStyle="1" w:styleId="529">
    <w:name w:val="标题 3 Char"/>
    <w:link w:val="7"/>
    <w:qFormat/>
    <w:uiPriority w:val="9"/>
    <w:rPr>
      <w:b/>
      <w:bCs/>
      <w:kern w:val="2"/>
      <w:sz w:val="32"/>
      <w:szCs w:val="32"/>
    </w:rPr>
  </w:style>
  <w:style w:type="character" w:customStyle="1" w:styleId="530">
    <w:name w:val="图片标题 (7) Exact2"/>
    <w:qFormat/>
    <w:uiPriority w:val="0"/>
  </w:style>
  <w:style w:type="character" w:customStyle="1" w:styleId="531">
    <w:name w:val="样式 表头 + (西文) 黑体 Char"/>
    <w:link w:val="108"/>
    <w:qFormat/>
    <w:locked/>
    <w:uiPriority w:val="0"/>
    <w:rPr>
      <w:rFonts w:ascii="宋体" w:hAnsi="宋体"/>
      <w:b/>
      <w:sz w:val="21"/>
      <w:szCs w:val="21"/>
    </w:rPr>
  </w:style>
  <w:style w:type="character" w:customStyle="1" w:styleId="532">
    <w:name w:val="正文文本 (18)_"/>
    <w:link w:val="56"/>
    <w:qFormat/>
    <w:locked/>
    <w:uiPriority w:val="0"/>
    <w:rPr>
      <w:rFonts w:ascii="MingLiU" w:hAnsi="MingLiU" w:eastAsia="MingLiU"/>
      <w:b/>
      <w:bCs/>
      <w:spacing w:val="-10"/>
      <w:sz w:val="23"/>
      <w:szCs w:val="23"/>
      <w:shd w:val="clear" w:color="auto" w:fill="FFFFFF"/>
    </w:rPr>
  </w:style>
  <w:style w:type="character" w:customStyle="1" w:styleId="533">
    <w:name w:val="正文文本 (2) + 9 pt3"/>
    <w:qFormat/>
    <w:uiPriority w:val="0"/>
    <w:rPr>
      <w:rFonts w:hint="eastAsia" w:ascii="MingLiU" w:hAnsi="MingLiU" w:eastAsia="MingLiU"/>
      <w:spacing w:val="10"/>
      <w:sz w:val="18"/>
      <w:szCs w:val="18"/>
      <w:lang w:bidi="ar-SA"/>
    </w:rPr>
  </w:style>
  <w:style w:type="character" w:customStyle="1" w:styleId="534">
    <w:name w:val="正文文本 (2) + 7.5 pt1"/>
    <w:qFormat/>
    <w:uiPriority w:val="0"/>
    <w:rPr>
      <w:rFonts w:hint="eastAsia" w:ascii="MingLiU" w:hAnsi="MingLiU" w:eastAsia="MingLiU" w:cs="MingLiU"/>
      <w:spacing w:val="20"/>
      <w:sz w:val="15"/>
      <w:szCs w:val="15"/>
      <w:u w:val="none"/>
      <w:lang w:bidi="ar-SA"/>
    </w:rPr>
  </w:style>
  <w:style w:type="character" w:customStyle="1" w:styleId="535">
    <w:name w:val="正文文本 (15) Exact"/>
    <w:link w:val="88"/>
    <w:qFormat/>
    <w:locked/>
    <w:uiPriority w:val="0"/>
    <w:rPr>
      <w:rFonts w:ascii="Angsana New" w:hAnsi="Angsana New" w:cs="Angsana New"/>
      <w:spacing w:val="20"/>
      <w:sz w:val="34"/>
      <w:szCs w:val="34"/>
      <w:shd w:val="clear" w:color="auto" w:fill="FFFFFF"/>
    </w:rPr>
  </w:style>
  <w:style w:type="character" w:customStyle="1" w:styleId="536">
    <w:name w:val="报告正文 Char Char"/>
    <w:link w:val="126"/>
    <w:qFormat/>
    <w:locked/>
    <w:uiPriority w:val="0"/>
    <w:rPr>
      <w:kern w:val="2"/>
      <w:sz w:val="24"/>
    </w:rPr>
  </w:style>
  <w:style w:type="character" w:customStyle="1" w:styleId="537">
    <w:name w:val="图片标题 (9) + 7 pt"/>
    <w:qFormat/>
    <w:uiPriority w:val="0"/>
    <w:rPr>
      <w:rFonts w:hint="eastAsia" w:ascii="MingLiU" w:hAnsi="MingLiU" w:eastAsia="MingLiU"/>
      <w:spacing w:val="-30"/>
      <w:w w:val="100"/>
      <w:sz w:val="14"/>
      <w:szCs w:val="14"/>
      <w:lang w:val="en-US" w:eastAsia="en-US" w:bidi="ar-SA"/>
    </w:rPr>
  </w:style>
  <w:style w:type="table" w:customStyle="1" w:styleId="538">
    <w:name w:val="Table Normal"/>
    <w:unhideWhenUsed/>
    <w:qFormat/>
    <w:uiPriority w:val="0"/>
    <w:tblPr>
      <w:tblCellMar>
        <w:top w:w="0" w:type="dxa"/>
        <w:left w:w="0" w:type="dxa"/>
        <w:bottom w:w="0" w:type="dxa"/>
        <w:right w:w="0" w:type="dxa"/>
      </w:tblCellMar>
    </w:tblPr>
  </w:style>
  <w:style w:type="paragraph" w:customStyle="1" w:styleId="539">
    <w:name w:val="表图标题"/>
    <w:basedOn w:val="1"/>
    <w:qFormat/>
    <w:uiPriority w:val="0"/>
    <w:pPr>
      <w:spacing w:line="240" w:lineRule="auto"/>
      <w:ind w:firstLine="0" w:firstLineChars="0"/>
      <w:jc w:val="center"/>
    </w:pPr>
    <w:rPr>
      <w:b/>
      <w:sz w:val="21"/>
      <w:szCs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6" Type="http://schemas.openxmlformats.org/officeDocument/2006/relationships/fontTable" Target="fontTable.xml"/><Relationship Id="rId45" Type="http://schemas.openxmlformats.org/officeDocument/2006/relationships/numbering" Target="numbering.xml"/><Relationship Id="rId44" Type="http://schemas.openxmlformats.org/officeDocument/2006/relationships/customXml" Target="../customXml/item1.xml"/><Relationship Id="rId43" Type="http://schemas.openxmlformats.org/officeDocument/2006/relationships/image" Target="media/image32.jpeg"/><Relationship Id="rId42" Type="http://schemas.openxmlformats.org/officeDocument/2006/relationships/image" Target="media/image31.jpeg"/><Relationship Id="rId41" Type="http://schemas.openxmlformats.org/officeDocument/2006/relationships/image" Target="media/image30.jpeg"/><Relationship Id="rId40" Type="http://schemas.openxmlformats.org/officeDocument/2006/relationships/image" Target="media/image29.jpeg"/><Relationship Id="rId4" Type="http://schemas.openxmlformats.org/officeDocument/2006/relationships/footer" Target="footer2.xml"/><Relationship Id="rId39" Type="http://schemas.openxmlformats.org/officeDocument/2006/relationships/image" Target="media/image28.jpeg"/><Relationship Id="rId38" Type="http://schemas.openxmlformats.org/officeDocument/2006/relationships/image" Target="media/image27.png"/><Relationship Id="rId37" Type="http://schemas.openxmlformats.org/officeDocument/2006/relationships/image" Target="media/image26.png"/><Relationship Id="rId36" Type="http://schemas.openxmlformats.org/officeDocument/2006/relationships/image" Target="media/image25.jpeg"/><Relationship Id="rId35" Type="http://schemas.openxmlformats.org/officeDocument/2006/relationships/image" Target="media/image24.jpeg"/><Relationship Id="rId34" Type="http://schemas.openxmlformats.org/officeDocument/2006/relationships/image" Target="media/image23.jpeg"/><Relationship Id="rId33" Type="http://schemas.openxmlformats.org/officeDocument/2006/relationships/image" Target="media/image22.png"/><Relationship Id="rId32" Type="http://schemas.openxmlformats.org/officeDocument/2006/relationships/image" Target="media/image21.png"/><Relationship Id="rId31" Type="http://schemas.openxmlformats.org/officeDocument/2006/relationships/image" Target="media/image20.png"/><Relationship Id="rId30" Type="http://schemas.openxmlformats.org/officeDocument/2006/relationships/image" Target="media/image19.png"/><Relationship Id="rId3" Type="http://schemas.openxmlformats.org/officeDocument/2006/relationships/footer" Target="footer1.xml"/><Relationship Id="rId29" Type="http://schemas.openxmlformats.org/officeDocument/2006/relationships/image" Target="media/image18.png"/><Relationship Id="rId28" Type="http://schemas.openxmlformats.org/officeDocument/2006/relationships/image" Target="media/image17.png"/><Relationship Id="rId27" Type="http://schemas.openxmlformats.org/officeDocument/2006/relationships/image" Target="media/image16.emf"/><Relationship Id="rId26" Type="http://schemas.openxmlformats.org/officeDocument/2006/relationships/oleObject" Target="embeddings/oleObject6.bin"/><Relationship Id="rId25" Type="http://schemas.openxmlformats.org/officeDocument/2006/relationships/image" Target="media/image15.png"/><Relationship Id="rId24" Type="http://schemas.openxmlformats.org/officeDocument/2006/relationships/image" Target="media/image14.png"/><Relationship Id="rId23" Type="http://schemas.openxmlformats.org/officeDocument/2006/relationships/image" Target="media/image13.emf"/><Relationship Id="rId22" Type="http://schemas.openxmlformats.org/officeDocument/2006/relationships/oleObject" Target="embeddings/oleObject5.bin"/><Relationship Id="rId21" Type="http://schemas.openxmlformats.org/officeDocument/2006/relationships/image" Target="media/image12.emf"/><Relationship Id="rId20" Type="http://schemas.openxmlformats.org/officeDocument/2006/relationships/oleObject" Target="embeddings/oleObject4.bin"/><Relationship Id="rId2" Type="http://schemas.openxmlformats.org/officeDocument/2006/relationships/settings" Target="settings.xml"/><Relationship Id="rId19" Type="http://schemas.openxmlformats.org/officeDocument/2006/relationships/image" Target="media/image11.emf"/><Relationship Id="rId18" Type="http://schemas.openxmlformats.org/officeDocument/2006/relationships/oleObject" Target="embeddings/oleObject3.bin"/><Relationship Id="rId17" Type="http://schemas.openxmlformats.org/officeDocument/2006/relationships/image" Target="media/image10.emf"/><Relationship Id="rId16" Type="http://schemas.openxmlformats.org/officeDocument/2006/relationships/oleObject" Target="embeddings/oleObject2.bin"/><Relationship Id="rId15" Type="http://schemas.openxmlformats.org/officeDocument/2006/relationships/image" Target="media/image9.emf"/><Relationship Id="rId14" Type="http://schemas.openxmlformats.org/officeDocument/2006/relationships/oleObject" Target="embeddings/oleObject1.bin"/><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91</Pages>
  <Words>16458</Words>
  <Characters>17529</Characters>
  <Lines>424</Lines>
  <Paragraphs>119</Paragraphs>
  <TotalTime>0</TotalTime>
  <ScaleCrop>false</ScaleCrop>
  <LinksUpToDate>false</LinksUpToDate>
  <CharactersWithSpaces>17748</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2021-10-26T03:41:00Z</dcterms:created>
  <dc:creator>lhj</dc:creator>
  <cp:lastModifiedBy>邓婷</cp:lastModifiedBy>
  <cp:lastPrinted>2020-12-29T02:43:00Z</cp:lastPrinted>
  <dcterms:modified xsi:type="dcterms:W3CDTF">2026-01-29T02:50:21Z</dcterms:modified>
  <dc:title>附件2</dc:title>
  <cp:revision>135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01C31BB8E48343F797228B960A2E9168_13</vt:lpwstr>
  </property>
  <property fmtid="{D5CDD505-2E9C-101B-9397-08002B2CF9AE}" pid="4" name="KSOTemplateDocerSaveRecord">
    <vt:lpwstr>eyJoZGlkIjoiYzcyNzVkZGRhMDA5NzdlMGNiNTEyYzA3ODI0MWFmMmIiLCJ1c2VySWQiOiIxMDY5MjgzMDcxIn0=</vt:lpwstr>
  </property>
</Properties>
</file>