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59E73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12"/>
          <w:rFonts w:hint="eastAsia"/>
          <w:lang w:val="en-US" w:eastAsia="zh-CN"/>
        </w:rPr>
        <w:t xml:space="preserve">  蒸湘区人力资源和社会保障局部门整体支出  绩效自评报告</w:t>
      </w:r>
    </w:p>
    <w:p w14:paraId="59744BCE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7"/>
        <w:textAlignment w:val="auto"/>
        <w:rPr>
          <w:color w:val="000000" w:themeColor="text1"/>
          <w:sz w:val="43"/>
          <w14:textFill>
            <w14:solidFill>
              <w14:schemeClr w14:val="tx1"/>
            </w14:solidFill>
          </w14:textFill>
        </w:rPr>
      </w:pPr>
    </w:p>
    <w:p w14:paraId="0302BE4C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560" w:lineRule="exact"/>
        <w:ind w:left="959" w:right="0" w:firstLine="64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部门、单位基本情况</w:t>
      </w:r>
    </w:p>
    <w:p w14:paraId="089BD9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2" w:afterAutospacing="0"/>
        <w:ind w:left="957" w:leftChars="435" w:firstLine="579" w:firstLineChars="181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蒸湘区人力资源和社会保障局实有人数67人，其中在职全额人员48人，退休人员19人。 单位内设股室有：办公室、法制和劳动关系股、人事股、基金监督股、财务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室、劳动保障监察股。 二级机构设置有：社会保险服务中心、就业服务中心、人力资源服务中心、劳动人事争议仲裁院。</w:t>
      </w:r>
    </w:p>
    <w:p w14:paraId="71181F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2" w:afterAutospacing="0"/>
        <w:ind w:left="957" w:leftChars="435" w:firstLine="579" w:firstLineChars="181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二、一般公共预算支出情况</w:t>
      </w:r>
    </w:p>
    <w:p w14:paraId="3AFBD913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560" w:lineRule="exact"/>
        <w:ind w:left="959" w:right="0" w:firstLine="64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（一）基本支出情况</w:t>
      </w:r>
    </w:p>
    <w:p w14:paraId="127B34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2" w:afterAutospacing="0"/>
        <w:ind w:left="957" w:leftChars="435" w:firstLine="579" w:firstLineChars="181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2024年基本支出总计824.62万元。</w:t>
      </w:r>
    </w:p>
    <w:p w14:paraId="464CC19C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560" w:lineRule="exact"/>
        <w:ind w:left="959" w:right="0" w:firstLine="64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（二）项目支出情况</w:t>
      </w:r>
    </w:p>
    <w:p w14:paraId="319D82DC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560" w:lineRule="exact"/>
        <w:ind w:left="959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一、专项资金</w:t>
      </w:r>
    </w:p>
    <w:p w14:paraId="274C0D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2" w:afterAutospacing="0"/>
        <w:ind w:left="957" w:leftChars="435" w:firstLine="579" w:firstLineChars="181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2024年度专项资金年初预算安排了社保工作6万元和劳保执法和仲裁6万元，实际各安排4.5万元。社保工作使用了4.5万元，劳保执法和仲裁使用了4.5万元。</w:t>
      </w:r>
    </w:p>
    <w:p w14:paraId="03A4F16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rightChars="0" w:firstLine="1600" w:firstLineChars="5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二、其他项目资金</w:t>
      </w:r>
    </w:p>
    <w:p w14:paraId="59314C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2" w:afterAutospacing="0"/>
        <w:ind w:left="957" w:leftChars="435" w:firstLine="579" w:firstLineChars="181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2024年就业补助资金共支出了658.62万元；2024年城乡居民基本养老保险补助资金共支出1597.31万元；社保中心城乡居民养老保险业务工作经费共支出17.9万元；2024年军退公益性岗位补贴及社保补贴共支出462.2万元；第三方机构出题、系统报名、阅卷等费用共支出28.36万元；推进乡村振兴省级衔接资金16.4万元；防疫补贴资金共支出15万元等。</w:t>
      </w:r>
    </w:p>
    <w:p w14:paraId="4D8EE1AD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560" w:lineRule="exact"/>
        <w:ind w:left="959" w:right="0" w:firstLine="64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政府性基金预算支出情况</w:t>
      </w:r>
    </w:p>
    <w:p w14:paraId="3E1CBB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2" w:afterAutospacing="0"/>
        <w:ind w:left="957" w:leftChars="435" w:firstLine="1212" w:firstLineChars="379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无</w:t>
      </w:r>
    </w:p>
    <w:p w14:paraId="3EE865CC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560" w:lineRule="exact"/>
        <w:ind w:left="959" w:right="0" w:firstLine="64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国有资本经营预算支出情况</w:t>
      </w:r>
    </w:p>
    <w:p w14:paraId="36078D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2" w:afterAutospacing="0"/>
        <w:ind w:left="957" w:leftChars="435" w:firstLine="1212" w:firstLineChars="379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2024年国有企业退休人员社会化管理经费用支出14万元。</w:t>
      </w:r>
    </w:p>
    <w:p w14:paraId="5D8A74A5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560" w:lineRule="exact"/>
        <w:ind w:left="959" w:right="0" w:firstLine="64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社会保险基金预算支出情况</w:t>
      </w:r>
    </w:p>
    <w:p w14:paraId="449745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2" w:afterAutospacing="0"/>
        <w:ind w:left="957" w:leftChars="435" w:firstLine="1212" w:firstLineChars="379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无</w:t>
      </w:r>
    </w:p>
    <w:p w14:paraId="624E12F9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line="560" w:lineRule="exact"/>
        <w:ind w:left="959" w:right="0" w:firstLine="64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部门整体支出绩效情况</w:t>
      </w:r>
    </w:p>
    <w:p w14:paraId="2AFE5F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2" w:afterAutospacing="0"/>
        <w:ind w:left="957" w:leftChars="435" w:firstLine="579" w:firstLineChars="18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2024年部门整体支出共3795.08万元，其中基本支出824.62万元，项目支出2970.45万元，保障了人社各项业务高效运转及省市区下达各项目标任务完成。其中主要有以下几个方面：</w:t>
      </w:r>
    </w:p>
    <w:p w14:paraId="43953A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2" w:afterAutospacing="0"/>
        <w:ind w:left="957" w:leftChars="435" w:firstLine="579" w:firstLineChars="181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2024年就业补助资金支出共计658.62万元。一是提升就业创业服务，持续开展职业技能培训。2024年开展政府补贴性职业技能培训1492人次，其中开展技能培训442人次，开展创业培训1050人次，实现就业和创业共1044人次。二是助推重点群体就业，搭建就业创业平台。认定南华大学众创空间、鹰创孵化基地、蒸湘万达创业园为区级创业孵化基地，在孵实体吸纳就业人数超300人。认定就业帮扶车间11家，新增农村劳动力转移就业1100人，全区脱贫劳动力总数1337人，已就业人数1228人，就业见习人数73人。四是创新就业集成服务，畅通就业服务渠道。为了更高效地为失业人员提供就业服务，帮助其实现就业，区人社局推出就业集成服务模式，为失业登记人员进行“量身定做”，提供岗位推荐服务，在用工单位和求职者之间搭建就业桥梁。2024年“311”就业服务对象5151人，服务总次数44547次，推荐岗位次数27933次，推荐培训5544人次，职业指导11070人次。五是加大就业政策宣传，促进全面就业形势。2024年，举办“岗为媒”高校毕业生暨民营企业服务月专场线上线下招聘会23场，1262家企业参加，提供就业岗位30079个，达成意向人数4751个，发放各类宣传资料15130余份；举办8场“直播带岗”，387家企业参加，提供就业岗位9893个，场观人数10万余人。2024年，城镇新增就业人数为5153人，城镇登记失业率1.34%。</w:t>
      </w:r>
    </w:p>
    <w:p w14:paraId="1E43F9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2" w:afterAutospacing="0"/>
        <w:ind w:left="957" w:leftChars="435" w:firstLine="579" w:firstLineChars="18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（二）2024年，蒸湘区企业职工基本养老保险参保人数35964人，基金征缴22710万元；城乡居民基本养老保险参保人数29849人。 开展“温暖社保·社保服务进万家活动”活动，重点针对灵活就业参保人员，全面准确解读政策，针对性“面对面”宣传，“零距离”便民服务，主动问需于企于民，提高民众参保意识；前往雨母山镇为精神病人进行生存认证，确保他们的社保权益得到保障。配合推进区“一网通办”系统运行，推进政务数据共享，实现数字政务提质增效，方便参保人员查询、办理养老保险业务，实现“让数据多跑路，让群众少跑路”，提高服务质量和水平。</w:t>
      </w:r>
    </w:p>
    <w:p w14:paraId="2CB1A1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2" w:afterAutospacing="0"/>
        <w:ind w:left="957" w:leftChars="435" w:firstLine="579" w:firstLineChars="181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2024年，区人社局共接收“国家欠薪平台”线索、信访案件、12345工单线索、现场接待等共969起，立案15起，移送9起涉嫌拒不支付劳动报酬犯罪案件至公安机关，共为458名劳动者追回工资489.82万元。仲裁院接待来访咨询群众700余人次，受理劳动争议案件139件，调解结案率（含撤回仲裁申请）84.9%。在全区范围内开展“安薪项目”创建工作，顺利通过国务院与湖南省保障农民工工资支付工作实地核查。对辖区内的所有在建工程项目开展12次日常巡查和4次专项检查行动。</w:t>
      </w:r>
    </w:p>
    <w:p w14:paraId="4E69DA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2" w:afterAutospacing="0"/>
        <w:ind w:left="957" w:leftChars="435" w:firstLine="579" w:firstLineChars="181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保质保量地完成了66名新进人员、34名退役士兵安置的工资核定。指导并协助区教育局完成2024年蒸湘区教师招聘30名、“民转公”9名；配合区委组织部考察2024年新进公务员录用；协助区纪委监委开展2024年蒸湘区事业单位公开选调工作人员14名。</w:t>
      </w:r>
    </w:p>
    <w:p w14:paraId="240AEA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2" w:afterAutospacing="0"/>
        <w:ind w:left="957" w:leftChars="435" w:firstLine="579" w:firstLineChars="18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D56E82D"/>
    <w:sectPr>
      <w:footerReference r:id="rId5" w:type="default"/>
      <w:pgSz w:w="11906" w:h="16838"/>
      <w:pgMar w:top="1440" w:right="839" w:bottom="1440" w:left="83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F69A1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5833745</wp:posOffset>
              </wp:positionH>
              <wp:positionV relativeFrom="paragraph">
                <wp:posOffset>21590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98D1B"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9.35pt;margin-top:1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QpO0/YAAAACgEAAA8AAAAAAAAAAQAgAAAAIgAAAGRycy9kb3ducmV2Lnht&#10;bFBLAQIUABQAAAAIAIdO4kAClSD0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498D1B"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0"/>
        <w:lang w:val="en-US"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0103B"/>
    <w:multiLevelType w:val="singleLevel"/>
    <w:tmpl w:val="23A010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6DAD7A"/>
    <w:multiLevelType w:val="singleLevel"/>
    <w:tmpl w:val="4F6DAD7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YzkyOTczMDhmZmUwMmY4N2U0NGQzNWU5MTc3ZDUifQ=="/>
    <w:docVar w:name="KSO_WPS_MARK_KEY" w:val="ddb292dd-ffe4-4061-9499-4102dac50eaf"/>
  </w:docVars>
  <w:rsids>
    <w:rsidRoot w:val="00000000"/>
    <w:rsid w:val="00331EC9"/>
    <w:rsid w:val="02FE35F9"/>
    <w:rsid w:val="0370464D"/>
    <w:rsid w:val="03B0367F"/>
    <w:rsid w:val="057D45E7"/>
    <w:rsid w:val="06532730"/>
    <w:rsid w:val="071D508F"/>
    <w:rsid w:val="079E79DA"/>
    <w:rsid w:val="0A801C82"/>
    <w:rsid w:val="0EB061ED"/>
    <w:rsid w:val="0EB126E9"/>
    <w:rsid w:val="1201316C"/>
    <w:rsid w:val="12567A3E"/>
    <w:rsid w:val="152914FC"/>
    <w:rsid w:val="18737B9B"/>
    <w:rsid w:val="1B2C567F"/>
    <w:rsid w:val="1B3B52AF"/>
    <w:rsid w:val="1D3F1509"/>
    <w:rsid w:val="1DAA6C81"/>
    <w:rsid w:val="20C31E08"/>
    <w:rsid w:val="2A725AC6"/>
    <w:rsid w:val="2E4F2F2D"/>
    <w:rsid w:val="30986AF1"/>
    <w:rsid w:val="31180BDC"/>
    <w:rsid w:val="37C57718"/>
    <w:rsid w:val="3AF241BD"/>
    <w:rsid w:val="3B7019AF"/>
    <w:rsid w:val="40EE2477"/>
    <w:rsid w:val="45D9725E"/>
    <w:rsid w:val="4AFD326F"/>
    <w:rsid w:val="4E035DB6"/>
    <w:rsid w:val="4ED0364D"/>
    <w:rsid w:val="52410886"/>
    <w:rsid w:val="5B8F6EDB"/>
    <w:rsid w:val="5D375F66"/>
    <w:rsid w:val="5DF50461"/>
    <w:rsid w:val="64213DC7"/>
    <w:rsid w:val="67926D58"/>
    <w:rsid w:val="7064228D"/>
    <w:rsid w:val="7BF97907"/>
    <w:rsid w:val="7D17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qFormat/>
    <w:uiPriority w:val="1"/>
    <w:pPr>
      <w:spacing w:before="45"/>
      <w:ind w:left="30" w:right="28"/>
      <w:jc w:val="center"/>
      <w:outlineLvl w:val="2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99"/>
    <w:pPr>
      <w:spacing w:line="240" w:lineRule="atLeast"/>
      <w:jc w:val="center"/>
    </w:pPr>
    <w:rPr>
      <w:rFonts w:ascii="Arial" w:hAnsi="Arial" w:eastAsia="黑体"/>
      <w:sz w:val="52"/>
    </w:rPr>
  </w:style>
  <w:style w:type="paragraph" w:customStyle="1" w:styleId="3">
    <w:name w:val="BodyTextIndent"/>
    <w:basedOn w:val="1"/>
    <w:next w:val="1"/>
    <w:qFormat/>
    <w:uiPriority w:val="99"/>
    <w:pPr>
      <w:ind w:left="420" w:leftChars="200"/>
      <w:textAlignment w:val="baseline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7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2">
    <w:name w:val="标题 1 Char"/>
    <w:link w:val="4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1651</Words>
  <Characters>1876</Characters>
  <Lines>0</Lines>
  <Paragraphs>0</Paragraphs>
  <TotalTime>0</TotalTime>
  <ScaleCrop>false</ScaleCrop>
  <LinksUpToDate>false</LinksUpToDate>
  <CharactersWithSpaces>1887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邓婷</cp:lastModifiedBy>
  <dcterms:modified xsi:type="dcterms:W3CDTF">2025-10-22T01:48:04Z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76B6903AEB5C45419236BD7D5B145833</vt:lpwstr>
  </property>
  <property fmtid="{D5CDD505-2E9C-101B-9397-08002B2CF9AE}" pid="4" name="KSOTemplateDocerSaveRecord">
    <vt:lpwstr>eyJoZGlkIjoiYzcyNDI3NjdjZTYxODY2MDcwNjk4OTAxM2VlY2VhOGIiLCJ1c2VySWQiOiIxMDY5MjgzMDcxIn0=</vt:lpwstr>
  </property>
</Properties>
</file>