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3162E">
      <w:pPr>
        <w:autoSpaceDE w:val="0"/>
        <w:autoSpaceDN w:val="0"/>
        <w:spacing w:before="276" w:line="248" w:lineRule="auto"/>
        <w:ind w:left="2939" w:right="621" w:hanging="2320"/>
        <w:jc w:val="left"/>
        <w:outlineLvl w:val="0"/>
        <w:rPr>
          <w:rFonts w:hint="eastAsia" w:ascii="宋体" w:hAnsi="宋体" w:eastAsia="宋体" w:cs="宋体"/>
          <w:b/>
          <w:bCs/>
          <w:spacing w:val="2"/>
          <w:kern w:val="0"/>
          <w:sz w:val="41"/>
          <w:szCs w:val="41"/>
        </w:rPr>
      </w:pPr>
      <w:r>
        <w:rPr>
          <w:rFonts w:ascii="宋体" w:hAnsi="宋体" w:eastAsia="宋体" w:cs="宋体"/>
          <w:b/>
          <w:bCs/>
          <w:spacing w:val="2"/>
          <w:kern w:val="0"/>
          <w:sz w:val="41"/>
          <w:szCs w:val="41"/>
        </w:rPr>
        <w:t>202</w:t>
      </w:r>
      <w:r>
        <w:rPr>
          <w:rFonts w:hint="eastAsia" w:ascii="宋体" w:hAnsi="宋体" w:eastAsia="宋体" w:cs="宋体"/>
          <w:b/>
          <w:bCs/>
          <w:spacing w:val="2"/>
          <w:kern w:val="0"/>
          <w:sz w:val="41"/>
          <w:szCs w:val="41"/>
          <w:lang w:val="en-US" w:eastAsia="zh-CN"/>
        </w:rPr>
        <w:t>4</w:t>
      </w:r>
      <w:r>
        <w:rPr>
          <w:rFonts w:ascii="宋体" w:hAnsi="宋体" w:eastAsia="宋体" w:cs="宋体"/>
          <w:b/>
          <w:bCs/>
          <w:spacing w:val="2"/>
          <w:kern w:val="0"/>
          <w:sz w:val="41"/>
          <w:szCs w:val="41"/>
        </w:rPr>
        <w:t>年度部门整体支出绩效评价报告</w:t>
      </w:r>
    </w:p>
    <w:p w14:paraId="0286D2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640"/>
        <w:rPr>
          <w:rFonts w:hint="eastAsia" w:ascii="宋体" w:hAnsi="宋体" w:eastAsia="宋体" w:cs="宋体"/>
          <w:i w:val="0"/>
          <w:iCs w:val="0"/>
          <w:caps w:val="0"/>
          <w:color w:val="333333"/>
          <w:spacing w:val="0"/>
          <w:sz w:val="12"/>
          <w:szCs w:val="12"/>
        </w:rPr>
      </w:pPr>
    </w:p>
    <w:p w14:paraId="65069F08">
      <w:pPr>
        <w:autoSpaceDE w:val="0"/>
        <w:autoSpaceDN w:val="0"/>
        <w:spacing w:before="94" w:line="221" w:lineRule="auto"/>
        <w:ind w:left="877"/>
        <w:jc w:val="left"/>
        <w:rPr>
          <w:rFonts w:hint="eastAsia" w:ascii="黑体" w:hAnsi="黑体" w:eastAsia="黑体" w:cs="黑体"/>
          <w:b/>
          <w:bCs/>
          <w:spacing w:val="7"/>
          <w:kern w:val="0"/>
          <w:sz w:val="29"/>
          <w:szCs w:val="29"/>
        </w:rPr>
      </w:pPr>
      <w:r>
        <w:rPr>
          <w:rFonts w:hint="eastAsia" w:ascii="黑体" w:hAnsi="黑体" w:eastAsia="黑体" w:cs="黑体"/>
          <w:b/>
          <w:bCs/>
          <w:spacing w:val="7"/>
          <w:kern w:val="0"/>
          <w:sz w:val="29"/>
          <w:szCs w:val="29"/>
        </w:rPr>
        <w:t>一、部门概况</w:t>
      </w:r>
    </w:p>
    <w:p w14:paraId="7E906DC5">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（一）部门基本情况</w:t>
      </w:r>
    </w:p>
    <w:p w14:paraId="2EAEF6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蒸湘区应急管理局属于政府工作部门，机构性质为正科级行政单位。单位</w:t>
      </w:r>
      <w:r>
        <w:rPr>
          <w:rFonts w:hint="eastAsia" w:ascii="仿宋_GB2312" w:hAnsi="宋体" w:eastAsia="仿宋_GB2312" w:cs="宋体"/>
          <w:sz w:val="32"/>
          <w:szCs w:val="32"/>
          <w:lang w:val="en-US" w:eastAsia="zh-CN"/>
        </w:rPr>
        <w:t>编制数15个</w:t>
      </w:r>
      <w:r>
        <w:rPr>
          <w:rFonts w:hint="eastAsia" w:ascii="仿宋_GB2312" w:hAnsi="宋体" w:eastAsia="仿宋_GB2312" w:cs="宋体"/>
          <w:sz w:val="32"/>
          <w:szCs w:val="32"/>
          <w:lang w:eastAsia="zh-CN"/>
        </w:rPr>
        <w:t>，实有人数1</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lang w:eastAsia="zh-CN"/>
        </w:rPr>
        <w:t>人，其中公务员及参公编制</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lang w:eastAsia="zh-CN"/>
        </w:rPr>
        <w:t>名、全额事业编制</w:t>
      </w: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lang w:eastAsia="zh-CN"/>
        </w:rPr>
        <w:t>人，</w:t>
      </w:r>
      <w:r>
        <w:rPr>
          <w:rFonts w:hint="eastAsia" w:ascii="仿宋_GB2312" w:hAnsi="宋体" w:eastAsia="仿宋_GB2312" w:cs="宋体"/>
          <w:sz w:val="32"/>
          <w:szCs w:val="32"/>
          <w:lang w:val="en-US" w:eastAsia="zh-CN"/>
        </w:rPr>
        <w:t>其他在职人员3人</w:t>
      </w:r>
      <w:r>
        <w:rPr>
          <w:rFonts w:hint="eastAsia" w:ascii="仿宋_GB2312" w:hAnsi="宋体" w:eastAsia="仿宋_GB2312" w:cs="宋体"/>
          <w:sz w:val="32"/>
          <w:szCs w:val="32"/>
          <w:lang w:eastAsia="zh-CN"/>
        </w:rPr>
        <w:t>。</w:t>
      </w:r>
    </w:p>
    <w:p w14:paraId="0CE710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我单位主要工作职责是：</w:t>
      </w:r>
    </w:p>
    <w:p w14:paraId="4061CC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（一）负责应急管理工作，指导全区各镇街各部门应对安全生产类、自然灾害类等突发事件和综合防灾减灾救灾工作。负责安全生产综合监督管理和工矿商贸行业安全生产监督管理工作</w:t>
      </w:r>
    </w:p>
    <w:p w14:paraId="2C3172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eastAsia="zh-CN"/>
        </w:rPr>
        <w:t>（二）贯彻实施相关法律法规规章、规程和标准，组织编制全区应急体系建设、安全生产和综合防灾减灾规划，</w:t>
      </w:r>
      <w:r>
        <w:rPr>
          <w:rFonts w:hint="eastAsia" w:ascii="仿宋_GB2312" w:hAnsi="宋体" w:eastAsia="仿宋_GB2312" w:cs="宋体"/>
          <w:sz w:val="32"/>
          <w:szCs w:val="32"/>
          <w:lang w:val="en-US" w:eastAsia="zh-CN"/>
        </w:rPr>
        <w:t>组织起草相关规范性文件，组织拟订有关政策并监督实施。</w:t>
      </w:r>
    </w:p>
    <w:p w14:paraId="1F718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三）指导应急预案体系建设，建立完善事故灾难和自然灾害分级应对制度，组织编制本区总体应急预案和安全生产类、自然灾害类专项预案，综合协调应急预案衔接工作，组织开展预案演练，推动应急避难设施建设。</w:t>
      </w:r>
    </w:p>
    <w:p w14:paraId="6A12E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（四）牵头对</w:t>
      </w:r>
      <w:r>
        <w:rPr>
          <w:rFonts w:hint="eastAsia" w:ascii="仿宋_GB2312" w:hAnsi="宋体" w:eastAsia="仿宋_GB2312" w:cs="宋体"/>
          <w:sz w:val="32"/>
          <w:szCs w:val="32"/>
          <w:lang w:val="en-US" w:eastAsia="zh-CN"/>
        </w:rPr>
        <w:t>接省、市</w:t>
      </w:r>
      <w:r>
        <w:rPr>
          <w:rFonts w:hint="eastAsia" w:ascii="仿宋_GB2312" w:hAnsi="宋体" w:eastAsia="仿宋_GB2312" w:cs="宋体"/>
          <w:sz w:val="32"/>
          <w:szCs w:val="32"/>
          <w:lang w:eastAsia="zh-CN"/>
        </w:rPr>
        <w:t>统一的应急管理信息系统建设，负责</w:t>
      </w:r>
      <w:r>
        <w:rPr>
          <w:rFonts w:hint="eastAsia" w:ascii="仿宋_GB2312" w:hAnsi="宋体" w:eastAsia="仿宋_GB2312" w:cs="宋体"/>
          <w:sz w:val="32"/>
          <w:szCs w:val="32"/>
          <w:lang w:val="en-US" w:eastAsia="zh-CN"/>
        </w:rPr>
        <w:t>全</w:t>
      </w:r>
      <w:r>
        <w:rPr>
          <w:rFonts w:hint="eastAsia" w:ascii="仿宋_GB2312" w:hAnsi="宋体" w:eastAsia="仿宋_GB2312" w:cs="宋体"/>
          <w:sz w:val="32"/>
          <w:szCs w:val="32"/>
          <w:lang w:eastAsia="zh-CN"/>
        </w:rPr>
        <w:t>区信息传输渠道的规划和布局，建立监测预警和灾情报告制度，健全自然灾害信息资源获取和共享机制，依法统一发布灾情。</w:t>
      </w:r>
    </w:p>
    <w:p w14:paraId="4089D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（五）组织指导协调安全生产类、自然灾害类等突发事件应急救援，承担区应对灾害指挥部工作，综合研判突发事件发展态势并提出应对建议，协助区委、区政府指定的负责同志组织灾害应急处置工作。</w:t>
      </w:r>
    </w:p>
    <w:p w14:paraId="6D6C9D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（六）统一协调指挥各类应急专业队伍，建立应急协调联动机制，推进指挥平台对接，负责做好人民解放军、武警部队和民兵参与应急救援相关衔接工作。</w:t>
      </w:r>
    </w:p>
    <w:p w14:paraId="6CF59F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七）统筹全区应急救援力量建设，负责消防、森林火灾扑救、抗洪抢险、地震和地质灾害救援、生产安全事故救援等专业应急救援力量建设，依权限做好驻区国家综合性应急救援队伍建设的相关工作，指导地方及社会应急救援力量建设。</w:t>
      </w:r>
    </w:p>
    <w:p w14:paraId="05EB4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（八）负责全区消防管理有关工作，指导消防监督、火灾预防、火灾扑救等工作。</w:t>
      </w:r>
    </w:p>
    <w:p w14:paraId="6B6DA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（九）指导协调全区森林</w:t>
      </w:r>
      <w:r>
        <w:rPr>
          <w:rFonts w:hint="eastAsia" w:ascii="仿宋_GB2312" w:hAnsi="宋体" w:eastAsia="仿宋_GB2312" w:cs="宋体"/>
          <w:sz w:val="32"/>
          <w:szCs w:val="32"/>
          <w:lang w:val="en-US" w:eastAsia="zh-CN"/>
        </w:rPr>
        <w:t>火灾、</w:t>
      </w:r>
      <w:r>
        <w:rPr>
          <w:rFonts w:hint="eastAsia" w:ascii="仿宋_GB2312" w:hAnsi="宋体" w:eastAsia="仿宋_GB2312" w:cs="宋体"/>
          <w:sz w:val="32"/>
          <w:szCs w:val="32"/>
          <w:lang w:eastAsia="zh-CN"/>
        </w:rPr>
        <w:t>水旱灾害、地震和地质灾害等防治工作，负责自然灾害综合监测预警工作，指导开展自然灾害综合风险评估工作。</w:t>
      </w:r>
    </w:p>
    <w:p w14:paraId="3AD8BA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（十）组织协调灾害救助工作，组织指导灾情核查、损失评估、救灾捐赠工作，按权限管理、分配中央、省、市级下达和区级救灾款物并监督使用。</w:t>
      </w:r>
    </w:p>
    <w:p w14:paraId="0C7C63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（十一）依法行使安全生产综合监督管理职权，指导协调、监督检查区直有关部门和各镇政府、街道办事处安全生产工作，组织开展安全生产巡查、考核工作。</w:t>
      </w:r>
    </w:p>
    <w:p w14:paraId="250CDD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（十二）按照分级、属地原则，依法监督检查工矿商贸（</w:t>
      </w:r>
      <w:r>
        <w:rPr>
          <w:rFonts w:hint="eastAsia" w:ascii="仿宋_GB2312" w:hAnsi="宋体" w:eastAsia="仿宋_GB2312" w:cs="宋体"/>
          <w:sz w:val="32"/>
          <w:szCs w:val="32"/>
          <w:lang w:val="en-US" w:eastAsia="zh-CN"/>
        </w:rPr>
        <w:t>除煤矿外）</w:t>
      </w:r>
      <w:r>
        <w:rPr>
          <w:rFonts w:hint="eastAsia" w:ascii="仿宋_GB2312" w:hAnsi="宋体" w:eastAsia="仿宋_GB2312" w:cs="宋体"/>
          <w:sz w:val="32"/>
          <w:szCs w:val="32"/>
          <w:lang w:eastAsia="zh-CN"/>
        </w:rPr>
        <w:t>生产经营单位贯彻执行安全生产法律法规情况及其安全生产条件和有关设备（特种设备除外）、材料、劳动防护用品的安全生产管理工作。</w:t>
      </w:r>
      <w:r>
        <w:rPr>
          <w:rFonts w:hint="eastAsia" w:ascii="仿宋_GB2312" w:hAnsi="宋体" w:eastAsia="仿宋_GB2312" w:cs="宋体"/>
          <w:sz w:val="32"/>
          <w:szCs w:val="32"/>
          <w:lang w:val="en-US" w:eastAsia="zh-CN"/>
        </w:rPr>
        <w:t>负责监督管理治金、有色、建材、机械、轻工、纺织、烟草、商贸等八大行业区属企业安全生产工作。</w:t>
      </w:r>
      <w:r>
        <w:rPr>
          <w:rFonts w:hint="eastAsia" w:ascii="仿宋_GB2312" w:hAnsi="宋体" w:eastAsia="仿宋_GB2312" w:cs="宋体"/>
          <w:sz w:val="32"/>
          <w:szCs w:val="32"/>
          <w:lang w:eastAsia="zh-CN"/>
        </w:rPr>
        <w:t>依法组织并指导监督实施安全生产准入制度。负责危险化学品安全监督管理综合工作和烟花爆竹安全生产监督管理工作。</w:t>
      </w:r>
    </w:p>
    <w:p w14:paraId="2A391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（十三）依法组织指导生产安全事故调查处理，监督事故查处和责任追究落实情况。组织开展自然灾害类突发事件的调查评估工作。</w:t>
      </w:r>
    </w:p>
    <w:p w14:paraId="5B3D0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（十四）开展应急管理交流与合作，组织参与安全生产类、自然灾害类等突发事件的对外救援工作。</w:t>
      </w:r>
    </w:p>
    <w:p w14:paraId="2AA01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（十五）制定全区应急物资储备和应急救援装备规划并组织实施，会同区发展和改革局、区商务局、区民政局等部门建立健全应急物资信息平台和调控制度，在救灾时统一调度。</w:t>
      </w:r>
    </w:p>
    <w:p w14:paraId="182005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（十六）负责应急管理、安全生产宣传教育和培训工作，组织指导应急管理、安全生产的科学技术推广应用和信息化建设工作。</w:t>
      </w:r>
    </w:p>
    <w:p w14:paraId="09B8D2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（十七）承担区</w:t>
      </w:r>
      <w:r>
        <w:rPr>
          <w:rFonts w:hint="eastAsia" w:ascii="仿宋_GB2312" w:hAnsi="宋体" w:eastAsia="仿宋_GB2312" w:cs="宋体"/>
          <w:sz w:val="32"/>
          <w:szCs w:val="32"/>
          <w:lang w:val="en-US" w:eastAsia="zh-CN"/>
        </w:rPr>
        <w:t>应急和安全生产委员会</w:t>
      </w:r>
      <w:r>
        <w:rPr>
          <w:rFonts w:hint="eastAsia" w:ascii="仿宋_GB2312" w:hAnsi="宋体" w:eastAsia="仿宋_GB2312" w:cs="宋体"/>
          <w:sz w:val="32"/>
          <w:szCs w:val="32"/>
          <w:lang w:eastAsia="zh-CN"/>
        </w:rPr>
        <w:t>日常工作，协调区防汛抗旱指挥部成员单位的相关工作，组织执行上级防汛抗旱指挥部和上级流域防汛抗旱指挥机构的指示、命令</w:t>
      </w:r>
      <w:bookmarkStart w:id="0" w:name="_GoBack"/>
      <w:bookmarkEnd w:id="0"/>
      <w:r>
        <w:rPr>
          <w:rFonts w:hint="eastAsia" w:ascii="仿宋_GB2312" w:hAnsi="宋体" w:eastAsia="仿宋_GB2312" w:cs="宋体"/>
          <w:sz w:val="32"/>
          <w:szCs w:val="32"/>
          <w:lang w:eastAsia="zh-CN"/>
        </w:rPr>
        <w:t>。</w:t>
      </w:r>
    </w:p>
    <w:p w14:paraId="5A84DD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八）按照党和国家有关"一岗双责"的要求，承担分管行业内党风廉政、机关党建、防范化解重大风险、脱贫攻坚、生态环境保护、推进法治建设、食品安全、文物安全、信访接访、处置非法集资等方面的职责。</w:t>
      </w:r>
    </w:p>
    <w:p w14:paraId="23AEC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（十九）完成区委、区政府交办的其他任务。</w:t>
      </w:r>
    </w:p>
    <w:p w14:paraId="20BF7A7E">
      <w:pPr>
        <w:autoSpaceDE w:val="0"/>
        <w:autoSpaceDN w:val="0"/>
        <w:spacing w:before="94" w:line="221" w:lineRule="auto"/>
        <w:ind w:left="877"/>
        <w:jc w:val="left"/>
        <w:rPr>
          <w:rFonts w:hint="eastAsia" w:ascii="黑体" w:hAnsi="黑体" w:eastAsia="黑体" w:cs="黑体"/>
          <w:b/>
          <w:bCs/>
          <w:spacing w:val="7"/>
          <w:kern w:val="0"/>
          <w:sz w:val="29"/>
          <w:szCs w:val="29"/>
        </w:rPr>
      </w:pPr>
      <w:r>
        <w:rPr>
          <w:rFonts w:hint="eastAsia" w:ascii="黑体" w:hAnsi="黑体" w:eastAsia="黑体" w:cs="黑体"/>
          <w:b/>
          <w:bCs/>
          <w:spacing w:val="7"/>
          <w:kern w:val="0"/>
          <w:sz w:val="29"/>
          <w:szCs w:val="29"/>
        </w:rPr>
        <w:t>二、部门整体支出情况  </w:t>
      </w:r>
    </w:p>
    <w:p w14:paraId="0C673EAF">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1、收入支出情况</w:t>
      </w:r>
    </w:p>
    <w:p w14:paraId="160DBE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年度本年收入</w:t>
      </w:r>
      <w:r>
        <w:rPr>
          <w:rFonts w:hint="eastAsia" w:ascii="仿宋_GB2312" w:hAnsi="宋体" w:eastAsia="仿宋_GB2312" w:cs="宋体"/>
          <w:sz w:val="32"/>
          <w:szCs w:val="32"/>
          <w:lang w:val="en-US" w:eastAsia="zh-CN"/>
        </w:rPr>
        <w:t>953.65</w:t>
      </w:r>
      <w:r>
        <w:rPr>
          <w:rFonts w:hint="eastAsia" w:ascii="仿宋_GB2312" w:hAnsi="宋体" w:eastAsia="仿宋_GB2312" w:cs="宋体"/>
          <w:sz w:val="32"/>
          <w:szCs w:val="32"/>
          <w:lang w:eastAsia="zh-CN"/>
        </w:rPr>
        <w:t>万元，其中：财政拨款收入</w:t>
      </w:r>
      <w:r>
        <w:rPr>
          <w:rFonts w:hint="eastAsia" w:ascii="宋体" w:hAnsi="宋体" w:eastAsia="宋体" w:cs="仿宋"/>
          <w:bCs/>
          <w:color w:val="auto"/>
          <w:kern w:val="2"/>
          <w:sz w:val="28"/>
          <w:szCs w:val="28"/>
          <w:lang w:val="en-US" w:eastAsia="zh-CN"/>
        </w:rPr>
        <w:t>951.98</w:t>
      </w:r>
      <w:r>
        <w:rPr>
          <w:rFonts w:hint="eastAsia" w:ascii="仿宋_GB2312" w:hAnsi="宋体" w:eastAsia="仿宋_GB2312" w:cs="宋体"/>
          <w:sz w:val="32"/>
          <w:szCs w:val="32"/>
          <w:lang w:eastAsia="zh-CN"/>
        </w:rPr>
        <w:t xml:space="preserve">万元；上级补助收入 0 万元；事业收入 0 万元；经营收入 0 万；附属单位上缴收入 0 万元；其他收入 </w:t>
      </w:r>
      <w:r>
        <w:rPr>
          <w:rFonts w:hint="eastAsia" w:ascii="仿宋_GB2312" w:hAnsi="宋体" w:eastAsia="仿宋_GB2312" w:cs="宋体"/>
          <w:sz w:val="32"/>
          <w:szCs w:val="32"/>
          <w:lang w:val="en-US" w:eastAsia="zh-CN"/>
        </w:rPr>
        <w:t>1.67</w:t>
      </w:r>
      <w:r>
        <w:rPr>
          <w:rFonts w:hint="eastAsia" w:ascii="仿宋_GB2312" w:hAnsi="宋体" w:eastAsia="仿宋_GB2312" w:cs="宋体"/>
          <w:sz w:val="32"/>
          <w:szCs w:val="32"/>
          <w:lang w:eastAsia="zh-CN"/>
        </w:rPr>
        <w:t>万元。</w:t>
      </w:r>
    </w:p>
    <w:p w14:paraId="499EF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年度支出合计</w:t>
      </w:r>
      <w:r>
        <w:rPr>
          <w:rFonts w:hint="eastAsia" w:ascii="宋体" w:hAnsi="宋体" w:eastAsia="宋体" w:cs="仿宋"/>
          <w:bCs/>
          <w:sz w:val="28"/>
          <w:szCs w:val="28"/>
          <w:lang w:val="en-US" w:eastAsia="zh-CN"/>
        </w:rPr>
        <w:t>953.65</w:t>
      </w:r>
      <w:r>
        <w:rPr>
          <w:rFonts w:hint="eastAsia" w:ascii="仿宋_GB2312" w:hAnsi="宋体" w:eastAsia="仿宋_GB2312" w:cs="宋体"/>
          <w:sz w:val="32"/>
          <w:szCs w:val="32"/>
          <w:lang w:eastAsia="zh-CN"/>
        </w:rPr>
        <w:t>万元，其中：基本支出</w:t>
      </w:r>
      <w:r>
        <w:rPr>
          <w:rFonts w:hint="eastAsia" w:ascii="宋体" w:hAnsi="宋体" w:eastAsia="宋体" w:cs="仿宋"/>
          <w:bCs/>
          <w:color w:val="auto"/>
          <w:kern w:val="2"/>
          <w:sz w:val="28"/>
          <w:szCs w:val="28"/>
          <w:lang w:val="en-US" w:eastAsia="zh-CN"/>
        </w:rPr>
        <w:t>254.76</w:t>
      </w:r>
      <w:r>
        <w:rPr>
          <w:rFonts w:hint="eastAsia" w:ascii="仿宋_GB2312" w:hAnsi="宋体" w:eastAsia="仿宋_GB2312" w:cs="宋体"/>
          <w:sz w:val="32"/>
          <w:szCs w:val="32"/>
          <w:lang w:eastAsia="zh-CN"/>
        </w:rPr>
        <w:t>万元；项目支出</w:t>
      </w:r>
      <w:r>
        <w:rPr>
          <w:rFonts w:hint="eastAsia" w:ascii="宋体" w:hAnsi="宋体" w:eastAsia="宋体" w:cs="仿宋"/>
          <w:bCs/>
          <w:color w:val="auto"/>
          <w:kern w:val="2"/>
          <w:sz w:val="28"/>
          <w:szCs w:val="28"/>
          <w:lang w:val="en-US" w:eastAsia="zh-CN"/>
        </w:rPr>
        <w:t>698.90</w:t>
      </w:r>
      <w:r>
        <w:rPr>
          <w:rFonts w:hint="eastAsia" w:ascii="仿宋_GB2312" w:hAnsi="宋体" w:eastAsia="仿宋_GB2312" w:cs="宋体"/>
          <w:sz w:val="32"/>
          <w:szCs w:val="32"/>
          <w:lang w:eastAsia="zh-CN"/>
        </w:rPr>
        <w:t>万元；上缴上级支出 0 万元；经营支出 0 万元；对附属单位补助支出 0 万元。</w:t>
      </w:r>
    </w:p>
    <w:p w14:paraId="77D33414">
      <w:pPr>
        <w:autoSpaceDE w:val="0"/>
        <w:autoSpaceDN w:val="0"/>
        <w:spacing w:before="94" w:line="221" w:lineRule="auto"/>
        <w:ind w:left="877"/>
        <w:jc w:val="left"/>
        <w:rPr>
          <w:rFonts w:hint="eastAsia" w:ascii="黑体" w:hAnsi="黑体" w:eastAsia="黑体" w:cs="黑体"/>
          <w:b/>
          <w:bCs/>
          <w:spacing w:val="7"/>
          <w:kern w:val="0"/>
          <w:sz w:val="29"/>
          <w:szCs w:val="29"/>
        </w:rPr>
      </w:pPr>
      <w:r>
        <w:rPr>
          <w:rFonts w:hint="eastAsia" w:ascii="黑体" w:hAnsi="黑体" w:eastAsia="黑体" w:cs="黑体"/>
          <w:b/>
          <w:bCs/>
          <w:spacing w:val="7"/>
          <w:kern w:val="0"/>
          <w:sz w:val="29"/>
          <w:szCs w:val="29"/>
        </w:rPr>
        <w:t>三、资金管理及使用情况</w:t>
      </w:r>
    </w:p>
    <w:p w14:paraId="26C6E7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我局认真贯彻落实《党政机关厉行节约反对浪费条例》中关于从严从紧控制公务开支要求，从严控经费开支，三公经费等大幅下降。在资金使用上一直按照国家财经法规和本单位财务管理制度规定以及有关专项资金管理办法的规定收支，资金拨付有完整的审批程序和手续，按照财经制度的有关要求，有计划地安排、使用资金，严格财务审批制度。重大开支党组会集体研究，保证资金使用合法合规，同时资金使用无截留、挤占、挪用、虚列支出等情况。在严格执行各项有关法律法规、财务规章制度的同时，我们单位还制定了《关于进一步严肃会议纪律的通知》、《进一步加强公务车辆管理的通知》、《关于规范请假休假制度、严格考勤的通知》、《蒸湘区财政局公务接待及财务报账制度》等制度。</w:t>
      </w:r>
    </w:p>
    <w:p w14:paraId="1C367ABB">
      <w:pPr>
        <w:autoSpaceDE w:val="0"/>
        <w:autoSpaceDN w:val="0"/>
        <w:spacing w:before="94" w:line="221" w:lineRule="auto"/>
        <w:ind w:left="877"/>
        <w:jc w:val="left"/>
        <w:rPr>
          <w:rFonts w:hint="eastAsia" w:ascii="黑体" w:hAnsi="黑体" w:eastAsia="黑体" w:cs="黑体"/>
          <w:b/>
          <w:bCs/>
          <w:spacing w:val="7"/>
          <w:kern w:val="0"/>
          <w:sz w:val="29"/>
          <w:szCs w:val="29"/>
        </w:rPr>
      </w:pPr>
      <w:r>
        <w:rPr>
          <w:rFonts w:hint="eastAsia" w:ascii="黑体" w:hAnsi="黑体" w:eastAsia="黑体" w:cs="黑体"/>
          <w:b/>
          <w:bCs/>
          <w:spacing w:val="7"/>
          <w:kern w:val="0"/>
          <w:sz w:val="29"/>
          <w:szCs w:val="29"/>
        </w:rPr>
        <w:t>四、绩效评价工作情况</w:t>
      </w:r>
    </w:p>
    <w:p w14:paraId="0530CA5E">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（一）绩效评价目的</w:t>
      </w:r>
    </w:p>
    <w:p w14:paraId="43E0A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本次绩效评价的目的是为了全面分析和综合评价我局预算资金的使用管理情况，为切实提高资金使用效益，强化预算支出的责任和效率提供参考依据。</w:t>
      </w:r>
    </w:p>
    <w:p w14:paraId="48AB6549">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（二）绩效评价工作过程</w:t>
      </w:r>
    </w:p>
    <w:p w14:paraId="46F5CC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我们按照绩效评价规定要求成立评价小组，组织实施和分析评价，采取座谈等方式听取情况，检查基本支出、项目支出有关账目，收集整理支出相关资料，并根据各部门报送的绩效自评材料进行分析，形成评价结论。</w:t>
      </w:r>
    </w:p>
    <w:p w14:paraId="4DEE5FA0">
      <w:pPr>
        <w:autoSpaceDE w:val="0"/>
        <w:autoSpaceDN w:val="0"/>
        <w:spacing w:before="94" w:line="221" w:lineRule="auto"/>
        <w:ind w:left="877"/>
        <w:jc w:val="left"/>
        <w:rPr>
          <w:rFonts w:hint="eastAsia" w:ascii="黑体" w:hAnsi="黑体" w:eastAsia="黑体" w:cs="黑体"/>
          <w:b/>
          <w:bCs/>
          <w:spacing w:val="7"/>
          <w:kern w:val="0"/>
          <w:sz w:val="29"/>
          <w:szCs w:val="29"/>
        </w:rPr>
      </w:pPr>
      <w:r>
        <w:rPr>
          <w:rFonts w:hint="eastAsia" w:ascii="黑体" w:hAnsi="黑体" w:eastAsia="黑体" w:cs="黑体"/>
          <w:b/>
          <w:bCs/>
          <w:spacing w:val="7"/>
          <w:kern w:val="0"/>
          <w:sz w:val="29"/>
          <w:szCs w:val="29"/>
        </w:rPr>
        <w:t>五、部门整体支出绩效评价</w:t>
      </w:r>
    </w:p>
    <w:p w14:paraId="69531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楷体_GB2312" w:hAnsi="宋体" w:eastAsia="楷体_GB2312" w:cs="宋体"/>
          <w:b/>
          <w:kern w:val="0"/>
          <w:sz w:val="32"/>
          <w:szCs w:val="32"/>
        </w:rPr>
      </w:pPr>
      <w:r>
        <w:rPr>
          <w:rFonts w:hint="eastAsia" w:ascii="仿宋_GB2312" w:hAnsi="宋体" w:eastAsia="仿宋_GB2312" w:cs="宋体"/>
          <w:sz w:val="32"/>
          <w:szCs w:val="32"/>
          <w:lang w:eastAsia="zh-CN"/>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根据年初工作规划和重点性工作，全局上下团结一心，迎难而上，加压奋进，锐意进取，各项工作取得了较大成绩，较好的完成了年度工作目标。通过加强预算收支管理，不断建立健全内部管理制度，梳理内部管理流程，部门整体支出管理情况得到提升。部门整体支出绩效情况如下：</w:t>
      </w:r>
    </w:p>
    <w:p w14:paraId="02659AB3">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（一）经济效益评价</w:t>
      </w:r>
    </w:p>
    <w:p w14:paraId="1D9E7E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1. 预算执行方面，支出总额控制在预算总额以内；202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 xml:space="preserve"> 年度"三公"经费财政拨款支出预算为0.0万元，支出决算为0.0万元，完成预算的100%。</w:t>
      </w:r>
    </w:p>
    <w:p w14:paraId="204F17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2、预算管理方面，制度执行总体较为有效。</w:t>
      </w:r>
    </w:p>
    <w:p w14:paraId="00D32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3、资产管理方面，建立了资产管理制度，定期进行了盘点和资产清理，总体执行较好。</w:t>
      </w:r>
    </w:p>
    <w:p w14:paraId="7687DAD2">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（二）效率性评价和有效性评价</w:t>
      </w:r>
    </w:p>
    <w:p w14:paraId="2B710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预算安排的基本支出保障了正常的工作运转，预算安排的项目支出是非常必要的，在执行上是严格遵守各项财经纪律的，在项目资金的使用上也是放的心的，严守法律底线、纪律底线、道德底线。</w:t>
      </w:r>
    </w:p>
    <w:p w14:paraId="763C7D54">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（三）社会公众满意度评价</w:t>
      </w:r>
    </w:p>
    <w:p w14:paraId="1AE8DC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202</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lang w:eastAsia="zh-CN"/>
        </w:rPr>
        <w:t>年我局认真贯彻落实党的二十大精神勤奋工作，创先争优，通过全年定期的集中学习，我局精神面貌焕然一新，群众办事满意度不断提高。</w:t>
      </w:r>
    </w:p>
    <w:p w14:paraId="055E9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六、存在的主要问题。</w:t>
      </w:r>
    </w:p>
    <w:p w14:paraId="04165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1、财务制度执行力有待加强，资金使用计划有待细化。</w:t>
      </w:r>
    </w:p>
    <w:p w14:paraId="27FC9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2、财政预算资金到位比较迟缓，各项目经费支付不能及时到位。</w:t>
      </w:r>
    </w:p>
    <w:p w14:paraId="337B56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七、改进措施和有关建议</w:t>
      </w:r>
    </w:p>
    <w:p w14:paraId="47419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针对上述存在的问题及整体支出管理工作的需要，拟实施的改进措施如下：</w:t>
      </w:r>
    </w:p>
    <w:p w14:paraId="72A54A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1、继续从严控制出国（境)经费、车辆购置及运行费、公务接待费等一般性支出。</w:t>
      </w:r>
    </w:p>
    <w:p w14:paraId="6CAEF4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2、加强财务管理，严格财务审核。在费用报账支付时，按照预算规定的费用项目和用途进行资金使用审核、列报支付、财务核算，杜绝超支现象的发生。</w:t>
      </w:r>
    </w:p>
    <w:p w14:paraId="5F9554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3、加强项目开展进度的跟踪，开展项目绩效评价，确保项目绩效目标的完成。</w:t>
      </w:r>
    </w:p>
    <w:p w14:paraId="34BCAC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415F09F8"/>
    <w:rsid w:val="060E79C4"/>
    <w:rsid w:val="08A90D2D"/>
    <w:rsid w:val="1BA71797"/>
    <w:rsid w:val="1D4110DC"/>
    <w:rsid w:val="29235B3A"/>
    <w:rsid w:val="2CD15194"/>
    <w:rsid w:val="2E165C6D"/>
    <w:rsid w:val="415F09F8"/>
    <w:rsid w:val="43DA7CA1"/>
    <w:rsid w:val="4D1C7E93"/>
    <w:rsid w:val="52972F71"/>
    <w:rsid w:val="56B24DE5"/>
    <w:rsid w:val="578735B4"/>
    <w:rsid w:val="5C9B540C"/>
    <w:rsid w:val="5D02548B"/>
    <w:rsid w:val="5F147D62"/>
    <w:rsid w:val="6ECD3B4B"/>
    <w:rsid w:val="70764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2830</Words>
  <Characters>2886</Characters>
  <Lines>0</Lines>
  <Paragraphs>0</Paragraphs>
  <TotalTime>5</TotalTime>
  <ScaleCrop>false</ScaleCrop>
  <LinksUpToDate>false</LinksUpToDate>
  <CharactersWithSpaces>2905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2024-06-15T08:11:00Z</dcterms:created>
  <dc:creator>Saraphines</dc:creator>
  <cp:lastModifiedBy>Administrator</cp:lastModifiedBy>
  <dcterms:modified xsi:type="dcterms:W3CDTF">2025-09-01T02:57:13Z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2B824DF0F4884711999C24C2F354DB79_13</vt:lpwstr>
  </property>
  <property fmtid="{D5CDD505-2E9C-101B-9397-08002B2CF9AE}" pid="4" name="KSOTemplateDocerSaveRecord">
    <vt:lpwstr>eyJoZGlkIjoiMzE3NDlmNTFiNDJiMWUwM2Q1MmJmMDIyZTEwYzVjNGIifQ==</vt:lpwstr>
  </property>
</Properties>
</file>