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蒸民罚告字〔2025〕第4号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衡阳市蒸湘区英杰幼儿园：</w:t>
      </w:r>
    </w:p>
    <w:p w14:paraId="1060F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年度连续两年年度检查情况，本机关于202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衡阳市蒸湘区英杰幼儿园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参加年检的违法行为予以立案调查。</w:t>
      </w:r>
    </w:p>
    <w:p w14:paraId="3094E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你单位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连续两年及以上不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按规定进行年度检查情况,该行为违反了《民办非企业单位登记管理暂行条例》第二十三条规定和《民办非企业单位年度检查办法》第三条第一款的规定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违法情节严重。根据《民办非企业单位登记管理暂行条例》第二十五条第一款第（三）项有关“民办非企业单位拒不接受或者不按照规定接受监督检查的，情节严重的，予以撤销登记”的规定，本机关拟对你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作出如下行政处罚：撤销登记。</w:t>
      </w:r>
    </w:p>
    <w:p w14:paraId="1E0532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en-US" w:bidi="ar"/>
        </w:rPr>
        <w:t>依据《中华人民共和国行政处罚法》第四十四条、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日内向本机关提出，逾期视同放弃此权利。</w:t>
      </w:r>
    </w:p>
    <w:p w14:paraId="209D194B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D0E0667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0EA1DFB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73D198D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联系地址：衡阳市蒸湘区红湘北路4号    </w:t>
      </w:r>
    </w:p>
    <w:p w14:paraId="149DA371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邮政编码：421001</w:t>
      </w:r>
    </w:p>
    <w:p w14:paraId="11E99566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联系人：吴京蓉                     </w:t>
      </w:r>
    </w:p>
    <w:p w14:paraId="21E36D23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电话：0734-8827523</w:t>
      </w:r>
    </w:p>
    <w:p w14:paraId="4C3584D9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72FCBF4">
      <w:pPr>
        <w:pStyle w:val="2"/>
        <w:spacing w:before="85" w:line="220" w:lineRule="auto"/>
        <w:ind w:left="4755"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A3D87FA">
      <w:pPr>
        <w:pStyle w:val="2"/>
        <w:spacing w:before="85" w:line="220" w:lineRule="auto"/>
        <w:ind w:left="4755"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蒸湘区民政局</w:t>
      </w:r>
    </w:p>
    <w:p w14:paraId="5EC9D838">
      <w:pPr>
        <w:pStyle w:val="2"/>
        <w:spacing w:before="85" w:line="220" w:lineRule="auto"/>
        <w:ind w:left="4755"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2025年7月21日</w:t>
      </w:r>
    </w:p>
    <w:p w14:paraId="4798DA77">
      <w:pP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676E"/>
    <w:rsid w:val="0EFD1576"/>
    <w:rsid w:val="1A0755B5"/>
    <w:rsid w:val="1B9A6CA3"/>
    <w:rsid w:val="1EA91761"/>
    <w:rsid w:val="205928F4"/>
    <w:rsid w:val="20975A1C"/>
    <w:rsid w:val="2F5336E4"/>
    <w:rsid w:val="2F6A6408"/>
    <w:rsid w:val="35CB5A4B"/>
    <w:rsid w:val="3F9443DC"/>
    <w:rsid w:val="49950D67"/>
    <w:rsid w:val="4ACE3002"/>
    <w:rsid w:val="59BD1C25"/>
    <w:rsid w:val="5D1552A7"/>
    <w:rsid w:val="5E84261A"/>
    <w:rsid w:val="62772B7C"/>
    <w:rsid w:val="65B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582</Characters>
  <Lines>0</Lines>
  <Paragraphs>0</Paragraphs>
  <TotalTime>15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豆豆</cp:lastModifiedBy>
  <cp:lastPrinted>2025-07-22T05:05:46Z</cp:lastPrinted>
  <dcterms:modified xsi:type="dcterms:W3CDTF">2025-07-22T05:07:28Z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eyJoZGlkIjoiNmRiOWI5YTQ3YjVhMTEzOTk0NjliN2JjNmRiM2VmNGQiLCJ1c2VySWQiOiIzNzk1OTk5NzQifQ==</vt:lpwstr>
  </property>
  <property fmtid="{D5CDD505-2E9C-101B-9397-08002B2CF9AE}" pid="4" name="ICV">
    <vt:lpwstr>669AEFEA94D949F19A5409B97605ED38_12</vt:lpwstr>
  </property>
</Properties>
</file>