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4.vsd" ContentType="application/vnd.visio"/>
  <Override PartName="/word/embeddings/Microsoft_Visio_2003-2010___5.vsd" ContentType="application/vnd.visio"/>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6.vsdx" ContentType="application/vnd.ms-visio.drawing"/>
  <Override PartName="/word/embeddings/Microsoft_Visio___7.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751DE">
      <w:pPr>
        <w:rPr>
          <w:rFonts w:ascii="仿宋_GB2312" w:hAnsi="仿宋_GB2312" w:eastAsia="仿宋_GB2312" w:cs="仿宋_GB2312"/>
          <w:sz w:val="36"/>
          <w:szCs w:val="36"/>
        </w:rPr>
      </w:pPr>
    </w:p>
    <w:p w14:paraId="70085038">
      <w:pPr>
        <w:rPr>
          <w:rFonts w:ascii="仿宋_GB2312" w:hAnsi="仿宋_GB2312" w:eastAsia="仿宋_GB2312" w:cs="仿宋_GB2312"/>
          <w:sz w:val="36"/>
          <w:szCs w:val="36"/>
        </w:rPr>
      </w:pPr>
    </w:p>
    <w:p w14:paraId="6A757213">
      <w:pPr>
        <w:rPr>
          <w:rFonts w:ascii="仿宋_GB2312" w:hAnsi="仿宋_GB2312" w:eastAsia="仿宋_GB2312" w:cs="仿宋_GB2312"/>
          <w:sz w:val="36"/>
          <w:szCs w:val="36"/>
        </w:rPr>
      </w:pPr>
    </w:p>
    <w:p w14:paraId="3D52C167">
      <w:pPr>
        <w:adjustRightInd w:val="0"/>
        <w:snapToGrid w:val="0"/>
        <w:jc w:val="center"/>
        <w:outlineLvl w:val="0"/>
        <w:rPr>
          <w:rFonts w:ascii="方正小标宋_GBK" w:eastAsia="方正小标宋_GBK"/>
          <w:bCs/>
          <w:sz w:val="72"/>
          <w:szCs w:val="72"/>
        </w:rPr>
      </w:pPr>
      <w:bookmarkStart w:id="0" w:name="_Toc111712322"/>
      <w:r>
        <w:rPr>
          <w:rFonts w:hint="eastAsia" w:ascii="方正小标宋_GBK" w:eastAsia="方正小标宋_GBK"/>
          <w:bCs/>
          <w:sz w:val="72"/>
          <w:szCs w:val="72"/>
        </w:rPr>
        <w:t>建设项目环境影响报告表</w:t>
      </w:r>
      <w:bookmarkEnd w:id="0"/>
    </w:p>
    <w:p w14:paraId="1FC28D23">
      <w:pPr>
        <w:adjustRightInd w:val="0"/>
        <w:snapToGrid w:val="0"/>
        <w:jc w:val="center"/>
        <w:rPr>
          <w:rFonts w:ascii="楷体_GB2312" w:eastAsia="楷体_GB2312"/>
          <w:bCs/>
          <w:sz w:val="48"/>
          <w:szCs w:val="48"/>
        </w:rPr>
      </w:pPr>
      <w:r>
        <w:rPr>
          <w:rFonts w:hint="eastAsia" w:ascii="楷体_GB2312" w:eastAsia="楷体_GB2312"/>
          <w:bCs/>
          <w:sz w:val="48"/>
          <w:szCs w:val="48"/>
        </w:rPr>
        <w:t>（污染影响类）</w:t>
      </w:r>
    </w:p>
    <w:p w14:paraId="1307D076">
      <w:pPr>
        <w:adjustRightInd w:val="0"/>
        <w:snapToGrid w:val="0"/>
        <w:spacing w:line="288" w:lineRule="auto"/>
        <w:jc w:val="center"/>
        <w:outlineLvl w:val="0"/>
        <w:rPr>
          <w:rFonts w:ascii="华文仿宋" w:hAnsi="华文仿宋" w:eastAsia="华文仿宋" w:cs="华文仿宋"/>
          <w:kern w:val="44"/>
          <w:sz w:val="44"/>
          <w:szCs w:val="44"/>
        </w:rPr>
      </w:pPr>
      <w:bookmarkStart w:id="18" w:name="_GoBack"/>
    </w:p>
    <w:bookmarkEnd w:id="18"/>
    <w:p w14:paraId="492987B7">
      <w:pPr>
        <w:jc w:val="center"/>
        <w:rPr>
          <w:rFonts w:eastAsia="仿宋"/>
          <w:sz w:val="52"/>
          <w:szCs w:val="52"/>
        </w:rPr>
      </w:pPr>
    </w:p>
    <w:p w14:paraId="382369CF">
      <w:pPr>
        <w:rPr>
          <w:rFonts w:eastAsia="仿宋"/>
          <w:sz w:val="44"/>
          <w:szCs w:val="44"/>
        </w:rPr>
      </w:pPr>
    </w:p>
    <w:p w14:paraId="2AABA27E">
      <w:pPr>
        <w:ind w:firstLine="1040"/>
        <w:rPr>
          <w:rFonts w:eastAsia="仿宋"/>
          <w:sz w:val="44"/>
          <w:szCs w:val="44"/>
        </w:rPr>
      </w:pPr>
    </w:p>
    <w:p w14:paraId="0D98A3F2">
      <w:pPr>
        <w:ind w:firstLine="1040"/>
        <w:rPr>
          <w:rFonts w:eastAsia="仿宋"/>
          <w:sz w:val="44"/>
          <w:szCs w:val="44"/>
        </w:rPr>
      </w:pPr>
    </w:p>
    <w:p w14:paraId="3DC6FFFE">
      <w:pPr>
        <w:ind w:firstLine="1040"/>
        <w:rPr>
          <w:rFonts w:eastAsia="仿宋"/>
          <w:sz w:val="44"/>
          <w:szCs w:val="44"/>
        </w:rPr>
      </w:pPr>
    </w:p>
    <w:p w14:paraId="34574648">
      <w:pPr>
        <w:adjustRightInd w:val="0"/>
        <w:snapToGrid w:val="0"/>
        <w:spacing w:line="288" w:lineRule="auto"/>
        <w:ind w:left="1800" w:hanging="1800" w:hangingChars="500"/>
        <w:rPr>
          <w:rFonts w:asciiTheme="majorEastAsia" w:hAnsiTheme="majorEastAsia" w:eastAsiaTheme="majorEastAsia"/>
          <w:sz w:val="36"/>
          <w:szCs w:val="36"/>
          <w:u w:val="single"/>
        </w:rPr>
      </w:pPr>
      <w:bookmarkStart w:id="1" w:name="_Hlk57884087"/>
      <w:r>
        <w:rPr>
          <w:rFonts w:hint="eastAsia" w:asciiTheme="majorEastAsia" w:hAnsiTheme="majorEastAsia" w:eastAsiaTheme="majorEastAsia"/>
          <w:sz w:val="36"/>
          <w:szCs w:val="36"/>
        </w:rPr>
        <w:t>项目名称：</w:t>
      </w:r>
      <w:r>
        <w:rPr>
          <w:rFonts w:hint="eastAsia" w:asciiTheme="majorEastAsia" w:hAnsiTheme="majorEastAsia" w:eastAsiaTheme="majorEastAsia"/>
          <w:sz w:val="36"/>
          <w:szCs w:val="36"/>
          <w:u w:val="single"/>
        </w:rPr>
        <w:t xml:space="preserve">  衡钢89厂连轧后工艺路线改造项目   </w:t>
      </w:r>
    </w:p>
    <w:p w14:paraId="7BD09869">
      <w:pPr>
        <w:adjustRightInd w:val="0"/>
        <w:snapToGrid w:val="0"/>
        <w:spacing w:line="288" w:lineRule="auto"/>
        <w:rPr>
          <w:rFonts w:asciiTheme="majorEastAsia" w:hAnsiTheme="majorEastAsia" w:eastAsiaTheme="majorEastAsia"/>
          <w:sz w:val="36"/>
          <w:szCs w:val="36"/>
        </w:rPr>
      </w:pPr>
      <w:r>
        <w:rPr>
          <w:rFonts w:hint="eastAsia" w:asciiTheme="majorEastAsia" w:hAnsiTheme="majorEastAsia" w:eastAsiaTheme="majorEastAsia"/>
          <w:sz w:val="36"/>
          <w:szCs w:val="36"/>
        </w:rPr>
        <w:t>建设单位（盖章）：</w:t>
      </w:r>
      <w:r>
        <w:rPr>
          <w:rFonts w:hint="eastAsia" w:asciiTheme="majorEastAsia" w:hAnsiTheme="majorEastAsia" w:eastAsiaTheme="majorEastAsia"/>
          <w:sz w:val="36"/>
          <w:szCs w:val="36"/>
          <w:u w:val="single"/>
        </w:rPr>
        <w:t xml:space="preserve">    衡阳华菱钢管有限公司    </w:t>
      </w:r>
    </w:p>
    <w:p w14:paraId="68A753AA">
      <w:pPr>
        <w:adjustRightInd w:val="0"/>
        <w:snapToGrid w:val="0"/>
        <w:spacing w:line="288" w:lineRule="auto"/>
        <w:rPr>
          <w:rFonts w:ascii="仿宋_GB2312" w:eastAsiaTheme="majorEastAsia"/>
          <w:sz w:val="36"/>
          <w:szCs w:val="36"/>
        </w:rPr>
      </w:pPr>
      <w:r>
        <w:rPr>
          <w:rFonts w:hint="eastAsia" w:asciiTheme="majorEastAsia" w:hAnsiTheme="majorEastAsia" w:eastAsiaTheme="majorEastAsia"/>
          <w:sz w:val="36"/>
          <w:szCs w:val="36"/>
        </w:rPr>
        <w:t>编制日期：</w:t>
      </w:r>
      <w:r>
        <w:rPr>
          <w:rFonts w:hint="eastAsia" w:asciiTheme="majorEastAsia" w:hAnsiTheme="majorEastAsia" w:eastAsiaTheme="majorEastAsia"/>
          <w:sz w:val="36"/>
          <w:szCs w:val="36"/>
          <w:u w:val="single"/>
        </w:rPr>
        <w:t xml:space="preserve"> </w:t>
      </w:r>
      <w:r>
        <w:rPr>
          <w:rFonts w:asciiTheme="majorEastAsia" w:hAnsiTheme="majorEastAsia" w:eastAsiaTheme="majorEastAsia"/>
          <w:sz w:val="36"/>
          <w:szCs w:val="36"/>
          <w:u w:val="single"/>
        </w:rPr>
        <w:t xml:space="preserve">  </w:t>
      </w:r>
      <w:r>
        <w:rPr>
          <w:rFonts w:hint="eastAsia" w:asciiTheme="majorEastAsia" w:hAnsiTheme="majorEastAsia" w:eastAsiaTheme="majorEastAsia"/>
          <w:sz w:val="36"/>
          <w:szCs w:val="36"/>
          <w:u w:val="single"/>
        </w:rPr>
        <w:t xml:space="preserve">           2024年9月</w:t>
      </w:r>
      <w:r>
        <w:rPr>
          <w:rFonts w:asciiTheme="majorEastAsia" w:hAnsiTheme="majorEastAsia" w:eastAsiaTheme="majorEastAsia"/>
          <w:sz w:val="36"/>
          <w:szCs w:val="36"/>
          <w:u w:val="single"/>
        </w:rPr>
        <w:t xml:space="preserve">   </w:t>
      </w:r>
      <w:r>
        <w:rPr>
          <w:rFonts w:hint="eastAsia" w:asciiTheme="majorEastAsia" w:hAnsiTheme="majorEastAsia" w:eastAsiaTheme="majorEastAsia"/>
          <w:sz w:val="36"/>
          <w:szCs w:val="36"/>
          <w:u w:val="single"/>
        </w:rPr>
        <w:t xml:space="preserve">         </w:t>
      </w:r>
    </w:p>
    <w:p w14:paraId="668B9CBE">
      <w:pPr>
        <w:adjustRightInd w:val="0"/>
        <w:snapToGrid w:val="0"/>
        <w:spacing w:line="288" w:lineRule="auto"/>
        <w:ind w:firstLine="1040"/>
        <w:rPr>
          <w:rFonts w:ascii="仿宋_GB2312" w:eastAsia="仿宋_GB2312"/>
          <w:sz w:val="36"/>
          <w:szCs w:val="36"/>
        </w:rPr>
      </w:pPr>
    </w:p>
    <w:p w14:paraId="43B10287">
      <w:pPr>
        <w:adjustRightInd w:val="0"/>
        <w:snapToGrid w:val="0"/>
        <w:spacing w:line="288" w:lineRule="auto"/>
        <w:ind w:firstLine="1040"/>
        <w:rPr>
          <w:rFonts w:ascii="仿宋_GB2312" w:eastAsia="仿宋_GB2312"/>
          <w:sz w:val="36"/>
          <w:szCs w:val="36"/>
        </w:rPr>
      </w:pPr>
    </w:p>
    <w:bookmarkEnd w:id="1"/>
    <w:p w14:paraId="37F7A08D">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14:paraId="633003AE">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14:paraId="2AFCC0BF">
      <w:pPr>
        <w:pStyle w:val="28"/>
        <w:spacing w:before="0" w:beforeAutospacing="0" w:after="0" w:afterAutospacing="0"/>
        <w:jc w:val="center"/>
        <w:outlineLvl w:val="0"/>
        <w:rPr>
          <w:rFonts w:ascii="黑体" w:hAnsi="黑体" w:eastAsia="黑体"/>
          <w:snapToGrid w:val="0"/>
          <w:sz w:val="30"/>
          <w:szCs w:val="30"/>
        </w:rPr>
      </w:pPr>
      <w:bookmarkStart w:id="2" w:name="_Toc111712323"/>
      <w:bookmarkStart w:id="3" w:name="_Toc109898366"/>
      <w:r>
        <w:rPr>
          <w:rFonts w:hint="eastAsia" w:ascii="黑体" w:hAnsi="黑体" w:eastAsia="黑体"/>
          <w:snapToGrid w:val="0"/>
          <w:sz w:val="30"/>
          <w:szCs w:val="30"/>
        </w:rPr>
        <w:t>目  录</w:t>
      </w:r>
      <w:bookmarkEnd w:id="2"/>
      <w:bookmarkEnd w:id="3"/>
    </w:p>
    <w:p w14:paraId="3FD236A1">
      <w:pPr>
        <w:pStyle w:val="20"/>
        <w:tabs>
          <w:tab w:val="right" w:leader="dot" w:pos="8834"/>
        </w:tabs>
        <w:spacing w:line="360" w:lineRule="auto"/>
        <w:rPr>
          <w:rFonts w:eastAsiaTheme="minorEastAsia"/>
          <w:sz w:val="24"/>
        </w:rPr>
      </w:pPr>
      <w:r>
        <w:rPr>
          <w:rFonts w:eastAsiaTheme="minorEastAsia"/>
          <w:snapToGrid w:val="0"/>
          <w:sz w:val="24"/>
        </w:rPr>
        <w:fldChar w:fldCharType="begin"/>
      </w:r>
      <w:r>
        <w:rPr>
          <w:rFonts w:eastAsiaTheme="minorEastAsia"/>
          <w:snapToGrid w:val="0"/>
          <w:sz w:val="24"/>
        </w:rPr>
        <w:instrText xml:space="preserve"> TOC \o "1-1" \h \z \u </w:instrText>
      </w:r>
      <w:r>
        <w:rPr>
          <w:rFonts w:eastAsiaTheme="minorEastAsia"/>
          <w:snapToGrid w:val="0"/>
          <w:sz w:val="24"/>
        </w:rPr>
        <w:fldChar w:fldCharType="separate"/>
      </w:r>
      <w:r>
        <w:fldChar w:fldCharType="begin"/>
      </w:r>
      <w:r>
        <w:instrText xml:space="preserve"> HYPERLINK \l "_Toc111712326" </w:instrText>
      </w:r>
      <w:r>
        <w:fldChar w:fldCharType="separate"/>
      </w:r>
      <w:r>
        <w:rPr>
          <w:rStyle w:val="37"/>
          <w:rFonts w:hAnsiTheme="minorEastAsia" w:eastAsiaTheme="minorEastAsia"/>
          <w:snapToGrid w:val="0"/>
          <w:color w:val="auto"/>
          <w:sz w:val="24"/>
          <w:u w:val="none"/>
        </w:rPr>
        <w:t>一、建设项目基本情况</w:t>
      </w:r>
      <w:r>
        <w:rPr>
          <w:rFonts w:eastAsiaTheme="minorEastAsia"/>
          <w:sz w:val="24"/>
        </w:rPr>
        <w:tab/>
      </w:r>
      <w:r>
        <w:rPr>
          <w:rFonts w:eastAsiaTheme="minorEastAsia"/>
          <w:sz w:val="24"/>
        </w:rPr>
        <w:fldChar w:fldCharType="begin"/>
      </w:r>
      <w:r>
        <w:rPr>
          <w:rFonts w:eastAsiaTheme="minorEastAsia"/>
          <w:sz w:val="24"/>
        </w:rPr>
        <w:instrText xml:space="preserve"> PAGEREF _Toc111712326 \h </w:instrText>
      </w:r>
      <w:r>
        <w:rPr>
          <w:rFonts w:eastAsiaTheme="minorEastAsia"/>
          <w:sz w:val="24"/>
        </w:rPr>
        <w:fldChar w:fldCharType="separate"/>
      </w:r>
      <w:r>
        <w:rPr>
          <w:rFonts w:eastAsiaTheme="minorEastAsia"/>
          <w:sz w:val="24"/>
        </w:rPr>
        <w:t>2</w:t>
      </w:r>
      <w:r>
        <w:rPr>
          <w:rFonts w:eastAsiaTheme="minorEastAsia"/>
          <w:sz w:val="24"/>
        </w:rPr>
        <w:fldChar w:fldCharType="end"/>
      </w:r>
      <w:r>
        <w:rPr>
          <w:rFonts w:eastAsiaTheme="minorEastAsia"/>
          <w:sz w:val="24"/>
        </w:rPr>
        <w:fldChar w:fldCharType="end"/>
      </w:r>
    </w:p>
    <w:p w14:paraId="1318F1F5">
      <w:pPr>
        <w:pStyle w:val="20"/>
        <w:tabs>
          <w:tab w:val="right" w:leader="dot" w:pos="8834"/>
        </w:tabs>
        <w:spacing w:line="360" w:lineRule="auto"/>
        <w:rPr>
          <w:rFonts w:eastAsiaTheme="minorEastAsia"/>
          <w:sz w:val="24"/>
        </w:rPr>
      </w:pPr>
      <w:r>
        <w:fldChar w:fldCharType="begin"/>
      </w:r>
      <w:r>
        <w:instrText xml:space="preserve"> HYPERLINK \l "_Toc111712327" </w:instrText>
      </w:r>
      <w:r>
        <w:fldChar w:fldCharType="separate"/>
      </w:r>
      <w:r>
        <w:rPr>
          <w:rStyle w:val="37"/>
          <w:rFonts w:hAnsiTheme="minorEastAsia" w:eastAsiaTheme="minorEastAsia"/>
          <w:snapToGrid w:val="0"/>
          <w:color w:val="auto"/>
          <w:sz w:val="24"/>
          <w:u w:val="none"/>
        </w:rPr>
        <w:t>二、建设项目工程分析</w:t>
      </w:r>
      <w:r>
        <w:rPr>
          <w:rFonts w:eastAsiaTheme="minorEastAsia"/>
          <w:sz w:val="24"/>
        </w:rPr>
        <w:tab/>
      </w:r>
      <w:r>
        <w:rPr>
          <w:rFonts w:eastAsiaTheme="minorEastAsia"/>
          <w:sz w:val="24"/>
        </w:rPr>
        <w:fldChar w:fldCharType="begin"/>
      </w:r>
      <w:r>
        <w:rPr>
          <w:rFonts w:eastAsiaTheme="minorEastAsia"/>
          <w:sz w:val="24"/>
        </w:rPr>
        <w:instrText xml:space="preserve"> PAGEREF _Toc111712327 \h </w:instrText>
      </w:r>
      <w:r>
        <w:rPr>
          <w:rFonts w:eastAsiaTheme="minorEastAsia"/>
          <w:sz w:val="24"/>
        </w:rPr>
        <w:fldChar w:fldCharType="separate"/>
      </w:r>
      <w:r>
        <w:rPr>
          <w:rFonts w:eastAsiaTheme="minorEastAsia"/>
          <w:sz w:val="24"/>
        </w:rPr>
        <w:t>14</w:t>
      </w:r>
      <w:r>
        <w:rPr>
          <w:rFonts w:eastAsiaTheme="minorEastAsia"/>
          <w:sz w:val="24"/>
        </w:rPr>
        <w:fldChar w:fldCharType="end"/>
      </w:r>
      <w:r>
        <w:rPr>
          <w:rFonts w:eastAsiaTheme="minorEastAsia"/>
          <w:sz w:val="24"/>
        </w:rPr>
        <w:fldChar w:fldCharType="end"/>
      </w:r>
    </w:p>
    <w:p w14:paraId="537840CB">
      <w:pPr>
        <w:pStyle w:val="20"/>
        <w:tabs>
          <w:tab w:val="right" w:leader="dot" w:pos="8834"/>
        </w:tabs>
        <w:spacing w:line="360" w:lineRule="auto"/>
        <w:rPr>
          <w:rFonts w:eastAsiaTheme="minorEastAsia"/>
          <w:sz w:val="24"/>
        </w:rPr>
      </w:pPr>
      <w:r>
        <w:fldChar w:fldCharType="begin"/>
      </w:r>
      <w:r>
        <w:instrText xml:space="preserve"> HYPERLINK \l "_Toc111712328" </w:instrText>
      </w:r>
      <w:r>
        <w:fldChar w:fldCharType="separate"/>
      </w:r>
      <w:r>
        <w:rPr>
          <w:rStyle w:val="37"/>
          <w:rFonts w:hAnsiTheme="minorEastAsia" w:eastAsiaTheme="minorEastAsia"/>
          <w:snapToGrid w:val="0"/>
          <w:color w:val="auto"/>
          <w:sz w:val="24"/>
          <w:u w:val="none"/>
        </w:rPr>
        <w:t>三、区域环境质量现状、环境保护目标及评价标准</w:t>
      </w:r>
      <w:r>
        <w:rPr>
          <w:rFonts w:eastAsiaTheme="minorEastAsia"/>
          <w:sz w:val="24"/>
        </w:rPr>
        <w:tab/>
      </w:r>
      <w:r>
        <w:rPr>
          <w:rFonts w:eastAsiaTheme="minorEastAsia"/>
          <w:sz w:val="24"/>
        </w:rPr>
        <w:fldChar w:fldCharType="begin"/>
      </w:r>
      <w:r>
        <w:rPr>
          <w:rFonts w:eastAsiaTheme="minorEastAsia"/>
          <w:sz w:val="24"/>
        </w:rPr>
        <w:instrText xml:space="preserve"> PAGEREF _Toc111712328 \h </w:instrText>
      </w:r>
      <w:r>
        <w:rPr>
          <w:rFonts w:eastAsiaTheme="minorEastAsia"/>
          <w:sz w:val="24"/>
        </w:rPr>
        <w:fldChar w:fldCharType="separate"/>
      </w:r>
      <w:r>
        <w:rPr>
          <w:rFonts w:eastAsiaTheme="minorEastAsia"/>
          <w:sz w:val="24"/>
        </w:rPr>
        <w:t>47</w:t>
      </w:r>
      <w:r>
        <w:rPr>
          <w:rFonts w:eastAsiaTheme="minorEastAsia"/>
          <w:sz w:val="24"/>
        </w:rPr>
        <w:fldChar w:fldCharType="end"/>
      </w:r>
      <w:r>
        <w:rPr>
          <w:rFonts w:eastAsiaTheme="minorEastAsia"/>
          <w:sz w:val="24"/>
        </w:rPr>
        <w:fldChar w:fldCharType="end"/>
      </w:r>
    </w:p>
    <w:p w14:paraId="3E009BD9">
      <w:pPr>
        <w:pStyle w:val="20"/>
        <w:tabs>
          <w:tab w:val="right" w:leader="dot" w:pos="8834"/>
        </w:tabs>
        <w:spacing w:line="360" w:lineRule="auto"/>
        <w:rPr>
          <w:rFonts w:eastAsiaTheme="minorEastAsia"/>
          <w:sz w:val="24"/>
        </w:rPr>
      </w:pPr>
      <w:r>
        <w:fldChar w:fldCharType="begin"/>
      </w:r>
      <w:r>
        <w:instrText xml:space="preserve"> HYPERLINK \l "_Toc111712329" </w:instrText>
      </w:r>
      <w:r>
        <w:fldChar w:fldCharType="separate"/>
      </w:r>
      <w:r>
        <w:rPr>
          <w:rStyle w:val="37"/>
          <w:rFonts w:hAnsiTheme="minorEastAsia" w:eastAsiaTheme="minorEastAsia"/>
          <w:snapToGrid w:val="0"/>
          <w:color w:val="auto"/>
          <w:sz w:val="24"/>
          <w:u w:val="none"/>
        </w:rPr>
        <w:t>四、主要环境影响和保护措施</w:t>
      </w:r>
      <w:r>
        <w:rPr>
          <w:rFonts w:eastAsiaTheme="minorEastAsia"/>
          <w:sz w:val="24"/>
        </w:rPr>
        <w:tab/>
      </w:r>
      <w:r>
        <w:rPr>
          <w:rFonts w:eastAsiaTheme="minorEastAsia"/>
          <w:sz w:val="24"/>
        </w:rPr>
        <w:fldChar w:fldCharType="begin"/>
      </w:r>
      <w:r>
        <w:rPr>
          <w:rFonts w:eastAsiaTheme="minorEastAsia"/>
          <w:sz w:val="24"/>
        </w:rPr>
        <w:instrText xml:space="preserve"> PAGEREF _Toc111712329 \h </w:instrText>
      </w:r>
      <w:r>
        <w:rPr>
          <w:rFonts w:eastAsiaTheme="minorEastAsia"/>
          <w:sz w:val="24"/>
        </w:rPr>
        <w:fldChar w:fldCharType="separate"/>
      </w:r>
      <w:r>
        <w:rPr>
          <w:rFonts w:eastAsiaTheme="minorEastAsia"/>
          <w:sz w:val="24"/>
        </w:rPr>
        <w:t>54</w:t>
      </w:r>
      <w:r>
        <w:rPr>
          <w:rFonts w:eastAsiaTheme="minorEastAsia"/>
          <w:sz w:val="24"/>
        </w:rPr>
        <w:fldChar w:fldCharType="end"/>
      </w:r>
      <w:r>
        <w:rPr>
          <w:rFonts w:eastAsiaTheme="minorEastAsia"/>
          <w:sz w:val="24"/>
        </w:rPr>
        <w:fldChar w:fldCharType="end"/>
      </w:r>
    </w:p>
    <w:p w14:paraId="06363B9E">
      <w:pPr>
        <w:pStyle w:val="20"/>
        <w:tabs>
          <w:tab w:val="right" w:leader="dot" w:pos="8834"/>
        </w:tabs>
        <w:spacing w:line="360" w:lineRule="auto"/>
        <w:rPr>
          <w:rFonts w:eastAsiaTheme="minorEastAsia"/>
          <w:sz w:val="24"/>
        </w:rPr>
      </w:pPr>
      <w:r>
        <w:fldChar w:fldCharType="begin"/>
      </w:r>
      <w:r>
        <w:instrText xml:space="preserve"> HYPERLINK \l "_Toc111712330" </w:instrText>
      </w:r>
      <w:r>
        <w:fldChar w:fldCharType="separate"/>
      </w:r>
      <w:r>
        <w:rPr>
          <w:rStyle w:val="37"/>
          <w:rFonts w:hAnsiTheme="minorEastAsia" w:eastAsiaTheme="minorEastAsia"/>
          <w:snapToGrid w:val="0"/>
          <w:color w:val="auto"/>
          <w:sz w:val="24"/>
          <w:u w:val="none"/>
        </w:rPr>
        <w:t>五、环境保护措施监督检查清单</w:t>
      </w:r>
      <w:r>
        <w:rPr>
          <w:rFonts w:eastAsiaTheme="minorEastAsia"/>
          <w:sz w:val="24"/>
        </w:rPr>
        <w:tab/>
      </w:r>
      <w:r>
        <w:rPr>
          <w:rFonts w:eastAsiaTheme="minorEastAsia"/>
          <w:sz w:val="24"/>
        </w:rPr>
        <w:fldChar w:fldCharType="begin"/>
      </w:r>
      <w:r>
        <w:rPr>
          <w:rFonts w:eastAsiaTheme="minorEastAsia"/>
          <w:sz w:val="24"/>
        </w:rPr>
        <w:instrText xml:space="preserve"> PAGEREF _Toc111712330 \h </w:instrText>
      </w:r>
      <w:r>
        <w:rPr>
          <w:rFonts w:eastAsiaTheme="minorEastAsia"/>
          <w:sz w:val="24"/>
        </w:rPr>
        <w:fldChar w:fldCharType="separate"/>
      </w:r>
      <w:r>
        <w:rPr>
          <w:rFonts w:eastAsiaTheme="minorEastAsia"/>
          <w:sz w:val="24"/>
        </w:rPr>
        <w:t>71</w:t>
      </w:r>
      <w:r>
        <w:rPr>
          <w:rFonts w:eastAsiaTheme="minorEastAsia"/>
          <w:sz w:val="24"/>
        </w:rPr>
        <w:fldChar w:fldCharType="end"/>
      </w:r>
      <w:r>
        <w:rPr>
          <w:rFonts w:eastAsiaTheme="minorEastAsia"/>
          <w:sz w:val="24"/>
        </w:rPr>
        <w:fldChar w:fldCharType="end"/>
      </w:r>
    </w:p>
    <w:p w14:paraId="3C2DDD22">
      <w:pPr>
        <w:pStyle w:val="20"/>
        <w:tabs>
          <w:tab w:val="right" w:leader="dot" w:pos="8834"/>
        </w:tabs>
        <w:spacing w:line="360" w:lineRule="auto"/>
        <w:rPr>
          <w:rFonts w:eastAsiaTheme="minorEastAsia"/>
          <w:sz w:val="24"/>
        </w:rPr>
      </w:pPr>
      <w:r>
        <w:fldChar w:fldCharType="begin"/>
      </w:r>
      <w:r>
        <w:instrText xml:space="preserve"> HYPERLINK \l "_Toc111712331" </w:instrText>
      </w:r>
      <w:r>
        <w:fldChar w:fldCharType="separate"/>
      </w:r>
      <w:r>
        <w:rPr>
          <w:rStyle w:val="37"/>
          <w:rFonts w:hAnsiTheme="minorEastAsia" w:eastAsiaTheme="minorEastAsia"/>
          <w:snapToGrid w:val="0"/>
          <w:color w:val="auto"/>
          <w:sz w:val="24"/>
          <w:u w:val="none"/>
        </w:rPr>
        <w:t>六、结论</w:t>
      </w:r>
      <w:r>
        <w:rPr>
          <w:rFonts w:eastAsiaTheme="minorEastAsia"/>
          <w:sz w:val="24"/>
        </w:rPr>
        <w:tab/>
      </w:r>
      <w:r>
        <w:rPr>
          <w:rFonts w:eastAsiaTheme="minorEastAsia"/>
          <w:sz w:val="24"/>
        </w:rPr>
        <w:fldChar w:fldCharType="begin"/>
      </w:r>
      <w:r>
        <w:rPr>
          <w:rFonts w:eastAsiaTheme="minorEastAsia"/>
          <w:sz w:val="24"/>
        </w:rPr>
        <w:instrText xml:space="preserve"> PAGEREF _Toc111712331 \h </w:instrText>
      </w:r>
      <w:r>
        <w:rPr>
          <w:rFonts w:eastAsiaTheme="minorEastAsia"/>
          <w:sz w:val="24"/>
        </w:rPr>
        <w:fldChar w:fldCharType="separate"/>
      </w:r>
      <w:r>
        <w:rPr>
          <w:rFonts w:eastAsiaTheme="minorEastAsia"/>
          <w:sz w:val="24"/>
        </w:rPr>
        <w:t>73</w:t>
      </w:r>
      <w:r>
        <w:rPr>
          <w:rFonts w:eastAsiaTheme="minorEastAsia"/>
          <w:sz w:val="24"/>
        </w:rPr>
        <w:fldChar w:fldCharType="end"/>
      </w:r>
      <w:r>
        <w:rPr>
          <w:rFonts w:eastAsiaTheme="minorEastAsia"/>
          <w:sz w:val="24"/>
        </w:rPr>
        <w:fldChar w:fldCharType="end"/>
      </w:r>
    </w:p>
    <w:p w14:paraId="1FFC7812">
      <w:pPr>
        <w:pStyle w:val="28"/>
        <w:spacing w:before="0" w:beforeAutospacing="0" w:after="0" w:afterAutospacing="0" w:line="360" w:lineRule="auto"/>
        <w:outlineLvl w:val="0"/>
        <w:rPr>
          <w:rFonts w:ascii="黑体" w:hAnsi="黑体" w:eastAsia="黑体"/>
          <w:snapToGrid w:val="0"/>
          <w:sz w:val="30"/>
          <w:szCs w:val="30"/>
        </w:rPr>
      </w:pPr>
      <w:r>
        <w:rPr>
          <w:rFonts w:ascii="Times New Roman" w:hAnsi="Times New Roman" w:eastAsiaTheme="minorEastAsia"/>
          <w:snapToGrid w:val="0"/>
          <w:szCs w:val="24"/>
        </w:rPr>
        <w:fldChar w:fldCharType="end"/>
      </w:r>
      <w:bookmarkStart w:id="4" w:name="_Toc111712324"/>
      <w:r>
        <w:rPr>
          <w:rFonts w:hint="eastAsia" w:ascii="黑体" w:hAnsi="黑体" w:eastAsia="黑体"/>
          <w:snapToGrid w:val="0"/>
          <w:sz w:val="32"/>
          <w:szCs w:val="32"/>
        </w:rPr>
        <w:t>附图</w:t>
      </w:r>
      <w:bookmarkEnd w:id="4"/>
    </w:p>
    <w:p w14:paraId="20D18025">
      <w:pPr>
        <w:spacing w:line="360" w:lineRule="auto"/>
        <w:ind w:firstLine="480" w:firstLineChars="200"/>
        <w:rPr>
          <w:sz w:val="24"/>
          <w:szCs w:val="28"/>
        </w:rPr>
      </w:pPr>
      <w:r>
        <w:rPr>
          <w:rFonts w:hint="eastAsia"/>
          <w:sz w:val="24"/>
          <w:szCs w:val="28"/>
        </w:rPr>
        <w:t>附图</w:t>
      </w:r>
      <w:r>
        <w:rPr>
          <w:sz w:val="24"/>
          <w:szCs w:val="28"/>
        </w:rPr>
        <w:t xml:space="preserve">1  </w:t>
      </w:r>
      <w:r>
        <w:rPr>
          <w:rFonts w:hint="eastAsia"/>
          <w:sz w:val="24"/>
          <w:szCs w:val="28"/>
        </w:rPr>
        <w:t>项目地理位置示意图</w:t>
      </w:r>
    </w:p>
    <w:p w14:paraId="07EB2AA5">
      <w:pPr>
        <w:spacing w:line="360" w:lineRule="auto"/>
        <w:ind w:firstLine="480" w:firstLineChars="200"/>
        <w:rPr>
          <w:sz w:val="24"/>
          <w:szCs w:val="28"/>
        </w:rPr>
      </w:pPr>
      <w:r>
        <w:rPr>
          <w:rFonts w:hint="eastAsia"/>
          <w:sz w:val="24"/>
          <w:szCs w:val="28"/>
        </w:rPr>
        <w:t>附图</w:t>
      </w:r>
      <w:r>
        <w:rPr>
          <w:sz w:val="24"/>
          <w:szCs w:val="28"/>
        </w:rPr>
        <w:t xml:space="preserve">2  </w:t>
      </w:r>
      <w:r>
        <w:rPr>
          <w:rFonts w:hint="eastAsia"/>
          <w:sz w:val="24"/>
          <w:szCs w:val="28"/>
        </w:rPr>
        <w:t>项目四邻关系示意</w:t>
      </w:r>
      <w:r>
        <w:rPr>
          <w:sz w:val="24"/>
          <w:szCs w:val="28"/>
        </w:rPr>
        <w:t>图</w:t>
      </w:r>
    </w:p>
    <w:p w14:paraId="5C017962">
      <w:pPr>
        <w:spacing w:line="360" w:lineRule="auto"/>
        <w:ind w:firstLine="480" w:firstLineChars="200"/>
        <w:rPr>
          <w:sz w:val="24"/>
          <w:szCs w:val="28"/>
        </w:rPr>
      </w:pPr>
      <w:r>
        <w:rPr>
          <w:rFonts w:hint="eastAsia"/>
          <w:sz w:val="24"/>
          <w:szCs w:val="28"/>
        </w:rPr>
        <w:t>附图3</w:t>
      </w:r>
      <w:r>
        <w:rPr>
          <w:sz w:val="24"/>
          <w:szCs w:val="28"/>
        </w:rPr>
        <w:t xml:space="preserve">  </w:t>
      </w:r>
      <w:r>
        <w:rPr>
          <w:rFonts w:hint="eastAsia"/>
          <w:sz w:val="24"/>
          <w:szCs w:val="28"/>
        </w:rPr>
        <w:t>项目现场勘查</w:t>
      </w:r>
    </w:p>
    <w:p w14:paraId="54D9F80F">
      <w:pPr>
        <w:spacing w:line="360" w:lineRule="auto"/>
        <w:ind w:firstLine="480" w:firstLineChars="200"/>
        <w:rPr>
          <w:sz w:val="24"/>
          <w:szCs w:val="28"/>
        </w:rPr>
      </w:pPr>
      <w:r>
        <w:rPr>
          <w:rFonts w:hint="eastAsia"/>
          <w:sz w:val="24"/>
          <w:szCs w:val="28"/>
        </w:rPr>
        <w:t>附图4</w:t>
      </w:r>
      <w:r>
        <w:rPr>
          <w:sz w:val="24"/>
          <w:szCs w:val="28"/>
        </w:rPr>
        <w:t xml:space="preserve">  </w:t>
      </w:r>
      <w:r>
        <w:rPr>
          <w:rFonts w:hint="eastAsia"/>
          <w:sz w:val="24"/>
          <w:szCs w:val="28"/>
        </w:rPr>
        <w:t>项目环境保护目标图</w:t>
      </w:r>
    </w:p>
    <w:p w14:paraId="54C0DBA9">
      <w:pPr>
        <w:spacing w:line="360" w:lineRule="auto"/>
        <w:ind w:firstLine="480" w:firstLineChars="200"/>
        <w:rPr>
          <w:sz w:val="24"/>
          <w:szCs w:val="28"/>
        </w:rPr>
      </w:pPr>
      <w:r>
        <w:rPr>
          <w:rFonts w:hint="eastAsia"/>
          <w:sz w:val="24"/>
          <w:szCs w:val="28"/>
        </w:rPr>
        <w:t>附图5</w:t>
      </w:r>
      <w:r>
        <w:rPr>
          <w:sz w:val="24"/>
          <w:szCs w:val="28"/>
        </w:rPr>
        <w:t xml:space="preserve">  </w:t>
      </w:r>
      <w:r>
        <w:rPr>
          <w:rFonts w:hint="eastAsia"/>
          <w:sz w:val="24"/>
          <w:szCs w:val="28"/>
        </w:rPr>
        <w:t>项目环保设施示意图</w:t>
      </w:r>
    </w:p>
    <w:p w14:paraId="2B3287A3">
      <w:pPr>
        <w:spacing w:line="360" w:lineRule="auto"/>
        <w:ind w:firstLine="480" w:firstLineChars="200"/>
        <w:rPr>
          <w:sz w:val="24"/>
          <w:szCs w:val="28"/>
        </w:rPr>
      </w:pPr>
      <w:r>
        <w:rPr>
          <w:rFonts w:hint="eastAsia"/>
          <w:sz w:val="24"/>
          <w:szCs w:val="28"/>
        </w:rPr>
        <w:t>附图6</w:t>
      </w:r>
      <w:r>
        <w:rPr>
          <w:sz w:val="24"/>
          <w:szCs w:val="28"/>
        </w:rPr>
        <w:t xml:space="preserve">  </w:t>
      </w:r>
      <w:r>
        <w:rPr>
          <w:rFonts w:hint="eastAsia"/>
          <w:sz w:val="24"/>
          <w:szCs w:val="28"/>
        </w:rPr>
        <w:t>环境管控单元图</w:t>
      </w:r>
    </w:p>
    <w:p w14:paraId="64B4D68E">
      <w:pPr>
        <w:spacing w:line="360" w:lineRule="auto"/>
        <w:ind w:firstLine="480" w:firstLineChars="200"/>
        <w:rPr>
          <w:sz w:val="24"/>
          <w:szCs w:val="28"/>
        </w:rPr>
      </w:pPr>
      <w:r>
        <w:rPr>
          <w:rFonts w:hint="eastAsia"/>
          <w:sz w:val="24"/>
          <w:szCs w:val="28"/>
        </w:rPr>
        <w:t>附图7  项目技改前后热轧生产线平面布置图</w:t>
      </w:r>
    </w:p>
    <w:p w14:paraId="524DBC97">
      <w:pPr>
        <w:pStyle w:val="28"/>
        <w:spacing w:before="0" w:beforeAutospacing="0" w:after="0" w:afterAutospacing="0"/>
        <w:outlineLvl w:val="0"/>
        <w:rPr>
          <w:rFonts w:ascii="黑体" w:hAnsi="黑体" w:eastAsia="黑体"/>
          <w:snapToGrid w:val="0"/>
          <w:sz w:val="30"/>
          <w:szCs w:val="30"/>
        </w:rPr>
      </w:pPr>
      <w:bookmarkStart w:id="5" w:name="_Toc111712325"/>
      <w:r>
        <w:rPr>
          <w:rFonts w:hint="eastAsia" w:ascii="黑体" w:hAnsi="黑体" w:eastAsia="黑体"/>
          <w:snapToGrid w:val="0"/>
          <w:sz w:val="32"/>
          <w:szCs w:val="32"/>
        </w:rPr>
        <w:t>附件</w:t>
      </w:r>
      <w:bookmarkEnd w:id="5"/>
    </w:p>
    <w:p w14:paraId="1946EDFC">
      <w:pPr>
        <w:spacing w:line="360" w:lineRule="auto"/>
        <w:ind w:firstLine="480" w:firstLineChars="200"/>
        <w:rPr>
          <w:sz w:val="24"/>
          <w:szCs w:val="28"/>
        </w:rPr>
      </w:pPr>
      <w:r>
        <w:rPr>
          <w:sz w:val="24"/>
          <w:szCs w:val="28"/>
        </w:rPr>
        <w:t>附件1  环评委托书</w:t>
      </w:r>
    </w:p>
    <w:p w14:paraId="19B6C40D">
      <w:pPr>
        <w:spacing w:line="360" w:lineRule="auto"/>
        <w:ind w:firstLine="480" w:firstLineChars="200"/>
        <w:rPr>
          <w:sz w:val="24"/>
        </w:rPr>
      </w:pPr>
      <w:r>
        <w:rPr>
          <w:sz w:val="24"/>
          <w:szCs w:val="28"/>
        </w:rPr>
        <w:t>附件</w:t>
      </w:r>
      <w:r>
        <w:rPr>
          <w:rFonts w:hint="eastAsia"/>
          <w:sz w:val="24"/>
          <w:szCs w:val="28"/>
        </w:rPr>
        <w:t>2</w:t>
      </w:r>
      <w:r>
        <w:rPr>
          <w:sz w:val="24"/>
          <w:szCs w:val="28"/>
        </w:rPr>
        <w:t xml:space="preserve">  </w:t>
      </w:r>
      <w:r>
        <w:rPr>
          <w:rFonts w:hint="eastAsia"/>
          <w:sz w:val="24"/>
        </w:rPr>
        <w:t>项目原有环评批复</w:t>
      </w:r>
    </w:p>
    <w:p w14:paraId="745BA289">
      <w:pPr>
        <w:spacing w:line="360" w:lineRule="auto"/>
        <w:ind w:firstLine="480" w:firstLineChars="200"/>
        <w:rPr>
          <w:sz w:val="24"/>
          <w:szCs w:val="28"/>
        </w:rPr>
      </w:pPr>
      <w:r>
        <w:rPr>
          <w:rFonts w:hint="eastAsia"/>
          <w:sz w:val="24"/>
        </w:rPr>
        <w:t>附件3  项目原有验收批复</w:t>
      </w:r>
    </w:p>
    <w:p w14:paraId="33FE0A09">
      <w:pPr>
        <w:spacing w:line="360" w:lineRule="auto"/>
        <w:ind w:firstLine="480" w:firstLineChars="200"/>
        <w:rPr>
          <w:sz w:val="24"/>
          <w:szCs w:val="28"/>
        </w:rPr>
      </w:pPr>
      <w:r>
        <w:rPr>
          <w:sz w:val="24"/>
          <w:szCs w:val="28"/>
        </w:rPr>
        <w:t>附件</w:t>
      </w:r>
      <w:r>
        <w:rPr>
          <w:rFonts w:hint="eastAsia"/>
          <w:sz w:val="24"/>
          <w:szCs w:val="28"/>
        </w:rPr>
        <w:t xml:space="preserve">4  </w:t>
      </w:r>
      <w:r>
        <w:rPr>
          <w:rFonts w:hint="eastAsia"/>
          <w:sz w:val="24"/>
        </w:rPr>
        <w:t>发改备案证明</w:t>
      </w:r>
    </w:p>
    <w:p w14:paraId="0B40B1BA">
      <w:pPr>
        <w:spacing w:line="360" w:lineRule="auto"/>
        <w:ind w:firstLine="480" w:firstLineChars="200"/>
        <w:rPr>
          <w:sz w:val="24"/>
          <w:szCs w:val="28"/>
        </w:rPr>
      </w:pPr>
      <w:r>
        <w:rPr>
          <w:sz w:val="24"/>
          <w:szCs w:val="28"/>
        </w:rPr>
        <w:t>附件</w:t>
      </w:r>
      <w:r>
        <w:rPr>
          <w:rFonts w:hint="eastAsia"/>
          <w:sz w:val="24"/>
          <w:szCs w:val="28"/>
        </w:rPr>
        <w:t xml:space="preserve">5  </w:t>
      </w:r>
      <w:r>
        <w:rPr>
          <w:rFonts w:hint="eastAsia"/>
          <w:sz w:val="24"/>
        </w:rPr>
        <w:t>自行检测报告</w:t>
      </w:r>
    </w:p>
    <w:p w14:paraId="6859E283">
      <w:pPr>
        <w:spacing w:line="360" w:lineRule="auto"/>
        <w:ind w:firstLine="480" w:firstLineChars="200"/>
        <w:rPr>
          <w:sz w:val="24"/>
        </w:rPr>
      </w:pPr>
      <w:r>
        <w:rPr>
          <w:sz w:val="24"/>
        </w:rPr>
        <w:t>附件</w:t>
      </w:r>
      <w:r>
        <w:rPr>
          <w:rFonts w:hint="eastAsia"/>
          <w:sz w:val="24"/>
        </w:rPr>
        <w:t>6  企业排污许可证</w:t>
      </w:r>
    </w:p>
    <w:p w14:paraId="004C0C22">
      <w:pPr>
        <w:spacing w:line="360" w:lineRule="auto"/>
        <w:ind w:firstLine="480" w:firstLineChars="200"/>
        <w:rPr>
          <w:sz w:val="24"/>
        </w:rPr>
      </w:pPr>
      <w:r>
        <w:rPr>
          <w:sz w:val="24"/>
        </w:rPr>
        <w:t>附件</w:t>
      </w:r>
      <w:r>
        <w:rPr>
          <w:rFonts w:hint="eastAsia"/>
          <w:sz w:val="24"/>
        </w:rPr>
        <w:t>7</w:t>
      </w:r>
      <w:r>
        <w:rPr>
          <w:sz w:val="24"/>
        </w:rPr>
        <w:t xml:space="preserve">  天然气气质分析报告</w:t>
      </w:r>
    </w:p>
    <w:p w14:paraId="667E1B0D">
      <w:pPr>
        <w:spacing w:line="360" w:lineRule="auto"/>
        <w:ind w:firstLine="480" w:firstLineChars="200"/>
        <w:rPr>
          <w:sz w:val="24"/>
        </w:rPr>
      </w:pPr>
      <w:r>
        <w:rPr>
          <w:sz w:val="24"/>
        </w:rPr>
        <w:t>附件</w:t>
      </w:r>
      <w:r>
        <w:rPr>
          <w:rFonts w:hint="eastAsia"/>
          <w:sz w:val="24"/>
        </w:rPr>
        <w:t>8</w:t>
      </w:r>
      <w:r>
        <w:rPr>
          <w:sz w:val="24"/>
        </w:rPr>
        <w:t xml:space="preserve">  现有</w:t>
      </w:r>
      <w:r>
        <w:rPr>
          <w:rFonts w:hint="eastAsia"/>
          <w:sz w:val="24"/>
        </w:rPr>
        <w:t>危废协议</w:t>
      </w:r>
    </w:p>
    <w:p w14:paraId="40145A79">
      <w:pPr>
        <w:pStyle w:val="2"/>
      </w:pPr>
    </w:p>
    <w:p w14:paraId="10F11E14">
      <w:pPr>
        <w:spacing w:line="360" w:lineRule="auto"/>
        <w:ind w:firstLine="480" w:firstLineChars="200"/>
        <w:rPr>
          <w:sz w:val="24"/>
          <w:szCs w:val="28"/>
        </w:rPr>
      </w:pPr>
      <w:r>
        <w:rPr>
          <w:sz w:val="24"/>
          <w:szCs w:val="28"/>
        </w:rPr>
        <w:br w:type="page"/>
      </w:r>
    </w:p>
    <w:p w14:paraId="5C6AD40F">
      <w:pPr>
        <w:pStyle w:val="28"/>
        <w:spacing w:before="0" w:beforeAutospacing="0" w:after="0" w:afterAutospacing="0"/>
        <w:jc w:val="center"/>
        <w:outlineLvl w:val="0"/>
        <w:rPr>
          <w:rFonts w:ascii="黑体" w:hAnsi="黑体" w:eastAsia="黑体"/>
          <w:snapToGrid w:val="0"/>
          <w:sz w:val="30"/>
          <w:szCs w:val="30"/>
        </w:rPr>
      </w:pPr>
      <w:bookmarkStart w:id="6" w:name="_Toc111712326"/>
      <w:r>
        <w:rPr>
          <w:rFonts w:hint="eastAsia" w:ascii="黑体" w:hAnsi="黑体" w:eastAsia="黑体"/>
          <w:snapToGrid w:val="0"/>
          <w:sz w:val="30"/>
          <w:szCs w:val="30"/>
        </w:rPr>
        <w:t>一、建设项目基本情况</w:t>
      </w:r>
      <w:bookmarkEnd w:id="6"/>
    </w:p>
    <w:tbl>
      <w:tblPr>
        <w:tblStyle w:val="31"/>
        <w:tblW w:w="102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823"/>
        <w:gridCol w:w="1476"/>
        <w:gridCol w:w="2325"/>
        <w:gridCol w:w="2544"/>
        <w:gridCol w:w="3038"/>
      </w:tblGrid>
      <w:tr w14:paraId="78192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2299" w:type="dxa"/>
            <w:gridSpan w:val="2"/>
            <w:tcMar>
              <w:top w:w="16" w:type="dxa"/>
              <w:left w:w="16" w:type="dxa"/>
              <w:right w:w="16" w:type="dxa"/>
            </w:tcMar>
            <w:vAlign w:val="center"/>
          </w:tcPr>
          <w:p w14:paraId="11BF81D0">
            <w:pPr>
              <w:adjustRightInd w:val="0"/>
              <w:snapToGrid w:val="0"/>
              <w:jc w:val="center"/>
              <w:rPr>
                <w:b/>
                <w:sz w:val="24"/>
              </w:rPr>
            </w:pPr>
            <w:r>
              <w:rPr>
                <w:b/>
                <w:sz w:val="24"/>
              </w:rPr>
              <w:t>建设项目名称</w:t>
            </w:r>
          </w:p>
        </w:tc>
        <w:tc>
          <w:tcPr>
            <w:tcW w:w="7907" w:type="dxa"/>
            <w:gridSpan w:val="3"/>
            <w:vAlign w:val="center"/>
          </w:tcPr>
          <w:p w14:paraId="01424459">
            <w:pPr>
              <w:adjustRightInd w:val="0"/>
              <w:snapToGrid w:val="0"/>
              <w:jc w:val="center"/>
              <w:rPr>
                <w:sz w:val="24"/>
              </w:rPr>
            </w:pPr>
            <w:r>
              <w:rPr>
                <w:rFonts w:hint="eastAsia"/>
                <w:sz w:val="24"/>
              </w:rPr>
              <w:t>衡钢89厂连轧后工艺路线改造项目</w:t>
            </w:r>
          </w:p>
        </w:tc>
      </w:tr>
      <w:tr w14:paraId="33CF7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2299" w:type="dxa"/>
            <w:gridSpan w:val="2"/>
            <w:tcMar>
              <w:top w:w="16" w:type="dxa"/>
              <w:left w:w="16" w:type="dxa"/>
              <w:right w:w="16" w:type="dxa"/>
            </w:tcMar>
            <w:vAlign w:val="center"/>
          </w:tcPr>
          <w:p w14:paraId="01DB78BE">
            <w:pPr>
              <w:adjustRightInd w:val="0"/>
              <w:snapToGrid w:val="0"/>
              <w:jc w:val="center"/>
              <w:rPr>
                <w:b/>
                <w:sz w:val="24"/>
              </w:rPr>
            </w:pPr>
            <w:r>
              <w:rPr>
                <w:b/>
                <w:sz w:val="24"/>
              </w:rPr>
              <w:t>项目代码</w:t>
            </w:r>
          </w:p>
        </w:tc>
        <w:tc>
          <w:tcPr>
            <w:tcW w:w="7907" w:type="dxa"/>
            <w:gridSpan w:val="3"/>
            <w:vAlign w:val="center"/>
          </w:tcPr>
          <w:p w14:paraId="1CA5B0DF">
            <w:pPr>
              <w:adjustRightInd w:val="0"/>
              <w:snapToGrid w:val="0"/>
              <w:jc w:val="center"/>
              <w:rPr>
                <w:sz w:val="24"/>
              </w:rPr>
            </w:pPr>
            <w:r>
              <w:rPr>
                <w:sz w:val="24"/>
              </w:rPr>
              <w:t>2408-430400-04-02-808666</w:t>
            </w:r>
          </w:p>
        </w:tc>
      </w:tr>
      <w:tr w14:paraId="0CB4DB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2299" w:type="dxa"/>
            <w:gridSpan w:val="2"/>
            <w:tcMar>
              <w:top w:w="16" w:type="dxa"/>
              <w:left w:w="16" w:type="dxa"/>
              <w:right w:w="16" w:type="dxa"/>
            </w:tcMar>
            <w:vAlign w:val="center"/>
          </w:tcPr>
          <w:p w14:paraId="3EF3F5D7">
            <w:pPr>
              <w:adjustRightInd w:val="0"/>
              <w:snapToGrid w:val="0"/>
              <w:jc w:val="center"/>
              <w:rPr>
                <w:b/>
                <w:sz w:val="24"/>
              </w:rPr>
            </w:pPr>
            <w:r>
              <w:rPr>
                <w:b/>
                <w:sz w:val="24"/>
              </w:rPr>
              <w:t>建设单位联系人</w:t>
            </w:r>
          </w:p>
        </w:tc>
        <w:tc>
          <w:tcPr>
            <w:tcW w:w="2325" w:type="dxa"/>
            <w:vAlign w:val="center"/>
          </w:tcPr>
          <w:p w14:paraId="5FBF5151">
            <w:pPr>
              <w:adjustRightInd w:val="0"/>
              <w:snapToGrid w:val="0"/>
              <w:jc w:val="center"/>
              <w:rPr>
                <w:sz w:val="24"/>
              </w:rPr>
            </w:pPr>
            <w:r>
              <w:rPr>
                <w:rFonts w:hint="eastAsia"/>
                <w:sz w:val="24"/>
              </w:rPr>
              <w:t>王韬</w:t>
            </w:r>
          </w:p>
        </w:tc>
        <w:tc>
          <w:tcPr>
            <w:tcW w:w="2544" w:type="dxa"/>
            <w:vAlign w:val="center"/>
          </w:tcPr>
          <w:p w14:paraId="4111E76C">
            <w:pPr>
              <w:adjustRightInd w:val="0"/>
              <w:snapToGrid w:val="0"/>
              <w:jc w:val="center"/>
              <w:rPr>
                <w:sz w:val="24"/>
              </w:rPr>
            </w:pPr>
            <w:r>
              <w:rPr>
                <w:rFonts w:hint="eastAsia"/>
                <w:b/>
                <w:bCs/>
                <w:sz w:val="24"/>
              </w:rPr>
              <w:t>联系方式</w:t>
            </w:r>
          </w:p>
        </w:tc>
        <w:tc>
          <w:tcPr>
            <w:tcW w:w="3038" w:type="dxa"/>
            <w:vAlign w:val="center"/>
          </w:tcPr>
          <w:p w14:paraId="0678C2BE">
            <w:pPr>
              <w:adjustRightInd w:val="0"/>
              <w:snapToGrid w:val="0"/>
              <w:jc w:val="center"/>
              <w:rPr>
                <w:sz w:val="24"/>
              </w:rPr>
            </w:pPr>
            <w:r>
              <w:rPr>
                <w:rFonts w:hint="eastAsia"/>
                <w:sz w:val="24"/>
              </w:rPr>
              <w:t>0734-8872692</w:t>
            </w:r>
          </w:p>
        </w:tc>
      </w:tr>
      <w:tr w14:paraId="5095F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2299" w:type="dxa"/>
            <w:gridSpan w:val="2"/>
            <w:tcMar>
              <w:top w:w="16" w:type="dxa"/>
              <w:left w:w="16" w:type="dxa"/>
              <w:right w:w="16" w:type="dxa"/>
            </w:tcMar>
            <w:vAlign w:val="center"/>
          </w:tcPr>
          <w:p w14:paraId="00BAD341">
            <w:pPr>
              <w:adjustRightInd w:val="0"/>
              <w:snapToGrid w:val="0"/>
              <w:jc w:val="center"/>
              <w:rPr>
                <w:b/>
                <w:sz w:val="24"/>
              </w:rPr>
            </w:pPr>
            <w:r>
              <w:rPr>
                <w:b/>
                <w:sz w:val="24"/>
              </w:rPr>
              <w:t>建设地点</w:t>
            </w:r>
          </w:p>
        </w:tc>
        <w:tc>
          <w:tcPr>
            <w:tcW w:w="7907" w:type="dxa"/>
            <w:gridSpan w:val="3"/>
            <w:vAlign w:val="center"/>
          </w:tcPr>
          <w:p w14:paraId="21F9533A">
            <w:pPr>
              <w:adjustRightInd w:val="0"/>
              <w:snapToGrid w:val="0"/>
              <w:jc w:val="center"/>
              <w:rPr>
                <w:sz w:val="24"/>
              </w:rPr>
            </w:pPr>
            <w:r>
              <w:rPr>
                <w:rFonts w:hint="eastAsia"/>
                <w:sz w:val="24"/>
              </w:rPr>
              <w:t>湖南省衡阳市蒸湘（区）大栗新村10号</w:t>
            </w:r>
          </w:p>
          <w:p w14:paraId="7126DF92">
            <w:pPr>
              <w:adjustRightInd w:val="0"/>
              <w:snapToGrid w:val="0"/>
              <w:jc w:val="center"/>
              <w:rPr>
                <w:sz w:val="24"/>
              </w:rPr>
            </w:pPr>
            <w:r>
              <w:rPr>
                <w:rFonts w:hint="eastAsia"/>
                <w:sz w:val="24"/>
              </w:rPr>
              <w:t>（</w:t>
            </w:r>
            <w:r>
              <w:rPr>
                <w:rFonts w:hAnsi="宋体"/>
                <w:sz w:val="24"/>
              </w:rPr>
              <w:t>衡阳华菱钢管有限公司</w:t>
            </w:r>
            <w:r>
              <w:rPr>
                <w:rFonts w:hint="eastAsia" w:hAnsi="宋体"/>
                <w:sz w:val="24"/>
              </w:rPr>
              <w:t>89分厂</w:t>
            </w:r>
            <w:r>
              <w:rPr>
                <w:sz w:val="24"/>
              </w:rPr>
              <w:t>现有厂区</w:t>
            </w:r>
            <w:r>
              <w:rPr>
                <w:rFonts w:hint="eastAsia" w:hAnsi="宋体"/>
                <w:sz w:val="24"/>
              </w:rPr>
              <w:t>内</w:t>
            </w:r>
            <w:r>
              <w:rPr>
                <w:rFonts w:hint="eastAsia"/>
                <w:sz w:val="24"/>
              </w:rPr>
              <w:t>）</w:t>
            </w:r>
          </w:p>
        </w:tc>
      </w:tr>
      <w:tr w14:paraId="2F2EBB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2299" w:type="dxa"/>
            <w:gridSpan w:val="2"/>
            <w:tcMar>
              <w:top w:w="16" w:type="dxa"/>
              <w:left w:w="16" w:type="dxa"/>
              <w:right w:w="16" w:type="dxa"/>
            </w:tcMar>
            <w:vAlign w:val="center"/>
          </w:tcPr>
          <w:p w14:paraId="5E0DF8FF">
            <w:pPr>
              <w:adjustRightInd w:val="0"/>
              <w:snapToGrid w:val="0"/>
              <w:jc w:val="center"/>
              <w:rPr>
                <w:b/>
                <w:sz w:val="24"/>
              </w:rPr>
            </w:pPr>
            <w:r>
              <w:rPr>
                <w:b/>
                <w:sz w:val="24"/>
              </w:rPr>
              <w:t>地理坐标</w:t>
            </w:r>
          </w:p>
        </w:tc>
        <w:tc>
          <w:tcPr>
            <w:tcW w:w="7907" w:type="dxa"/>
            <w:gridSpan w:val="3"/>
            <w:vAlign w:val="center"/>
          </w:tcPr>
          <w:p w14:paraId="210DC1A7">
            <w:pPr>
              <w:jc w:val="center"/>
              <w:rPr>
                <w:sz w:val="24"/>
              </w:rPr>
            </w:pPr>
            <w:r>
              <w:rPr>
                <w:sz w:val="24"/>
              </w:rPr>
              <w:t>（</w:t>
            </w:r>
            <w:r>
              <w:rPr>
                <w:rFonts w:hint="eastAsia"/>
                <w:sz w:val="24"/>
              </w:rPr>
              <w:t xml:space="preserve"> </w:t>
            </w:r>
            <w:r>
              <w:rPr>
                <w:sz w:val="24"/>
              </w:rPr>
              <w:t xml:space="preserve"> </w:t>
            </w:r>
            <w:r>
              <w:rPr>
                <w:rFonts w:hint="eastAsia"/>
                <w:sz w:val="24"/>
              </w:rPr>
              <w:t xml:space="preserve">112  </w:t>
            </w:r>
            <w:r>
              <w:rPr>
                <w:sz w:val="24"/>
              </w:rPr>
              <w:t xml:space="preserve">度  </w:t>
            </w:r>
            <w:r>
              <w:rPr>
                <w:rFonts w:hint="eastAsia"/>
                <w:sz w:val="24"/>
              </w:rPr>
              <w:t xml:space="preserve">35 </w:t>
            </w:r>
            <w:r>
              <w:rPr>
                <w:sz w:val="24"/>
              </w:rPr>
              <w:t xml:space="preserve"> 分 </w:t>
            </w:r>
            <w:r>
              <w:rPr>
                <w:rFonts w:hint="eastAsia"/>
                <w:sz w:val="24"/>
              </w:rPr>
              <w:t xml:space="preserve"> 24.639</w:t>
            </w:r>
            <w:r>
              <w:rPr>
                <w:sz w:val="24"/>
              </w:rPr>
              <w:t xml:space="preserve"> 秒， </w:t>
            </w:r>
            <w:r>
              <w:rPr>
                <w:rFonts w:hint="eastAsia"/>
                <w:sz w:val="24"/>
              </w:rPr>
              <w:t xml:space="preserve"> 26</w:t>
            </w:r>
            <w:r>
              <w:rPr>
                <w:sz w:val="24"/>
              </w:rPr>
              <w:t xml:space="preserve">  度  </w:t>
            </w:r>
            <w:r>
              <w:rPr>
                <w:rFonts w:hint="eastAsia"/>
                <w:sz w:val="24"/>
              </w:rPr>
              <w:t xml:space="preserve">52  </w:t>
            </w:r>
            <w:r>
              <w:rPr>
                <w:sz w:val="24"/>
              </w:rPr>
              <w:t xml:space="preserve">分 </w:t>
            </w:r>
            <w:r>
              <w:rPr>
                <w:rFonts w:hint="eastAsia"/>
                <w:sz w:val="24"/>
              </w:rPr>
              <w:t xml:space="preserve"> 39.981  </w:t>
            </w:r>
            <w:r>
              <w:rPr>
                <w:sz w:val="24"/>
              </w:rPr>
              <w:t>秒）</w:t>
            </w:r>
          </w:p>
        </w:tc>
      </w:tr>
      <w:tr w14:paraId="3059D5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2299" w:type="dxa"/>
            <w:gridSpan w:val="2"/>
            <w:tcMar>
              <w:top w:w="16" w:type="dxa"/>
              <w:left w:w="16" w:type="dxa"/>
              <w:right w:w="16" w:type="dxa"/>
            </w:tcMar>
            <w:vAlign w:val="center"/>
          </w:tcPr>
          <w:p w14:paraId="0F9A22F0">
            <w:pPr>
              <w:adjustRightInd w:val="0"/>
              <w:snapToGrid w:val="0"/>
              <w:jc w:val="center"/>
              <w:rPr>
                <w:b/>
                <w:sz w:val="24"/>
              </w:rPr>
            </w:pPr>
            <w:r>
              <w:rPr>
                <w:b/>
                <w:sz w:val="24"/>
              </w:rPr>
              <w:t>国民经济</w:t>
            </w:r>
          </w:p>
          <w:p w14:paraId="09EF5C67">
            <w:pPr>
              <w:adjustRightInd w:val="0"/>
              <w:snapToGrid w:val="0"/>
              <w:jc w:val="center"/>
              <w:rPr>
                <w:b/>
                <w:sz w:val="24"/>
              </w:rPr>
            </w:pPr>
            <w:r>
              <w:rPr>
                <w:b/>
                <w:sz w:val="24"/>
              </w:rPr>
              <w:t>行业类别</w:t>
            </w:r>
          </w:p>
        </w:tc>
        <w:tc>
          <w:tcPr>
            <w:tcW w:w="2325" w:type="dxa"/>
            <w:vAlign w:val="center"/>
          </w:tcPr>
          <w:p w14:paraId="1AD6BC2B">
            <w:pPr>
              <w:adjustRightInd w:val="0"/>
              <w:snapToGrid w:val="0"/>
              <w:jc w:val="center"/>
              <w:rPr>
                <w:sz w:val="24"/>
              </w:rPr>
            </w:pPr>
            <w:r>
              <w:rPr>
                <w:sz w:val="24"/>
              </w:rPr>
              <w:t>C</w:t>
            </w:r>
            <w:r>
              <w:rPr>
                <w:rFonts w:hint="eastAsia"/>
                <w:sz w:val="24"/>
              </w:rPr>
              <w:t>3130</w:t>
            </w:r>
            <w:r>
              <w:rPr>
                <w:sz w:val="24"/>
              </w:rPr>
              <w:t>钢压延加工</w:t>
            </w:r>
          </w:p>
        </w:tc>
        <w:tc>
          <w:tcPr>
            <w:tcW w:w="2544" w:type="dxa"/>
            <w:vAlign w:val="center"/>
          </w:tcPr>
          <w:p w14:paraId="2208A88F">
            <w:pPr>
              <w:adjustRightInd w:val="0"/>
              <w:snapToGrid w:val="0"/>
              <w:jc w:val="center"/>
              <w:rPr>
                <w:b/>
                <w:sz w:val="24"/>
              </w:rPr>
            </w:pPr>
            <w:bookmarkStart w:id="7" w:name="_Hlk49843745"/>
            <w:r>
              <w:rPr>
                <w:b/>
                <w:sz w:val="24"/>
              </w:rPr>
              <w:t>建设项目</w:t>
            </w:r>
          </w:p>
          <w:p w14:paraId="1061F464">
            <w:pPr>
              <w:adjustRightInd w:val="0"/>
              <w:snapToGrid w:val="0"/>
              <w:jc w:val="center"/>
              <w:rPr>
                <w:b/>
                <w:sz w:val="24"/>
              </w:rPr>
            </w:pPr>
            <w:r>
              <w:rPr>
                <w:b/>
                <w:sz w:val="24"/>
              </w:rPr>
              <w:t>行业类别</w:t>
            </w:r>
            <w:bookmarkEnd w:id="7"/>
          </w:p>
        </w:tc>
        <w:tc>
          <w:tcPr>
            <w:tcW w:w="3038" w:type="dxa"/>
            <w:vAlign w:val="center"/>
          </w:tcPr>
          <w:p w14:paraId="6A66C4AB">
            <w:pPr>
              <w:adjustRightInd w:val="0"/>
              <w:snapToGrid w:val="0"/>
              <w:jc w:val="center"/>
              <w:rPr>
                <w:sz w:val="24"/>
              </w:rPr>
            </w:pPr>
            <w:r>
              <w:rPr>
                <w:rFonts w:hint="eastAsia"/>
                <w:sz w:val="24"/>
              </w:rPr>
              <w:t>二十八、黑色金属冶炼和压延</w:t>
            </w:r>
          </w:p>
          <w:p w14:paraId="3C60C358">
            <w:pPr>
              <w:adjustRightInd w:val="0"/>
              <w:snapToGrid w:val="0"/>
              <w:jc w:val="center"/>
              <w:rPr>
                <w:sz w:val="24"/>
              </w:rPr>
            </w:pPr>
            <w:r>
              <w:rPr>
                <w:rFonts w:hint="eastAsia"/>
                <w:sz w:val="24"/>
              </w:rPr>
              <w:t>加工业 31—63.钢压延加工</w:t>
            </w:r>
          </w:p>
          <w:p w14:paraId="33F44B68">
            <w:pPr>
              <w:adjustRightInd w:val="0"/>
              <w:snapToGrid w:val="0"/>
              <w:jc w:val="center"/>
            </w:pPr>
            <w:r>
              <w:rPr>
                <w:rFonts w:hint="eastAsia"/>
                <w:sz w:val="24"/>
              </w:rPr>
              <w:t>313 的其他</w:t>
            </w:r>
          </w:p>
        </w:tc>
      </w:tr>
      <w:tr w14:paraId="1EEDA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2299" w:type="dxa"/>
            <w:gridSpan w:val="2"/>
            <w:tcMar>
              <w:top w:w="16" w:type="dxa"/>
              <w:left w:w="16" w:type="dxa"/>
              <w:right w:w="16" w:type="dxa"/>
            </w:tcMar>
            <w:vAlign w:val="center"/>
          </w:tcPr>
          <w:p w14:paraId="3321AFB5">
            <w:pPr>
              <w:adjustRightInd w:val="0"/>
              <w:snapToGrid w:val="0"/>
              <w:jc w:val="center"/>
              <w:rPr>
                <w:b/>
                <w:sz w:val="24"/>
              </w:rPr>
            </w:pPr>
            <w:r>
              <w:rPr>
                <w:b/>
                <w:sz w:val="24"/>
              </w:rPr>
              <w:t>建设性质</w:t>
            </w:r>
          </w:p>
        </w:tc>
        <w:tc>
          <w:tcPr>
            <w:tcW w:w="2325" w:type="dxa"/>
            <w:vAlign w:val="center"/>
          </w:tcPr>
          <w:p w14:paraId="07B0B464">
            <w:pPr>
              <w:jc w:val="left"/>
              <w:rPr>
                <w:rFonts w:ascii="宋体" w:hAnsi="宋体"/>
                <w:sz w:val="24"/>
              </w:rPr>
            </w:pPr>
            <w:r>
              <w:rPr>
                <w:rFonts w:ascii="宋体" w:hAnsi="宋体"/>
                <w:sz w:val="24"/>
              </w:rPr>
              <w:t>□新建（迁建）</w:t>
            </w:r>
          </w:p>
          <w:p w14:paraId="2E597F1E">
            <w:pPr>
              <w:jc w:val="left"/>
              <w:rPr>
                <w:rFonts w:ascii="宋体" w:hAnsi="宋体"/>
                <w:sz w:val="24"/>
              </w:rPr>
            </w:pPr>
            <w:r>
              <w:rPr>
                <w:rFonts w:ascii="宋体" w:hAnsi="宋体"/>
                <w:sz w:val="24"/>
              </w:rPr>
              <w:t>□改建</w:t>
            </w:r>
          </w:p>
          <w:p w14:paraId="1F5B9E36">
            <w:pPr>
              <w:jc w:val="left"/>
              <w:rPr>
                <w:rFonts w:ascii="宋体" w:hAnsi="宋体"/>
                <w:sz w:val="24"/>
              </w:rPr>
            </w:pPr>
            <w:r>
              <w:rPr>
                <w:rFonts w:ascii="宋体" w:hAnsi="宋体"/>
                <w:sz w:val="24"/>
              </w:rPr>
              <w:t>□扩建</w:t>
            </w:r>
          </w:p>
          <w:p w14:paraId="72587B15">
            <w:pPr>
              <w:jc w:val="left"/>
              <w:rPr>
                <w:rFonts w:ascii="宋体" w:hAnsi="宋体"/>
                <w:sz w:val="24"/>
              </w:rPr>
            </w:pPr>
            <w:r>
              <w:rPr>
                <w:rFonts w:hint="eastAsia" w:ascii="宋体" w:hAnsi="宋体" w:cs="宋体"/>
                <w:sz w:val="24"/>
              </w:rPr>
              <w:sym w:font="Wingdings 2" w:char="0052"/>
            </w:r>
            <w:r>
              <w:rPr>
                <w:rFonts w:ascii="宋体" w:hAnsi="宋体"/>
                <w:sz w:val="24"/>
              </w:rPr>
              <w:t>技术改造</w:t>
            </w:r>
          </w:p>
        </w:tc>
        <w:tc>
          <w:tcPr>
            <w:tcW w:w="2544" w:type="dxa"/>
            <w:vAlign w:val="center"/>
          </w:tcPr>
          <w:p w14:paraId="4226B850">
            <w:pPr>
              <w:adjustRightInd w:val="0"/>
              <w:snapToGrid w:val="0"/>
              <w:jc w:val="center"/>
              <w:rPr>
                <w:rFonts w:ascii="宋体" w:hAnsi="宋体"/>
                <w:b/>
                <w:sz w:val="24"/>
              </w:rPr>
            </w:pPr>
            <w:r>
              <w:rPr>
                <w:rFonts w:ascii="宋体" w:hAnsi="宋体"/>
                <w:b/>
                <w:sz w:val="24"/>
              </w:rPr>
              <w:t>建设项目</w:t>
            </w:r>
          </w:p>
          <w:p w14:paraId="306C44C1">
            <w:pPr>
              <w:adjustRightInd w:val="0"/>
              <w:snapToGrid w:val="0"/>
              <w:jc w:val="center"/>
              <w:rPr>
                <w:rFonts w:ascii="宋体" w:hAnsi="宋体"/>
                <w:b/>
                <w:sz w:val="24"/>
              </w:rPr>
            </w:pPr>
            <w:r>
              <w:rPr>
                <w:rFonts w:ascii="宋体" w:hAnsi="宋体"/>
                <w:b/>
                <w:sz w:val="24"/>
              </w:rPr>
              <w:t>申报情形</w:t>
            </w:r>
          </w:p>
        </w:tc>
        <w:tc>
          <w:tcPr>
            <w:tcW w:w="3038" w:type="dxa"/>
            <w:vAlign w:val="center"/>
          </w:tcPr>
          <w:p w14:paraId="221DB862">
            <w:pPr>
              <w:jc w:val="left"/>
              <w:rPr>
                <w:rFonts w:ascii="宋体" w:hAnsi="宋体"/>
                <w:sz w:val="24"/>
              </w:rPr>
            </w:pPr>
            <w:r>
              <w:rPr>
                <w:rFonts w:hint="eastAsia" w:ascii="宋体" w:hAnsi="宋体" w:cs="宋体"/>
                <w:sz w:val="24"/>
              </w:rPr>
              <w:sym w:font="Wingdings 2" w:char="0052"/>
            </w:r>
            <w:r>
              <w:rPr>
                <w:rFonts w:ascii="宋体" w:hAnsi="宋体"/>
                <w:sz w:val="24"/>
              </w:rPr>
              <w:t xml:space="preserve">首次申报项目             </w:t>
            </w:r>
          </w:p>
          <w:p w14:paraId="44998002">
            <w:pPr>
              <w:jc w:val="left"/>
              <w:rPr>
                <w:rFonts w:ascii="宋体" w:hAnsi="宋体"/>
                <w:sz w:val="24"/>
              </w:rPr>
            </w:pPr>
            <w:r>
              <w:rPr>
                <w:rFonts w:ascii="宋体" w:hAnsi="宋体"/>
                <w:sz w:val="24"/>
              </w:rPr>
              <w:t>□不予批准后再次申报项目</w:t>
            </w:r>
          </w:p>
          <w:p w14:paraId="362417FF">
            <w:pPr>
              <w:jc w:val="left"/>
              <w:rPr>
                <w:rFonts w:ascii="宋体" w:hAnsi="宋体"/>
                <w:sz w:val="24"/>
              </w:rPr>
            </w:pPr>
            <w:r>
              <w:rPr>
                <w:rFonts w:ascii="宋体" w:hAnsi="宋体"/>
                <w:sz w:val="24"/>
              </w:rPr>
              <w:sym w:font="Wingdings 2" w:char="00A3"/>
            </w:r>
            <w:r>
              <w:rPr>
                <w:rFonts w:ascii="宋体" w:hAnsi="宋体"/>
                <w:sz w:val="24"/>
              </w:rPr>
              <w:t xml:space="preserve">超五年重新审核项目     </w:t>
            </w:r>
          </w:p>
          <w:p w14:paraId="5FBC93FE">
            <w:pPr>
              <w:jc w:val="left"/>
              <w:rPr>
                <w:rFonts w:ascii="宋体" w:hAnsi="宋体"/>
                <w:sz w:val="24"/>
              </w:rPr>
            </w:pPr>
            <w:r>
              <w:rPr>
                <w:rFonts w:ascii="宋体" w:hAnsi="宋体"/>
                <w:sz w:val="24"/>
              </w:rPr>
              <w:sym w:font="Wingdings 2" w:char="00A3"/>
            </w:r>
            <w:r>
              <w:rPr>
                <w:rFonts w:ascii="宋体" w:hAnsi="宋体"/>
                <w:sz w:val="24"/>
              </w:rPr>
              <w:t>重大变动重新报批项目</w:t>
            </w:r>
          </w:p>
        </w:tc>
      </w:tr>
      <w:tr w14:paraId="2513F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2299" w:type="dxa"/>
            <w:gridSpan w:val="2"/>
            <w:tcMar>
              <w:top w:w="16" w:type="dxa"/>
              <w:left w:w="16" w:type="dxa"/>
              <w:right w:w="16" w:type="dxa"/>
            </w:tcMar>
            <w:vAlign w:val="center"/>
          </w:tcPr>
          <w:p w14:paraId="69EBE61B">
            <w:pPr>
              <w:adjustRightInd w:val="0"/>
              <w:snapToGrid w:val="0"/>
              <w:jc w:val="center"/>
              <w:rPr>
                <w:b/>
                <w:sz w:val="24"/>
              </w:rPr>
            </w:pPr>
            <w:r>
              <w:rPr>
                <w:b/>
                <w:sz w:val="24"/>
              </w:rPr>
              <w:t>项目审批（核准/</w:t>
            </w:r>
          </w:p>
          <w:p w14:paraId="2C2D5D5A">
            <w:pPr>
              <w:adjustRightInd w:val="0"/>
              <w:snapToGrid w:val="0"/>
              <w:jc w:val="center"/>
              <w:rPr>
                <w:b/>
                <w:sz w:val="24"/>
              </w:rPr>
            </w:pPr>
            <w:r>
              <w:rPr>
                <w:b/>
                <w:sz w:val="24"/>
              </w:rPr>
              <w:t>备案）部门（选填）</w:t>
            </w:r>
          </w:p>
        </w:tc>
        <w:tc>
          <w:tcPr>
            <w:tcW w:w="2325" w:type="dxa"/>
            <w:vAlign w:val="center"/>
          </w:tcPr>
          <w:p w14:paraId="4D4242A2">
            <w:pPr>
              <w:adjustRightInd w:val="0"/>
              <w:snapToGrid w:val="0"/>
              <w:jc w:val="center"/>
              <w:rPr>
                <w:sz w:val="24"/>
              </w:rPr>
            </w:pPr>
            <w:r>
              <w:rPr>
                <w:rFonts w:hint="eastAsia"/>
                <w:sz w:val="24"/>
              </w:rPr>
              <w:t>/</w:t>
            </w:r>
          </w:p>
        </w:tc>
        <w:tc>
          <w:tcPr>
            <w:tcW w:w="2544" w:type="dxa"/>
            <w:vAlign w:val="center"/>
          </w:tcPr>
          <w:p w14:paraId="5E49FC00">
            <w:pPr>
              <w:adjustRightInd w:val="0"/>
              <w:snapToGrid w:val="0"/>
              <w:jc w:val="center"/>
              <w:rPr>
                <w:b/>
                <w:bCs/>
                <w:sz w:val="24"/>
              </w:rPr>
            </w:pPr>
            <w:r>
              <w:rPr>
                <w:rFonts w:hint="eastAsia"/>
                <w:b/>
                <w:bCs/>
                <w:sz w:val="24"/>
              </w:rPr>
              <w:t>项目审批（核准/</w:t>
            </w:r>
          </w:p>
          <w:p w14:paraId="4EB18600">
            <w:pPr>
              <w:adjustRightInd w:val="0"/>
              <w:snapToGrid w:val="0"/>
              <w:jc w:val="center"/>
              <w:rPr>
                <w:sz w:val="24"/>
              </w:rPr>
            </w:pPr>
            <w:r>
              <w:rPr>
                <w:rFonts w:hint="eastAsia"/>
                <w:b/>
                <w:bCs/>
                <w:sz w:val="24"/>
              </w:rPr>
              <w:t>备案）文号（选填）</w:t>
            </w:r>
          </w:p>
        </w:tc>
        <w:tc>
          <w:tcPr>
            <w:tcW w:w="3038" w:type="dxa"/>
            <w:vAlign w:val="center"/>
          </w:tcPr>
          <w:p w14:paraId="330DED97">
            <w:pPr>
              <w:adjustRightInd w:val="0"/>
              <w:snapToGrid w:val="0"/>
              <w:jc w:val="center"/>
              <w:rPr>
                <w:sz w:val="24"/>
              </w:rPr>
            </w:pPr>
            <w:r>
              <w:rPr>
                <w:rFonts w:hint="eastAsia"/>
                <w:sz w:val="24"/>
              </w:rPr>
              <w:t>/</w:t>
            </w:r>
          </w:p>
        </w:tc>
      </w:tr>
      <w:tr w14:paraId="31830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2299" w:type="dxa"/>
            <w:gridSpan w:val="2"/>
            <w:tcMar>
              <w:top w:w="16" w:type="dxa"/>
              <w:left w:w="16" w:type="dxa"/>
              <w:right w:w="16" w:type="dxa"/>
            </w:tcMar>
            <w:vAlign w:val="center"/>
          </w:tcPr>
          <w:p w14:paraId="098BD5C8">
            <w:pPr>
              <w:adjustRightInd w:val="0"/>
              <w:snapToGrid w:val="0"/>
              <w:jc w:val="center"/>
              <w:rPr>
                <w:b/>
                <w:sz w:val="24"/>
              </w:rPr>
            </w:pPr>
            <w:r>
              <w:rPr>
                <w:b/>
                <w:sz w:val="24"/>
              </w:rPr>
              <w:t>总投资（万元）</w:t>
            </w:r>
          </w:p>
        </w:tc>
        <w:tc>
          <w:tcPr>
            <w:tcW w:w="2325" w:type="dxa"/>
            <w:vAlign w:val="center"/>
          </w:tcPr>
          <w:p w14:paraId="00763962">
            <w:pPr>
              <w:adjustRightInd w:val="0"/>
              <w:snapToGrid w:val="0"/>
              <w:jc w:val="center"/>
              <w:rPr>
                <w:sz w:val="24"/>
              </w:rPr>
            </w:pPr>
            <w:r>
              <w:rPr>
                <w:rFonts w:hint="eastAsia"/>
                <w:sz w:val="24"/>
              </w:rPr>
              <w:t>5200</w:t>
            </w:r>
          </w:p>
        </w:tc>
        <w:tc>
          <w:tcPr>
            <w:tcW w:w="2544" w:type="dxa"/>
            <w:tcMar>
              <w:top w:w="16" w:type="dxa"/>
              <w:left w:w="16" w:type="dxa"/>
              <w:right w:w="16" w:type="dxa"/>
            </w:tcMar>
            <w:vAlign w:val="center"/>
          </w:tcPr>
          <w:p w14:paraId="406B1E52">
            <w:pPr>
              <w:adjustRightInd w:val="0"/>
              <w:snapToGrid w:val="0"/>
              <w:jc w:val="center"/>
              <w:rPr>
                <w:b/>
                <w:sz w:val="24"/>
              </w:rPr>
            </w:pPr>
            <w:r>
              <w:rPr>
                <w:b/>
                <w:sz w:val="24"/>
              </w:rPr>
              <w:t>环保投资（万元）</w:t>
            </w:r>
          </w:p>
        </w:tc>
        <w:tc>
          <w:tcPr>
            <w:tcW w:w="3038" w:type="dxa"/>
            <w:vAlign w:val="center"/>
          </w:tcPr>
          <w:p w14:paraId="3D2C9B76">
            <w:pPr>
              <w:adjustRightInd w:val="0"/>
              <w:snapToGrid w:val="0"/>
              <w:jc w:val="center"/>
              <w:rPr>
                <w:sz w:val="24"/>
              </w:rPr>
            </w:pPr>
            <w:r>
              <w:rPr>
                <w:rFonts w:hint="eastAsia"/>
                <w:sz w:val="24"/>
              </w:rPr>
              <w:t>52</w:t>
            </w:r>
          </w:p>
        </w:tc>
      </w:tr>
      <w:tr w14:paraId="7E88E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2299" w:type="dxa"/>
            <w:gridSpan w:val="2"/>
            <w:tcMar>
              <w:top w:w="16" w:type="dxa"/>
              <w:left w:w="16" w:type="dxa"/>
              <w:right w:w="16" w:type="dxa"/>
            </w:tcMar>
            <w:vAlign w:val="center"/>
          </w:tcPr>
          <w:p w14:paraId="0A31B60C">
            <w:pPr>
              <w:adjustRightInd w:val="0"/>
              <w:snapToGrid w:val="0"/>
              <w:jc w:val="center"/>
              <w:rPr>
                <w:b/>
                <w:sz w:val="24"/>
              </w:rPr>
            </w:pPr>
            <w:r>
              <w:rPr>
                <w:b/>
                <w:sz w:val="24"/>
              </w:rPr>
              <w:t>环保投资占比（%）</w:t>
            </w:r>
          </w:p>
        </w:tc>
        <w:tc>
          <w:tcPr>
            <w:tcW w:w="2325" w:type="dxa"/>
            <w:vAlign w:val="center"/>
          </w:tcPr>
          <w:p w14:paraId="4E4C87A4">
            <w:pPr>
              <w:adjustRightInd w:val="0"/>
              <w:snapToGrid w:val="0"/>
              <w:jc w:val="center"/>
              <w:rPr>
                <w:sz w:val="24"/>
              </w:rPr>
            </w:pPr>
            <w:r>
              <w:rPr>
                <w:rFonts w:hint="eastAsia"/>
                <w:sz w:val="24"/>
              </w:rPr>
              <w:t>1</w:t>
            </w:r>
          </w:p>
        </w:tc>
        <w:tc>
          <w:tcPr>
            <w:tcW w:w="2544" w:type="dxa"/>
            <w:tcMar>
              <w:top w:w="16" w:type="dxa"/>
              <w:left w:w="16" w:type="dxa"/>
              <w:right w:w="16" w:type="dxa"/>
            </w:tcMar>
            <w:vAlign w:val="center"/>
          </w:tcPr>
          <w:p w14:paraId="0C22AA3F">
            <w:pPr>
              <w:adjustRightInd w:val="0"/>
              <w:snapToGrid w:val="0"/>
              <w:jc w:val="center"/>
              <w:rPr>
                <w:b/>
                <w:sz w:val="24"/>
              </w:rPr>
            </w:pPr>
            <w:r>
              <w:rPr>
                <w:b/>
                <w:sz w:val="24"/>
              </w:rPr>
              <w:t>施工工期</w:t>
            </w:r>
          </w:p>
        </w:tc>
        <w:tc>
          <w:tcPr>
            <w:tcW w:w="3038" w:type="dxa"/>
            <w:vAlign w:val="center"/>
          </w:tcPr>
          <w:p w14:paraId="6FBB88E8">
            <w:pPr>
              <w:adjustRightInd w:val="0"/>
              <w:snapToGrid w:val="0"/>
              <w:jc w:val="center"/>
              <w:rPr>
                <w:sz w:val="24"/>
              </w:rPr>
            </w:pPr>
            <w:r>
              <w:rPr>
                <w:rFonts w:hint="eastAsia"/>
                <w:sz w:val="24"/>
              </w:rPr>
              <w:t>2个月</w:t>
            </w:r>
          </w:p>
        </w:tc>
      </w:tr>
      <w:tr w14:paraId="2BF0CA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2299" w:type="dxa"/>
            <w:gridSpan w:val="2"/>
            <w:tcMar>
              <w:top w:w="16" w:type="dxa"/>
              <w:left w:w="16" w:type="dxa"/>
              <w:right w:w="16" w:type="dxa"/>
            </w:tcMar>
            <w:vAlign w:val="center"/>
          </w:tcPr>
          <w:p w14:paraId="6A509261">
            <w:pPr>
              <w:adjustRightInd w:val="0"/>
              <w:snapToGrid w:val="0"/>
              <w:jc w:val="center"/>
              <w:rPr>
                <w:b/>
                <w:sz w:val="24"/>
              </w:rPr>
            </w:pPr>
            <w:r>
              <w:rPr>
                <w:b/>
                <w:sz w:val="24"/>
              </w:rPr>
              <w:t>是否开工建设</w:t>
            </w:r>
          </w:p>
        </w:tc>
        <w:tc>
          <w:tcPr>
            <w:tcW w:w="2325" w:type="dxa"/>
            <w:vAlign w:val="center"/>
          </w:tcPr>
          <w:p w14:paraId="6F629399">
            <w:pPr>
              <w:adjustRightInd w:val="0"/>
              <w:snapToGrid w:val="0"/>
              <w:rPr>
                <w:sz w:val="24"/>
              </w:rPr>
            </w:pPr>
            <w:r>
              <w:rPr>
                <w:sz w:val="24"/>
              </w:rPr>
              <w:sym w:font="Wingdings 2" w:char="0052"/>
            </w:r>
            <w:r>
              <w:rPr>
                <w:sz w:val="24"/>
              </w:rPr>
              <w:t>否</w:t>
            </w:r>
          </w:p>
          <w:p w14:paraId="03E4D1A3">
            <w:pPr>
              <w:adjustRightInd w:val="0"/>
              <w:snapToGrid w:val="0"/>
              <w:rPr>
                <w:sz w:val="24"/>
              </w:rPr>
            </w:pPr>
            <w:r>
              <w:rPr>
                <w:rFonts w:hint="eastAsia" w:ascii="宋体" w:hAnsi="宋体" w:cs="宋体"/>
                <w:sz w:val="24"/>
              </w:rPr>
              <w:sym w:font="Wingdings 2" w:char="00A3"/>
            </w:r>
            <w:r>
              <w:rPr>
                <w:sz w:val="24"/>
              </w:rPr>
              <w:t>是：</w:t>
            </w:r>
            <w:r>
              <w:rPr>
                <w:rFonts w:hint="eastAsia"/>
                <w:sz w:val="24"/>
              </w:rPr>
              <w:t xml:space="preserve">        </w:t>
            </w:r>
          </w:p>
        </w:tc>
        <w:tc>
          <w:tcPr>
            <w:tcW w:w="2544" w:type="dxa"/>
            <w:tcMar>
              <w:top w:w="16" w:type="dxa"/>
              <w:left w:w="16" w:type="dxa"/>
              <w:right w:w="16" w:type="dxa"/>
            </w:tcMar>
            <w:vAlign w:val="center"/>
          </w:tcPr>
          <w:p w14:paraId="352D29E5">
            <w:pPr>
              <w:adjustRightInd w:val="0"/>
              <w:snapToGrid w:val="0"/>
              <w:jc w:val="center"/>
              <w:rPr>
                <w:b/>
                <w:spacing w:val="-6"/>
                <w:sz w:val="24"/>
              </w:rPr>
            </w:pPr>
            <w:r>
              <w:rPr>
                <w:b/>
                <w:spacing w:val="-6"/>
                <w:sz w:val="24"/>
              </w:rPr>
              <w:t>用地（用海）</w:t>
            </w:r>
          </w:p>
          <w:p w14:paraId="6F6F16B4">
            <w:pPr>
              <w:adjustRightInd w:val="0"/>
              <w:snapToGrid w:val="0"/>
              <w:jc w:val="center"/>
              <w:rPr>
                <w:b/>
                <w:sz w:val="24"/>
              </w:rPr>
            </w:pPr>
            <w:r>
              <w:rPr>
                <w:b/>
                <w:spacing w:val="-6"/>
                <w:sz w:val="24"/>
              </w:rPr>
              <w:t>面积（m</w:t>
            </w:r>
            <w:r>
              <w:rPr>
                <w:b/>
                <w:spacing w:val="-6"/>
                <w:sz w:val="24"/>
                <w:vertAlign w:val="superscript"/>
              </w:rPr>
              <w:t>2</w:t>
            </w:r>
            <w:r>
              <w:rPr>
                <w:b/>
                <w:spacing w:val="-6"/>
                <w:sz w:val="24"/>
              </w:rPr>
              <w:t>）</w:t>
            </w:r>
          </w:p>
        </w:tc>
        <w:tc>
          <w:tcPr>
            <w:tcW w:w="3038" w:type="dxa"/>
            <w:vAlign w:val="center"/>
          </w:tcPr>
          <w:p w14:paraId="03AFA24C">
            <w:pPr>
              <w:adjustRightInd w:val="0"/>
              <w:snapToGrid w:val="0"/>
              <w:jc w:val="center"/>
              <w:rPr>
                <w:sz w:val="24"/>
              </w:rPr>
            </w:pPr>
            <w:r>
              <w:rPr>
                <w:sz w:val="24"/>
              </w:rPr>
              <w:t>本项目不新增用地</w:t>
            </w:r>
            <w:r>
              <w:rPr>
                <w:rFonts w:hint="eastAsia"/>
                <w:sz w:val="24"/>
              </w:rPr>
              <w:t>，在现有厂房内改造</w:t>
            </w:r>
          </w:p>
        </w:tc>
      </w:tr>
      <w:tr w14:paraId="655C7A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23" w:type="dxa"/>
            <w:vAlign w:val="center"/>
          </w:tcPr>
          <w:p w14:paraId="715FA4B8">
            <w:pPr>
              <w:autoSpaceDE w:val="0"/>
              <w:autoSpaceDN w:val="0"/>
              <w:adjustRightInd w:val="0"/>
              <w:snapToGrid w:val="0"/>
              <w:jc w:val="center"/>
              <w:rPr>
                <w:b/>
                <w:kern w:val="0"/>
                <w:sz w:val="24"/>
              </w:rPr>
            </w:pPr>
            <w:r>
              <w:rPr>
                <w:b/>
                <w:kern w:val="0"/>
                <w:sz w:val="24"/>
              </w:rPr>
              <w:t>专项评价设置情况</w:t>
            </w:r>
          </w:p>
        </w:tc>
        <w:tc>
          <w:tcPr>
            <w:tcW w:w="9383" w:type="dxa"/>
            <w:gridSpan w:val="4"/>
            <w:vAlign w:val="center"/>
          </w:tcPr>
          <w:p w14:paraId="52FEEEA5">
            <w:pPr>
              <w:autoSpaceDE w:val="0"/>
              <w:autoSpaceDN w:val="0"/>
              <w:adjustRightInd w:val="0"/>
              <w:snapToGrid w:val="0"/>
              <w:spacing w:beforeLines="50"/>
              <w:jc w:val="center"/>
              <w:rPr>
                <w:b/>
                <w:bCs/>
              </w:rPr>
            </w:pPr>
            <w:r>
              <w:rPr>
                <w:b/>
              </w:rPr>
              <w:t>表</w:t>
            </w:r>
            <w:r>
              <w:rPr>
                <w:rFonts w:hint="eastAsia"/>
                <w:b/>
              </w:rPr>
              <w:t xml:space="preserve">1-1  </w:t>
            </w:r>
            <w:r>
              <w:rPr>
                <w:rFonts w:hint="eastAsia"/>
                <w:b/>
                <w:bCs/>
              </w:rPr>
              <w:t>专项评价设置原则</w:t>
            </w:r>
          </w:p>
          <w:tbl>
            <w:tblPr>
              <w:tblStyle w:val="3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62"/>
              <w:gridCol w:w="4101"/>
              <w:gridCol w:w="3061"/>
              <w:gridCol w:w="813"/>
            </w:tblGrid>
            <w:tr w14:paraId="46E32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36" w:type="pct"/>
                  <w:vAlign w:val="center"/>
                </w:tcPr>
                <w:p w14:paraId="4482BF7D">
                  <w:pPr>
                    <w:autoSpaceDE w:val="0"/>
                    <w:autoSpaceDN w:val="0"/>
                    <w:adjustRightInd w:val="0"/>
                    <w:snapToGrid w:val="0"/>
                    <w:jc w:val="center"/>
                    <w:rPr>
                      <w:rFonts w:eastAsiaTheme="minorEastAsia"/>
                      <w:b/>
                      <w:bCs/>
                    </w:rPr>
                  </w:pPr>
                  <w:r>
                    <w:rPr>
                      <w:rFonts w:hAnsiTheme="minorEastAsia" w:eastAsiaTheme="minorEastAsia"/>
                      <w:b/>
                      <w:bCs/>
                    </w:rPr>
                    <w:t>专项评价类别</w:t>
                  </w:r>
                </w:p>
              </w:tc>
              <w:tc>
                <w:tcPr>
                  <w:tcW w:w="2244" w:type="pct"/>
                  <w:vAlign w:val="center"/>
                </w:tcPr>
                <w:p w14:paraId="34141362">
                  <w:pPr>
                    <w:autoSpaceDE w:val="0"/>
                    <w:autoSpaceDN w:val="0"/>
                    <w:adjustRightInd w:val="0"/>
                    <w:snapToGrid w:val="0"/>
                    <w:jc w:val="center"/>
                    <w:rPr>
                      <w:rFonts w:eastAsiaTheme="minorEastAsia"/>
                      <w:b/>
                      <w:bCs/>
                    </w:rPr>
                  </w:pPr>
                  <w:r>
                    <w:rPr>
                      <w:rFonts w:hAnsiTheme="minorEastAsia" w:eastAsiaTheme="minorEastAsia"/>
                      <w:b/>
                      <w:bCs/>
                    </w:rPr>
                    <w:t>设置原则</w:t>
                  </w:r>
                </w:p>
              </w:tc>
              <w:tc>
                <w:tcPr>
                  <w:tcW w:w="1675" w:type="pct"/>
                  <w:vAlign w:val="center"/>
                </w:tcPr>
                <w:p w14:paraId="42EA4E0B">
                  <w:pPr>
                    <w:autoSpaceDE w:val="0"/>
                    <w:autoSpaceDN w:val="0"/>
                    <w:adjustRightInd w:val="0"/>
                    <w:snapToGrid w:val="0"/>
                    <w:jc w:val="center"/>
                    <w:rPr>
                      <w:rFonts w:eastAsiaTheme="minorEastAsia"/>
                      <w:b/>
                      <w:bCs/>
                    </w:rPr>
                  </w:pPr>
                  <w:r>
                    <w:rPr>
                      <w:rFonts w:hAnsiTheme="minorEastAsia" w:eastAsiaTheme="minorEastAsia"/>
                      <w:b/>
                      <w:bCs/>
                    </w:rPr>
                    <w:t>项目情况</w:t>
                  </w:r>
                </w:p>
              </w:tc>
              <w:tc>
                <w:tcPr>
                  <w:tcW w:w="445" w:type="pct"/>
                  <w:vAlign w:val="center"/>
                </w:tcPr>
                <w:p w14:paraId="097A4960">
                  <w:pPr>
                    <w:autoSpaceDE w:val="0"/>
                    <w:autoSpaceDN w:val="0"/>
                    <w:adjustRightInd w:val="0"/>
                    <w:snapToGrid w:val="0"/>
                    <w:jc w:val="center"/>
                    <w:rPr>
                      <w:rFonts w:eastAsiaTheme="minorEastAsia"/>
                      <w:b/>
                      <w:bCs/>
                    </w:rPr>
                  </w:pPr>
                  <w:r>
                    <w:rPr>
                      <w:rFonts w:hAnsiTheme="minorEastAsia" w:eastAsiaTheme="minorEastAsia"/>
                      <w:b/>
                      <w:bCs/>
                    </w:rPr>
                    <w:t>判定结果</w:t>
                  </w:r>
                </w:p>
              </w:tc>
            </w:tr>
            <w:tr w14:paraId="4C9FB3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36" w:type="pct"/>
                  <w:vAlign w:val="center"/>
                </w:tcPr>
                <w:p w14:paraId="2043DA85">
                  <w:pPr>
                    <w:autoSpaceDE w:val="0"/>
                    <w:autoSpaceDN w:val="0"/>
                    <w:adjustRightInd w:val="0"/>
                    <w:snapToGrid w:val="0"/>
                    <w:jc w:val="center"/>
                    <w:rPr>
                      <w:rFonts w:eastAsiaTheme="minorEastAsia"/>
                      <w:bCs/>
                    </w:rPr>
                  </w:pPr>
                  <w:r>
                    <w:rPr>
                      <w:rFonts w:hAnsiTheme="minorEastAsia" w:eastAsiaTheme="minorEastAsia"/>
                      <w:bCs/>
                    </w:rPr>
                    <w:t>大气</w:t>
                  </w:r>
                </w:p>
              </w:tc>
              <w:tc>
                <w:tcPr>
                  <w:tcW w:w="2244" w:type="pct"/>
                  <w:vAlign w:val="center"/>
                </w:tcPr>
                <w:p w14:paraId="6A06F47A">
                  <w:pPr>
                    <w:autoSpaceDE w:val="0"/>
                    <w:autoSpaceDN w:val="0"/>
                    <w:adjustRightInd w:val="0"/>
                    <w:snapToGrid w:val="0"/>
                    <w:jc w:val="center"/>
                    <w:rPr>
                      <w:rFonts w:eastAsiaTheme="minorEastAsia"/>
                      <w:bCs/>
                    </w:rPr>
                  </w:pPr>
                  <w:r>
                    <w:rPr>
                      <w:rFonts w:hAnsiTheme="minorEastAsia" w:eastAsiaTheme="minorEastAsia"/>
                      <w:bCs/>
                    </w:rPr>
                    <w:t>排放废气含有毒有害污染物、二噁英、苯并</w:t>
                  </w:r>
                  <w:r>
                    <w:rPr>
                      <w:rFonts w:eastAsiaTheme="minorEastAsia"/>
                      <w:bCs/>
                    </w:rPr>
                    <w:t>[a]</w:t>
                  </w:r>
                  <w:r>
                    <w:rPr>
                      <w:rFonts w:hAnsiTheme="minorEastAsia" w:eastAsiaTheme="minorEastAsia"/>
                      <w:bCs/>
                    </w:rPr>
                    <w:t>芘、氰化物、氯气且厂界外</w:t>
                  </w:r>
                  <w:r>
                    <w:rPr>
                      <w:rFonts w:eastAsiaTheme="minorEastAsia"/>
                      <w:bCs/>
                    </w:rPr>
                    <w:t>500</w:t>
                  </w:r>
                  <w:r>
                    <w:rPr>
                      <w:rFonts w:hAnsiTheme="minorEastAsia" w:eastAsiaTheme="minorEastAsia"/>
                      <w:bCs/>
                    </w:rPr>
                    <w:t>米范围内有环境空气保护目标的建设项目</w:t>
                  </w:r>
                </w:p>
              </w:tc>
              <w:tc>
                <w:tcPr>
                  <w:tcW w:w="1675" w:type="pct"/>
                  <w:vAlign w:val="center"/>
                </w:tcPr>
                <w:p w14:paraId="5D036168">
                  <w:pPr>
                    <w:autoSpaceDE w:val="0"/>
                    <w:autoSpaceDN w:val="0"/>
                    <w:adjustRightInd w:val="0"/>
                    <w:snapToGrid w:val="0"/>
                    <w:jc w:val="center"/>
                    <w:rPr>
                      <w:rFonts w:eastAsiaTheme="minorEastAsia"/>
                      <w:bCs/>
                    </w:rPr>
                  </w:pPr>
                  <w:r>
                    <w:rPr>
                      <w:rFonts w:hAnsiTheme="minorEastAsia" w:eastAsiaTheme="minorEastAsia"/>
                      <w:bCs/>
                    </w:rPr>
                    <w:t>排放的大气污染物不含有毒有害污染物、二噁英、苯并</w:t>
                  </w:r>
                  <w:r>
                    <w:rPr>
                      <w:rFonts w:eastAsiaTheme="minorEastAsia"/>
                      <w:bCs/>
                    </w:rPr>
                    <w:t>[a]</w:t>
                  </w:r>
                  <w:r>
                    <w:rPr>
                      <w:rFonts w:hAnsiTheme="minorEastAsia" w:eastAsiaTheme="minorEastAsia"/>
                      <w:bCs/>
                    </w:rPr>
                    <w:t>芘、氰化物、氯气等物质</w:t>
                  </w:r>
                </w:p>
              </w:tc>
              <w:tc>
                <w:tcPr>
                  <w:tcW w:w="445" w:type="pct"/>
                  <w:vAlign w:val="center"/>
                </w:tcPr>
                <w:p w14:paraId="1D0095B4">
                  <w:pPr>
                    <w:autoSpaceDE w:val="0"/>
                    <w:autoSpaceDN w:val="0"/>
                    <w:adjustRightInd w:val="0"/>
                    <w:snapToGrid w:val="0"/>
                    <w:jc w:val="center"/>
                    <w:rPr>
                      <w:rFonts w:eastAsiaTheme="minorEastAsia"/>
                      <w:bCs/>
                    </w:rPr>
                  </w:pPr>
                  <w:r>
                    <w:rPr>
                      <w:rFonts w:hAnsiTheme="minorEastAsia" w:eastAsiaTheme="minorEastAsia"/>
                      <w:bCs/>
                    </w:rPr>
                    <w:t>无需设置</w:t>
                  </w:r>
                </w:p>
              </w:tc>
            </w:tr>
            <w:tr w14:paraId="7FF1C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36" w:type="pct"/>
                  <w:vAlign w:val="center"/>
                </w:tcPr>
                <w:p w14:paraId="4A8D66A8">
                  <w:pPr>
                    <w:autoSpaceDE w:val="0"/>
                    <w:autoSpaceDN w:val="0"/>
                    <w:adjustRightInd w:val="0"/>
                    <w:snapToGrid w:val="0"/>
                    <w:jc w:val="center"/>
                    <w:rPr>
                      <w:rFonts w:eastAsiaTheme="minorEastAsia"/>
                      <w:bCs/>
                    </w:rPr>
                  </w:pPr>
                  <w:r>
                    <w:rPr>
                      <w:rFonts w:hAnsiTheme="minorEastAsia" w:eastAsiaTheme="minorEastAsia"/>
                      <w:bCs/>
                    </w:rPr>
                    <w:t>地表水</w:t>
                  </w:r>
                </w:p>
              </w:tc>
              <w:tc>
                <w:tcPr>
                  <w:tcW w:w="2244" w:type="pct"/>
                  <w:vAlign w:val="center"/>
                </w:tcPr>
                <w:p w14:paraId="010F3A4E">
                  <w:pPr>
                    <w:autoSpaceDE w:val="0"/>
                    <w:autoSpaceDN w:val="0"/>
                    <w:adjustRightInd w:val="0"/>
                    <w:snapToGrid w:val="0"/>
                    <w:jc w:val="center"/>
                    <w:rPr>
                      <w:rFonts w:eastAsiaTheme="minorEastAsia"/>
                      <w:bCs/>
                    </w:rPr>
                  </w:pPr>
                  <w:r>
                    <w:rPr>
                      <w:rFonts w:hAnsiTheme="minorEastAsia" w:eastAsiaTheme="minorEastAsia"/>
                      <w:bCs/>
                    </w:rPr>
                    <w:t>新增工业废水直接排放建设项目（槽罐车外送至污水处理厂的除外）；新增废水直排的污水集中处理厂</w:t>
                  </w:r>
                </w:p>
              </w:tc>
              <w:tc>
                <w:tcPr>
                  <w:tcW w:w="1675" w:type="pct"/>
                  <w:vAlign w:val="center"/>
                </w:tcPr>
                <w:p w14:paraId="3E1B1159">
                  <w:pPr>
                    <w:autoSpaceDE w:val="0"/>
                    <w:autoSpaceDN w:val="0"/>
                    <w:adjustRightInd w:val="0"/>
                    <w:snapToGrid w:val="0"/>
                    <w:jc w:val="center"/>
                    <w:rPr>
                      <w:rFonts w:eastAsiaTheme="minorEastAsia"/>
                      <w:bCs/>
                    </w:rPr>
                  </w:pPr>
                  <w:r>
                    <w:rPr>
                      <w:rFonts w:hAnsiTheme="minorEastAsia" w:eastAsiaTheme="minorEastAsia"/>
                      <w:bCs/>
                    </w:rPr>
                    <w:t>不涉及工业废水直接排放</w:t>
                  </w:r>
                </w:p>
              </w:tc>
              <w:tc>
                <w:tcPr>
                  <w:tcW w:w="445" w:type="pct"/>
                  <w:vAlign w:val="center"/>
                </w:tcPr>
                <w:p w14:paraId="193E5C26">
                  <w:pPr>
                    <w:autoSpaceDE w:val="0"/>
                    <w:autoSpaceDN w:val="0"/>
                    <w:adjustRightInd w:val="0"/>
                    <w:snapToGrid w:val="0"/>
                    <w:jc w:val="center"/>
                    <w:rPr>
                      <w:rFonts w:eastAsiaTheme="minorEastAsia"/>
                      <w:bCs/>
                    </w:rPr>
                  </w:pPr>
                  <w:r>
                    <w:rPr>
                      <w:rFonts w:hAnsiTheme="minorEastAsia" w:eastAsiaTheme="minorEastAsia"/>
                      <w:bCs/>
                    </w:rPr>
                    <w:t>无需设置</w:t>
                  </w:r>
                </w:p>
              </w:tc>
            </w:tr>
            <w:tr w14:paraId="3860F8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36" w:type="pct"/>
                  <w:vAlign w:val="center"/>
                </w:tcPr>
                <w:p w14:paraId="1928F22C">
                  <w:pPr>
                    <w:autoSpaceDE w:val="0"/>
                    <w:autoSpaceDN w:val="0"/>
                    <w:adjustRightInd w:val="0"/>
                    <w:snapToGrid w:val="0"/>
                    <w:jc w:val="center"/>
                    <w:rPr>
                      <w:rFonts w:eastAsiaTheme="minorEastAsia"/>
                      <w:bCs/>
                    </w:rPr>
                  </w:pPr>
                  <w:r>
                    <w:rPr>
                      <w:rFonts w:hAnsiTheme="minorEastAsia" w:eastAsiaTheme="minorEastAsia"/>
                      <w:bCs/>
                    </w:rPr>
                    <w:t>环境风险</w:t>
                  </w:r>
                </w:p>
              </w:tc>
              <w:tc>
                <w:tcPr>
                  <w:tcW w:w="2244" w:type="pct"/>
                  <w:vAlign w:val="center"/>
                </w:tcPr>
                <w:p w14:paraId="318CFD6D">
                  <w:pPr>
                    <w:autoSpaceDE w:val="0"/>
                    <w:autoSpaceDN w:val="0"/>
                    <w:adjustRightInd w:val="0"/>
                    <w:snapToGrid w:val="0"/>
                    <w:jc w:val="center"/>
                    <w:rPr>
                      <w:rFonts w:eastAsiaTheme="minorEastAsia"/>
                      <w:bCs/>
                    </w:rPr>
                  </w:pPr>
                  <w:r>
                    <w:rPr>
                      <w:rFonts w:hAnsiTheme="minorEastAsia" w:eastAsiaTheme="minorEastAsia"/>
                      <w:bCs/>
                    </w:rPr>
                    <w:t>有毒有害和易燃易爆危险物质存储量超过临界量的建设项目</w:t>
                  </w:r>
                </w:p>
              </w:tc>
              <w:tc>
                <w:tcPr>
                  <w:tcW w:w="1675" w:type="pct"/>
                  <w:vAlign w:val="center"/>
                </w:tcPr>
                <w:p w14:paraId="00CDB4CF">
                  <w:pPr>
                    <w:autoSpaceDE w:val="0"/>
                    <w:autoSpaceDN w:val="0"/>
                    <w:adjustRightInd w:val="0"/>
                    <w:snapToGrid w:val="0"/>
                    <w:jc w:val="center"/>
                    <w:rPr>
                      <w:rFonts w:eastAsiaTheme="minorEastAsia"/>
                      <w:bCs/>
                    </w:rPr>
                  </w:pPr>
                  <w:r>
                    <w:rPr>
                      <w:rFonts w:hAnsiTheme="minorEastAsia" w:eastAsiaTheme="minorEastAsia"/>
                      <w:bCs/>
                    </w:rPr>
                    <w:t>危险物质存储量未超过临界量</w:t>
                  </w:r>
                </w:p>
              </w:tc>
              <w:tc>
                <w:tcPr>
                  <w:tcW w:w="445" w:type="pct"/>
                  <w:vAlign w:val="center"/>
                </w:tcPr>
                <w:p w14:paraId="26B80B61">
                  <w:pPr>
                    <w:autoSpaceDE w:val="0"/>
                    <w:autoSpaceDN w:val="0"/>
                    <w:adjustRightInd w:val="0"/>
                    <w:snapToGrid w:val="0"/>
                    <w:jc w:val="center"/>
                    <w:rPr>
                      <w:rFonts w:eastAsiaTheme="minorEastAsia"/>
                      <w:bCs/>
                    </w:rPr>
                  </w:pPr>
                  <w:r>
                    <w:rPr>
                      <w:rFonts w:hAnsiTheme="minorEastAsia" w:eastAsiaTheme="minorEastAsia"/>
                      <w:bCs/>
                    </w:rPr>
                    <w:t>无需设置</w:t>
                  </w:r>
                </w:p>
              </w:tc>
            </w:tr>
            <w:tr w14:paraId="3C9148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36" w:type="pct"/>
                  <w:vAlign w:val="center"/>
                </w:tcPr>
                <w:p w14:paraId="5DABB972">
                  <w:pPr>
                    <w:autoSpaceDE w:val="0"/>
                    <w:autoSpaceDN w:val="0"/>
                    <w:adjustRightInd w:val="0"/>
                    <w:snapToGrid w:val="0"/>
                    <w:jc w:val="center"/>
                    <w:rPr>
                      <w:rFonts w:eastAsiaTheme="minorEastAsia"/>
                      <w:bCs/>
                    </w:rPr>
                  </w:pPr>
                  <w:r>
                    <w:rPr>
                      <w:rFonts w:hAnsiTheme="minorEastAsia" w:eastAsiaTheme="minorEastAsia"/>
                      <w:bCs/>
                    </w:rPr>
                    <w:t>生态</w:t>
                  </w:r>
                </w:p>
              </w:tc>
              <w:tc>
                <w:tcPr>
                  <w:tcW w:w="2244" w:type="pct"/>
                  <w:vAlign w:val="center"/>
                </w:tcPr>
                <w:p w14:paraId="50025774">
                  <w:pPr>
                    <w:autoSpaceDE w:val="0"/>
                    <w:autoSpaceDN w:val="0"/>
                    <w:adjustRightInd w:val="0"/>
                    <w:snapToGrid w:val="0"/>
                    <w:jc w:val="center"/>
                    <w:rPr>
                      <w:rFonts w:eastAsiaTheme="minorEastAsia"/>
                      <w:bCs/>
                    </w:rPr>
                  </w:pPr>
                  <w:r>
                    <w:rPr>
                      <w:rFonts w:hAnsiTheme="minorEastAsia" w:eastAsiaTheme="minorEastAsia"/>
                      <w:bCs/>
                    </w:rPr>
                    <w:t>取水口下游</w:t>
                  </w:r>
                  <w:r>
                    <w:rPr>
                      <w:rFonts w:eastAsiaTheme="minorEastAsia"/>
                      <w:bCs/>
                    </w:rPr>
                    <w:t>500</w:t>
                  </w:r>
                  <w:r>
                    <w:rPr>
                      <w:rFonts w:hAnsiTheme="minorEastAsia" w:eastAsiaTheme="minorEastAsia"/>
                      <w:bCs/>
                    </w:rPr>
                    <w:t>米范围内有重要水生生物的自然产卵场、索饵场、越冬场和洄游通道的新增河道取水的污染类建设项目</w:t>
                  </w:r>
                </w:p>
              </w:tc>
              <w:tc>
                <w:tcPr>
                  <w:tcW w:w="1675" w:type="pct"/>
                  <w:vAlign w:val="center"/>
                </w:tcPr>
                <w:p w14:paraId="7396884F">
                  <w:pPr>
                    <w:autoSpaceDE w:val="0"/>
                    <w:autoSpaceDN w:val="0"/>
                    <w:adjustRightInd w:val="0"/>
                    <w:snapToGrid w:val="0"/>
                    <w:jc w:val="center"/>
                    <w:rPr>
                      <w:rFonts w:eastAsiaTheme="minorEastAsia"/>
                      <w:bCs/>
                    </w:rPr>
                  </w:pPr>
                  <w:r>
                    <w:rPr>
                      <w:rFonts w:hAnsiTheme="minorEastAsia" w:eastAsiaTheme="minorEastAsia"/>
                    </w:rPr>
                    <w:t>不涉及取水口</w:t>
                  </w:r>
                </w:p>
              </w:tc>
              <w:tc>
                <w:tcPr>
                  <w:tcW w:w="445" w:type="pct"/>
                  <w:vAlign w:val="center"/>
                </w:tcPr>
                <w:p w14:paraId="3186D82F">
                  <w:pPr>
                    <w:autoSpaceDE w:val="0"/>
                    <w:autoSpaceDN w:val="0"/>
                    <w:adjustRightInd w:val="0"/>
                    <w:snapToGrid w:val="0"/>
                    <w:jc w:val="center"/>
                    <w:rPr>
                      <w:rFonts w:eastAsiaTheme="minorEastAsia"/>
                    </w:rPr>
                  </w:pPr>
                  <w:r>
                    <w:rPr>
                      <w:rFonts w:hAnsiTheme="minorEastAsia" w:eastAsiaTheme="minorEastAsia"/>
                      <w:bCs/>
                    </w:rPr>
                    <w:t>无需设置</w:t>
                  </w:r>
                </w:p>
              </w:tc>
            </w:tr>
            <w:tr w14:paraId="112471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36" w:type="pct"/>
                  <w:vAlign w:val="center"/>
                </w:tcPr>
                <w:p w14:paraId="521366A8">
                  <w:pPr>
                    <w:autoSpaceDE w:val="0"/>
                    <w:autoSpaceDN w:val="0"/>
                    <w:adjustRightInd w:val="0"/>
                    <w:snapToGrid w:val="0"/>
                    <w:jc w:val="center"/>
                    <w:rPr>
                      <w:rFonts w:eastAsiaTheme="minorEastAsia"/>
                      <w:bCs/>
                    </w:rPr>
                  </w:pPr>
                  <w:r>
                    <w:rPr>
                      <w:rFonts w:hAnsiTheme="minorEastAsia" w:eastAsiaTheme="minorEastAsia"/>
                      <w:bCs/>
                    </w:rPr>
                    <w:t>海洋</w:t>
                  </w:r>
                </w:p>
              </w:tc>
              <w:tc>
                <w:tcPr>
                  <w:tcW w:w="2244" w:type="pct"/>
                  <w:vAlign w:val="center"/>
                </w:tcPr>
                <w:p w14:paraId="17800477">
                  <w:pPr>
                    <w:autoSpaceDE w:val="0"/>
                    <w:autoSpaceDN w:val="0"/>
                    <w:adjustRightInd w:val="0"/>
                    <w:snapToGrid w:val="0"/>
                    <w:jc w:val="center"/>
                    <w:rPr>
                      <w:rFonts w:eastAsiaTheme="minorEastAsia"/>
                      <w:bCs/>
                    </w:rPr>
                  </w:pPr>
                  <w:r>
                    <w:rPr>
                      <w:rFonts w:hAnsiTheme="minorEastAsia" w:eastAsiaTheme="minorEastAsia"/>
                      <w:bCs/>
                    </w:rPr>
                    <w:t>直接向海排放污染物的海洋工程建设项目</w:t>
                  </w:r>
                </w:p>
              </w:tc>
              <w:tc>
                <w:tcPr>
                  <w:tcW w:w="1675" w:type="pct"/>
                  <w:vAlign w:val="center"/>
                </w:tcPr>
                <w:p w14:paraId="63548094">
                  <w:pPr>
                    <w:autoSpaceDE w:val="0"/>
                    <w:autoSpaceDN w:val="0"/>
                    <w:adjustRightInd w:val="0"/>
                    <w:snapToGrid w:val="0"/>
                    <w:jc w:val="center"/>
                    <w:rPr>
                      <w:rFonts w:eastAsiaTheme="minorEastAsia"/>
                      <w:bCs/>
                    </w:rPr>
                  </w:pPr>
                  <w:r>
                    <w:rPr>
                      <w:rFonts w:hAnsiTheme="minorEastAsia" w:eastAsiaTheme="minorEastAsia"/>
                    </w:rPr>
                    <w:t>不涉及向海洋排放污染物</w:t>
                  </w:r>
                </w:p>
              </w:tc>
              <w:tc>
                <w:tcPr>
                  <w:tcW w:w="445" w:type="pct"/>
                  <w:vAlign w:val="center"/>
                </w:tcPr>
                <w:p w14:paraId="40F50D64">
                  <w:pPr>
                    <w:autoSpaceDE w:val="0"/>
                    <w:autoSpaceDN w:val="0"/>
                    <w:adjustRightInd w:val="0"/>
                    <w:snapToGrid w:val="0"/>
                    <w:jc w:val="center"/>
                    <w:rPr>
                      <w:rFonts w:eastAsiaTheme="minorEastAsia"/>
                    </w:rPr>
                  </w:pPr>
                  <w:r>
                    <w:rPr>
                      <w:rFonts w:hAnsiTheme="minorEastAsia" w:eastAsiaTheme="minorEastAsia"/>
                      <w:bCs/>
                    </w:rPr>
                    <w:t>无需设置</w:t>
                  </w:r>
                </w:p>
              </w:tc>
            </w:tr>
          </w:tbl>
          <w:p w14:paraId="2A3F6A96">
            <w:pPr>
              <w:autoSpaceDE w:val="0"/>
              <w:autoSpaceDN w:val="0"/>
              <w:adjustRightInd w:val="0"/>
              <w:snapToGrid w:val="0"/>
              <w:jc w:val="center"/>
              <w:rPr>
                <w:kern w:val="0"/>
                <w:sz w:val="24"/>
              </w:rPr>
            </w:pPr>
          </w:p>
        </w:tc>
      </w:tr>
      <w:tr w14:paraId="7E244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23" w:type="dxa"/>
            <w:vAlign w:val="center"/>
          </w:tcPr>
          <w:p w14:paraId="797ED0B8">
            <w:pPr>
              <w:autoSpaceDE w:val="0"/>
              <w:autoSpaceDN w:val="0"/>
              <w:adjustRightInd w:val="0"/>
              <w:snapToGrid w:val="0"/>
              <w:jc w:val="center"/>
              <w:rPr>
                <w:b/>
                <w:kern w:val="0"/>
                <w:sz w:val="24"/>
              </w:rPr>
            </w:pPr>
            <w:r>
              <w:rPr>
                <w:b/>
                <w:sz w:val="24"/>
              </w:rPr>
              <w:t>规划情况</w:t>
            </w:r>
          </w:p>
        </w:tc>
        <w:tc>
          <w:tcPr>
            <w:tcW w:w="9383" w:type="dxa"/>
            <w:gridSpan w:val="4"/>
            <w:vAlign w:val="center"/>
          </w:tcPr>
          <w:p w14:paraId="2313EAA6">
            <w:pPr>
              <w:autoSpaceDE w:val="0"/>
              <w:autoSpaceDN w:val="0"/>
              <w:adjustRightInd w:val="0"/>
              <w:snapToGrid w:val="0"/>
              <w:spacing w:line="360" w:lineRule="auto"/>
              <w:jc w:val="center"/>
              <w:rPr>
                <w:spacing w:val="-2"/>
                <w:sz w:val="24"/>
              </w:rPr>
            </w:pPr>
            <w:r>
              <w:rPr>
                <w:spacing w:val="-2"/>
                <w:sz w:val="24"/>
              </w:rPr>
              <w:t>无</w:t>
            </w:r>
          </w:p>
        </w:tc>
      </w:tr>
      <w:tr w14:paraId="55931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23" w:type="dxa"/>
            <w:vAlign w:val="center"/>
          </w:tcPr>
          <w:p w14:paraId="03E5EF25">
            <w:pPr>
              <w:adjustRightInd w:val="0"/>
              <w:snapToGrid w:val="0"/>
              <w:jc w:val="center"/>
              <w:rPr>
                <w:b/>
                <w:sz w:val="24"/>
              </w:rPr>
            </w:pPr>
            <w:r>
              <w:rPr>
                <w:b/>
                <w:sz w:val="24"/>
              </w:rPr>
              <w:t>规划环境影响评价情况</w:t>
            </w:r>
          </w:p>
        </w:tc>
        <w:tc>
          <w:tcPr>
            <w:tcW w:w="9383" w:type="dxa"/>
            <w:gridSpan w:val="4"/>
            <w:vAlign w:val="center"/>
          </w:tcPr>
          <w:p w14:paraId="57E9ED88">
            <w:pPr>
              <w:autoSpaceDE w:val="0"/>
              <w:autoSpaceDN w:val="0"/>
              <w:adjustRightInd w:val="0"/>
              <w:snapToGrid w:val="0"/>
              <w:spacing w:line="360" w:lineRule="auto"/>
              <w:jc w:val="center"/>
              <w:rPr>
                <w:spacing w:val="-2"/>
                <w:sz w:val="24"/>
              </w:rPr>
            </w:pPr>
            <w:r>
              <w:rPr>
                <w:spacing w:val="-2"/>
                <w:sz w:val="24"/>
              </w:rPr>
              <w:t>无</w:t>
            </w:r>
          </w:p>
        </w:tc>
      </w:tr>
      <w:tr w14:paraId="583D5C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23" w:type="dxa"/>
            <w:vAlign w:val="center"/>
          </w:tcPr>
          <w:p w14:paraId="6945C3EF">
            <w:pPr>
              <w:autoSpaceDE w:val="0"/>
              <w:autoSpaceDN w:val="0"/>
              <w:adjustRightInd w:val="0"/>
              <w:snapToGrid w:val="0"/>
              <w:jc w:val="center"/>
              <w:rPr>
                <w:b/>
                <w:kern w:val="0"/>
                <w:sz w:val="24"/>
              </w:rPr>
            </w:pPr>
            <w:r>
              <w:rPr>
                <w:b/>
                <w:kern w:val="0"/>
                <w:sz w:val="24"/>
              </w:rPr>
              <w:t>规划及规划环境影响评价符合性分析</w:t>
            </w:r>
          </w:p>
        </w:tc>
        <w:tc>
          <w:tcPr>
            <w:tcW w:w="9383" w:type="dxa"/>
            <w:gridSpan w:val="4"/>
            <w:vAlign w:val="center"/>
          </w:tcPr>
          <w:p w14:paraId="2DDE8391">
            <w:pPr>
              <w:pStyle w:val="10"/>
              <w:spacing w:before="0" w:after="0" w:line="360" w:lineRule="auto"/>
              <w:ind w:firstLine="472" w:firstLineChars="200"/>
              <w:jc w:val="center"/>
              <w:rPr>
                <w:rFonts w:hAnsiTheme="minorEastAsia" w:eastAsiaTheme="minorEastAsia"/>
                <w:b w:val="0"/>
                <w:bCs w:val="0"/>
                <w:kern w:val="2"/>
                <w:sz w:val="24"/>
                <w:szCs w:val="22"/>
              </w:rPr>
            </w:pPr>
            <w:r>
              <w:rPr>
                <w:b w:val="0"/>
                <w:spacing w:val="-2"/>
                <w:sz w:val="24"/>
              </w:rPr>
              <w:t>无</w:t>
            </w:r>
          </w:p>
        </w:tc>
      </w:tr>
      <w:tr w14:paraId="6E5F1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23" w:type="dxa"/>
            <w:vAlign w:val="center"/>
          </w:tcPr>
          <w:p w14:paraId="0B79D0C5">
            <w:pPr>
              <w:autoSpaceDE w:val="0"/>
              <w:autoSpaceDN w:val="0"/>
              <w:adjustRightInd w:val="0"/>
              <w:snapToGrid w:val="0"/>
              <w:jc w:val="center"/>
              <w:rPr>
                <w:b/>
                <w:kern w:val="0"/>
                <w:sz w:val="24"/>
              </w:rPr>
            </w:pPr>
            <w:r>
              <w:rPr>
                <w:b/>
                <w:kern w:val="0"/>
                <w:sz w:val="24"/>
              </w:rPr>
              <w:t>其他符合性分析</w:t>
            </w:r>
          </w:p>
        </w:tc>
        <w:tc>
          <w:tcPr>
            <w:tcW w:w="9383" w:type="dxa"/>
            <w:gridSpan w:val="4"/>
            <w:vAlign w:val="center"/>
          </w:tcPr>
          <w:p w14:paraId="06269A99">
            <w:pPr>
              <w:autoSpaceDE w:val="0"/>
              <w:autoSpaceDN w:val="0"/>
              <w:adjustRightInd w:val="0"/>
              <w:snapToGrid w:val="0"/>
              <w:spacing w:line="360" w:lineRule="auto"/>
              <w:ind w:firstLine="482" w:firstLineChars="200"/>
              <w:rPr>
                <w:rFonts w:hAnsiTheme="minorEastAsia" w:eastAsiaTheme="minorEastAsia"/>
                <w:b/>
                <w:sz w:val="24"/>
                <w:szCs w:val="22"/>
              </w:rPr>
            </w:pPr>
            <w:r>
              <w:rPr>
                <w:rFonts w:hint="eastAsia" w:hAnsiTheme="minorEastAsia" w:eastAsiaTheme="minorEastAsia"/>
                <w:b/>
                <w:sz w:val="24"/>
                <w:szCs w:val="22"/>
              </w:rPr>
              <w:t>1、</w:t>
            </w:r>
            <w:r>
              <w:rPr>
                <w:rFonts w:hAnsiTheme="minorEastAsia" w:eastAsiaTheme="minorEastAsia"/>
                <w:b/>
                <w:sz w:val="24"/>
                <w:szCs w:val="22"/>
              </w:rPr>
              <w:t>产业政策合理性分析</w:t>
            </w:r>
          </w:p>
          <w:p w14:paraId="03AF7AE4">
            <w:pPr>
              <w:adjustRightInd w:val="0"/>
              <w:snapToGrid w:val="0"/>
              <w:spacing w:line="360" w:lineRule="auto"/>
              <w:ind w:firstLine="480" w:firstLineChars="200"/>
              <w:rPr>
                <w:sz w:val="24"/>
              </w:rPr>
            </w:pPr>
            <w:r>
              <w:rPr>
                <w:rFonts w:hint="eastAsia"/>
                <w:sz w:val="24"/>
              </w:rPr>
              <w:t>（1）本次技改属于钢压延加工，不属于《产业结构调整指导目录（2024年本）》中“鼓励类、限制类、淘汰类”项目，为允许类。项目建设符合国家的产业政策。</w:t>
            </w:r>
          </w:p>
          <w:p w14:paraId="2232AE64">
            <w:pPr>
              <w:adjustRightInd w:val="0"/>
              <w:snapToGrid w:val="0"/>
              <w:spacing w:line="360" w:lineRule="auto"/>
              <w:ind w:firstLine="480" w:firstLineChars="200"/>
              <w:rPr>
                <w:sz w:val="24"/>
              </w:rPr>
            </w:pPr>
            <w:r>
              <w:rPr>
                <w:rFonts w:hint="eastAsia"/>
                <w:sz w:val="24"/>
              </w:rPr>
              <w:t>（2）根据《市场准入负面清单（2022年版）》，本项目不属于其规定的“禁止准入类”和“许可准入类”项目，本项目属于允许建设类，符合要求。</w:t>
            </w:r>
          </w:p>
          <w:p w14:paraId="28DCD086">
            <w:pPr>
              <w:pStyle w:val="56"/>
              <w:spacing w:line="360" w:lineRule="auto"/>
              <w:ind w:firstLine="480" w:firstLineChars="200"/>
              <w:rPr>
                <w:rFonts w:hAnsiTheme="minorEastAsia" w:eastAsiaTheme="minorEastAsia"/>
                <w:color w:val="auto"/>
              </w:rPr>
            </w:pPr>
            <w:r>
              <w:rPr>
                <w:rFonts w:hint="eastAsia" w:hAnsiTheme="minorEastAsia" w:eastAsiaTheme="minorEastAsia"/>
                <w:color w:val="auto"/>
              </w:rPr>
              <w:t>（3）本项目已经取得衡阳市发展和改革委员会的备案（项目代码：</w:t>
            </w:r>
            <w:r>
              <w:rPr>
                <w:rFonts w:hAnsiTheme="minorEastAsia" w:eastAsiaTheme="minorEastAsia"/>
                <w:color w:val="auto"/>
              </w:rPr>
              <w:t>2408-430400-04-02-808666</w:t>
            </w:r>
            <w:r>
              <w:rPr>
                <w:rFonts w:hint="eastAsia" w:hAnsiTheme="minorEastAsia" w:eastAsiaTheme="minorEastAsia"/>
                <w:color w:val="auto"/>
              </w:rPr>
              <w:t>）。</w:t>
            </w:r>
          </w:p>
          <w:p w14:paraId="52C6AD6B">
            <w:pPr>
              <w:adjustRightInd w:val="0"/>
              <w:snapToGrid w:val="0"/>
              <w:spacing w:line="360" w:lineRule="auto"/>
              <w:ind w:firstLine="480" w:firstLineChars="200"/>
              <w:rPr>
                <w:sz w:val="24"/>
              </w:rPr>
            </w:pPr>
            <w:r>
              <w:rPr>
                <w:rFonts w:hint="eastAsia"/>
                <w:sz w:val="24"/>
              </w:rPr>
              <w:t>（4）</w:t>
            </w:r>
            <w:r>
              <w:rPr>
                <w:sz w:val="24"/>
              </w:rPr>
              <w:t>项目所选用机械设备未列入《部分工业行业淘汰落后生产工艺装备和产品指导目录（2010年本）》（工产业（2010）第122号）中，无淘汰、落后设备</w:t>
            </w:r>
            <w:r>
              <w:rPr>
                <w:rFonts w:hint="eastAsia"/>
                <w:sz w:val="24"/>
              </w:rPr>
              <w:t>。</w:t>
            </w:r>
          </w:p>
          <w:p w14:paraId="605BED99">
            <w:pPr>
              <w:adjustRightInd w:val="0"/>
              <w:snapToGrid w:val="0"/>
              <w:spacing w:line="360" w:lineRule="auto"/>
              <w:ind w:firstLine="480" w:firstLineChars="200"/>
              <w:rPr>
                <w:sz w:val="24"/>
              </w:rPr>
            </w:pPr>
            <w:r>
              <w:rPr>
                <w:rFonts w:hint="eastAsia"/>
                <w:sz w:val="24"/>
              </w:rPr>
              <w:t>综合所述，本项目符合国家和地方产业政策</w:t>
            </w:r>
            <w:r>
              <w:rPr>
                <w:sz w:val="24"/>
              </w:rPr>
              <w:t>。</w:t>
            </w:r>
          </w:p>
          <w:p w14:paraId="6669A019">
            <w:pPr>
              <w:autoSpaceDE w:val="0"/>
              <w:autoSpaceDN w:val="0"/>
              <w:adjustRightInd w:val="0"/>
              <w:snapToGrid w:val="0"/>
              <w:spacing w:line="360" w:lineRule="auto"/>
              <w:ind w:firstLine="482" w:firstLineChars="200"/>
              <w:jc w:val="left"/>
              <w:rPr>
                <w:b/>
                <w:sz w:val="24"/>
              </w:rPr>
            </w:pPr>
            <w:r>
              <w:rPr>
                <w:rFonts w:hint="eastAsia"/>
                <w:b/>
                <w:sz w:val="24"/>
              </w:rPr>
              <w:t>2、项目选址合理</w:t>
            </w:r>
            <w:r>
              <w:rPr>
                <w:b/>
                <w:sz w:val="24"/>
              </w:rPr>
              <w:t>性分析</w:t>
            </w:r>
          </w:p>
          <w:p w14:paraId="285C12FC">
            <w:pPr>
              <w:adjustRightInd w:val="0"/>
              <w:snapToGrid w:val="0"/>
              <w:spacing w:line="360" w:lineRule="auto"/>
              <w:ind w:firstLine="480" w:firstLineChars="200"/>
              <w:rPr>
                <w:sz w:val="24"/>
              </w:rPr>
            </w:pPr>
            <w:r>
              <w:rPr>
                <w:rFonts w:hint="eastAsia"/>
                <w:sz w:val="24"/>
              </w:rPr>
              <w:t>项目位于衡阳市蒸湘区衡阳华菱连轧管有限公司89分厂内，项目建设在现有工业用地内，不另行新增用地。项目建设满足相应工程地质、水文地质条件，不受洪水、潮水、内涝威胁。项目周边无文物保护单位、风景名胜区，未发现受国家和省、市级保护的珍稀野生动植物物种等重要的环境敏感目标，在建设方严格落实本项目提出的各项环保措施的前提下，本项目建设无不可避免的重大环境制约因素。项目选址可行</w:t>
            </w:r>
            <w:r>
              <w:rPr>
                <w:sz w:val="24"/>
              </w:rPr>
              <w:t>。</w:t>
            </w:r>
          </w:p>
          <w:p w14:paraId="127332AC">
            <w:pPr>
              <w:autoSpaceDE w:val="0"/>
              <w:autoSpaceDN w:val="0"/>
              <w:adjustRightInd w:val="0"/>
              <w:snapToGrid w:val="0"/>
              <w:spacing w:line="360" w:lineRule="auto"/>
              <w:ind w:firstLine="482" w:firstLineChars="200"/>
              <w:jc w:val="left"/>
              <w:rPr>
                <w:b/>
                <w:sz w:val="24"/>
              </w:rPr>
            </w:pPr>
            <w:r>
              <w:rPr>
                <w:rFonts w:hint="eastAsia"/>
                <w:b/>
                <w:sz w:val="24"/>
              </w:rPr>
              <w:t>3、“</w:t>
            </w:r>
            <w:r>
              <w:rPr>
                <w:b/>
                <w:sz w:val="24"/>
              </w:rPr>
              <w:t>三线一单”控制要求的符合性分析</w:t>
            </w:r>
          </w:p>
          <w:p w14:paraId="49DFCCC8">
            <w:pPr>
              <w:adjustRightInd w:val="0"/>
              <w:spacing w:line="360" w:lineRule="auto"/>
              <w:ind w:firstLine="480" w:firstLineChars="200"/>
              <w:rPr>
                <w:sz w:val="24"/>
              </w:rPr>
            </w:pPr>
            <w:r>
              <w:rPr>
                <w:rFonts w:hint="eastAsia"/>
                <w:sz w:val="24"/>
              </w:rPr>
              <w:t>（1）生态保护红线</w:t>
            </w:r>
          </w:p>
          <w:p w14:paraId="75C0DA9B">
            <w:pPr>
              <w:adjustRightInd w:val="0"/>
              <w:snapToGrid w:val="0"/>
              <w:spacing w:line="360" w:lineRule="auto"/>
              <w:ind w:firstLine="480" w:firstLineChars="200"/>
              <w:rPr>
                <w:sz w:val="24"/>
              </w:rPr>
            </w:pPr>
            <w:r>
              <w:rPr>
                <w:rFonts w:hint="eastAsia"/>
                <w:sz w:val="24"/>
              </w:rPr>
              <w:t>“生态保护红线”是生态空间范围内具有特殊重要生态功能必须实行强制性严格保护的区域。</w:t>
            </w:r>
          </w:p>
          <w:p w14:paraId="2C1CE09D">
            <w:pPr>
              <w:adjustRightInd w:val="0"/>
              <w:spacing w:line="360" w:lineRule="auto"/>
              <w:ind w:firstLine="480" w:firstLineChars="200"/>
              <w:rPr>
                <w:sz w:val="24"/>
              </w:rPr>
            </w:pPr>
            <w:r>
              <w:rPr>
                <w:rFonts w:hint="eastAsia"/>
                <w:sz w:val="24"/>
              </w:rPr>
              <w:t>本项目位于衡阳市蒸湘（区）大栗新村10号（</w:t>
            </w:r>
            <w:r>
              <w:rPr>
                <w:rFonts w:hAnsi="宋体"/>
                <w:sz w:val="24"/>
              </w:rPr>
              <w:t>衡阳华菱钢管有限公司89分厂现有厂区内</w:t>
            </w:r>
            <w:r>
              <w:rPr>
                <w:rFonts w:hint="eastAsia"/>
                <w:sz w:val="24"/>
              </w:rPr>
              <w:t>），根据衡阳市生态保护红线区划图，项目不在生态保护红线划定范围内，与衡阳市生态保护红线相符。</w:t>
            </w:r>
          </w:p>
          <w:p w14:paraId="16546A80">
            <w:pPr>
              <w:adjustRightInd w:val="0"/>
              <w:spacing w:line="360" w:lineRule="auto"/>
              <w:ind w:firstLine="480" w:firstLineChars="200"/>
              <w:rPr>
                <w:sz w:val="24"/>
              </w:rPr>
            </w:pPr>
            <w:r>
              <w:rPr>
                <w:rFonts w:hint="eastAsia"/>
                <w:sz w:val="24"/>
              </w:rPr>
              <w:t>（2）环境质量底线</w:t>
            </w:r>
          </w:p>
          <w:p w14:paraId="2749A6D9">
            <w:pPr>
              <w:adjustRightInd w:val="0"/>
              <w:spacing w:line="360" w:lineRule="auto"/>
              <w:ind w:firstLine="480" w:firstLineChars="200"/>
              <w:rPr>
                <w:sz w:val="24"/>
              </w:rPr>
            </w:pPr>
            <w:r>
              <w:rPr>
                <w:rFonts w:asciiTheme="minorEastAsia" w:hAnsiTheme="minorEastAsia" w:eastAsiaTheme="minorEastAsia"/>
                <w:sz w:val="24"/>
              </w:rPr>
              <w:t>“环境质量底线”是</w:t>
            </w:r>
            <w:r>
              <w:rPr>
                <w:sz w:val="24"/>
              </w:rPr>
              <w:t>国家和地方设置的大气、水和土壤环境质量目标，也是改善环境质量的基准线。</w:t>
            </w:r>
          </w:p>
          <w:p w14:paraId="611CE738">
            <w:pPr>
              <w:adjustRightInd w:val="0"/>
              <w:spacing w:line="360" w:lineRule="auto"/>
              <w:ind w:firstLine="480" w:firstLineChars="200"/>
              <w:rPr>
                <w:sz w:val="24"/>
              </w:rPr>
            </w:pPr>
            <w:r>
              <w:rPr>
                <w:rFonts w:hint="eastAsia"/>
                <w:sz w:val="24"/>
              </w:rPr>
              <w:t>蒸湘区2023</w:t>
            </w:r>
            <w:r>
              <w:rPr>
                <w:sz w:val="24"/>
              </w:rPr>
              <w:t>年大气环境各常规因子达标，区域地表水体满足相应功能要求，项目周边土壤现状质量达标。</w:t>
            </w:r>
          </w:p>
          <w:p w14:paraId="7814D002">
            <w:pPr>
              <w:adjustRightInd w:val="0"/>
              <w:spacing w:line="360" w:lineRule="auto"/>
              <w:ind w:firstLine="480" w:firstLineChars="200"/>
              <w:rPr>
                <w:sz w:val="24"/>
              </w:rPr>
            </w:pPr>
            <w:r>
              <w:rPr>
                <w:rFonts w:hint="eastAsia"/>
                <w:sz w:val="24"/>
              </w:rPr>
              <w:t>通过影响分析，本项目废气治理后能做到达标排放，对环境空气影响较小，大气环境影响可接受；废水大部分循环使用，少量经处理后回用，对周边水环境影响较小；固废均能得到合理有效的处理，不外排，对周边环境影响较小；设备经减振、隔声、加装消声器等降噪措施处理后，对周边声环境影响较小，不会改变项目所在区域及敏感点声环境功能；本项目建设运营后不会对土壤产生不利影响，对土壤环境的影响可接受。</w:t>
            </w:r>
          </w:p>
          <w:p w14:paraId="77468B20">
            <w:pPr>
              <w:adjustRightInd w:val="0"/>
              <w:spacing w:line="360" w:lineRule="auto"/>
              <w:ind w:firstLine="480" w:firstLineChars="200"/>
              <w:rPr>
                <w:sz w:val="24"/>
              </w:rPr>
            </w:pPr>
            <w:r>
              <w:rPr>
                <w:rFonts w:hint="eastAsia"/>
                <w:sz w:val="24"/>
              </w:rPr>
              <w:t>综上所述，项目采取本环评提出的相关防治措施后，排放的污染物不会对周边环境造成明显影响，不会触及环境质量底线。</w:t>
            </w:r>
          </w:p>
          <w:p w14:paraId="661E7533">
            <w:pPr>
              <w:adjustRightInd w:val="0"/>
              <w:spacing w:line="360" w:lineRule="auto"/>
              <w:ind w:firstLine="480" w:firstLineChars="200"/>
              <w:rPr>
                <w:sz w:val="24"/>
              </w:rPr>
            </w:pPr>
            <w:r>
              <w:rPr>
                <w:rFonts w:hint="eastAsia"/>
                <w:sz w:val="24"/>
              </w:rPr>
              <w:t>（3）资源利用上线</w:t>
            </w:r>
          </w:p>
          <w:p w14:paraId="5DDA241F">
            <w:pPr>
              <w:adjustRightInd w:val="0"/>
              <w:snapToGrid w:val="0"/>
              <w:spacing w:line="360" w:lineRule="auto"/>
              <w:ind w:firstLine="480" w:firstLineChars="200"/>
              <w:rPr>
                <w:sz w:val="24"/>
              </w:rPr>
            </w:pPr>
            <w:r>
              <w:rPr>
                <w:rFonts w:hint="eastAsia"/>
                <w:sz w:val="24"/>
              </w:rPr>
              <w:t>资源是环境的载体，“资源利用上线”地区能源、水、土地等资源消耗不得突破的“天花板”。</w:t>
            </w:r>
          </w:p>
          <w:p w14:paraId="210EBE14">
            <w:pPr>
              <w:adjustRightInd w:val="0"/>
              <w:snapToGrid w:val="0"/>
              <w:spacing w:line="360" w:lineRule="auto"/>
              <w:ind w:firstLine="480" w:firstLineChars="200"/>
              <w:rPr>
                <w:sz w:val="24"/>
              </w:rPr>
            </w:pPr>
            <w:r>
              <w:rPr>
                <w:rFonts w:hint="eastAsia"/>
                <w:sz w:val="24"/>
              </w:rPr>
              <w:t>本项目在衡阳华菱连轧管有限公司89分厂内建设，不新增用地；项目建成运行后通过内部管理、设备选择、原辅材料的选用和管理、污染治理等多方面采取合理可行的防治措施，以“节能、降耗、减污”为目标，有效地控制污染，符合能源、水、土地等资源利用上线要求</w:t>
            </w:r>
            <w:r>
              <w:rPr>
                <w:sz w:val="24"/>
              </w:rPr>
              <w:t>。</w:t>
            </w:r>
          </w:p>
          <w:p w14:paraId="67DA9B4C">
            <w:pPr>
              <w:adjustRightInd w:val="0"/>
              <w:spacing w:line="360" w:lineRule="auto"/>
              <w:ind w:firstLine="480" w:firstLineChars="200"/>
              <w:rPr>
                <w:sz w:val="24"/>
              </w:rPr>
            </w:pPr>
            <w:r>
              <w:rPr>
                <w:rFonts w:hint="eastAsia"/>
                <w:sz w:val="24"/>
              </w:rPr>
              <w:t>（</w:t>
            </w:r>
            <w:r>
              <w:rPr>
                <w:sz w:val="24"/>
              </w:rPr>
              <w:t>4</w:t>
            </w:r>
            <w:r>
              <w:rPr>
                <w:rFonts w:hint="eastAsia"/>
                <w:sz w:val="24"/>
              </w:rPr>
              <w:t>）生态环境准入清单</w:t>
            </w:r>
          </w:p>
          <w:p w14:paraId="740E062A">
            <w:pPr>
              <w:adjustRightInd w:val="0"/>
              <w:spacing w:line="360" w:lineRule="auto"/>
              <w:ind w:firstLine="480" w:firstLineChars="200"/>
              <w:rPr>
                <w:sz w:val="24"/>
              </w:rPr>
            </w:pPr>
            <w:r>
              <w:rPr>
                <w:rFonts w:hint="eastAsia"/>
                <w:sz w:val="24"/>
              </w:rPr>
              <w:t>生态环境准入清单是基于生态保护红线、环境质量底线和资源利用上线，以清单方式列出的禁止、限制等差别化环境准入条件和要求。</w:t>
            </w:r>
          </w:p>
          <w:p w14:paraId="5C8CA282">
            <w:pPr>
              <w:adjustRightInd w:val="0"/>
              <w:snapToGrid w:val="0"/>
              <w:spacing w:line="360" w:lineRule="auto"/>
              <w:ind w:firstLine="480" w:firstLineChars="200"/>
              <w:rPr>
                <w:sz w:val="24"/>
              </w:rPr>
            </w:pPr>
            <w:r>
              <w:rPr>
                <w:rFonts w:hint="eastAsia"/>
                <w:sz w:val="24"/>
              </w:rPr>
              <w:t>本项目位于衡阳市蒸湘（区）大栗新村10号（</w:t>
            </w:r>
            <w:r>
              <w:rPr>
                <w:rFonts w:hAnsi="宋体"/>
                <w:sz w:val="24"/>
              </w:rPr>
              <w:t>衡阳华菱钢管有限公司89分厂现有厂区内</w:t>
            </w:r>
            <w:r>
              <w:rPr>
                <w:rFonts w:hint="eastAsia"/>
                <w:sz w:val="24"/>
              </w:rPr>
              <w:t>），对照《衡阳市人民政府关于实施“三线一单”生态环境分区管控的意见》，判定项目属于重点管控单元，本项目所在的环境管控单元编码为H43040820002，主体功能定位为国家层面重点开发区，经济产业布局包括钢铁、商业、房地产、金融、生态农业、生态旅游等。通过进一步与该管控单元的管控要求进行分析，可知本项目与《衡阳市人民政府关于实施“三线一单”生态环境分区管控的意见》（衡政发（2020）9号）》相适应，具体内容如下。</w:t>
            </w:r>
          </w:p>
          <w:p w14:paraId="5CEED831">
            <w:pPr>
              <w:autoSpaceDE w:val="0"/>
              <w:autoSpaceDN w:val="0"/>
              <w:adjustRightInd w:val="0"/>
              <w:snapToGrid w:val="0"/>
              <w:spacing w:beforeLines="50"/>
              <w:jc w:val="center"/>
              <w:rPr>
                <w:b/>
              </w:rPr>
            </w:pPr>
            <w:r>
              <w:rPr>
                <w:b/>
              </w:rPr>
              <w:t>表</w:t>
            </w:r>
            <w:r>
              <w:rPr>
                <w:rFonts w:hint="eastAsia"/>
                <w:b/>
              </w:rPr>
              <w:t xml:space="preserve">1-2  </w:t>
            </w:r>
            <w:r>
              <w:rPr>
                <w:b/>
              </w:rPr>
              <w:t>项目与衡阳市</w:t>
            </w:r>
            <w:r>
              <w:rPr>
                <w:rFonts w:hint="eastAsia"/>
                <w:b/>
              </w:rPr>
              <w:t>蒸湘区</w:t>
            </w:r>
            <w:r>
              <w:rPr>
                <w:b/>
              </w:rPr>
              <w:t>生态环境准入清单符合性分析</w:t>
            </w:r>
          </w:p>
          <w:tbl>
            <w:tblPr>
              <w:tblStyle w:val="3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5245"/>
              <w:gridCol w:w="2237"/>
              <w:gridCol w:w="928"/>
            </w:tblGrid>
            <w:tr w14:paraId="6DDD78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8" w:type="pct"/>
                  <w:vAlign w:val="center"/>
                </w:tcPr>
                <w:p w14:paraId="691F7D74">
                  <w:pPr>
                    <w:jc w:val="center"/>
                    <w:rPr>
                      <w:b/>
                    </w:rPr>
                  </w:pPr>
                  <w:r>
                    <w:rPr>
                      <w:rFonts w:hint="eastAsia"/>
                      <w:b/>
                    </w:rPr>
                    <w:t>管控类别</w:t>
                  </w:r>
                </w:p>
              </w:tc>
              <w:tc>
                <w:tcPr>
                  <w:tcW w:w="2870" w:type="pct"/>
                  <w:vAlign w:val="center"/>
                </w:tcPr>
                <w:p w14:paraId="0FDB8FE6">
                  <w:pPr>
                    <w:jc w:val="center"/>
                    <w:rPr>
                      <w:b/>
                    </w:rPr>
                  </w:pPr>
                  <w:r>
                    <w:rPr>
                      <w:rFonts w:hint="eastAsia"/>
                      <w:b/>
                    </w:rPr>
                    <w:t>管控要求</w:t>
                  </w:r>
                </w:p>
              </w:tc>
              <w:tc>
                <w:tcPr>
                  <w:tcW w:w="1224" w:type="pct"/>
                  <w:vAlign w:val="center"/>
                </w:tcPr>
                <w:p w14:paraId="6DA09673">
                  <w:pPr>
                    <w:jc w:val="center"/>
                    <w:rPr>
                      <w:b/>
                    </w:rPr>
                  </w:pPr>
                  <w:r>
                    <w:rPr>
                      <w:rFonts w:hint="eastAsia"/>
                      <w:b/>
                    </w:rPr>
                    <w:t>本项目情况</w:t>
                  </w:r>
                </w:p>
              </w:tc>
              <w:tc>
                <w:tcPr>
                  <w:tcW w:w="508" w:type="pct"/>
                  <w:vAlign w:val="center"/>
                </w:tcPr>
                <w:p w14:paraId="544C16C9">
                  <w:pPr>
                    <w:jc w:val="center"/>
                    <w:rPr>
                      <w:b/>
                    </w:rPr>
                  </w:pPr>
                  <w:r>
                    <w:rPr>
                      <w:rFonts w:hint="eastAsia"/>
                      <w:b/>
                    </w:rPr>
                    <w:t>相符性</w:t>
                  </w:r>
                </w:p>
              </w:tc>
            </w:tr>
            <w:tr w14:paraId="3078C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8" w:type="pct"/>
                  <w:vAlign w:val="center"/>
                </w:tcPr>
                <w:p w14:paraId="2004F815">
                  <w:pPr>
                    <w:jc w:val="center"/>
                  </w:pPr>
                  <w:r>
                    <w:t>空间布局约束</w:t>
                  </w:r>
                </w:p>
              </w:tc>
              <w:tc>
                <w:tcPr>
                  <w:tcW w:w="2870" w:type="pct"/>
                  <w:vAlign w:val="center"/>
                </w:tcPr>
                <w:p w14:paraId="59E33861">
                  <w:pPr>
                    <w:adjustRightInd w:val="0"/>
                    <w:rPr>
                      <w:rFonts w:eastAsiaTheme="minorEastAsia"/>
                      <w:kern w:val="0"/>
                      <w:szCs w:val="21"/>
                    </w:rPr>
                  </w:pPr>
                  <w:r>
                    <w:rPr>
                      <w:rFonts w:eastAsiaTheme="minorEastAsia"/>
                      <w:kern w:val="0"/>
                      <w:szCs w:val="21"/>
                    </w:rPr>
                    <w:t>（1.1）严格限制高污染、高能耗等污染产业进入。</w:t>
                  </w:r>
                </w:p>
                <w:p w14:paraId="54783A2B">
                  <w:pPr>
                    <w:jc w:val="center"/>
                  </w:pPr>
                  <w:r>
                    <w:rPr>
                      <w:rFonts w:eastAsiaTheme="minorEastAsia"/>
                      <w:kern w:val="0"/>
                      <w:szCs w:val="21"/>
                    </w:rPr>
                    <w:t>（1.2）水产种质资源保护区按《水产种质资源保护区管理暂行办法》</w:t>
                  </w:r>
                  <w:r>
                    <w:rPr>
                      <w:rFonts w:hint="eastAsia" w:eastAsiaTheme="minorEastAsia"/>
                      <w:kern w:val="0"/>
                      <w:szCs w:val="21"/>
                    </w:rPr>
                    <w:t>（2016年修正本）</w:t>
                  </w:r>
                  <w:r>
                    <w:rPr>
                      <w:rFonts w:eastAsiaTheme="minorEastAsia"/>
                      <w:kern w:val="0"/>
                      <w:szCs w:val="21"/>
                    </w:rPr>
                    <w:t>要求管理</w:t>
                  </w:r>
                  <w:r>
                    <w:t>。</w:t>
                  </w:r>
                </w:p>
              </w:tc>
              <w:tc>
                <w:tcPr>
                  <w:tcW w:w="1224" w:type="pct"/>
                  <w:vAlign w:val="center"/>
                </w:tcPr>
                <w:p w14:paraId="42CFB949">
                  <w:pPr>
                    <w:jc w:val="center"/>
                  </w:pPr>
                  <w:r>
                    <w:rPr>
                      <w:rFonts w:ascii="宋体" w:hAnsi="宋体"/>
                      <w:color w:val="000000"/>
                      <w:sz w:val="22"/>
                      <w:szCs w:val="22"/>
                    </w:rPr>
                    <w:t>本项目不属于新建，为钢压延加工项目，不在空间布局约束范围内</w:t>
                  </w:r>
                </w:p>
              </w:tc>
              <w:tc>
                <w:tcPr>
                  <w:tcW w:w="508" w:type="pct"/>
                  <w:vAlign w:val="center"/>
                </w:tcPr>
                <w:p w14:paraId="6096230D">
                  <w:pPr>
                    <w:jc w:val="center"/>
                  </w:pPr>
                  <w:r>
                    <w:t>相符</w:t>
                  </w:r>
                </w:p>
              </w:tc>
            </w:tr>
            <w:tr w14:paraId="4C6C9C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8" w:type="pct"/>
                  <w:vAlign w:val="center"/>
                </w:tcPr>
                <w:p w14:paraId="2855068E">
                  <w:pPr>
                    <w:jc w:val="center"/>
                  </w:pPr>
                  <w:r>
                    <w:t>污染物排放管控</w:t>
                  </w:r>
                </w:p>
              </w:tc>
              <w:tc>
                <w:tcPr>
                  <w:tcW w:w="2870" w:type="pct"/>
                  <w:vAlign w:val="center"/>
                </w:tcPr>
                <w:p w14:paraId="407DE966">
                  <w:pPr>
                    <w:adjustRightInd w:val="0"/>
                    <w:jc w:val="center"/>
                  </w:pPr>
                  <w:r>
                    <w:rPr>
                      <w:rFonts w:eastAsiaTheme="minorEastAsia"/>
                      <w:kern w:val="0"/>
                      <w:szCs w:val="21"/>
                    </w:rPr>
                    <w:t>（2.1）</w:t>
                  </w:r>
                  <w:r>
                    <w:rPr>
                      <w:szCs w:val="32"/>
                    </w:rPr>
                    <w:t>开展蒸水蒸湘区段环境综合整治，在枯水期对重点断面、重点污染源水质进行加密监管，强化区域环境风险隐患排查整治，督促重点排污单位稳定达标排放，必要时采取限（停）产减排措施。角山污水处理厂纳污范围内污水全部进入角山污水处理厂。</w:t>
                  </w:r>
                  <w:r>
                    <w:rPr>
                      <w:szCs w:val="32"/>
                    </w:rPr>
                    <w:br w:type="textWrapping"/>
                  </w:r>
                  <w:r>
                    <w:rPr>
                      <w:rFonts w:eastAsiaTheme="minorEastAsia"/>
                      <w:kern w:val="0"/>
                      <w:szCs w:val="21"/>
                    </w:rPr>
                    <w:t>（2.2）2020</w:t>
                  </w:r>
                  <w:r>
                    <w:rPr>
                      <w:szCs w:val="32"/>
                    </w:rPr>
                    <w:t>年底前，全面完成“散乱污”企业及集群综合整治工作；严格执行燃煤锅炉准入规定，关停拆除热电联产集中供热管网覆盖区域内的燃煤小锅炉、工业窑炉；</w:t>
                  </w:r>
                  <w:r>
                    <w:rPr>
                      <w:kern w:val="0"/>
                      <w:szCs w:val="32"/>
                    </w:rPr>
                    <w:t>对</w:t>
                  </w:r>
                  <w:r>
                    <w:rPr>
                      <w:szCs w:val="32"/>
                    </w:rPr>
                    <w:t>全区水泥、钢铁等重点行业所有企业全面实施特别排放限值标准；华菱衡钢完成3个钢铁超低排放改造项目；加油站、储油库完成油气回收治理工作；严禁秸秆露天焚烧。</w:t>
                  </w:r>
                  <w:r>
                    <w:rPr>
                      <w:rFonts w:eastAsiaTheme="minorEastAsia"/>
                      <w:kern w:val="0"/>
                      <w:szCs w:val="21"/>
                    </w:rPr>
                    <w:br w:type="textWrapping"/>
                  </w:r>
                  <w:r>
                    <w:rPr>
                      <w:rFonts w:eastAsiaTheme="minorEastAsia"/>
                      <w:kern w:val="0"/>
                      <w:szCs w:val="21"/>
                    </w:rPr>
                    <w:t>（2.3）</w:t>
                  </w:r>
                  <w:r>
                    <w:rPr>
                      <w:szCs w:val="32"/>
                    </w:rPr>
                    <w:t>建立健全城镇垃圾收集转运及处理处置体系，推动生活垃圾分类，逐步淘汰敞开式收运设施，在全区推广密闭压缩式收运方式，加快建设生活垃圾处理设施；对于无渗滤液处理设施、渗滤液处理不达标的生活垃圾处理设施，加快完成改造</w:t>
                  </w:r>
                  <w:r>
                    <w:t>。</w:t>
                  </w:r>
                </w:p>
              </w:tc>
              <w:tc>
                <w:tcPr>
                  <w:tcW w:w="1224" w:type="pct"/>
                  <w:vAlign w:val="center"/>
                </w:tcPr>
                <w:p w14:paraId="3B5B6987">
                  <w:pPr>
                    <w:jc w:val="center"/>
                  </w:pPr>
                  <w:r>
                    <w:rPr>
                      <w:rFonts w:hint="eastAsia"/>
                    </w:rPr>
                    <w:t>（</w:t>
                  </w:r>
                  <w:r>
                    <w:t>1</w:t>
                  </w:r>
                  <w:r>
                    <w:rPr>
                      <w:rFonts w:hint="eastAsia"/>
                    </w:rPr>
                    <w:t>）项目雨污分流，本项目不新增生活污水。现有生活污水纳入厂区污水处理站处理后经市政管网排入铜桥港污水处理站；生产废水大部分循环使用，少量经衡钢东区污水处理站处理达标后回用</w:t>
                  </w:r>
                  <w:r>
                    <w:t>。</w:t>
                  </w:r>
                  <w:r>
                    <w:rPr>
                      <w:rFonts w:hint="eastAsia"/>
                    </w:rPr>
                    <w:t>（</w:t>
                  </w:r>
                  <w:r>
                    <w:t>2</w:t>
                  </w:r>
                  <w:r>
                    <w:rPr>
                      <w:rFonts w:hint="eastAsia"/>
                    </w:rPr>
                    <w:t>）项目废气</w:t>
                  </w:r>
                  <w:r>
                    <w:t>经处理后达标排放</w:t>
                  </w:r>
                  <w:r>
                    <w:rPr>
                      <w:rFonts w:hint="eastAsia"/>
                    </w:rPr>
                    <w:t>。（3）项目固废均合理处置，不会产生二次污染。</w:t>
                  </w:r>
                </w:p>
              </w:tc>
              <w:tc>
                <w:tcPr>
                  <w:tcW w:w="508" w:type="pct"/>
                  <w:vAlign w:val="center"/>
                </w:tcPr>
                <w:p w14:paraId="4839E876">
                  <w:pPr>
                    <w:jc w:val="center"/>
                  </w:pPr>
                  <w:r>
                    <w:t>相符</w:t>
                  </w:r>
                </w:p>
              </w:tc>
            </w:tr>
            <w:tr w14:paraId="4F63C1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8" w:type="pct"/>
                  <w:vAlign w:val="center"/>
                </w:tcPr>
                <w:p w14:paraId="0AAB5FFF">
                  <w:pPr>
                    <w:jc w:val="center"/>
                  </w:pPr>
                  <w:r>
                    <w:t>环境风险防控</w:t>
                  </w:r>
                </w:p>
              </w:tc>
              <w:tc>
                <w:tcPr>
                  <w:tcW w:w="2870" w:type="pct"/>
                  <w:vAlign w:val="center"/>
                </w:tcPr>
                <w:p w14:paraId="50B14FA4">
                  <w:pPr>
                    <w:adjustRightInd w:val="0"/>
                    <w:rPr>
                      <w:szCs w:val="32"/>
                    </w:rPr>
                  </w:pPr>
                  <w:r>
                    <w:rPr>
                      <w:rFonts w:eastAsiaTheme="minorEastAsia"/>
                      <w:kern w:val="0"/>
                      <w:szCs w:val="21"/>
                    </w:rPr>
                    <w:t>（3.1）</w:t>
                  </w:r>
                  <w:r>
                    <w:rPr>
                      <w:rFonts w:hint="eastAsia"/>
                      <w:szCs w:val="32"/>
                    </w:rPr>
                    <w:t>加强环境风险防控和应急管理完善应急预案体系建设，统筹推进环境应急物资储备库建设。</w:t>
                  </w:r>
                </w:p>
                <w:p w14:paraId="55EF399B">
                  <w:pPr>
                    <w:jc w:val="center"/>
                  </w:pPr>
                  <w:r>
                    <w:rPr>
                      <w:rFonts w:eastAsiaTheme="minorEastAsia"/>
                      <w:kern w:val="0"/>
                      <w:szCs w:val="21"/>
                    </w:rPr>
                    <w:t>（3.2）</w:t>
                  </w:r>
                  <w:r>
                    <w:rPr>
                      <w:rFonts w:eastAsiaTheme="minorEastAsia"/>
                      <w:bCs/>
                      <w:szCs w:val="21"/>
                    </w:rPr>
                    <w:t>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w:t>
                  </w:r>
                  <w:r>
                    <w:rPr>
                      <w:kern w:val="0"/>
                      <w:szCs w:val="21"/>
                    </w:rPr>
                    <w:t>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r>
                    <w:rPr>
                      <w:rFonts w:hint="eastAsia"/>
                    </w:rPr>
                    <w:t>。</w:t>
                  </w:r>
                </w:p>
              </w:tc>
              <w:tc>
                <w:tcPr>
                  <w:tcW w:w="1224" w:type="pct"/>
                  <w:vAlign w:val="center"/>
                </w:tcPr>
                <w:p w14:paraId="71DFBF43">
                  <w:pPr>
                    <w:jc w:val="center"/>
                  </w:pPr>
                  <w:r>
                    <w:rPr>
                      <w:rFonts w:hint="eastAsia"/>
                    </w:rPr>
                    <w:t>本项目建成后将及时修编环境应急预案，厂区储备一定量环境应急装备和物资针对可能出现的情况，制定污周密全面的应急措施方案</w:t>
                  </w:r>
                </w:p>
              </w:tc>
              <w:tc>
                <w:tcPr>
                  <w:tcW w:w="508" w:type="pct"/>
                  <w:vAlign w:val="center"/>
                </w:tcPr>
                <w:p w14:paraId="2D21932A">
                  <w:pPr>
                    <w:jc w:val="center"/>
                  </w:pPr>
                  <w:r>
                    <w:t>相符</w:t>
                  </w:r>
                </w:p>
              </w:tc>
            </w:tr>
            <w:tr w14:paraId="6FF13B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8" w:type="pct"/>
                  <w:vAlign w:val="center"/>
                </w:tcPr>
                <w:p w14:paraId="077D723C">
                  <w:pPr>
                    <w:jc w:val="center"/>
                  </w:pPr>
                  <w:r>
                    <w:t>资源开发效率要求</w:t>
                  </w:r>
                </w:p>
              </w:tc>
              <w:tc>
                <w:tcPr>
                  <w:tcW w:w="2870" w:type="pct"/>
                  <w:vAlign w:val="center"/>
                </w:tcPr>
                <w:p w14:paraId="74F47F76">
                  <w:pPr>
                    <w:jc w:val="center"/>
                  </w:pPr>
                  <w:r>
                    <w:rPr>
                      <w:rFonts w:eastAsiaTheme="minorEastAsia"/>
                      <w:kern w:val="0"/>
                      <w:szCs w:val="21"/>
                    </w:rPr>
                    <w:t>（4.1）能源：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到2020年，全区能耗强度降低17%，控制目标121.89万吨标准煤。</w:t>
                  </w:r>
                  <w:r>
                    <w:rPr>
                      <w:rFonts w:eastAsiaTheme="minorEastAsia"/>
                      <w:kern w:val="0"/>
                      <w:szCs w:val="21"/>
                    </w:rPr>
                    <w:br w:type="textWrapping"/>
                  </w:r>
                  <w:r>
                    <w:rPr>
                      <w:rFonts w:eastAsiaTheme="minorEastAsia"/>
                      <w:kern w:val="0"/>
                      <w:szCs w:val="21"/>
                    </w:rPr>
                    <w:t>（4.2）水资源：鼓励企业在稳定达标排放的基础上进行深度治理，实施清洁化改造，提高工业用水循环利用率。到2020年，</w:t>
                  </w:r>
                  <w:r>
                    <w:rPr>
                      <w:rFonts w:hint="eastAsia" w:eastAsiaTheme="minorEastAsia"/>
                      <w:kern w:val="0"/>
                      <w:szCs w:val="21"/>
                    </w:rPr>
                    <w:t>全区</w:t>
                  </w:r>
                  <w:r>
                    <w:rPr>
                      <w:rFonts w:eastAsiaTheme="minorEastAsia"/>
                      <w:kern w:val="0"/>
                      <w:szCs w:val="21"/>
                    </w:rPr>
                    <w:t>万元国内生产总值用水量、万元工业增加值用水量分别比2015年降低30%和32.7%；农田灌溉水有效利用系数提高到0.602</w:t>
                  </w:r>
                  <w:r>
                    <w:rPr>
                      <w:rFonts w:hint="eastAsia"/>
                    </w:rPr>
                    <w:t>。</w:t>
                  </w:r>
                </w:p>
              </w:tc>
              <w:tc>
                <w:tcPr>
                  <w:tcW w:w="1224" w:type="pct"/>
                  <w:vAlign w:val="center"/>
                </w:tcPr>
                <w:p w14:paraId="054AEA8F">
                  <w:pPr>
                    <w:jc w:val="center"/>
                  </w:pPr>
                  <w:r>
                    <w:t>项目主要使用</w:t>
                  </w:r>
                  <w:r>
                    <w:rPr>
                      <w:rFonts w:hint="eastAsia"/>
                    </w:rPr>
                    <w:t>水、电、天然气，不使用高硫、中硫原煤及重油等燃料；生产废水大部分循环使用，少量经衡钢东区污水处理站处理达标后回用，降低了用水消耗</w:t>
                  </w:r>
                </w:p>
              </w:tc>
              <w:tc>
                <w:tcPr>
                  <w:tcW w:w="508" w:type="pct"/>
                  <w:vAlign w:val="center"/>
                </w:tcPr>
                <w:p w14:paraId="11A522B4">
                  <w:pPr>
                    <w:jc w:val="center"/>
                  </w:pPr>
                  <w:r>
                    <w:t>相符</w:t>
                  </w:r>
                </w:p>
              </w:tc>
            </w:tr>
          </w:tbl>
          <w:p w14:paraId="40CAB044">
            <w:pPr>
              <w:adjustRightInd w:val="0"/>
              <w:spacing w:line="360" w:lineRule="auto"/>
              <w:ind w:firstLine="480" w:firstLineChars="200"/>
              <w:rPr>
                <w:sz w:val="24"/>
              </w:rPr>
            </w:pPr>
            <w:r>
              <w:rPr>
                <w:rFonts w:hint="eastAsia"/>
                <w:sz w:val="24"/>
              </w:rPr>
              <w:t>综上，本项目与《衡阳市人民政府关于实施“三线一单”生态环境分区管控的意见》（衡政发（2020）9号）》中管控要求相符。</w:t>
            </w:r>
          </w:p>
          <w:p w14:paraId="78C844C7">
            <w:pPr>
              <w:adjustRightInd w:val="0"/>
              <w:spacing w:line="360" w:lineRule="auto"/>
              <w:ind w:firstLine="482" w:firstLineChars="200"/>
              <w:rPr>
                <w:b/>
                <w:sz w:val="24"/>
              </w:rPr>
            </w:pPr>
            <w:r>
              <w:rPr>
                <w:rFonts w:hint="eastAsia"/>
                <w:b/>
                <w:sz w:val="24"/>
              </w:rPr>
              <w:t>4、与《湖南省长江经济带发展负面清单实施细则（试行），2022年版》相符性分析</w:t>
            </w:r>
          </w:p>
          <w:p w14:paraId="720B07BD">
            <w:pPr>
              <w:adjustRightInd w:val="0"/>
              <w:spacing w:line="360" w:lineRule="auto"/>
              <w:ind w:firstLine="480" w:firstLineChars="200"/>
              <w:rPr>
                <w:sz w:val="24"/>
              </w:rPr>
            </w:pPr>
            <w:r>
              <w:rPr>
                <w:rFonts w:hint="eastAsia"/>
                <w:sz w:val="24"/>
              </w:rPr>
              <w:t>根据湖南省推动长江经济带发展领导小组办公室关于印发《湖南省长江经济带发展负面清单实施细则》（试行，2022版），项目与该文相符性分析见表1-3。</w:t>
            </w:r>
          </w:p>
          <w:p w14:paraId="3762E36D">
            <w:pPr>
              <w:autoSpaceDE w:val="0"/>
              <w:autoSpaceDN w:val="0"/>
              <w:adjustRightInd w:val="0"/>
              <w:snapToGrid w:val="0"/>
              <w:spacing w:beforeLines="50"/>
              <w:jc w:val="center"/>
              <w:rPr>
                <w:b/>
              </w:rPr>
            </w:pPr>
            <w:r>
              <w:rPr>
                <w:rFonts w:hint="eastAsia"/>
                <w:b/>
              </w:rPr>
              <w:t>表1-3  与《湖南省长江经济带发展负面清单实施细则（试行），2022年版》的相符性分析一览表</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9"/>
              <w:gridCol w:w="3869"/>
              <w:gridCol w:w="3763"/>
              <w:gridCol w:w="776"/>
            </w:tblGrid>
            <w:tr w14:paraId="385F0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99" w:type="pct"/>
                  <w:tcBorders>
                    <w:top w:val="single" w:color="auto" w:sz="12" w:space="0"/>
                    <w:left w:val="single" w:color="auto" w:sz="12" w:space="0"/>
                    <w:bottom w:val="single" w:color="auto" w:sz="6" w:space="0"/>
                    <w:right w:val="single" w:color="auto" w:sz="6" w:space="0"/>
                  </w:tcBorders>
                  <w:vAlign w:val="center"/>
                </w:tcPr>
                <w:p w14:paraId="0C204645">
                  <w:pPr>
                    <w:jc w:val="center"/>
                    <w:rPr>
                      <w:b/>
                    </w:rPr>
                  </w:pPr>
                  <w:r>
                    <w:rPr>
                      <w:b/>
                    </w:rPr>
                    <w:t>序号</w:t>
                  </w:r>
                </w:p>
              </w:tc>
              <w:tc>
                <w:tcPr>
                  <w:tcW w:w="2117" w:type="pct"/>
                  <w:tcBorders>
                    <w:top w:val="single" w:color="auto" w:sz="12" w:space="0"/>
                    <w:left w:val="single" w:color="auto" w:sz="6" w:space="0"/>
                    <w:bottom w:val="single" w:color="auto" w:sz="6" w:space="0"/>
                    <w:right w:val="single" w:color="auto" w:sz="6" w:space="0"/>
                  </w:tcBorders>
                  <w:vAlign w:val="center"/>
                </w:tcPr>
                <w:p w14:paraId="0D84046E">
                  <w:pPr>
                    <w:jc w:val="center"/>
                    <w:rPr>
                      <w:b/>
                    </w:rPr>
                  </w:pPr>
                  <w:r>
                    <w:rPr>
                      <w:b/>
                    </w:rPr>
                    <w:t>内容</w:t>
                  </w:r>
                </w:p>
              </w:tc>
              <w:tc>
                <w:tcPr>
                  <w:tcW w:w="2059" w:type="pct"/>
                  <w:tcBorders>
                    <w:top w:val="single" w:color="auto" w:sz="12" w:space="0"/>
                    <w:left w:val="single" w:color="auto" w:sz="6" w:space="0"/>
                    <w:bottom w:val="single" w:color="auto" w:sz="6" w:space="0"/>
                    <w:right w:val="single" w:color="auto" w:sz="6" w:space="0"/>
                  </w:tcBorders>
                  <w:vAlign w:val="center"/>
                </w:tcPr>
                <w:p w14:paraId="63FBC7EA">
                  <w:pPr>
                    <w:jc w:val="center"/>
                    <w:rPr>
                      <w:b/>
                    </w:rPr>
                  </w:pPr>
                  <w:r>
                    <w:rPr>
                      <w:b/>
                    </w:rPr>
                    <w:t>本项目情况</w:t>
                  </w:r>
                </w:p>
              </w:tc>
              <w:tc>
                <w:tcPr>
                  <w:tcW w:w="424" w:type="pct"/>
                  <w:tcBorders>
                    <w:top w:val="single" w:color="auto" w:sz="12" w:space="0"/>
                    <w:left w:val="single" w:color="auto" w:sz="6" w:space="0"/>
                    <w:bottom w:val="single" w:color="auto" w:sz="6" w:space="0"/>
                    <w:right w:val="single" w:color="auto" w:sz="12" w:space="0"/>
                  </w:tcBorders>
                  <w:vAlign w:val="center"/>
                </w:tcPr>
                <w:p w14:paraId="65DD206F">
                  <w:pPr>
                    <w:jc w:val="center"/>
                    <w:rPr>
                      <w:b/>
                    </w:rPr>
                  </w:pPr>
                  <w:r>
                    <w:rPr>
                      <w:b/>
                    </w:rPr>
                    <w:t>符合性</w:t>
                  </w:r>
                </w:p>
              </w:tc>
            </w:tr>
            <w:tr w14:paraId="4FE12A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9" w:hRule="atLeast"/>
                <w:jc w:val="center"/>
              </w:trPr>
              <w:tc>
                <w:tcPr>
                  <w:tcW w:w="399" w:type="pct"/>
                  <w:tcBorders>
                    <w:top w:val="single" w:color="auto" w:sz="6" w:space="0"/>
                    <w:left w:val="single" w:color="auto" w:sz="12" w:space="0"/>
                    <w:bottom w:val="single" w:color="auto" w:sz="6" w:space="0"/>
                    <w:right w:val="single" w:color="auto" w:sz="6" w:space="0"/>
                  </w:tcBorders>
                  <w:vAlign w:val="center"/>
                </w:tcPr>
                <w:p w14:paraId="368B49C8">
                  <w:pPr>
                    <w:jc w:val="center"/>
                  </w:pPr>
                  <w:r>
                    <w:t>1</w:t>
                  </w:r>
                </w:p>
              </w:tc>
              <w:tc>
                <w:tcPr>
                  <w:tcW w:w="2117" w:type="pct"/>
                  <w:tcBorders>
                    <w:top w:val="single" w:color="auto" w:sz="6" w:space="0"/>
                    <w:left w:val="single" w:color="auto" w:sz="6" w:space="0"/>
                    <w:bottom w:val="single" w:color="auto" w:sz="6" w:space="0"/>
                    <w:right w:val="single" w:color="auto" w:sz="6" w:space="0"/>
                  </w:tcBorders>
                  <w:vAlign w:val="center"/>
                </w:tcPr>
                <w:p w14:paraId="2033CE9B">
                  <w:pPr>
                    <w:jc w:val="center"/>
                  </w:pPr>
                  <w:r>
                    <w:rPr>
                      <w:rFonts w:hint="eastAsia"/>
                    </w:rPr>
                    <w:t>饮用水水源二级保护区内禁止新建、改建、扩建向水体排放污染物的投资建设项目。原有排污口依法拆除或关闭。禁止设立装卸垃圾、粪便、油类和有毒物品的码头</w:t>
                  </w:r>
                  <w:r>
                    <w:t>。</w:t>
                  </w:r>
                </w:p>
              </w:tc>
              <w:tc>
                <w:tcPr>
                  <w:tcW w:w="2059" w:type="pct"/>
                  <w:tcBorders>
                    <w:top w:val="single" w:color="auto" w:sz="6" w:space="0"/>
                    <w:left w:val="single" w:color="auto" w:sz="6" w:space="0"/>
                    <w:bottom w:val="single" w:color="auto" w:sz="6" w:space="0"/>
                    <w:right w:val="single" w:color="auto" w:sz="6" w:space="0"/>
                  </w:tcBorders>
                  <w:vAlign w:val="center"/>
                </w:tcPr>
                <w:p w14:paraId="6C2411DC">
                  <w:pPr>
                    <w:jc w:val="center"/>
                  </w:pPr>
                  <w:r>
                    <w:rPr>
                      <w:rFonts w:hint="eastAsia"/>
                    </w:rPr>
                    <w:t>项目不在饮用水水源一、二级保护区的岸线和河段范围内。</w:t>
                  </w:r>
                </w:p>
              </w:tc>
              <w:tc>
                <w:tcPr>
                  <w:tcW w:w="424" w:type="pct"/>
                  <w:tcBorders>
                    <w:top w:val="single" w:color="auto" w:sz="6" w:space="0"/>
                    <w:left w:val="single" w:color="auto" w:sz="6" w:space="0"/>
                    <w:bottom w:val="single" w:color="auto" w:sz="6" w:space="0"/>
                    <w:right w:val="single" w:color="auto" w:sz="12" w:space="0"/>
                  </w:tcBorders>
                  <w:vAlign w:val="center"/>
                </w:tcPr>
                <w:p w14:paraId="42F5FB42">
                  <w:pPr>
                    <w:jc w:val="center"/>
                  </w:pPr>
                  <w:r>
                    <w:t>符合</w:t>
                  </w:r>
                </w:p>
              </w:tc>
            </w:tr>
            <w:tr w14:paraId="48BDF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99" w:type="pct"/>
                  <w:tcBorders>
                    <w:top w:val="single" w:color="auto" w:sz="6" w:space="0"/>
                    <w:left w:val="single" w:color="auto" w:sz="12" w:space="0"/>
                    <w:bottom w:val="single" w:color="auto" w:sz="6" w:space="0"/>
                    <w:right w:val="single" w:color="auto" w:sz="6" w:space="0"/>
                  </w:tcBorders>
                  <w:vAlign w:val="center"/>
                </w:tcPr>
                <w:p w14:paraId="5CA57A71">
                  <w:pPr>
                    <w:jc w:val="center"/>
                  </w:pPr>
                  <w:r>
                    <w:t>2</w:t>
                  </w:r>
                </w:p>
              </w:tc>
              <w:tc>
                <w:tcPr>
                  <w:tcW w:w="2117" w:type="pct"/>
                  <w:tcBorders>
                    <w:top w:val="single" w:color="auto" w:sz="6" w:space="0"/>
                    <w:left w:val="single" w:color="auto" w:sz="6" w:space="0"/>
                    <w:bottom w:val="single" w:color="auto" w:sz="6" w:space="0"/>
                    <w:right w:val="single" w:color="auto" w:sz="6" w:space="0"/>
                  </w:tcBorders>
                  <w:vAlign w:val="center"/>
                </w:tcPr>
                <w:p w14:paraId="123526D5">
                  <w:pPr>
                    <w:jc w:val="center"/>
                  </w:pPr>
                  <w:r>
                    <w:rPr>
                      <w:rFonts w:hint="eastAsia"/>
                    </w:rPr>
                    <w:t>禁止在合规园区外新建、扩建钢铁、石化、化工、焦化、建材、有色、制浆造纸等高污染项目。高污染项目严格按照生态环境部《环境保护综合名录（2021年版）》有关要求执行</w:t>
                  </w:r>
                  <w:r>
                    <w:t>。</w:t>
                  </w:r>
                </w:p>
              </w:tc>
              <w:tc>
                <w:tcPr>
                  <w:tcW w:w="2059" w:type="pct"/>
                  <w:tcBorders>
                    <w:top w:val="single" w:color="auto" w:sz="6" w:space="0"/>
                    <w:left w:val="single" w:color="auto" w:sz="6" w:space="0"/>
                    <w:bottom w:val="single" w:color="auto" w:sz="6" w:space="0"/>
                    <w:right w:val="single" w:color="auto" w:sz="6" w:space="0"/>
                  </w:tcBorders>
                  <w:vAlign w:val="center"/>
                </w:tcPr>
                <w:p w14:paraId="68C3157F">
                  <w:pPr>
                    <w:jc w:val="center"/>
                  </w:pPr>
                  <w:r>
                    <w:t>本项目不属于新建、扩建项目，属于技术改造项目</w:t>
                  </w:r>
                </w:p>
              </w:tc>
              <w:tc>
                <w:tcPr>
                  <w:tcW w:w="424" w:type="pct"/>
                  <w:tcBorders>
                    <w:top w:val="single" w:color="auto" w:sz="6" w:space="0"/>
                    <w:left w:val="single" w:color="auto" w:sz="6" w:space="0"/>
                    <w:bottom w:val="single" w:color="auto" w:sz="6" w:space="0"/>
                    <w:right w:val="single" w:color="auto" w:sz="12" w:space="0"/>
                  </w:tcBorders>
                  <w:vAlign w:val="center"/>
                </w:tcPr>
                <w:p w14:paraId="51266664">
                  <w:pPr>
                    <w:jc w:val="center"/>
                  </w:pPr>
                  <w:r>
                    <w:t>符合</w:t>
                  </w:r>
                </w:p>
              </w:tc>
            </w:tr>
            <w:tr w14:paraId="4C87D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99" w:type="pct"/>
                  <w:tcBorders>
                    <w:top w:val="single" w:color="auto" w:sz="6" w:space="0"/>
                    <w:left w:val="single" w:color="auto" w:sz="12" w:space="0"/>
                    <w:bottom w:val="single" w:color="auto" w:sz="6" w:space="0"/>
                    <w:right w:val="single" w:color="auto" w:sz="6" w:space="0"/>
                  </w:tcBorders>
                  <w:vAlign w:val="center"/>
                </w:tcPr>
                <w:p w14:paraId="3D287A89">
                  <w:pPr>
                    <w:jc w:val="center"/>
                  </w:pPr>
                  <w:r>
                    <w:t>3</w:t>
                  </w:r>
                </w:p>
              </w:tc>
              <w:tc>
                <w:tcPr>
                  <w:tcW w:w="2117" w:type="pct"/>
                  <w:tcBorders>
                    <w:top w:val="single" w:color="auto" w:sz="6" w:space="0"/>
                    <w:left w:val="single" w:color="auto" w:sz="6" w:space="0"/>
                    <w:bottom w:val="single" w:color="auto" w:sz="6" w:space="0"/>
                    <w:right w:val="single" w:color="auto" w:sz="6" w:space="0"/>
                  </w:tcBorders>
                  <w:vAlign w:val="center"/>
                </w:tcPr>
                <w:p w14:paraId="6E198389">
                  <w:pPr>
                    <w:jc w:val="center"/>
                  </w:pPr>
                  <w:r>
                    <w:rPr>
                      <w:rFonts w:hint="eastAsia"/>
                    </w:rPr>
                    <w:t>禁止新建、扩建法律法规和相关政策明令禁止的落后产能项目；对不符合要求的落后产能存量项目依法依规退出。禁止新建、扩建不符合国家产能置换要求的严重过剩产能行业</w:t>
                  </w:r>
                  <w:r>
                    <w:t>（</w:t>
                  </w:r>
                  <w:r>
                    <w:rPr>
                      <w:rFonts w:hint="eastAsia"/>
                    </w:rPr>
                    <w:t>钢铁、水泥、电解铝、平板玻璃、船舶等行业</w:t>
                  </w:r>
                  <w:r>
                    <w:t>）</w:t>
                  </w:r>
                  <w:r>
                    <w:rPr>
                      <w:rFonts w:hint="eastAsia"/>
                    </w:rPr>
                    <w:t>的项目</w:t>
                  </w:r>
                  <w:r>
                    <w:t>。</w:t>
                  </w:r>
                </w:p>
              </w:tc>
              <w:tc>
                <w:tcPr>
                  <w:tcW w:w="2059" w:type="pct"/>
                  <w:tcBorders>
                    <w:top w:val="single" w:color="auto" w:sz="6" w:space="0"/>
                    <w:left w:val="single" w:color="auto" w:sz="6" w:space="0"/>
                    <w:bottom w:val="single" w:color="auto" w:sz="6" w:space="0"/>
                    <w:right w:val="single" w:color="auto" w:sz="6" w:space="0"/>
                  </w:tcBorders>
                  <w:vAlign w:val="center"/>
                </w:tcPr>
                <w:p w14:paraId="7C980A30">
                  <w:pPr>
                    <w:jc w:val="center"/>
                  </w:pPr>
                  <w:r>
                    <w:t>本项目不属于新建、扩建项目，属于技术改造项目</w:t>
                  </w:r>
                  <w:r>
                    <w:rPr>
                      <w:rFonts w:hint="eastAsia"/>
                    </w:rPr>
                    <w:t>，项目不属于落后产能项目，不属于严重过剩产生行业的项目。</w:t>
                  </w:r>
                </w:p>
              </w:tc>
              <w:tc>
                <w:tcPr>
                  <w:tcW w:w="424" w:type="pct"/>
                  <w:tcBorders>
                    <w:top w:val="single" w:color="auto" w:sz="6" w:space="0"/>
                    <w:left w:val="single" w:color="auto" w:sz="6" w:space="0"/>
                    <w:bottom w:val="single" w:color="auto" w:sz="6" w:space="0"/>
                    <w:right w:val="single" w:color="auto" w:sz="12" w:space="0"/>
                  </w:tcBorders>
                  <w:vAlign w:val="center"/>
                </w:tcPr>
                <w:p w14:paraId="2EFE4D1A">
                  <w:pPr>
                    <w:jc w:val="center"/>
                  </w:pPr>
                  <w:r>
                    <w:t>符合</w:t>
                  </w:r>
                </w:p>
              </w:tc>
            </w:tr>
          </w:tbl>
          <w:p w14:paraId="3BD27E2B">
            <w:pPr>
              <w:adjustRightInd w:val="0"/>
              <w:spacing w:line="360" w:lineRule="auto"/>
              <w:ind w:firstLine="480" w:firstLineChars="200"/>
              <w:rPr>
                <w:sz w:val="24"/>
              </w:rPr>
            </w:pPr>
            <w:r>
              <w:rPr>
                <w:rFonts w:hint="eastAsia"/>
                <w:sz w:val="24"/>
              </w:rPr>
              <w:t>综上，本项目的建设符合《湖南省长江经济带发展负面清单实施细则（试行），2022年版》相关要求。</w:t>
            </w:r>
          </w:p>
          <w:p w14:paraId="057FD37D">
            <w:pPr>
              <w:adjustRightInd w:val="0"/>
              <w:spacing w:line="360" w:lineRule="auto"/>
              <w:ind w:firstLine="482" w:firstLineChars="200"/>
              <w:rPr>
                <w:b/>
                <w:sz w:val="24"/>
              </w:rPr>
            </w:pPr>
            <w:r>
              <w:rPr>
                <w:rFonts w:hint="eastAsia"/>
                <w:b/>
                <w:sz w:val="24"/>
              </w:rPr>
              <w:t>5、与《湖南省湘江保护条例》（2023修正）的符合性分析</w:t>
            </w:r>
          </w:p>
          <w:p w14:paraId="4E32946B">
            <w:pPr>
              <w:adjustRightInd w:val="0"/>
              <w:spacing w:line="360" w:lineRule="auto"/>
              <w:ind w:firstLine="480" w:firstLineChars="200"/>
              <w:rPr>
                <w:sz w:val="24"/>
              </w:rPr>
            </w:pPr>
            <w:r>
              <w:rPr>
                <w:rFonts w:hint="eastAsia"/>
                <w:sz w:val="24"/>
              </w:rPr>
              <w:t>《湖南省湘江保护条例》中第二章水资源管理与保护第二十五条、第二十六条规定“禁止在湘江流域饮用水水源一级保护区内设置排污口（渠），禁止新建、改建、扩建与供水设施和保护水源无关的建设项目；已经设置排污口（渠）、建成与供水设施和保护水源无关的建设项目，县级以上人民政府应当在省人民政府规定期限内组织拆除或者关闭。禁止在湘江流域饮用水水源一级保护区内从事网箱养殖、旅游、游泳、垂钓或者其他可能污染饮用水水体的活动”、“禁止在湘江流域饮用水水源二级保护区内设置排污口（渠），禁止新建、改建、扩建排放污染物的建设项目；已经设置排污口（渠）、建成排放污染物的建设项目，县级以上人民政府应当在省人民政府规定期限内组织拆除或者关闭。”</w:t>
            </w:r>
          </w:p>
          <w:p w14:paraId="17DA7D74">
            <w:pPr>
              <w:adjustRightInd w:val="0"/>
              <w:spacing w:line="360" w:lineRule="auto"/>
              <w:ind w:firstLine="480" w:firstLineChars="200"/>
              <w:rPr>
                <w:sz w:val="24"/>
              </w:rPr>
            </w:pPr>
            <w:r>
              <w:rPr>
                <w:rFonts w:hint="eastAsia"/>
                <w:sz w:val="24"/>
              </w:rPr>
              <w:t>本项目位于衡阳市蒸湘（区）大栗新村10号（</w:t>
            </w:r>
            <w:r>
              <w:rPr>
                <w:rFonts w:hAnsi="宋体"/>
                <w:sz w:val="24"/>
              </w:rPr>
              <w:t>衡阳华菱钢管有限公司89分厂现有厂区内</w:t>
            </w:r>
            <w:r>
              <w:rPr>
                <w:rFonts w:hint="eastAsia"/>
                <w:sz w:val="24"/>
              </w:rPr>
              <w:t>），距离湘江直线距离约2.2km，超过1km，污染物经处理后可达到国家和地方的相应排放标准，选址不在湘江流域饮用水源保护区内，不涉及重金属。因此，本项目的建设符合《湖南省湘江保护条例》相关要求。</w:t>
            </w:r>
          </w:p>
          <w:p w14:paraId="6B25F191">
            <w:pPr>
              <w:adjustRightInd w:val="0"/>
              <w:spacing w:line="360" w:lineRule="auto"/>
              <w:ind w:firstLine="482" w:firstLineChars="200"/>
              <w:rPr>
                <w:b/>
                <w:sz w:val="24"/>
              </w:rPr>
            </w:pPr>
            <w:r>
              <w:rPr>
                <w:rFonts w:hint="eastAsia"/>
                <w:b/>
                <w:sz w:val="24"/>
              </w:rPr>
              <w:t>6、与“高耗能、高排放”防控文件的符合性分析判断</w:t>
            </w:r>
          </w:p>
          <w:p w14:paraId="6048ACDE">
            <w:pPr>
              <w:adjustRightInd w:val="0"/>
              <w:spacing w:line="360" w:lineRule="auto"/>
              <w:ind w:firstLine="480" w:firstLineChars="200"/>
              <w:rPr>
                <w:sz w:val="24"/>
              </w:rPr>
            </w:pPr>
            <w:r>
              <w:rPr>
                <w:rFonts w:hint="eastAsia"/>
                <w:sz w:val="24"/>
              </w:rPr>
              <w:t>《关于加强高耗能、高排放建设项目生态环境源头防控的指导意见》（环环评[2021]45号）指出，“各省、自治区、直辖市生态环境厅（局）应严把建设项目环境准入关。新建、改建、扩建“两高”项目须符合生态环境保护法律法规和相关法定规划，满足重点污染物排放总量控制、碳排放达峰目标、生态环境准入清单、相关规划环评和相应行业建设项目环境准入条件、环评文件审批原则要求”、“新建、扩建“两高”项目应采用先进适用的工艺技术和装备，单位产品物耗、能耗、水耗等达到清洁生产先进水平，依法制定并严格落实防治土壤与地下水污染的措施。国家或地方已出台超低排放要求的“两高”行业建设项目应满足超低排放要求。鼓励使用清洁燃料，重点区域建设项目原则上不新建燃煤自备锅炉。鼓励重点区域高炉-转炉长流程钢铁企业转型为电炉短流程企业。大宗物料优先采用铁路、管道或水路运输，短途接驳优先使用新能源车辆运输”、“强化以排污许可证为主要依据的执法监管。各地生态环境部门应将“两高”企业纳入“双随机、一公开”监管。加大“两高”企业依证排污以及环境信息依法公开情况检查力度，特别对实行排污许可重点管理的“两高”企业，应及时核查排污许可证许可事项落实情况，重点核查污染物排放浓度及排放量、无组织排放控制、特殊时段排放控制等要求的落实情况。严厉打击“两高”企业无证排污、不按证排污等各类违法行为，及时曝光违反排污许可制度的典型案例”。</w:t>
            </w:r>
          </w:p>
          <w:p w14:paraId="5EEC91B6">
            <w:pPr>
              <w:adjustRightInd w:val="0"/>
              <w:spacing w:line="360" w:lineRule="auto"/>
              <w:ind w:firstLine="480" w:firstLineChars="200"/>
              <w:rPr>
                <w:sz w:val="24"/>
              </w:rPr>
            </w:pPr>
            <w:r>
              <w:rPr>
                <w:rFonts w:hint="eastAsia"/>
                <w:sz w:val="24"/>
              </w:rPr>
              <w:t>本项目为技术改造项目，属于钢压延加工行业；根据湖南省发展和改革委员会关于印发《湖南省“两高”项目管理目录》的通知（湘发改环资[2021]968号），经对照目录可知，本项目不在该目录范围内，不属于两高项目；本项目颗粒物、二氧化硫、二氧化氮有组织排放执行《关于推进实施钢铁行业超低排放的意见（环大气[2019]35号）》附件2中钢铁企业超低排放标准；已取得排污许可证，编号：914304007580036430001P，项目排污符合排污许可要求。</w:t>
            </w:r>
          </w:p>
          <w:p w14:paraId="5A8C3453">
            <w:pPr>
              <w:adjustRightInd w:val="0"/>
              <w:spacing w:line="360" w:lineRule="auto"/>
              <w:ind w:firstLine="482" w:firstLineChars="200"/>
              <w:rPr>
                <w:b/>
                <w:sz w:val="24"/>
              </w:rPr>
            </w:pPr>
            <w:r>
              <w:rPr>
                <w:rFonts w:hint="eastAsia"/>
                <w:b/>
                <w:sz w:val="24"/>
              </w:rPr>
              <w:t>7、项目与《钢铁/焦化建设项目环境影响评价文件审批原则》相符</w:t>
            </w:r>
            <w:r>
              <w:rPr>
                <w:rFonts w:hint="eastAsia"/>
                <w:b/>
                <w:sz w:val="24"/>
                <w:lang w:eastAsia="zh-CN"/>
              </w:rPr>
              <w:t>性</w:t>
            </w:r>
            <w:r>
              <w:rPr>
                <w:rFonts w:hint="eastAsia"/>
                <w:b/>
                <w:sz w:val="24"/>
              </w:rPr>
              <w:t>分析</w:t>
            </w:r>
          </w:p>
          <w:p w14:paraId="78EABDCA">
            <w:pPr>
              <w:adjustRightInd w:val="0"/>
              <w:spacing w:line="360" w:lineRule="auto"/>
              <w:ind w:firstLine="480" w:firstLineChars="200"/>
              <w:rPr>
                <w:sz w:val="24"/>
              </w:rPr>
            </w:pPr>
            <w:r>
              <w:rPr>
                <w:rFonts w:hint="eastAsia"/>
                <w:sz w:val="24"/>
              </w:rPr>
              <w:t>本项目建设与《钢铁/焦化建设项目环境影响评价文件审批原则》要求对比分析如下：</w:t>
            </w:r>
          </w:p>
          <w:p w14:paraId="1F1974F7">
            <w:pPr>
              <w:autoSpaceDE w:val="0"/>
              <w:autoSpaceDN w:val="0"/>
              <w:adjustRightInd w:val="0"/>
              <w:snapToGrid w:val="0"/>
              <w:spacing w:beforeLines="50"/>
              <w:jc w:val="center"/>
              <w:rPr>
                <w:b/>
              </w:rPr>
            </w:pPr>
            <w:r>
              <w:rPr>
                <w:rFonts w:hint="eastAsia"/>
                <w:b/>
              </w:rPr>
              <w:t>表1-4  项目与《钢铁/焦化建设项目环境影响评价文件审批原则》相符性分析</w:t>
            </w:r>
          </w:p>
          <w:tbl>
            <w:tblPr>
              <w:tblStyle w:val="3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614"/>
              <w:gridCol w:w="2862"/>
              <w:gridCol w:w="844"/>
            </w:tblGrid>
            <w:tr w14:paraId="5BB196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7" w:type="pct"/>
                  <w:tcBorders>
                    <w:tl2br w:val="nil"/>
                    <w:tr2bl w:val="nil"/>
                  </w:tcBorders>
                  <w:vAlign w:val="center"/>
                </w:tcPr>
                <w:p w14:paraId="06D36D5C">
                  <w:pPr>
                    <w:pStyle w:val="102"/>
                    <w:rPr>
                      <w:rFonts w:ascii="Times New Roman" w:hAnsi="Times New Roman" w:cs="Times New Roman"/>
                      <w:b/>
                      <w:sz w:val="21"/>
                      <w:szCs w:val="21"/>
                    </w:rPr>
                  </w:pPr>
                  <w:r>
                    <w:rPr>
                      <w:rFonts w:ascii="Times New Roman" w:cs="Times New Roman"/>
                      <w:b/>
                      <w:sz w:val="21"/>
                      <w:szCs w:val="21"/>
                    </w:rPr>
                    <w:t>序号</w:t>
                  </w:r>
                </w:p>
              </w:tc>
              <w:tc>
                <w:tcPr>
                  <w:tcW w:w="2525" w:type="pct"/>
                  <w:tcBorders>
                    <w:tl2br w:val="nil"/>
                    <w:tr2bl w:val="nil"/>
                  </w:tcBorders>
                  <w:vAlign w:val="center"/>
                </w:tcPr>
                <w:p w14:paraId="092A810D">
                  <w:pPr>
                    <w:pStyle w:val="102"/>
                    <w:rPr>
                      <w:rFonts w:ascii="Times New Roman" w:hAnsi="Times New Roman" w:cs="Times New Roman"/>
                      <w:b/>
                      <w:sz w:val="21"/>
                      <w:szCs w:val="21"/>
                    </w:rPr>
                  </w:pPr>
                  <w:r>
                    <w:rPr>
                      <w:rFonts w:hint="eastAsia" w:ascii="Times New Roman" w:hAnsi="Times New Roman" w:cs="Times New Roman"/>
                      <w:b/>
                      <w:sz w:val="21"/>
                      <w:szCs w:val="21"/>
                    </w:rPr>
                    <w:t>审批</w:t>
                  </w:r>
                  <w:r>
                    <w:rPr>
                      <w:rFonts w:ascii="Times New Roman" w:hAnsi="Times New Roman" w:cs="Times New Roman"/>
                      <w:b/>
                      <w:sz w:val="21"/>
                      <w:szCs w:val="21"/>
                    </w:rPr>
                    <w:t>原则</w:t>
                  </w:r>
                </w:p>
              </w:tc>
              <w:tc>
                <w:tcPr>
                  <w:tcW w:w="1566" w:type="pct"/>
                  <w:tcBorders>
                    <w:tl2br w:val="nil"/>
                    <w:tr2bl w:val="nil"/>
                  </w:tcBorders>
                  <w:vAlign w:val="center"/>
                </w:tcPr>
                <w:p w14:paraId="09FA6071">
                  <w:pPr>
                    <w:pStyle w:val="102"/>
                    <w:rPr>
                      <w:rFonts w:ascii="Times New Roman" w:hAnsi="Times New Roman" w:cs="Times New Roman"/>
                      <w:b/>
                      <w:sz w:val="21"/>
                      <w:szCs w:val="21"/>
                    </w:rPr>
                  </w:pPr>
                  <w:r>
                    <w:rPr>
                      <w:rFonts w:ascii="Times New Roman" w:hAnsi="Times New Roman" w:cs="Times New Roman"/>
                      <w:b/>
                      <w:sz w:val="21"/>
                      <w:szCs w:val="21"/>
                    </w:rPr>
                    <w:t>本项目情况</w:t>
                  </w:r>
                </w:p>
              </w:tc>
              <w:tc>
                <w:tcPr>
                  <w:tcW w:w="462" w:type="pct"/>
                  <w:tcBorders>
                    <w:tl2br w:val="nil"/>
                    <w:tr2bl w:val="nil"/>
                  </w:tcBorders>
                  <w:vAlign w:val="center"/>
                </w:tcPr>
                <w:p w14:paraId="6DCD54A8">
                  <w:pPr>
                    <w:pStyle w:val="102"/>
                    <w:rPr>
                      <w:rFonts w:ascii="Times New Roman" w:cs="Times New Roman"/>
                      <w:b/>
                      <w:sz w:val="21"/>
                      <w:szCs w:val="21"/>
                    </w:rPr>
                  </w:pPr>
                  <w:r>
                    <w:rPr>
                      <w:rFonts w:ascii="Times New Roman" w:cs="Times New Roman"/>
                      <w:b/>
                      <w:sz w:val="21"/>
                      <w:szCs w:val="21"/>
                    </w:rPr>
                    <w:t>是否</w:t>
                  </w:r>
                </w:p>
                <w:p w14:paraId="510512C3">
                  <w:pPr>
                    <w:pStyle w:val="102"/>
                    <w:rPr>
                      <w:rFonts w:ascii="Times New Roman" w:hAnsi="Times New Roman" w:cs="Times New Roman"/>
                      <w:b/>
                      <w:sz w:val="21"/>
                      <w:szCs w:val="21"/>
                    </w:rPr>
                  </w:pPr>
                  <w:r>
                    <w:rPr>
                      <w:rFonts w:ascii="Times New Roman" w:cs="Times New Roman"/>
                      <w:b/>
                      <w:sz w:val="21"/>
                      <w:szCs w:val="21"/>
                    </w:rPr>
                    <w:t>相符</w:t>
                  </w:r>
                </w:p>
              </w:tc>
            </w:tr>
            <w:tr w14:paraId="309527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7" w:type="pct"/>
                  <w:tcBorders>
                    <w:tl2br w:val="nil"/>
                    <w:tr2bl w:val="nil"/>
                  </w:tcBorders>
                  <w:vAlign w:val="center"/>
                </w:tcPr>
                <w:p w14:paraId="58752DFA">
                  <w:pPr>
                    <w:pStyle w:val="102"/>
                    <w:rPr>
                      <w:rFonts w:ascii="Times New Roman" w:hAnsi="Times New Roman" w:cs="Times New Roman"/>
                      <w:sz w:val="21"/>
                      <w:szCs w:val="21"/>
                    </w:rPr>
                  </w:pPr>
                  <w:r>
                    <w:rPr>
                      <w:rFonts w:ascii="Times New Roman" w:hAnsi="Times New Roman" w:cs="Times New Roman"/>
                      <w:sz w:val="21"/>
                      <w:szCs w:val="21"/>
                    </w:rPr>
                    <w:t>1</w:t>
                  </w:r>
                </w:p>
              </w:tc>
              <w:tc>
                <w:tcPr>
                  <w:tcW w:w="2525" w:type="pct"/>
                  <w:tcBorders>
                    <w:tl2br w:val="nil"/>
                    <w:tr2bl w:val="nil"/>
                  </w:tcBorders>
                  <w:vAlign w:val="center"/>
                </w:tcPr>
                <w:p w14:paraId="3BB1C565">
                  <w:pPr>
                    <w:pStyle w:val="102"/>
                    <w:rPr>
                      <w:rFonts w:ascii="Times New Roman" w:hAnsi="Times New Roman" w:cs="Times New Roman"/>
                      <w:sz w:val="21"/>
                      <w:szCs w:val="21"/>
                    </w:rPr>
                  </w:pPr>
                  <w:r>
                    <w:rPr>
                      <w:rFonts w:hint="eastAsia" w:ascii="Times New Roman" w:hAnsi="Times New Roman" w:cs="Times New Roman"/>
                      <w:sz w:val="21"/>
                      <w:szCs w:val="21"/>
                    </w:rPr>
                    <w:t>项目应符合生态环境保护相关法律法规、法定规划以及相关产业结构调整、区域及行业碳达峰碳中和目标、煤炭消费总量控制、重点污染物总量控制等政策要求。</w:t>
                  </w:r>
                </w:p>
              </w:tc>
              <w:tc>
                <w:tcPr>
                  <w:tcW w:w="1566" w:type="pct"/>
                  <w:tcBorders>
                    <w:tl2br w:val="nil"/>
                    <w:tr2bl w:val="nil"/>
                  </w:tcBorders>
                  <w:vAlign w:val="center"/>
                </w:tcPr>
                <w:p w14:paraId="3E0CE283">
                  <w:pPr>
                    <w:pStyle w:val="102"/>
                    <w:rPr>
                      <w:rFonts w:ascii="Times New Roman" w:hAnsi="Times New Roman" w:cs="Times New Roman"/>
                      <w:sz w:val="21"/>
                      <w:szCs w:val="21"/>
                    </w:rPr>
                  </w:pPr>
                  <w:r>
                    <w:rPr>
                      <w:rFonts w:hint="eastAsia" w:ascii="Times New Roman" w:hAnsi="Times New Roman" w:cs="Times New Roman"/>
                      <w:sz w:val="21"/>
                      <w:szCs w:val="21"/>
                    </w:rPr>
                    <w:t>项目符合生态环境保护相关法律法规、法定规划以及相关产业结构调整、区域及行业碳达峰碳中和目标、煤炭消费总量控制、重点污染物总量控制等政策要求。</w:t>
                  </w:r>
                </w:p>
              </w:tc>
              <w:tc>
                <w:tcPr>
                  <w:tcW w:w="462" w:type="pct"/>
                  <w:tcBorders>
                    <w:tl2br w:val="nil"/>
                    <w:tr2bl w:val="nil"/>
                  </w:tcBorders>
                  <w:vAlign w:val="center"/>
                </w:tcPr>
                <w:p w14:paraId="35E909C7">
                  <w:pPr>
                    <w:pStyle w:val="102"/>
                    <w:rPr>
                      <w:rFonts w:ascii="Times New Roman" w:hAnsi="Times New Roman" w:cs="Times New Roman"/>
                      <w:sz w:val="21"/>
                      <w:szCs w:val="21"/>
                    </w:rPr>
                  </w:pPr>
                  <w:r>
                    <w:rPr>
                      <w:rFonts w:ascii="Times New Roman" w:cs="Times New Roman"/>
                      <w:sz w:val="21"/>
                      <w:szCs w:val="21"/>
                    </w:rPr>
                    <w:t>相符</w:t>
                  </w:r>
                </w:p>
              </w:tc>
            </w:tr>
            <w:tr w14:paraId="6FBBA4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7" w:type="pct"/>
                  <w:tcBorders>
                    <w:tl2br w:val="nil"/>
                    <w:tr2bl w:val="nil"/>
                  </w:tcBorders>
                  <w:vAlign w:val="center"/>
                </w:tcPr>
                <w:p w14:paraId="0093E711">
                  <w:pPr>
                    <w:pStyle w:val="102"/>
                    <w:rPr>
                      <w:rFonts w:ascii="Times New Roman" w:hAnsi="Times New Roman" w:cs="Times New Roman"/>
                      <w:sz w:val="21"/>
                      <w:szCs w:val="21"/>
                    </w:rPr>
                  </w:pPr>
                  <w:r>
                    <w:rPr>
                      <w:rFonts w:ascii="Times New Roman" w:hAnsi="Times New Roman" w:cs="Times New Roman"/>
                      <w:sz w:val="21"/>
                      <w:szCs w:val="21"/>
                    </w:rPr>
                    <w:t>2</w:t>
                  </w:r>
                </w:p>
              </w:tc>
              <w:tc>
                <w:tcPr>
                  <w:tcW w:w="2525" w:type="pct"/>
                  <w:tcBorders>
                    <w:tl2br w:val="nil"/>
                    <w:tr2bl w:val="nil"/>
                  </w:tcBorders>
                  <w:vAlign w:val="center"/>
                </w:tcPr>
                <w:p w14:paraId="6AF7B56D">
                  <w:pPr>
                    <w:pStyle w:val="102"/>
                    <w:rPr>
                      <w:rFonts w:ascii="Times New Roman" w:hAnsi="Times New Roman" w:cs="Times New Roman"/>
                      <w:sz w:val="21"/>
                      <w:szCs w:val="21"/>
                    </w:rPr>
                  </w:pPr>
                  <w:r>
                    <w:rPr>
                      <w:rFonts w:hint="eastAsia" w:ascii="Times New Roman" w:hAnsi="Times New Roman" w:cs="Times New Roman"/>
                      <w:sz w:val="21"/>
                      <w:szCs w:val="21"/>
                    </w:rPr>
                    <w:t>项目选址应符合生态环境分区管控要求，不得位于法律法规明令禁止建设的区域，应避开生态保护红线。新建、扩建焦化项目应布设在依法合规设立的产业园区，并符合规划及规划环境影响评价要求。长江经济带区域内及沿黄重点地区禁止在合规园区外新建、扩建钢铁冶炼项目。</w:t>
                  </w:r>
                </w:p>
                <w:p w14:paraId="4F182432">
                  <w:pPr>
                    <w:pStyle w:val="102"/>
                    <w:rPr>
                      <w:rFonts w:ascii="Times New Roman" w:hAnsi="Times New Roman" w:cs="Times New Roman"/>
                      <w:sz w:val="21"/>
                      <w:szCs w:val="21"/>
                    </w:rPr>
                  </w:pPr>
                  <w:r>
                    <w:rPr>
                      <w:rFonts w:hint="eastAsia" w:ascii="Times New Roman" w:hAnsi="Times New Roman" w:cs="Times New Roman"/>
                      <w:sz w:val="21"/>
                      <w:szCs w:val="21"/>
                    </w:rPr>
                    <w:t>鼓励钢铁冶炼项目依托现有生产基地集聚发展，鼓励新建焦化项目与钢铁、化工产业融合，促进区域减污降碳协同发展。</w:t>
                  </w:r>
                </w:p>
              </w:tc>
              <w:tc>
                <w:tcPr>
                  <w:tcW w:w="1566" w:type="pct"/>
                  <w:tcBorders>
                    <w:tl2br w:val="nil"/>
                    <w:tr2bl w:val="nil"/>
                  </w:tcBorders>
                  <w:vAlign w:val="center"/>
                </w:tcPr>
                <w:p w14:paraId="6CEDE16A">
                  <w:pPr>
                    <w:pStyle w:val="102"/>
                    <w:rPr>
                      <w:rFonts w:ascii="Times New Roman" w:hAnsi="Times New Roman" w:cs="Times New Roman"/>
                      <w:sz w:val="21"/>
                      <w:szCs w:val="21"/>
                    </w:rPr>
                  </w:pPr>
                  <w:r>
                    <w:rPr>
                      <w:rFonts w:hint="eastAsia" w:ascii="Times New Roman" w:hAnsi="Times New Roman" w:cs="Times New Roman"/>
                      <w:sz w:val="21"/>
                      <w:szCs w:val="21"/>
                    </w:rPr>
                    <w:t>项目选址符合衡阳市生态环境分区管控要求，不涉及衡阳市生态保护红线。</w:t>
                  </w:r>
                </w:p>
              </w:tc>
              <w:tc>
                <w:tcPr>
                  <w:tcW w:w="462" w:type="pct"/>
                  <w:tcBorders>
                    <w:tl2br w:val="nil"/>
                    <w:tr2bl w:val="nil"/>
                  </w:tcBorders>
                  <w:vAlign w:val="center"/>
                </w:tcPr>
                <w:p w14:paraId="7E6317AF">
                  <w:pPr>
                    <w:pStyle w:val="102"/>
                    <w:rPr>
                      <w:rFonts w:ascii="Times New Roman" w:hAnsi="Times New Roman" w:cs="Times New Roman"/>
                      <w:sz w:val="21"/>
                      <w:szCs w:val="21"/>
                    </w:rPr>
                  </w:pPr>
                  <w:r>
                    <w:rPr>
                      <w:rFonts w:ascii="Times New Roman" w:cs="Times New Roman"/>
                      <w:sz w:val="21"/>
                      <w:szCs w:val="21"/>
                    </w:rPr>
                    <w:t>相符</w:t>
                  </w:r>
                </w:p>
              </w:tc>
            </w:tr>
            <w:tr w14:paraId="7CEC23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7" w:type="pct"/>
                  <w:tcBorders>
                    <w:tl2br w:val="nil"/>
                    <w:tr2bl w:val="nil"/>
                  </w:tcBorders>
                  <w:vAlign w:val="center"/>
                </w:tcPr>
                <w:p w14:paraId="0D6EA95E">
                  <w:pPr>
                    <w:pStyle w:val="102"/>
                    <w:rPr>
                      <w:rFonts w:ascii="Times New Roman" w:hAnsi="Times New Roman" w:cs="Times New Roman"/>
                      <w:sz w:val="21"/>
                      <w:szCs w:val="21"/>
                    </w:rPr>
                  </w:pPr>
                  <w:r>
                    <w:rPr>
                      <w:rFonts w:ascii="Times New Roman" w:hAnsi="Times New Roman" w:cs="Times New Roman"/>
                      <w:sz w:val="21"/>
                      <w:szCs w:val="21"/>
                    </w:rPr>
                    <w:t>3</w:t>
                  </w:r>
                </w:p>
              </w:tc>
              <w:tc>
                <w:tcPr>
                  <w:tcW w:w="2525" w:type="pct"/>
                  <w:tcBorders>
                    <w:tl2br w:val="nil"/>
                    <w:tr2bl w:val="nil"/>
                  </w:tcBorders>
                  <w:vAlign w:val="center"/>
                </w:tcPr>
                <w:p w14:paraId="1156FA59">
                  <w:pPr>
                    <w:pStyle w:val="102"/>
                    <w:rPr>
                      <w:rFonts w:ascii="Times New Roman" w:hAnsi="Times New Roman" w:cs="Times New Roman"/>
                      <w:sz w:val="21"/>
                      <w:szCs w:val="21"/>
                    </w:rPr>
                  </w:pPr>
                  <w:r>
                    <w:rPr>
                      <w:rFonts w:hint="eastAsia" w:ascii="Times New Roman" w:hAnsi="Times New Roman" w:cs="Times New Roman"/>
                      <w:sz w:val="21"/>
                      <w:szCs w:val="21"/>
                    </w:rPr>
                    <w:t>新建、扩建项目采用资源利用率高、污染物产生量小的清洁生产技术、工艺和设备，单位产品的能耗、物耗、水耗、资源综合利用和污染物排放量等指标应达到清洁生产国内先进水平，其中新建炼焦项目应达到煤炭清洁高效利用标杆水平。新建高炉、转炉工序和电弧炉冶炼的单位产品能耗应达到高耗能行业能效标杆水平。钢铁联合企业新建焦炉须同步配套建设干熄焦装置，鼓励独立焦化企业新建焦炉同步配套建设干熄焦装置。焦炉优先采用烟气循环、多段加热、负压装煤等源头减排技术。鼓励采用机械化原料场、烧结烟气循环、烟气超低排放与碳减排协同技术。具备条件的地区，优先使用再生水、海水淡化水。</w:t>
                  </w:r>
                </w:p>
              </w:tc>
              <w:tc>
                <w:tcPr>
                  <w:tcW w:w="1566" w:type="pct"/>
                  <w:tcBorders>
                    <w:tl2br w:val="nil"/>
                    <w:tr2bl w:val="nil"/>
                  </w:tcBorders>
                  <w:vAlign w:val="center"/>
                </w:tcPr>
                <w:p w14:paraId="65B1D78A">
                  <w:pPr>
                    <w:pStyle w:val="102"/>
                    <w:rPr>
                      <w:rFonts w:ascii="Times New Roman" w:hAnsi="Times New Roman" w:cs="Times New Roman"/>
                      <w:sz w:val="21"/>
                      <w:szCs w:val="21"/>
                    </w:rPr>
                  </w:pPr>
                  <w:r>
                    <w:rPr>
                      <w:rFonts w:hint="eastAsia" w:ascii="Times New Roman" w:hAnsi="Times New Roman" w:cs="Times New Roman"/>
                      <w:sz w:val="21"/>
                      <w:szCs w:val="21"/>
                    </w:rPr>
                    <w:t>本项目为钢压延加工项目，满足清洁生产国内先进水平。</w:t>
                  </w:r>
                </w:p>
              </w:tc>
              <w:tc>
                <w:tcPr>
                  <w:tcW w:w="462" w:type="pct"/>
                  <w:tcBorders>
                    <w:tl2br w:val="nil"/>
                    <w:tr2bl w:val="nil"/>
                  </w:tcBorders>
                  <w:vAlign w:val="center"/>
                </w:tcPr>
                <w:p w14:paraId="43822BC9">
                  <w:pPr>
                    <w:pStyle w:val="102"/>
                    <w:rPr>
                      <w:rFonts w:ascii="Times New Roman" w:hAnsi="Times New Roman" w:cs="Times New Roman"/>
                      <w:sz w:val="21"/>
                      <w:szCs w:val="21"/>
                    </w:rPr>
                  </w:pPr>
                  <w:r>
                    <w:rPr>
                      <w:rFonts w:ascii="Times New Roman" w:cs="Times New Roman"/>
                      <w:sz w:val="21"/>
                      <w:szCs w:val="21"/>
                    </w:rPr>
                    <w:t>相符</w:t>
                  </w:r>
                </w:p>
              </w:tc>
            </w:tr>
            <w:tr w14:paraId="0C54E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7" w:type="pct"/>
                  <w:tcBorders>
                    <w:tl2br w:val="nil"/>
                    <w:tr2bl w:val="nil"/>
                  </w:tcBorders>
                  <w:vAlign w:val="center"/>
                </w:tcPr>
                <w:p w14:paraId="48ED4A56">
                  <w:pPr>
                    <w:pStyle w:val="102"/>
                    <w:rPr>
                      <w:rFonts w:ascii="Times New Roman" w:hAnsi="Times New Roman" w:cs="Times New Roman"/>
                      <w:sz w:val="21"/>
                      <w:szCs w:val="21"/>
                    </w:rPr>
                  </w:pPr>
                  <w:r>
                    <w:rPr>
                      <w:rFonts w:ascii="Times New Roman" w:hAnsi="Times New Roman" w:cs="Times New Roman"/>
                      <w:sz w:val="21"/>
                      <w:szCs w:val="21"/>
                    </w:rPr>
                    <w:t>4</w:t>
                  </w:r>
                </w:p>
              </w:tc>
              <w:tc>
                <w:tcPr>
                  <w:tcW w:w="2525" w:type="pct"/>
                  <w:tcBorders>
                    <w:tl2br w:val="nil"/>
                    <w:tr2bl w:val="nil"/>
                  </w:tcBorders>
                  <w:vAlign w:val="center"/>
                </w:tcPr>
                <w:p w14:paraId="4F181935">
                  <w:pPr>
                    <w:pStyle w:val="102"/>
                    <w:rPr>
                      <w:rFonts w:ascii="Times New Roman" w:hAnsi="Times New Roman" w:cs="Times New Roman"/>
                      <w:sz w:val="21"/>
                      <w:szCs w:val="21"/>
                    </w:rPr>
                  </w:pPr>
                  <w:r>
                    <w:rPr>
                      <w:rFonts w:hint="eastAsia" w:ascii="Times New Roman" w:hAnsi="Times New Roman" w:cs="Times New Roman"/>
                      <w:sz w:val="21"/>
                      <w:szCs w:val="21"/>
                    </w:rPr>
                    <w:t>新建（含搬迁）钢铁、焦化项目原则上应达到超低排放水平，鼓励改建、扩建项目达到钢铁和焦化行业超低排放水平，原则上不得配备自备燃煤机组。有组织废气进行收集并按要求配备高效的脱硫、脱硝、除尘设施，焦炉煤气净化系统、罐区、酚氰废水预处理设施区域以及装卸产生的含挥发性有机物气体进行收集处理，烧结、电炉工序采取必要的二噁英控制措施，冷轧酸雾、碱雾、油雾和有机废气采取净化措施。新建高炉、焦炉实施煤气精脱硫，高炉热风炉、轧钢热处理炉采用低氮燃烧技术。厂区内物料运输优先采用气力输送、封闭皮带通廊或新能源车辆，鼓励厂内非道路移动机械采用国三及以上阶段标准或新能源机械。</w:t>
                  </w:r>
                </w:p>
                <w:p w14:paraId="5B94A0FB">
                  <w:pPr>
                    <w:pStyle w:val="102"/>
                    <w:rPr>
                      <w:rFonts w:ascii="Times New Roman" w:hAnsi="Times New Roman" w:cs="Times New Roman"/>
                      <w:sz w:val="21"/>
                      <w:szCs w:val="21"/>
                    </w:rPr>
                  </w:pPr>
                  <w:r>
                    <w:rPr>
                      <w:rFonts w:hint="eastAsia" w:ascii="Times New Roman" w:hAnsi="Times New Roman" w:cs="Times New Roman"/>
                      <w:sz w:val="21"/>
                      <w:szCs w:val="21"/>
                    </w:rPr>
                    <w:t>项目排放的废气污染物应符合《炼焦化学工业污染物排放标准》（GB 16171）、《挥发性有机物无组织控制标准》（GB37822）、《钢铁烧结、球团工业大气污染物排放标准》（GB 28662）及其修改单、《炼铁工业大气污染物排放标准》（GB 28663）、《炼钢工业大气污染物排放标准》（GB 28664）、《轧钢工业大气污染物排放标准》（GB 28665）及其修改单等要求。</w:t>
                  </w:r>
                </w:p>
                <w:p w14:paraId="6B321B97">
                  <w:pPr>
                    <w:pStyle w:val="102"/>
                    <w:rPr>
                      <w:rFonts w:ascii="Times New Roman" w:hAnsi="Times New Roman" w:cs="Times New Roman"/>
                      <w:sz w:val="21"/>
                      <w:szCs w:val="21"/>
                    </w:rPr>
                  </w:pPr>
                  <w:r>
                    <w:rPr>
                      <w:rFonts w:hint="eastAsia" w:ascii="Times New Roman" w:hAnsi="Times New Roman" w:cs="Times New Roman"/>
                      <w:sz w:val="21"/>
                      <w:szCs w:val="21"/>
                    </w:rPr>
                    <w:t>合理设置大气环境防护距离，环境防护距离范围内不应有居民区、学校、医院等环境敏感目标。</w:t>
                  </w:r>
                </w:p>
              </w:tc>
              <w:tc>
                <w:tcPr>
                  <w:tcW w:w="1566" w:type="pct"/>
                  <w:tcBorders>
                    <w:tl2br w:val="nil"/>
                    <w:tr2bl w:val="nil"/>
                  </w:tcBorders>
                  <w:vAlign w:val="center"/>
                </w:tcPr>
                <w:p w14:paraId="27281E1A">
                  <w:pPr>
                    <w:pStyle w:val="102"/>
                    <w:rPr>
                      <w:rFonts w:ascii="Times New Roman" w:hAnsi="Times New Roman" w:cs="Times New Roman"/>
                      <w:sz w:val="21"/>
                      <w:szCs w:val="21"/>
                    </w:rPr>
                  </w:pPr>
                  <w:r>
                    <w:rPr>
                      <w:rFonts w:hint="eastAsia" w:ascii="Times New Roman" w:hAnsi="Times New Roman" w:cs="Times New Roman"/>
                      <w:sz w:val="21"/>
                      <w:szCs w:val="21"/>
                    </w:rPr>
                    <w:t>本项目为钢压延加工项目，项目加热炉采用低氮燃烧技术，加热炉燃烧烟气执行《关于推进实施钢铁行业超低排放的意见（环大气[2019]35号）》附件2中钢铁企业超低排放标准限值要求；喷硼砂作业、连轧管作业粉尘（颗粒物）满足《轧钢工业大气污染物排放标准》（GB 28665）及其修改单等要求。项目无需设置大气环境防护距离，车间卫生防护距离范围内无居民区、学校、医院等环境敏感目标。</w:t>
                  </w:r>
                </w:p>
              </w:tc>
              <w:tc>
                <w:tcPr>
                  <w:tcW w:w="462" w:type="pct"/>
                  <w:tcBorders>
                    <w:tl2br w:val="nil"/>
                    <w:tr2bl w:val="nil"/>
                  </w:tcBorders>
                  <w:vAlign w:val="center"/>
                </w:tcPr>
                <w:p w14:paraId="17FDE4CD">
                  <w:pPr>
                    <w:pStyle w:val="102"/>
                    <w:rPr>
                      <w:rFonts w:ascii="Times New Roman" w:hAnsi="Times New Roman" w:cs="Times New Roman"/>
                      <w:sz w:val="21"/>
                      <w:szCs w:val="21"/>
                    </w:rPr>
                  </w:pPr>
                  <w:r>
                    <w:rPr>
                      <w:rFonts w:ascii="Times New Roman" w:cs="Times New Roman"/>
                      <w:sz w:val="21"/>
                      <w:szCs w:val="21"/>
                    </w:rPr>
                    <w:t>相符</w:t>
                  </w:r>
                </w:p>
              </w:tc>
            </w:tr>
            <w:tr w14:paraId="073A63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7" w:type="pct"/>
                  <w:tcBorders>
                    <w:tl2br w:val="nil"/>
                    <w:tr2bl w:val="nil"/>
                  </w:tcBorders>
                  <w:vAlign w:val="center"/>
                </w:tcPr>
                <w:p w14:paraId="4D256F6C">
                  <w:pPr>
                    <w:pStyle w:val="102"/>
                    <w:rPr>
                      <w:rFonts w:ascii="Times New Roman" w:hAnsi="Times New Roman" w:cs="Times New Roman"/>
                      <w:sz w:val="21"/>
                      <w:szCs w:val="21"/>
                    </w:rPr>
                  </w:pPr>
                  <w:r>
                    <w:rPr>
                      <w:rFonts w:ascii="Times New Roman" w:hAnsi="Times New Roman" w:cs="Times New Roman"/>
                      <w:sz w:val="21"/>
                      <w:szCs w:val="21"/>
                    </w:rPr>
                    <w:t>5</w:t>
                  </w:r>
                </w:p>
              </w:tc>
              <w:tc>
                <w:tcPr>
                  <w:tcW w:w="2525" w:type="pct"/>
                  <w:tcBorders>
                    <w:tl2br w:val="nil"/>
                    <w:tr2bl w:val="nil"/>
                  </w:tcBorders>
                  <w:vAlign w:val="center"/>
                </w:tcPr>
                <w:p w14:paraId="35BBC752">
                  <w:pPr>
                    <w:pStyle w:val="102"/>
                    <w:rPr>
                      <w:rFonts w:ascii="Times New Roman" w:hAnsi="Times New Roman" w:cs="Times New Roman"/>
                      <w:sz w:val="21"/>
                      <w:szCs w:val="21"/>
                    </w:rPr>
                  </w:pPr>
                  <w:r>
                    <w:rPr>
                      <w:rFonts w:hint="eastAsia" w:ascii="Times New Roman" w:hAnsi="Times New Roman" w:cs="Times New Roman"/>
                      <w:sz w:val="21"/>
                      <w:szCs w:val="21"/>
                    </w:rPr>
                    <w:t>将温室气体排放纳入建设项目环境影响评价，核算建设项目温室气体排放量，推进减污降碳协同增效，推动减碳技术创新示范应用。鼓励采用全废钢电炉、非高炉炼铁、富氧强化熔炼、低品位余热利用、煤气高效利用等低碳节能技术，探索开展氢治金、二氧化碳捕集利用一体化等试点示范。</w:t>
                  </w:r>
                </w:p>
              </w:tc>
              <w:tc>
                <w:tcPr>
                  <w:tcW w:w="1566" w:type="pct"/>
                  <w:tcBorders>
                    <w:tl2br w:val="nil"/>
                    <w:tr2bl w:val="nil"/>
                  </w:tcBorders>
                  <w:vAlign w:val="center"/>
                </w:tcPr>
                <w:p w14:paraId="77645E20">
                  <w:pPr>
                    <w:pStyle w:val="102"/>
                    <w:rPr>
                      <w:rFonts w:ascii="Times New Roman" w:hAnsi="Times New Roman" w:cs="Times New Roman"/>
                      <w:sz w:val="21"/>
                      <w:szCs w:val="21"/>
                    </w:rPr>
                  </w:pPr>
                  <w:r>
                    <w:rPr>
                      <w:rFonts w:hint="eastAsia" w:ascii="Times New Roman" w:hAnsi="Times New Roman" w:cs="Times New Roman"/>
                      <w:sz w:val="21"/>
                      <w:szCs w:val="21"/>
                    </w:rPr>
                    <w:t>本次评价开展了碳排放核算。</w:t>
                  </w:r>
                </w:p>
              </w:tc>
              <w:tc>
                <w:tcPr>
                  <w:tcW w:w="462" w:type="pct"/>
                  <w:tcBorders>
                    <w:tl2br w:val="nil"/>
                    <w:tr2bl w:val="nil"/>
                  </w:tcBorders>
                  <w:vAlign w:val="center"/>
                </w:tcPr>
                <w:p w14:paraId="78EB9409">
                  <w:pPr>
                    <w:pStyle w:val="102"/>
                    <w:rPr>
                      <w:rFonts w:ascii="Times New Roman" w:hAnsi="Times New Roman" w:cs="Times New Roman"/>
                      <w:sz w:val="21"/>
                      <w:szCs w:val="21"/>
                    </w:rPr>
                  </w:pPr>
                  <w:r>
                    <w:rPr>
                      <w:rFonts w:ascii="Times New Roman" w:cs="Times New Roman"/>
                      <w:sz w:val="21"/>
                      <w:szCs w:val="21"/>
                    </w:rPr>
                    <w:t>相符</w:t>
                  </w:r>
                </w:p>
              </w:tc>
            </w:tr>
            <w:tr w14:paraId="62F8C2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7" w:type="pct"/>
                  <w:tcBorders>
                    <w:tl2br w:val="nil"/>
                    <w:tr2bl w:val="nil"/>
                  </w:tcBorders>
                  <w:vAlign w:val="center"/>
                </w:tcPr>
                <w:p w14:paraId="7676D00E">
                  <w:pPr>
                    <w:pStyle w:val="102"/>
                    <w:rPr>
                      <w:rFonts w:ascii="Times New Roman" w:hAnsi="Times New Roman" w:cs="Times New Roman"/>
                      <w:sz w:val="21"/>
                      <w:szCs w:val="21"/>
                    </w:rPr>
                  </w:pPr>
                  <w:r>
                    <w:rPr>
                      <w:rFonts w:ascii="Times New Roman" w:hAnsi="Times New Roman" w:cs="Times New Roman"/>
                      <w:sz w:val="21"/>
                      <w:szCs w:val="21"/>
                    </w:rPr>
                    <w:t>6</w:t>
                  </w:r>
                </w:p>
              </w:tc>
              <w:tc>
                <w:tcPr>
                  <w:tcW w:w="2525" w:type="pct"/>
                  <w:tcBorders>
                    <w:tl2br w:val="nil"/>
                    <w:tr2bl w:val="nil"/>
                  </w:tcBorders>
                  <w:vAlign w:val="center"/>
                </w:tcPr>
                <w:p w14:paraId="2C074505">
                  <w:pPr>
                    <w:pStyle w:val="102"/>
                    <w:rPr>
                      <w:rFonts w:ascii="Times New Roman" w:hAnsi="Times New Roman" w:cs="Times New Roman"/>
                      <w:sz w:val="21"/>
                      <w:szCs w:val="21"/>
                    </w:rPr>
                  </w:pPr>
                  <w:r>
                    <w:rPr>
                      <w:rFonts w:hint="eastAsia" w:ascii="Times New Roman" w:hAnsi="Times New Roman" w:cs="Times New Roman"/>
                      <w:sz w:val="21"/>
                      <w:szCs w:val="21"/>
                    </w:rPr>
                    <w:t>做好清污分流、分质处理、梯级利用，设立完善的废水收集、处理、回用系统。焦化酚氰废水、烧结湿法脱硫废水、含油废水、乳化液废水、酸碱废水和含铬废水单独收集处理，酚氰废水不得外排。配套建设净环、浊环废水处理系统和全厂废水处理站。焦化建设项目配套建设初期雨水收集装置。新建项目实施雨污分流，鼓励改建、扩建项目实施雨污分流。项目排放的废水污染物应符合《钢铁工业水污染物排放标准》（GB 13456）及其修改单和《炼焦化学工业污染物排放标准》）（GB 16171）的要求。</w:t>
                  </w:r>
                </w:p>
              </w:tc>
              <w:tc>
                <w:tcPr>
                  <w:tcW w:w="1566" w:type="pct"/>
                  <w:tcBorders>
                    <w:tl2br w:val="nil"/>
                    <w:tr2bl w:val="nil"/>
                  </w:tcBorders>
                  <w:vAlign w:val="center"/>
                </w:tcPr>
                <w:p w14:paraId="6476BE0F">
                  <w:pPr>
                    <w:pStyle w:val="102"/>
                    <w:rPr>
                      <w:rFonts w:ascii="Times New Roman" w:hAnsi="Times New Roman" w:cs="Times New Roman"/>
                      <w:sz w:val="21"/>
                      <w:szCs w:val="21"/>
                    </w:rPr>
                  </w:pPr>
                  <w:r>
                    <w:rPr>
                      <w:rFonts w:hint="eastAsia" w:ascii="Times New Roman" w:hAnsi="Times New Roman" w:cs="Times New Roman"/>
                      <w:sz w:val="21"/>
                      <w:szCs w:val="21"/>
                    </w:rPr>
                    <w:t>本项目为钢压延加工项目，厂区已实施雨污分流，并配套建设净环、浊环废水处理系统。本项目生产废水大部分循环使用，少量经衡钢东区污水处理站处理达标后回用。</w:t>
                  </w:r>
                </w:p>
              </w:tc>
              <w:tc>
                <w:tcPr>
                  <w:tcW w:w="462" w:type="pct"/>
                  <w:tcBorders>
                    <w:tl2br w:val="nil"/>
                    <w:tr2bl w:val="nil"/>
                  </w:tcBorders>
                  <w:vAlign w:val="center"/>
                </w:tcPr>
                <w:p w14:paraId="590086BA">
                  <w:pPr>
                    <w:pStyle w:val="102"/>
                    <w:rPr>
                      <w:rFonts w:ascii="Times New Roman" w:hAnsi="Times New Roman" w:cs="Times New Roman"/>
                      <w:sz w:val="21"/>
                      <w:szCs w:val="21"/>
                    </w:rPr>
                  </w:pPr>
                  <w:r>
                    <w:rPr>
                      <w:rFonts w:ascii="Times New Roman" w:cs="Times New Roman"/>
                      <w:sz w:val="21"/>
                      <w:szCs w:val="21"/>
                    </w:rPr>
                    <w:t>相符</w:t>
                  </w:r>
                </w:p>
              </w:tc>
            </w:tr>
            <w:tr w14:paraId="3C0A6A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7" w:type="pct"/>
                  <w:tcBorders>
                    <w:tl2br w:val="nil"/>
                    <w:tr2bl w:val="nil"/>
                  </w:tcBorders>
                  <w:vAlign w:val="center"/>
                </w:tcPr>
                <w:p w14:paraId="33801446">
                  <w:pPr>
                    <w:pStyle w:val="102"/>
                    <w:rPr>
                      <w:rFonts w:ascii="Times New Roman" w:hAnsi="Times New Roman" w:cs="Times New Roman"/>
                      <w:sz w:val="21"/>
                      <w:szCs w:val="21"/>
                    </w:rPr>
                  </w:pPr>
                  <w:r>
                    <w:rPr>
                      <w:rFonts w:hint="eastAsia" w:ascii="Times New Roman" w:hAnsi="Times New Roman" w:cs="Times New Roman"/>
                      <w:sz w:val="21"/>
                      <w:szCs w:val="21"/>
                    </w:rPr>
                    <w:t>7</w:t>
                  </w:r>
                </w:p>
              </w:tc>
              <w:tc>
                <w:tcPr>
                  <w:tcW w:w="2525" w:type="pct"/>
                  <w:tcBorders>
                    <w:tl2br w:val="nil"/>
                    <w:tr2bl w:val="nil"/>
                  </w:tcBorders>
                  <w:vAlign w:val="center"/>
                </w:tcPr>
                <w:p w14:paraId="05AE80B0">
                  <w:pPr>
                    <w:pStyle w:val="102"/>
                    <w:rPr>
                      <w:rFonts w:ascii="Times New Roman" w:hAnsi="Times New Roman" w:cs="Times New Roman"/>
                      <w:sz w:val="21"/>
                      <w:szCs w:val="21"/>
                    </w:rPr>
                  </w:pPr>
                  <w:r>
                    <w:rPr>
                      <w:rFonts w:hint="eastAsia" w:ascii="Times New Roman" w:hAnsi="Times New Roman" w:cs="Times New Roman"/>
                      <w:sz w:val="21"/>
                      <w:szCs w:val="21"/>
                    </w:rPr>
                    <w:t>土壤和地下水污染防治应坚持源头控制、分区防控、跟踪监测和应急响应的防控原则。在泉域保护范围以及岩溶强发育、存在较多落水洞和岩溶漏斗的区域内，不得新建、改建、扩建焦化项目对涉及有毒有害物质的生产装置、设名设施及场所，需提出防腐蚀、防渗漏、防流失、防扬散等土壤污染防治具体措施。根据建设项目工程平面布局、环境保护目标的敏感程度、水文地质条件等，统筹采取水平、垂直防渗措施，提出有效的土壤、地下水监控和应急方案；焦化项目符合《石油化工工程防渗技术规定》（GB/T 50934）等相关要求；对于可能受影响的地下水环境敏感目标，应提出保护措施；涉及饮用水功能的，强化地下水环境保护措施，确保饮用水安全。</w:t>
                  </w:r>
                </w:p>
              </w:tc>
              <w:tc>
                <w:tcPr>
                  <w:tcW w:w="1566" w:type="pct"/>
                  <w:tcBorders>
                    <w:tl2br w:val="nil"/>
                    <w:tr2bl w:val="nil"/>
                  </w:tcBorders>
                  <w:vAlign w:val="center"/>
                </w:tcPr>
                <w:p w14:paraId="6578BDAD">
                  <w:pPr>
                    <w:pStyle w:val="102"/>
                    <w:rPr>
                      <w:rFonts w:ascii="Times New Roman" w:hAnsi="Times New Roman" w:cs="Times New Roman"/>
                      <w:sz w:val="21"/>
                      <w:szCs w:val="21"/>
                    </w:rPr>
                  </w:pPr>
                  <w:r>
                    <w:rPr>
                      <w:rFonts w:hint="eastAsia" w:ascii="Times New Roman" w:hAnsi="Times New Roman" w:cs="Times New Roman"/>
                      <w:sz w:val="21"/>
                      <w:szCs w:val="21"/>
                    </w:rPr>
                    <w:t>本项目为钢压延加工项目，厂区已实施水平防渗措施，并制定了土壤、地下水监控和应急方案。</w:t>
                  </w:r>
                </w:p>
              </w:tc>
              <w:tc>
                <w:tcPr>
                  <w:tcW w:w="462" w:type="pct"/>
                  <w:tcBorders>
                    <w:tl2br w:val="nil"/>
                    <w:tr2bl w:val="nil"/>
                  </w:tcBorders>
                  <w:vAlign w:val="center"/>
                </w:tcPr>
                <w:p w14:paraId="33870304">
                  <w:pPr>
                    <w:pStyle w:val="102"/>
                    <w:rPr>
                      <w:rFonts w:ascii="Times New Roman" w:cs="Times New Roman"/>
                      <w:sz w:val="21"/>
                      <w:szCs w:val="21"/>
                    </w:rPr>
                  </w:pPr>
                  <w:r>
                    <w:rPr>
                      <w:rFonts w:ascii="Times New Roman" w:cs="Times New Roman"/>
                      <w:sz w:val="21"/>
                      <w:szCs w:val="21"/>
                    </w:rPr>
                    <w:t>相符</w:t>
                  </w:r>
                </w:p>
              </w:tc>
            </w:tr>
            <w:tr w14:paraId="526930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7" w:type="pct"/>
                  <w:tcBorders>
                    <w:tl2br w:val="nil"/>
                    <w:tr2bl w:val="nil"/>
                  </w:tcBorders>
                  <w:vAlign w:val="center"/>
                </w:tcPr>
                <w:p w14:paraId="19FA1934">
                  <w:pPr>
                    <w:pStyle w:val="102"/>
                    <w:rPr>
                      <w:rFonts w:ascii="Times New Roman" w:hAnsi="Times New Roman" w:cs="Times New Roman"/>
                      <w:sz w:val="21"/>
                      <w:szCs w:val="21"/>
                    </w:rPr>
                  </w:pPr>
                  <w:r>
                    <w:rPr>
                      <w:rFonts w:hint="eastAsia" w:ascii="Times New Roman" w:hAnsi="Times New Roman" w:cs="Times New Roman"/>
                      <w:sz w:val="21"/>
                      <w:szCs w:val="21"/>
                    </w:rPr>
                    <w:t>8</w:t>
                  </w:r>
                </w:p>
              </w:tc>
              <w:tc>
                <w:tcPr>
                  <w:tcW w:w="2525" w:type="pct"/>
                  <w:tcBorders>
                    <w:tl2br w:val="nil"/>
                    <w:tr2bl w:val="nil"/>
                  </w:tcBorders>
                  <w:vAlign w:val="center"/>
                </w:tcPr>
                <w:p w14:paraId="78EC5E3D">
                  <w:pPr>
                    <w:pStyle w:val="102"/>
                    <w:rPr>
                      <w:rFonts w:ascii="Times New Roman" w:hAnsi="Times New Roman" w:cs="Times New Roman"/>
                      <w:sz w:val="21"/>
                      <w:szCs w:val="21"/>
                    </w:rPr>
                  </w:pPr>
                  <w:r>
                    <w:rPr>
                      <w:rFonts w:hint="eastAsia" w:ascii="Times New Roman" w:hAnsi="Times New Roman" w:cs="Times New Roman"/>
                      <w:sz w:val="21"/>
                      <w:szCs w:val="21"/>
                    </w:rPr>
                    <w:t>按照减量化、资源化、无害化的原则,妥善处理处置固体废物。焦油渣、沥青渣、生化污泥采用回配炼焦煤等措施优先在本厂综合利用，防止造成二次污染；烧结（球团）脱硫灰（渣）、高炉渣和预处理后的钢渣立足综合利用，做到妥善处置。鼓励焦炉煤气湿式氧化法脱硫废液提盐、制酸等高效资源化利用；鼓励新建炼铁炼钢项目水渣、钢渣含铁尘泥等大宗固废在厂区内建设综合利用设施处置。危险废物和一般工业固体废物贮存和处置应符合《危险废物贮存污染控制标准》（GB 18597）及其修改单、《危险废物填埋污染控制标准》（GB 18598）《一般工业固体废物贮存和填埋污染控制标准》（GB 18599）、《危险废物焚烧污染控制标准》（GB 18484）等相关要求。</w:t>
                  </w:r>
                </w:p>
              </w:tc>
              <w:tc>
                <w:tcPr>
                  <w:tcW w:w="1566" w:type="pct"/>
                  <w:tcBorders>
                    <w:tl2br w:val="nil"/>
                    <w:tr2bl w:val="nil"/>
                  </w:tcBorders>
                  <w:vAlign w:val="center"/>
                </w:tcPr>
                <w:p w14:paraId="5A9ADFF2">
                  <w:pPr>
                    <w:pStyle w:val="102"/>
                    <w:rPr>
                      <w:rFonts w:ascii="Times New Roman" w:hAnsi="Times New Roman" w:cs="Times New Roman"/>
                      <w:sz w:val="21"/>
                      <w:szCs w:val="21"/>
                    </w:rPr>
                  </w:pPr>
                  <w:r>
                    <w:rPr>
                      <w:rFonts w:hint="eastAsia" w:ascii="Times New Roman" w:hAnsi="Times New Roman" w:cs="Times New Roman"/>
                      <w:sz w:val="21"/>
                      <w:szCs w:val="21"/>
                    </w:rPr>
                    <w:t>项目固废均合理处置，不会产生二次污染。危险废物贮存和处置应符合《危险废物贮存污染控制标准》（GB 18597）及其修改单相关要求，一般工业固体废物贮存和处置符合《一般工业固体废物贮存和填埋污染控制标准》（GB 18599）相关要求。</w:t>
                  </w:r>
                </w:p>
              </w:tc>
              <w:tc>
                <w:tcPr>
                  <w:tcW w:w="462" w:type="pct"/>
                  <w:tcBorders>
                    <w:tl2br w:val="nil"/>
                    <w:tr2bl w:val="nil"/>
                  </w:tcBorders>
                  <w:vAlign w:val="center"/>
                </w:tcPr>
                <w:p w14:paraId="21BD0360">
                  <w:pPr>
                    <w:pStyle w:val="102"/>
                    <w:rPr>
                      <w:rFonts w:ascii="Times New Roman" w:cs="Times New Roman"/>
                      <w:sz w:val="21"/>
                      <w:szCs w:val="21"/>
                    </w:rPr>
                  </w:pPr>
                  <w:r>
                    <w:rPr>
                      <w:rFonts w:ascii="Times New Roman" w:cs="Times New Roman"/>
                      <w:sz w:val="21"/>
                      <w:szCs w:val="21"/>
                    </w:rPr>
                    <w:t>相符</w:t>
                  </w:r>
                </w:p>
              </w:tc>
            </w:tr>
            <w:tr w14:paraId="283A36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7" w:type="pct"/>
                  <w:tcBorders>
                    <w:tl2br w:val="nil"/>
                    <w:tr2bl w:val="nil"/>
                  </w:tcBorders>
                  <w:vAlign w:val="center"/>
                </w:tcPr>
                <w:p w14:paraId="62D5FADD">
                  <w:pPr>
                    <w:pStyle w:val="102"/>
                    <w:rPr>
                      <w:rFonts w:ascii="Times New Roman" w:hAnsi="Times New Roman" w:cs="Times New Roman"/>
                      <w:sz w:val="21"/>
                      <w:szCs w:val="21"/>
                    </w:rPr>
                  </w:pPr>
                  <w:r>
                    <w:rPr>
                      <w:rFonts w:hint="eastAsia" w:ascii="Times New Roman" w:hAnsi="Times New Roman" w:cs="Times New Roman"/>
                      <w:sz w:val="21"/>
                      <w:szCs w:val="21"/>
                    </w:rPr>
                    <w:t>9</w:t>
                  </w:r>
                </w:p>
              </w:tc>
              <w:tc>
                <w:tcPr>
                  <w:tcW w:w="2525" w:type="pct"/>
                  <w:tcBorders>
                    <w:tl2br w:val="nil"/>
                    <w:tr2bl w:val="nil"/>
                  </w:tcBorders>
                  <w:vAlign w:val="center"/>
                </w:tcPr>
                <w:p w14:paraId="5B8ACA02">
                  <w:pPr>
                    <w:pStyle w:val="102"/>
                    <w:rPr>
                      <w:rFonts w:ascii="Times New Roman" w:hAnsi="Times New Roman" w:cs="Times New Roman"/>
                      <w:sz w:val="21"/>
                      <w:szCs w:val="21"/>
                    </w:rPr>
                  </w:pPr>
                  <w:r>
                    <w:rPr>
                      <w:rFonts w:hint="eastAsia" w:ascii="Times New Roman" w:hAnsi="Times New Roman" w:cs="Times New Roman"/>
                      <w:sz w:val="21"/>
                      <w:szCs w:val="21"/>
                    </w:rPr>
                    <w:t>优化厂区平面布置，优先选择低噪声设备和工艺，采取减振、隔声、消声等措施有效控制噪声污染，厂界噪声应满足《工业企业厂界环境噪声排放标准》（GB 12348）要求。位于噪声敏感建筑物集中区域的改建、扩建项目，应强化噪声污染防治措施，防止噪声污染。</w:t>
                  </w:r>
                </w:p>
              </w:tc>
              <w:tc>
                <w:tcPr>
                  <w:tcW w:w="1566" w:type="pct"/>
                  <w:tcBorders>
                    <w:tl2br w:val="nil"/>
                    <w:tr2bl w:val="nil"/>
                  </w:tcBorders>
                  <w:vAlign w:val="center"/>
                </w:tcPr>
                <w:p w14:paraId="085361AE">
                  <w:pPr>
                    <w:pStyle w:val="102"/>
                    <w:rPr>
                      <w:rFonts w:ascii="Times New Roman" w:hAnsi="Times New Roman" w:cs="Times New Roman"/>
                      <w:sz w:val="21"/>
                      <w:szCs w:val="21"/>
                    </w:rPr>
                  </w:pPr>
                  <w:r>
                    <w:rPr>
                      <w:rFonts w:hint="eastAsia" w:ascii="Times New Roman" w:hAnsi="Times New Roman" w:cs="Times New Roman"/>
                      <w:sz w:val="21"/>
                      <w:szCs w:val="21"/>
                    </w:rPr>
                    <w:t>本项目为热连轧技术改造项目，属于钢压延加工，厂区周边50m范围内无敏感建筑，新增设备选择低噪声设备，采取减振、隔声、消声等措施有效控制噪声污染，厂界噪声满足《工业企业厂界环境噪声排放标准》（GB 12348）要求。</w:t>
                  </w:r>
                </w:p>
              </w:tc>
              <w:tc>
                <w:tcPr>
                  <w:tcW w:w="462" w:type="pct"/>
                  <w:tcBorders>
                    <w:tl2br w:val="nil"/>
                    <w:tr2bl w:val="nil"/>
                  </w:tcBorders>
                  <w:vAlign w:val="center"/>
                </w:tcPr>
                <w:p w14:paraId="5FD49A09">
                  <w:pPr>
                    <w:pStyle w:val="102"/>
                    <w:rPr>
                      <w:rFonts w:ascii="Times New Roman" w:cs="Times New Roman"/>
                      <w:sz w:val="21"/>
                      <w:szCs w:val="21"/>
                    </w:rPr>
                  </w:pPr>
                  <w:r>
                    <w:rPr>
                      <w:rFonts w:ascii="Times New Roman" w:cs="Times New Roman"/>
                      <w:sz w:val="21"/>
                      <w:szCs w:val="21"/>
                    </w:rPr>
                    <w:t>相符</w:t>
                  </w:r>
                </w:p>
              </w:tc>
            </w:tr>
            <w:tr w14:paraId="7A8A0C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7" w:type="pct"/>
                  <w:tcBorders>
                    <w:tl2br w:val="nil"/>
                    <w:tr2bl w:val="nil"/>
                  </w:tcBorders>
                  <w:vAlign w:val="center"/>
                </w:tcPr>
                <w:p w14:paraId="206DBAB2">
                  <w:pPr>
                    <w:pStyle w:val="102"/>
                    <w:rPr>
                      <w:rFonts w:ascii="Times New Roman" w:hAnsi="Times New Roman" w:cs="Times New Roman"/>
                      <w:sz w:val="21"/>
                      <w:szCs w:val="21"/>
                    </w:rPr>
                  </w:pPr>
                  <w:r>
                    <w:rPr>
                      <w:rFonts w:hint="eastAsia" w:ascii="Times New Roman" w:hAnsi="Times New Roman" w:cs="Times New Roman"/>
                      <w:sz w:val="21"/>
                      <w:szCs w:val="21"/>
                    </w:rPr>
                    <w:t>10</w:t>
                  </w:r>
                </w:p>
              </w:tc>
              <w:tc>
                <w:tcPr>
                  <w:tcW w:w="2525" w:type="pct"/>
                  <w:tcBorders>
                    <w:tl2br w:val="nil"/>
                    <w:tr2bl w:val="nil"/>
                  </w:tcBorders>
                  <w:vAlign w:val="center"/>
                </w:tcPr>
                <w:p w14:paraId="63D9DC9D">
                  <w:pPr>
                    <w:pStyle w:val="102"/>
                    <w:rPr>
                      <w:rFonts w:ascii="Times New Roman" w:hAnsi="Times New Roman" w:cs="Times New Roman"/>
                      <w:sz w:val="21"/>
                      <w:szCs w:val="21"/>
                    </w:rPr>
                  </w:pPr>
                  <w:r>
                    <w:rPr>
                      <w:rFonts w:hint="eastAsia" w:ascii="Times New Roman" w:hAnsi="Times New Roman" w:cs="Times New Roman"/>
                      <w:sz w:val="21"/>
                      <w:szCs w:val="21"/>
                    </w:rPr>
                    <w:t>严密防控项目环境风险，建立完善的环境风险防控体系，提升环境风险防控能力，环境风险防范和应急措施合理、有效。重点关注煤气、酸、苯、氨、洗（焦）油等风险物质储运和使用环节的环境风险管控。焦化装置配套建设事故储槽（池）；事故废水应有效收集和妥善处理，不直接进入外环境。针对项目可能产生的突发环境事件制定有效的风险防范和应急措施，建立项目及区域环境风险防范与应急管理体系，提出运行期突发环境事件应急预案编制要求。</w:t>
                  </w:r>
                </w:p>
              </w:tc>
              <w:tc>
                <w:tcPr>
                  <w:tcW w:w="1566" w:type="pct"/>
                  <w:tcBorders>
                    <w:tl2br w:val="nil"/>
                    <w:tr2bl w:val="nil"/>
                  </w:tcBorders>
                  <w:vAlign w:val="center"/>
                </w:tcPr>
                <w:p w14:paraId="5BA529F1">
                  <w:pPr>
                    <w:pStyle w:val="102"/>
                    <w:rPr>
                      <w:rFonts w:ascii="Times New Roman" w:hAnsi="Times New Roman" w:cs="Times New Roman"/>
                      <w:sz w:val="21"/>
                      <w:szCs w:val="21"/>
                    </w:rPr>
                  </w:pPr>
                  <w:r>
                    <w:rPr>
                      <w:rFonts w:hint="eastAsia" w:ascii="Times New Roman" w:hAnsi="Times New Roman" w:cs="Times New Roman"/>
                      <w:sz w:val="21"/>
                      <w:szCs w:val="21"/>
                    </w:rPr>
                    <w:t>本项目为热连轧技术改造项目，属于钢压延加工，建设单位已建立完善的环境风险防控体系，并制定了突发环境风险应急预案，项目实施后企业将根据实际情况适时修编应急预案。</w:t>
                  </w:r>
                </w:p>
              </w:tc>
              <w:tc>
                <w:tcPr>
                  <w:tcW w:w="462" w:type="pct"/>
                  <w:tcBorders>
                    <w:tl2br w:val="nil"/>
                    <w:tr2bl w:val="nil"/>
                  </w:tcBorders>
                  <w:vAlign w:val="center"/>
                </w:tcPr>
                <w:p w14:paraId="075BFBDB">
                  <w:pPr>
                    <w:pStyle w:val="102"/>
                    <w:rPr>
                      <w:rFonts w:ascii="Times New Roman" w:cs="Times New Roman"/>
                      <w:sz w:val="21"/>
                      <w:szCs w:val="21"/>
                    </w:rPr>
                  </w:pPr>
                  <w:r>
                    <w:rPr>
                      <w:rFonts w:ascii="Times New Roman" w:cs="Times New Roman"/>
                      <w:sz w:val="21"/>
                      <w:szCs w:val="21"/>
                    </w:rPr>
                    <w:t>相符</w:t>
                  </w:r>
                </w:p>
              </w:tc>
            </w:tr>
            <w:tr w14:paraId="0C14D4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7" w:type="pct"/>
                  <w:tcBorders>
                    <w:tl2br w:val="nil"/>
                    <w:tr2bl w:val="nil"/>
                  </w:tcBorders>
                  <w:vAlign w:val="center"/>
                </w:tcPr>
                <w:p w14:paraId="44409F6C">
                  <w:pPr>
                    <w:pStyle w:val="102"/>
                    <w:rPr>
                      <w:rFonts w:ascii="Times New Roman" w:hAnsi="Times New Roman" w:cs="Times New Roman"/>
                      <w:sz w:val="21"/>
                      <w:szCs w:val="21"/>
                    </w:rPr>
                  </w:pPr>
                  <w:r>
                    <w:rPr>
                      <w:rFonts w:hint="eastAsia" w:ascii="Times New Roman" w:hAnsi="Times New Roman" w:cs="Times New Roman"/>
                      <w:sz w:val="21"/>
                      <w:szCs w:val="21"/>
                    </w:rPr>
                    <w:t>11</w:t>
                  </w:r>
                </w:p>
              </w:tc>
              <w:tc>
                <w:tcPr>
                  <w:tcW w:w="2525" w:type="pct"/>
                  <w:tcBorders>
                    <w:tl2br w:val="nil"/>
                    <w:tr2bl w:val="nil"/>
                  </w:tcBorders>
                  <w:vAlign w:val="center"/>
                </w:tcPr>
                <w:p w14:paraId="1F0071C0">
                  <w:pPr>
                    <w:pStyle w:val="102"/>
                    <w:rPr>
                      <w:rFonts w:ascii="Times New Roman" w:hAnsi="Times New Roman" w:cs="Times New Roman"/>
                      <w:sz w:val="21"/>
                      <w:szCs w:val="21"/>
                    </w:rPr>
                  </w:pPr>
                  <w:r>
                    <w:rPr>
                      <w:rFonts w:hint="eastAsia" w:ascii="Times New Roman" w:hAnsi="Times New Roman" w:cs="Times New Roman"/>
                      <w:sz w:val="21"/>
                      <w:szCs w:val="21"/>
                    </w:rPr>
                    <w:t>改、扩建项目全面梳理涉及的现有工程存在的环保问题或减排潜力，应提出有效整改或改进措施。</w:t>
                  </w:r>
                </w:p>
              </w:tc>
              <w:tc>
                <w:tcPr>
                  <w:tcW w:w="1566" w:type="pct"/>
                  <w:tcBorders>
                    <w:tl2br w:val="nil"/>
                    <w:tr2bl w:val="nil"/>
                  </w:tcBorders>
                  <w:vAlign w:val="center"/>
                </w:tcPr>
                <w:p w14:paraId="7C5F3626">
                  <w:pPr>
                    <w:pStyle w:val="102"/>
                    <w:rPr>
                      <w:rFonts w:ascii="Times New Roman" w:hAnsi="Times New Roman" w:cs="Times New Roman"/>
                      <w:sz w:val="21"/>
                      <w:szCs w:val="21"/>
                    </w:rPr>
                  </w:pPr>
                  <w:r>
                    <w:rPr>
                      <w:rFonts w:hint="eastAsia" w:ascii="Times New Roman" w:hAnsi="Times New Roman" w:cs="Times New Roman"/>
                      <w:sz w:val="21"/>
                      <w:szCs w:val="21"/>
                    </w:rPr>
                    <w:t>本项目为钢压延加工项目，针对现有工程存在的环保问题或减排潜力，提出了有效整改或改进措施。</w:t>
                  </w:r>
                </w:p>
              </w:tc>
              <w:tc>
                <w:tcPr>
                  <w:tcW w:w="462" w:type="pct"/>
                  <w:tcBorders>
                    <w:tl2br w:val="nil"/>
                    <w:tr2bl w:val="nil"/>
                  </w:tcBorders>
                  <w:vAlign w:val="center"/>
                </w:tcPr>
                <w:p w14:paraId="508CFE1E">
                  <w:pPr>
                    <w:pStyle w:val="102"/>
                    <w:rPr>
                      <w:rFonts w:ascii="Times New Roman" w:cs="Times New Roman"/>
                      <w:sz w:val="21"/>
                      <w:szCs w:val="21"/>
                    </w:rPr>
                  </w:pPr>
                  <w:r>
                    <w:rPr>
                      <w:rFonts w:ascii="Times New Roman" w:cs="Times New Roman"/>
                      <w:sz w:val="21"/>
                      <w:szCs w:val="21"/>
                    </w:rPr>
                    <w:t>相符</w:t>
                  </w:r>
                </w:p>
              </w:tc>
            </w:tr>
            <w:tr w14:paraId="5FB4C1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7" w:type="pct"/>
                  <w:tcBorders>
                    <w:tl2br w:val="nil"/>
                    <w:tr2bl w:val="nil"/>
                  </w:tcBorders>
                  <w:vAlign w:val="center"/>
                </w:tcPr>
                <w:p w14:paraId="5145B056">
                  <w:pPr>
                    <w:pStyle w:val="102"/>
                    <w:rPr>
                      <w:rFonts w:ascii="Times New Roman" w:hAnsi="Times New Roman" w:cs="Times New Roman"/>
                      <w:sz w:val="21"/>
                      <w:szCs w:val="21"/>
                    </w:rPr>
                  </w:pPr>
                  <w:r>
                    <w:rPr>
                      <w:rFonts w:hint="eastAsia" w:ascii="Times New Roman" w:hAnsi="Times New Roman" w:cs="Times New Roman"/>
                      <w:sz w:val="21"/>
                      <w:szCs w:val="21"/>
                    </w:rPr>
                    <w:t>12</w:t>
                  </w:r>
                </w:p>
              </w:tc>
              <w:tc>
                <w:tcPr>
                  <w:tcW w:w="2525" w:type="pct"/>
                  <w:tcBorders>
                    <w:tl2br w:val="nil"/>
                    <w:tr2bl w:val="nil"/>
                  </w:tcBorders>
                  <w:vAlign w:val="center"/>
                </w:tcPr>
                <w:p w14:paraId="15F44367">
                  <w:pPr>
                    <w:pStyle w:val="102"/>
                    <w:rPr>
                      <w:rFonts w:ascii="Times New Roman" w:hAnsi="Times New Roman" w:cs="Times New Roman"/>
                      <w:sz w:val="21"/>
                      <w:szCs w:val="21"/>
                    </w:rPr>
                  </w:pPr>
                  <w:r>
                    <w:rPr>
                      <w:rFonts w:hint="eastAsia" w:ascii="Times New Roman" w:hAnsi="Times New Roman" w:cs="Times New Roman"/>
                      <w:sz w:val="21"/>
                      <w:szCs w:val="21"/>
                    </w:rPr>
                    <w:t>新增主要污染物排放量的建设项目应执行《关于加强重点行业建设项目区域削减措施监督管理的通知》（环办环评〔2020〕36号）。项目所在区域、流域控制单元环境质量达到国家或者地方环境质量标准的因子，原则上其对应的国家实施排放总量管控的重点污染物实行区域等量削减。项目所在区域、流域控制单元环境质量未达到国家或者地方环境质量标准的因子，其对应的主要污染物须进行区域倍量削减。二氧化氮超标的，对应削减氮氧化物；细颗粒物超标的，对应削减二氧化硫、氮氧化物、颗粒物、挥发性有机物；臭氧超标的，对应削减氮氧化物、挥发性有机物。区域削减措施原则上应与建设项目位于同一地级市或市级行政区域内同一流域。地级市行政区域内削减量不足时，可来源于省级行政区域或省级行政区域内的同一流域。配套区域削减措施应为评价基准年后拟采取的措施，且纳入区域重点减排工程的措施不能作为区域削减措施。</w:t>
                  </w:r>
                </w:p>
              </w:tc>
              <w:tc>
                <w:tcPr>
                  <w:tcW w:w="1566" w:type="pct"/>
                  <w:tcBorders>
                    <w:tl2br w:val="nil"/>
                    <w:tr2bl w:val="nil"/>
                  </w:tcBorders>
                  <w:vAlign w:val="center"/>
                </w:tcPr>
                <w:p w14:paraId="79B67651">
                  <w:pPr>
                    <w:pStyle w:val="102"/>
                    <w:rPr>
                      <w:rFonts w:ascii="Times New Roman" w:hAnsi="Times New Roman" w:cs="Times New Roman"/>
                      <w:sz w:val="21"/>
                      <w:szCs w:val="21"/>
                    </w:rPr>
                  </w:pPr>
                  <w:r>
                    <w:rPr>
                      <w:rFonts w:hint="eastAsia" w:ascii="Times New Roman" w:hAnsi="Times New Roman" w:cs="Times New Roman"/>
                      <w:sz w:val="21"/>
                      <w:szCs w:val="21"/>
                    </w:rPr>
                    <w:t>本项目为热连轧技术改造项目，属于钢压延加工，新增主要污染物NOx排放量由新钢公司现有NOx总量控制指标实施内部调剂。</w:t>
                  </w:r>
                </w:p>
              </w:tc>
              <w:tc>
                <w:tcPr>
                  <w:tcW w:w="462" w:type="pct"/>
                  <w:tcBorders>
                    <w:tl2br w:val="nil"/>
                    <w:tr2bl w:val="nil"/>
                  </w:tcBorders>
                  <w:vAlign w:val="center"/>
                </w:tcPr>
                <w:p w14:paraId="50B5E0A1">
                  <w:pPr>
                    <w:pStyle w:val="102"/>
                    <w:rPr>
                      <w:rFonts w:ascii="Times New Roman" w:cs="Times New Roman"/>
                      <w:sz w:val="21"/>
                      <w:szCs w:val="21"/>
                    </w:rPr>
                  </w:pPr>
                  <w:r>
                    <w:rPr>
                      <w:rFonts w:ascii="Times New Roman" w:cs="Times New Roman"/>
                      <w:sz w:val="21"/>
                      <w:szCs w:val="21"/>
                    </w:rPr>
                    <w:t>相符</w:t>
                  </w:r>
                </w:p>
              </w:tc>
            </w:tr>
            <w:tr w14:paraId="4A5F68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447" w:type="pct"/>
                  <w:tcBorders>
                    <w:tl2br w:val="nil"/>
                    <w:tr2bl w:val="nil"/>
                  </w:tcBorders>
                  <w:vAlign w:val="center"/>
                </w:tcPr>
                <w:p w14:paraId="77C478B1">
                  <w:pPr>
                    <w:pStyle w:val="102"/>
                    <w:rPr>
                      <w:rFonts w:ascii="Times New Roman" w:hAnsi="Times New Roman" w:cs="Times New Roman"/>
                      <w:sz w:val="21"/>
                      <w:szCs w:val="21"/>
                    </w:rPr>
                  </w:pPr>
                  <w:r>
                    <w:rPr>
                      <w:rFonts w:hint="eastAsia" w:ascii="Times New Roman" w:hAnsi="Times New Roman" w:cs="Times New Roman"/>
                      <w:sz w:val="21"/>
                      <w:szCs w:val="21"/>
                    </w:rPr>
                    <w:t>13</w:t>
                  </w:r>
                </w:p>
              </w:tc>
              <w:tc>
                <w:tcPr>
                  <w:tcW w:w="2525" w:type="pct"/>
                  <w:tcBorders>
                    <w:tl2br w:val="nil"/>
                    <w:tr2bl w:val="nil"/>
                  </w:tcBorders>
                  <w:vAlign w:val="center"/>
                </w:tcPr>
                <w:p w14:paraId="62A2E5C9">
                  <w:pPr>
                    <w:pStyle w:val="102"/>
                    <w:rPr>
                      <w:rFonts w:ascii="Times New Roman" w:hAnsi="Times New Roman" w:cs="Times New Roman"/>
                      <w:sz w:val="21"/>
                      <w:szCs w:val="21"/>
                    </w:rPr>
                  </w:pPr>
                  <w:r>
                    <w:rPr>
                      <w:rFonts w:hint="eastAsia" w:ascii="Times New Roman" w:hAnsi="Times New Roman" w:cs="Times New Roman"/>
                      <w:sz w:val="21"/>
                      <w:szCs w:val="21"/>
                    </w:rPr>
                    <w:t>明确项目实施后的环境管理要求和环境监测计划。根据行业自行监测技术指南要求，制定废水、废气污染物排放及厂界环境噪声监测计划并开展监测，排污口或监测位置应符合技术规范要求。重点排污单位污染物排放自动监测设备应依法依规与生态环境主管部门的监控设备联网。涉及水、大气有毒有害污染物名录中污染物排放的，还应依法依规制定周边环境的监测计划，关注苯并[a]芘、二噁英等特征污染物的累积环境影响。</w:t>
                  </w:r>
                </w:p>
              </w:tc>
              <w:tc>
                <w:tcPr>
                  <w:tcW w:w="1566" w:type="pct"/>
                  <w:tcBorders>
                    <w:tl2br w:val="nil"/>
                    <w:tr2bl w:val="nil"/>
                  </w:tcBorders>
                  <w:vAlign w:val="center"/>
                </w:tcPr>
                <w:p w14:paraId="25A780B4">
                  <w:pPr>
                    <w:pStyle w:val="102"/>
                    <w:rPr>
                      <w:rFonts w:ascii="Times New Roman" w:hAnsi="Times New Roman" w:cs="Times New Roman"/>
                      <w:sz w:val="21"/>
                      <w:szCs w:val="21"/>
                    </w:rPr>
                  </w:pPr>
                  <w:r>
                    <w:rPr>
                      <w:rFonts w:hint="eastAsia" w:ascii="Times New Roman" w:hAnsi="Times New Roman" w:cs="Times New Roman"/>
                      <w:sz w:val="21"/>
                      <w:szCs w:val="21"/>
                    </w:rPr>
                    <w:t>本次评价已明确项目实施后的环境管理要求和环境监测计划。根据《排污单位自行监测技术指南 钢铁工业及炼焦化学工业》（HJ878-2017）制定废水、废气污染物排放及厂界环境噪声监测计划并开展监测。</w:t>
                  </w:r>
                </w:p>
              </w:tc>
              <w:tc>
                <w:tcPr>
                  <w:tcW w:w="462" w:type="pct"/>
                  <w:tcBorders>
                    <w:tl2br w:val="nil"/>
                    <w:tr2bl w:val="nil"/>
                  </w:tcBorders>
                  <w:vAlign w:val="center"/>
                </w:tcPr>
                <w:p w14:paraId="0E7DA1A5">
                  <w:pPr>
                    <w:pStyle w:val="102"/>
                    <w:rPr>
                      <w:rFonts w:ascii="Times New Roman" w:cs="Times New Roman"/>
                      <w:sz w:val="21"/>
                      <w:szCs w:val="21"/>
                    </w:rPr>
                  </w:pPr>
                  <w:r>
                    <w:rPr>
                      <w:rFonts w:ascii="Times New Roman" w:cs="Times New Roman"/>
                      <w:sz w:val="21"/>
                      <w:szCs w:val="21"/>
                    </w:rPr>
                    <w:t>相符</w:t>
                  </w:r>
                </w:p>
              </w:tc>
            </w:tr>
          </w:tbl>
          <w:p w14:paraId="640DD8C0">
            <w:pPr>
              <w:adjustRightInd w:val="0"/>
              <w:spacing w:line="360" w:lineRule="auto"/>
              <w:ind w:firstLine="480" w:firstLineChars="200"/>
              <w:rPr>
                <w:sz w:val="24"/>
              </w:rPr>
            </w:pPr>
            <w:r>
              <w:rPr>
                <w:sz w:val="24"/>
              </w:rPr>
              <w:t>综上，本项目建设符合《钢铁/焦化建设项目环境影响评价文件审批原则》要求。</w:t>
            </w:r>
          </w:p>
          <w:p w14:paraId="1F1DE930">
            <w:pPr>
              <w:adjustRightInd w:val="0"/>
              <w:spacing w:line="360" w:lineRule="auto"/>
              <w:ind w:firstLine="482" w:firstLineChars="200"/>
              <w:rPr>
                <w:b/>
                <w:sz w:val="24"/>
              </w:rPr>
            </w:pPr>
            <w:r>
              <w:rPr>
                <w:rFonts w:hint="eastAsia"/>
                <w:b/>
                <w:sz w:val="24"/>
              </w:rPr>
              <w:t>8、与《关于推进实施钢铁行业超低排放的意见》（环大气[2019]35号）符合性分析</w:t>
            </w:r>
          </w:p>
          <w:p w14:paraId="7ED0C077">
            <w:pPr>
              <w:autoSpaceDE w:val="0"/>
              <w:autoSpaceDN w:val="0"/>
              <w:adjustRightInd w:val="0"/>
              <w:snapToGrid w:val="0"/>
              <w:spacing w:beforeLines="50"/>
              <w:jc w:val="center"/>
              <w:rPr>
                <w:b/>
              </w:rPr>
            </w:pPr>
            <w:r>
              <w:rPr>
                <w:rFonts w:hint="eastAsia"/>
                <w:b/>
              </w:rPr>
              <w:t>表1-5  项目与《关于推进实施钢铁行业超低排放的意见》（环大气[2019]35号）相符性分析</w:t>
            </w:r>
          </w:p>
          <w:tbl>
            <w:tblPr>
              <w:tblStyle w:val="3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614"/>
              <w:gridCol w:w="2862"/>
              <w:gridCol w:w="844"/>
            </w:tblGrid>
            <w:tr w14:paraId="010148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7" w:type="pct"/>
                  <w:tcBorders>
                    <w:tl2br w:val="nil"/>
                    <w:tr2bl w:val="nil"/>
                  </w:tcBorders>
                  <w:vAlign w:val="center"/>
                </w:tcPr>
                <w:p w14:paraId="3C1C2D38">
                  <w:pPr>
                    <w:pStyle w:val="102"/>
                    <w:rPr>
                      <w:rFonts w:ascii="Times New Roman" w:hAnsi="Times New Roman" w:cs="Times New Roman"/>
                      <w:b/>
                      <w:sz w:val="21"/>
                      <w:szCs w:val="21"/>
                    </w:rPr>
                  </w:pPr>
                  <w:r>
                    <w:rPr>
                      <w:rFonts w:ascii="Times New Roman" w:cs="Times New Roman"/>
                      <w:b/>
                      <w:sz w:val="21"/>
                      <w:szCs w:val="21"/>
                    </w:rPr>
                    <w:t>序号</w:t>
                  </w:r>
                </w:p>
              </w:tc>
              <w:tc>
                <w:tcPr>
                  <w:tcW w:w="2525" w:type="pct"/>
                  <w:tcBorders>
                    <w:tl2br w:val="nil"/>
                    <w:tr2bl w:val="nil"/>
                  </w:tcBorders>
                  <w:vAlign w:val="center"/>
                </w:tcPr>
                <w:p w14:paraId="36E2E7B5">
                  <w:pPr>
                    <w:pStyle w:val="102"/>
                    <w:rPr>
                      <w:rFonts w:ascii="Times New Roman" w:hAnsi="Times New Roman" w:cs="Times New Roman"/>
                      <w:b/>
                      <w:sz w:val="21"/>
                      <w:szCs w:val="21"/>
                    </w:rPr>
                  </w:pPr>
                  <w:r>
                    <w:rPr>
                      <w:rFonts w:hint="eastAsia" w:ascii="Times New Roman" w:hAnsi="Times New Roman" w:cs="Times New Roman"/>
                      <w:b/>
                      <w:sz w:val="21"/>
                      <w:szCs w:val="21"/>
                    </w:rPr>
                    <w:t>文件要求</w:t>
                  </w:r>
                </w:p>
              </w:tc>
              <w:tc>
                <w:tcPr>
                  <w:tcW w:w="1566" w:type="pct"/>
                  <w:tcBorders>
                    <w:tl2br w:val="nil"/>
                    <w:tr2bl w:val="nil"/>
                  </w:tcBorders>
                  <w:vAlign w:val="center"/>
                </w:tcPr>
                <w:p w14:paraId="4E8C8028">
                  <w:pPr>
                    <w:pStyle w:val="102"/>
                    <w:rPr>
                      <w:rFonts w:ascii="Times New Roman" w:hAnsi="Times New Roman" w:cs="Times New Roman"/>
                      <w:b/>
                      <w:sz w:val="21"/>
                      <w:szCs w:val="21"/>
                    </w:rPr>
                  </w:pPr>
                  <w:r>
                    <w:rPr>
                      <w:rFonts w:ascii="Times New Roman" w:hAnsi="Times New Roman" w:cs="Times New Roman"/>
                      <w:b/>
                      <w:sz w:val="21"/>
                      <w:szCs w:val="21"/>
                    </w:rPr>
                    <w:t>本项目情况</w:t>
                  </w:r>
                </w:p>
              </w:tc>
              <w:tc>
                <w:tcPr>
                  <w:tcW w:w="462" w:type="pct"/>
                  <w:tcBorders>
                    <w:tl2br w:val="nil"/>
                    <w:tr2bl w:val="nil"/>
                  </w:tcBorders>
                  <w:vAlign w:val="center"/>
                </w:tcPr>
                <w:p w14:paraId="439FA3C4">
                  <w:pPr>
                    <w:pStyle w:val="102"/>
                    <w:rPr>
                      <w:rFonts w:ascii="Times New Roman" w:cs="Times New Roman"/>
                      <w:b/>
                      <w:sz w:val="21"/>
                      <w:szCs w:val="21"/>
                    </w:rPr>
                  </w:pPr>
                  <w:r>
                    <w:rPr>
                      <w:rFonts w:ascii="Times New Roman" w:cs="Times New Roman"/>
                      <w:b/>
                      <w:sz w:val="21"/>
                      <w:szCs w:val="21"/>
                    </w:rPr>
                    <w:t>是否</w:t>
                  </w:r>
                </w:p>
                <w:p w14:paraId="25561E85">
                  <w:pPr>
                    <w:pStyle w:val="102"/>
                    <w:rPr>
                      <w:rFonts w:ascii="Times New Roman" w:hAnsi="Times New Roman" w:cs="Times New Roman"/>
                      <w:b/>
                      <w:sz w:val="21"/>
                      <w:szCs w:val="21"/>
                    </w:rPr>
                  </w:pPr>
                  <w:r>
                    <w:rPr>
                      <w:rFonts w:ascii="Times New Roman" w:cs="Times New Roman"/>
                      <w:b/>
                      <w:sz w:val="21"/>
                      <w:szCs w:val="21"/>
                    </w:rPr>
                    <w:t>相符</w:t>
                  </w:r>
                </w:p>
              </w:tc>
            </w:tr>
            <w:tr w14:paraId="14C5A3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7" w:type="pct"/>
                  <w:tcBorders>
                    <w:tl2br w:val="nil"/>
                    <w:tr2bl w:val="nil"/>
                  </w:tcBorders>
                  <w:vAlign w:val="center"/>
                </w:tcPr>
                <w:p w14:paraId="09828DF8">
                  <w:pPr>
                    <w:pStyle w:val="102"/>
                    <w:rPr>
                      <w:rFonts w:ascii="Times New Roman" w:hAnsi="Times New Roman" w:cs="Times New Roman"/>
                      <w:sz w:val="21"/>
                      <w:szCs w:val="21"/>
                    </w:rPr>
                  </w:pPr>
                  <w:r>
                    <w:rPr>
                      <w:rFonts w:ascii="Times New Roman" w:hAnsi="Times New Roman" w:cs="Times New Roman"/>
                      <w:sz w:val="21"/>
                      <w:szCs w:val="21"/>
                    </w:rPr>
                    <w:t>1</w:t>
                  </w:r>
                </w:p>
              </w:tc>
              <w:tc>
                <w:tcPr>
                  <w:tcW w:w="2525" w:type="pct"/>
                  <w:tcBorders>
                    <w:tl2br w:val="nil"/>
                    <w:tr2bl w:val="nil"/>
                  </w:tcBorders>
                  <w:vAlign w:val="center"/>
                </w:tcPr>
                <w:p w14:paraId="61967804">
                  <w:pPr>
                    <w:pStyle w:val="102"/>
                    <w:rPr>
                      <w:rFonts w:ascii="Times New Roman" w:hAnsi="Times New Roman" w:cs="Times New Roman"/>
                      <w:sz w:val="21"/>
                      <w:szCs w:val="21"/>
                    </w:rPr>
                  </w:pPr>
                  <w:r>
                    <w:rPr>
                      <w:rFonts w:hint="eastAsia" w:ascii="Times New Roman" w:hAnsi="Times New Roman" w:cs="Times New Roman"/>
                      <w:sz w:val="21"/>
                      <w:szCs w:val="21"/>
                    </w:rPr>
                    <w:t>全国新建（含搬迁）钢铁项目原则上要达到超低排放水平。</w:t>
                  </w:r>
                </w:p>
              </w:tc>
              <w:tc>
                <w:tcPr>
                  <w:tcW w:w="1566" w:type="pct"/>
                  <w:tcBorders>
                    <w:tl2br w:val="nil"/>
                    <w:tr2bl w:val="nil"/>
                  </w:tcBorders>
                  <w:vAlign w:val="center"/>
                </w:tcPr>
                <w:p w14:paraId="33CAC481">
                  <w:pPr>
                    <w:pStyle w:val="102"/>
                    <w:rPr>
                      <w:rFonts w:ascii="Times New Roman" w:hAnsi="Times New Roman" w:cs="Times New Roman"/>
                      <w:color w:val="FF0000"/>
                      <w:sz w:val="21"/>
                      <w:szCs w:val="21"/>
                    </w:rPr>
                  </w:pPr>
                  <w:r>
                    <w:rPr>
                      <w:rFonts w:hint="eastAsia" w:ascii="Times New Roman" w:hAnsi="Times New Roman" w:cs="Times New Roman"/>
                      <w:sz w:val="21"/>
                      <w:szCs w:val="21"/>
                    </w:rPr>
                    <w:t>加热炉燃烧烟气执行《关于推进实施钢铁行业超低排放的意见（环大气[2019]35号）》附件2中钢铁企业超低排放标准限值要求</w:t>
                  </w:r>
                </w:p>
              </w:tc>
              <w:tc>
                <w:tcPr>
                  <w:tcW w:w="462" w:type="pct"/>
                  <w:tcBorders>
                    <w:tl2br w:val="nil"/>
                    <w:tr2bl w:val="nil"/>
                  </w:tcBorders>
                  <w:vAlign w:val="center"/>
                </w:tcPr>
                <w:p w14:paraId="14782C1B">
                  <w:pPr>
                    <w:pStyle w:val="102"/>
                    <w:rPr>
                      <w:rFonts w:ascii="Times New Roman" w:hAnsi="Times New Roman" w:cs="Times New Roman"/>
                      <w:sz w:val="21"/>
                      <w:szCs w:val="21"/>
                    </w:rPr>
                  </w:pPr>
                  <w:r>
                    <w:rPr>
                      <w:rFonts w:ascii="Times New Roman" w:cs="Times New Roman"/>
                      <w:sz w:val="21"/>
                      <w:szCs w:val="21"/>
                    </w:rPr>
                    <w:t>相符</w:t>
                  </w:r>
                </w:p>
              </w:tc>
            </w:tr>
            <w:tr w14:paraId="539549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7" w:type="pct"/>
                  <w:tcBorders>
                    <w:tl2br w:val="nil"/>
                    <w:tr2bl w:val="nil"/>
                  </w:tcBorders>
                  <w:vAlign w:val="center"/>
                </w:tcPr>
                <w:p w14:paraId="0102AACE">
                  <w:pPr>
                    <w:pStyle w:val="102"/>
                    <w:rPr>
                      <w:rFonts w:ascii="Times New Roman" w:hAnsi="Times New Roman" w:cs="Times New Roman"/>
                      <w:sz w:val="21"/>
                      <w:szCs w:val="21"/>
                    </w:rPr>
                  </w:pPr>
                  <w:r>
                    <w:rPr>
                      <w:rFonts w:ascii="Times New Roman" w:hAnsi="Times New Roman" w:cs="Times New Roman"/>
                      <w:sz w:val="21"/>
                      <w:szCs w:val="21"/>
                    </w:rPr>
                    <w:t>2</w:t>
                  </w:r>
                </w:p>
              </w:tc>
              <w:tc>
                <w:tcPr>
                  <w:tcW w:w="2525" w:type="pct"/>
                  <w:tcBorders>
                    <w:tl2br w:val="nil"/>
                    <w:tr2bl w:val="nil"/>
                  </w:tcBorders>
                  <w:vAlign w:val="center"/>
                </w:tcPr>
                <w:p w14:paraId="3E665AB4">
                  <w:pPr>
                    <w:pStyle w:val="102"/>
                    <w:rPr>
                      <w:rFonts w:ascii="Times New Roman" w:hAnsi="Times New Roman" w:cs="Times New Roman"/>
                      <w:sz w:val="21"/>
                      <w:szCs w:val="21"/>
                    </w:rPr>
                  </w:pPr>
                  <w:r>
                    <w:rPr>
                      <w:rFonts w:hint="eastAsia" w:ascii="Times New Roman" w:hAnsi="Times New Roman" w:cs="Times New Roman"/>
                      <w:sz w:val="21"/>
                      <w:szCs w:val="21"/>
                    </w:rPr>
                    <w:t>严格新改扩建项目环境准入。严禁新增钢铁冶炼产能，新改扩建（含搬迁）钢铁项目要严格执行产能置换实施办法，按照钢铁企业超低排放指标要求。</w:t>
                  </w:r>
                </w:p>
              </w:tc>
              <w:tc>
                <w:tcPr>
                  <w:tcW w:w="1566" w:type="pct"/>
                  <w:tcBorders>
                    <w:tl2br w:val="nil"/>
                    <w:tr2bl w:val="nil"/>
                  </w:tcBorders>
                  <w:vAlign w:val="center"/>
                </w:tcPr>
                <w:p w14:paraId="570928A5">
                  <w:pPr>
                    <w:pStyle w:val="102"/>
                    <w:rPr>
                      <w:rFonts w:ascii="Times New Roman" w:hAnsi="Times New Roman" w:cs="Times New Roman"/>
                      <w:sz w:val="21"/>
                      <w:szCs w:val="21"/>
                    </w:rPr>
                  </w:pPr>
                  <w:r>
                    <w:rPr>
                      <w:rFonts w:ascii="Times New Roman" w:hAnsi="Times New Roman" w:cs="Times New Roman"/>
                      <w:sz w:val="21"/>
                      <w:szCs w:val="21"/>
                    </w:rPr>
                    <w:t>本项目属于钢压延加工，</w:t>
                  </w:r>
                  <w:r>
                    <w:rPr>
                      <w:rFonts w:hint="eastAsia" w:ascii="Times New Roman" w:hAnsi="Times New Roman" w:cs="Times New Roman"/>
                      <w:sz w:val="21"/>
                      <w:szCs w:val="21"/>
                    </w:rPr>
                    <w:t>加热炉燃烧烟气执行《关于推进实施钢铁行业超低排放的意见（环大气[2019]35号）》附件2中钢铁企业超低排放标准限值要求</w:t>
                  </w:r>
                </w:p>
              </w:tc>
              <w:tc>
                <w:tcPr>
                  <w:tcW w:w="462" w:type="pct"/>
                  <w:tcBorders>
                    <w:tl2br w:val="nil"/>
                    <w:tr2bl w:val="nil"/>
                  </w:tcBorders>
                  <w:vAlign w:val="center"/>
                </w:tcPr>
                <w:p w14:paraId="37BED3E2">
                  <w:pPr>
                    <w:pStyle w:val="102"/>
                    <w:rPr>
                      <w:rFonts w:ascii="Times New Roman" w:hAnsi="Times New Roman" w:cs="Times New Roman"/>
                      <w:sz w:val="21"/>
                      <w:szCs w:val="21"/>
                    </w:rPr>
                  </w:pPr>
                  <w:r>
                    <w:rPr>
                      <w:rFonts w:ascii="Times New Roman" w:cs="Times New Roman"/>
                      <w:sz w:val="21"/>
                      <w:szCs w:val="21"/>
                    </w:rPr>
                    <w:t>相符</w:t>
                  </w:r>
                </w:p>
              </w:tc>
            </w:tr>
            <w:tr w14:paraId="2A155E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7" w:type="pct"/>
                  <w:tcBorders>
                    <w:tl2br w:val="nil"/>
                    <w:tr2bl w:val="nil"/>
                  </w:tcBorders>
                  <w:vAlign w:val="center"/>
                </w:tcPr>
                <w:p w14:paraId="09D8F09B">
                  <w:pPr>
                    <w:pStyle w:val="102"/>
                    <w:rPr>
                      <w:rFonts w:ascii="Times New Roman" w:hAnsi="Times New Roman" w:cs="Times New Roman"/>
                      <w:sz w:val="21"/>
                      <w:szCs w:val="21"/>
                    </w:rPr>
                  </w:pPr>
                  <w:r>
                    <w:rPr>
                      <w:rFonts w:ascii="Times New Roman" w:hAnsi="Times New Roman" w:cs="Times New Roman"/>
                      <w:sz w:val="21"/>
                      <w:szCs w:val="21"/>
                    </w:rPr>
                    <w:t>3</w:t>
                  </w:r>
                </w:p>
              </w:tc>
              <w:tc>
                <w:tcPr>
                  <w:tcW w:w="2525" w:type="pct"/>
                  <w:tcBorders>
                    <w:tl2br w:val="nil"/>
                    <w:tr2bl w:val="nil"/>
                  </w:tcBorders>
                  <w:vAlign w:val="center"/>
                </w:tcPr>
                <w:p w14:paraId="12A1315D">
                  <w:pPr>
                    <w:pStyle w:val="102"/>
                    <w:rPr>
                      <w:rFonts w:ascii="Times New Roman" w:hAnsi="Times New Roman" w:cs="Times New Roman"/>
                      <w:sz w:val="21"/>
                      <w:szCs w:val="21"/>
                    </w:rPr>
                  </w:pPr>
                  <w:r>
                    <w:rPr>
                      <w:rFonts w:hint="eastAsia" w:ascii="Times New Roman" w:hAnsi="Times New Roman" w:cs="Times New Roman"/>
                      <w:sz w:val="21"/>
                      <w:szCs w:val="21"/>
                    </w:rPr>
                    <w:t>因厂制宜选择成熟适用的环保改造技术。除尘设施鼓励采用湿式静电除尘器、覆膜滤料袋式除尘器、滤筒除尘器等先进工艺。</w:t>
                  </w:r>
                </w:p>
              </w:tc>
              <w:tc>
                <w:tcPr>
                  <w:tcW w:w="1566" w:type="pct"/>
                  <w:tcBorders>
                    <w:tl2br w:val="nil"/>
                    <w:tr2bl w:val="nil"/>
                  </w:tcBorders>
                  <w:vAlign w:val="center"/>
                </w:tcPr>
                <w:p w14:paraId="6811D2BA">
                  <w:pPr>
                    <w:pStyle w:val="102"/>
                    <w:rPr>
                      <w:rFonts w:ascii="Times New Roman" w:hAnsi="Times New Roman" w:cs="Times New Roman"/>
                      <w:sz w:val="21"/>
                      <w:szCs w:val="21"/>
                    </w:rPr>
                  </w:pPr>
                  <w:r>
                    <w:rPr>
                      <w:rFonts w:hint="eastAsia" w:ascii="Times New Roman" w:hAnsi="Times New Roman" w:cs="Times New Roman"/>
                      <w:sz w:val="21"/>
                      <w:szCs w:val="21"/>
                    </w:rPr>
                    <w:t>项目除尘设施均采用先进工艺</w:t>
                  </w:r>
                </w:p>
              </w:tc>
              <w:tc>
                <w:tcPr>
                  <w:tcW w:w="462" w:type="pct"/>
                  <w:tcBorders>
                    <w:tl2br w:val="nil"/>
                    <w:tr2bl w:val="nil"/>
                  </w:tcBorders>
                  <w:vAlign w:val="center"/>
                </w:tcPr>
                <w:p w14:paraId="4D6558C5">
                  <w:pPr>
                    <w:pStyle w:val="102"/>
                    <w:rPr>
                      <w:rFonts w:ascii="Times New Roman" w:hAnsi="Times New Roman" w:cs="Times New Roman"/>
                      <w:sz w:val="21"/>
                      <w:szCs w:val="21"/>
                    </w:rPr>
                  </w:pPr>
                  <w:r>
                    <w:rPr>
                      <w:rFonts w:ascii="Times New Roman" w:cs="Times New Roman"/>
                      <w:sz w:val="21"/>
                      <w:szCs w:val="21"/>
                    </w:rPr>
                    <w:t>相符</w:t>
                  </w:r>
                </w:p>
              </w:tc>
            </w:tr>
          </w:tbl>
          <w:p w14:paraId="0AB42128">
            <w:pPr>
              <w:adjustRightInd w:val="0"/>
              <w:spacing w:line="360" w:lineRule="auto"/>
              <w:ind w:firstLine="480" w:firstLineChars="200"/>
              <w:rPr>
                <w:sz w:val="24"/>
              </w:rPr>
            </w:pPr>
            <w:r>
              <w:rPr>
                <w:rFonts w:hint="eastAsia"/>
                <w:sz w:val="24"/>
              </w:rPr>
              <w:t>综上所述，本项目符合《重点行业挥发性有机物综合治理方案》相关要求。</w:t>
            </w:r>
          </w:p>
          <w:p w14:paraId="7F28A760">
            <w:pPr>
              <w:adjustRightInd w:val="0"/>
              <w:spacing w:line="360" w:lineRule="auto"/>
              <w:ind w:firstLine="482" w:firstLineChars="200"/>
              <w:rPr>
                <w:b/>
                <w:sz w:val="24"/>
              </w:rPr>
            </w:pPr>
            <w:r>
              <w:rPr>
                <w:rFonts w:hint="eastAsia"/>
                <w:b/>
                <w:sz w:val="24"/>
              </w:rPr>
              <w:t>9、与《湖南省“十四五”生态环境保护规划》的符合性分析</w:t>
            </w:r>
          </w:p>
          <w:p w14:paraId="28118839">
            <w:pPr>
              <w:adjustRightInd w:val="0"/>
              <w:spacing w:line="360" w:lineRule="auto"/>
              <w:ind w:firstLine="480" w:firstLineChars="200"/>
              <w:rPr>
                <w:sz w:val="24"/>
              </w:rPr>
            </w:pPr>
            <w:r>
              <w:rPr>
                <w:rFonts w:hint="eastAsia"/>
                <w:sz w:val="24"/>
              </w:rPr>
              <w:t>本项目与《湖南省“十四五”生态环境保护规划》相符性分析见表1-6。</w:t>
            </w:r>
          </w:p>
          <w:p w14:paraId="5A7770EE">
            <w:pPr>
              <w:autoSpaceDE w:val="0"/>
              <w:autoSpaceDN w:val="0"/>
              <w:adjustRightInd w:val="0"/>
              <w:snapToGrid w:val="0"/>
              <w:spacing w:beforeLines="50"/>
              <w:jc w:val="center"/>
              <w:rPr>
                <w:b/>
              </w:rPr>
            </w:pPr>
            <w:r>
              <w:rPr>
                <w:rFonts w:hint="eastAsia"/>
                <w:b/>
              </w:rPr>
              <w:t>表1-6  项目与《湖南省“十四五”生态环境保护规划》相符性分析</w:t>
            </w:r>
          </w:p>
          <w:tbl>
            <w:tblPr>
              <w:tblStyle w:val="31"/>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4372"/>
              <w:gridCol w:w="3247"/>
              <w:gridCol w:w="719"/>
            </w:tblGrid>
            <w:tr w14:paraId="6BECD6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5" w:type="pct"/>
                  <w:tcBorders>
                    <w:tl2br w:val="nil"/>
                    <w:tr2bl w:val="nil"/>
                  </w:tcBorders>
                  <w:vAlign w:val="center"/>
                </w:tcPr>
                <w:p w14:paraId="74F51AAB">
                  <w:pPr>
                    <w:pStyle w:val="102"/>
                    <w:rPr>
                      <w:rFonts w:ascii="Times New Roman" w:hAnsi="Times New Roman" w:cs="Times New Roman"/>
                      <w:b/>
                      <w:sz w:val="21"/>
                      <w:szCs w:val="21"/>
                    </w:rPr>
                  </w:pPr>
                  <w:r>
                    <w:rPr>
                      <w:rFonts w:ascii="Times New Roman" w:cs="Times New Roman"/>
                      <w:b/>
                      <w:sz w:val="21"/>
                      <w:szCs w:val="21"/>
                    </w:rPr>
                    <w:t>序号</w:t>
                  </w:r>
                </w:p>
              </w:tc>
              <w:tc>
                <w:tcPr>
                  <w:tcW w:w="2394" w:type="pct"/>
                  <w:tcBorders>
                    <w:tl2br w:val="nil"/>
                    <w:tr2bl w:val="nil"/>
                  </w:tcBorders>
                  <w:vAlign w:val="center"/>
                </w:tcPr>
                <w:p w14:paraId="7D8142D1">
                  <w:pPr>
                    <w:pStyle w:val="102"/>
                    <w:rPr>
                      <w:rFonts w:ascii="Times New Roman" w:hAnsi="Times New Roman" w:cs="Times New Roman"/>
                      <w:b/>
                      <w:sz w:val="21"/>
                      <w:szCs w:val="21"/>
                    </w:rPr>
                  </w:pPr>
                  <w:r>
                    <w:rPr>
                      <w:rFonts w:ascii="Times New Roman" w:cs="Times New Roman"/>
                      <w:b/>
                      <w:sz w:val="21"/>
                      <w:szCs w:val="21"/>
                    </w:rPr>
                    <w:t>《湖南省</w:t>
                  </w:r>
                  <w:r>
                    <w:rPr>
                      <w:rFonts w:ascii="Times New Roman" w:hAnsi="Times New Roman" w:cs="Times New Roman"/>
                      <w:b/>
                      <w:sz w:val="21"/>
                      <w:szCs w:val="21"/>
                    </w:rPr>
                    <w:t>“</w:t>
                  </w:r>
                  <w:r>
                    <w:rPr>
                      <w:rFonts w:ascii="Times New Roman" w:cs="Times New Roman"/>
                      <w:b/>
                      <w:sz w:val="21"/>
                      <w:szCs w:val="21"/>
                    </w:rPr>
                    <w:t>十四五</w:t>
                  </w:r>
                  <w:r>
                    <w:rPr>
                      <w:rFonts w:ascii="Times New Roman" w:hAnsi="Times New Roman" w:cs="Times New Roman"/>
                      <w:b/>
                      <w:sz w:val="21"/>
                      <w:szCs w:val="21"/>
                    </w:rPr>
                    <w:t>”</w:t>
                  </w:r>
                  <w:r>
                    <w:rPr>
                      <w:rFonts w:ascii="Times New Roman" w:cs="Times New Roman"/>
                      <w:b/>
                      <w:sz w:val="21"/>
                      <w:szCs w:val="21"/>
                    </w:rPr>
                    <w:t>生态环境保护规划》相关要求</w:t>
                  </w:r>
                </w:p>
              </w:tc>
              <w:tc>
                <w:tcPr>
                  <w:tcW w:w="1778" w:type="pct"/>
                  <w:tcBorders>
                    <w:tl2br w:val="nil"/>
                    <w:tr2bl w:val="nil"/>
                  </w:tcBorders>
                  <w:vAlign w:val="center"/>
                </w:tcPr>
                <w:p w14:paraId="710DEB24">
                  <w:pPr>
                    <w:pStyle w:val="102"/>
                    <w:rPr>
                      <w:rFonts w:ascii="Times New Roman" w:hAnsi="Times New Roman" w:cs="Times New Roman"/>
                      <w:b/>
                      <w:sz w:val="21"/>
                      <w:szCs w:val="21"/>
                    </w:rPr>
                  </w:pPr>
                  <w:r>
                    <w:rPr>
                      <w:rFonts w:ascii="Times New Roman" w:cs="Times New Roman"/>
                      <w:b/>
                      <w:sz w:val="21"/>
                      <w:szCs w:val="21"/>
                    </w:rPr>
                    <w:t>本项目情况</w:t>
                  </w:r>
                </w:p>
              </w:tc>
              <w:tc>
                <w:tcPr>
                  <w:tcW w:w="393" w:type="pct"/>
                  <w:tcBorders>
                    <w:tl2br w:val="nil"/>
                    <w:tr2bl w:val="nil"/>
                  </w:tcBorders>
                  <w:vAlign w:val="center"/>
                </w:tcPr>
                <w:p w14:paraId="12B2A7AF">
                  <w:pPr>
                    <w:pStyle w:val="102"/>
                    <w:rPr>
                      <w:rFonts w:ascii="Times New Roman" w:hAnsi="Times New Roman" w:cs="Times New Roman"/>
                      <w:b/>
                      <w:sz w:val="21"/>
                      <w:szCs w:val="21"/>
                    </w:rPr>
                  </w:pPr>
                  <w:r>
                    <w:rPr>
                      <w:rFonts w:ascii="Times New Roman" w:cs="Times New Roman"/>
                      <w:b/>
                      <w:sz w:val="21"/>
                      <w:szCs w:val="21"/>
                    </w:rPr>
                    <w:t>是否相符</w:t>
                  </w:r>
                </w:p>
              </w:tc>
            </w:tr>
            <w:tr w14:paraId="18AB4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5" w:type="pct"/>
                  <w:tcBorders>
                    <w:tl2br w:val="nil"/>
                    <w:tr2bl w:val="nil"/>
                  </w:tcBorders>
                  <w:vAlign w:val="center"/>
                </w:tcPr>
                <w:p w14:paraId="24AEA426">
                  <w:pPr>
                    <w:pStyle w:val="102"/>
                    <w:rPr>
                      <w:rFonts w:ascii="Times New Roman" w:hAnsi="Times New Roman" w:cs="Times New Roman"/>
                      <w:sz w:val="21"/>
                      <w:szCs w:val="21"/>
                    </w:rPr>
                  </w:pPr>
                  <w:r>
                    <w:rPr>
                      <w:rFonts w:ascii="Times New Roman" w:hAnsi="Times New Roman" w:cs="Times New Roman"/>
                      <w:sz w:val="21"/>
                      <w:szCs w:val="21"/>
                    </w:rPr>
                    <w:t>1</w:t>
                  </w:r>
                </w:p>
              </w:tc>
              <w:tc>
                <w:tcPr>
                  <w:tcW w:w="2394" w:type="pct"/>
                  <w:tcBorders>
                    <w:tl2br w:val="nil"/>
                    <w:tr2bl w:val="nil"/>
                  </w:tcBorders>
                  <w:vAlign w:val="center"/>
                </w:tcPr>
                <w:p w14:paraId="7CAAF9C4">
                  <w:pPr>
                    <w:pStyle w:val="102"/>
                    <w:rPr>
                      <w:rFonts w:ascii="Times New Roman" w:hAnsi="Times New Roman" w:cs="Times New Roman"/>
                      <w:sz w:val="21"/>
                      <w:szCs w:val="21"/>
                    </w:rPr>
                  </w:pPr>
                  <w:r>
                    <w:rPr>
                      <w:rFonts w:ascii="Times New Roman" w:cs="Times New Roman"/>
                      <w:sz w:val="21"/>
                      <w:szCs w:val="21"/>
                    </w:rPr>
                    <w:t>严格生态环境分区引导。严格落实湖南</w:t>
                  </w:r>
                  <w:r>
                    <w:rPr>
                      <w:rFonts w:cs="Times New Roman" w:asciiTheme="majorEastAsia" w:hAnsiTheme="majorEastAsia" w:eastAsiaTheme="majorEastAsia"/>
                      <w:sz w:val="21"/>
                      <w:szCs w:val="21"/>
                    </w:rPr>
                    <w:t>“三线一单”</w:t>
                  </w:r>
                  <w:r>
                    <w:rPr>
                      <w:rFonts w:ascii="Times New Roman" w:cs="Times New Roman"/>
                      <w:sz w:val="21"/>
                      <w:szCs w:val="21"/>
                    </w:rPr>
                    <w:t>生态环境总体管控要求，将生态保护红线、环境质量底线、资源利用上限和生态环境准入清单作为硬约束落实到环境管控单元，根据生态环境功能自然资源禀赋、经济与社会发展实际，对环境管控单元实施差异化生态环境准入管理</w:t>
                  </w:r>
                </w:p>
              </w:tc>
              <w:tc>
                <w:tcPr>
                  <w:tcW w:w="1778" w:type="pct"/>
                  <w:tcBorders>
                    <w:tl2br w:val="nil"/>
                    <w:tr2bl w:val="nil"/>
                  </w:tcBorders>
                  <w:vAlign w:val="center"/>
                </w:tcPr>
                <w:p w14:paraId="35206F3F">
                  <w:pPr>
                    <w:pStyle w:val="102"/>
                    <w:rPr>
                      <w:rFonts w:ascii="Times New Roman" w:hAnsi="Times New Roman" w:cs="Times New Roman"/>
                      <w:sz w:val="21"/>
                      <w:szCs w:val="21"/>
                    </w:rPr>
                  </w:pPr>
                  <w:r>
                    <w:rPr>
                      <w:rFonts w:ascii="Times New Roman" w:cs="Times New Roman"/>
                      <w:sz w:val="21"/>
                      <w:szCs w:val="21"/>
                    </w:rPr>
                    <w:t>根据前文分析，项目与</w:t>
                  </w:r>
                  <w:r>
                    <w:rPr>
                      <w:rFonts w:hint="eastAsia" w:ascii="Times New Roman" w:cs="Times New Roman"/>
                      <w:sz w:val="21"/>
                      <w:szCs w:val="21"/>
                    </w:rPr>
                    <w:t>《衡阳市人民政府关于实施“三线一单”生态环境分区管控的意见》（衡政发（2020）9号）》</w:t>
                  </w:r>
                  <w:r>
                    <w:rPr>
                      <w:rFonts w:ascii="Times New Roman" w:cs="Times New Roman"/>
                      <w:sz w:val="21"/>
                      <w:szCs w:val="21"/>
                    </w:rPr>
                    <w:t>相符</w:t>
                  </w:r>
                </w:p>
              </w:tc>
              <w:tc>
                <w:tcPr>
                  <w:tcW w:w="393" w:type="pct"/>
                  <w:tcBorders>
                    <w:tl2br w:val="nil"/>
                    <w:tr2bl w:val="nil"/>
                  </w:tcBorders>
                  <w:vAlign w:val="center"/>
                </w:tcPr>
                <w:p w14:paraId="2C577857">
                  <w:pPr>
                    <w:pStyle w:val="102"/>
                    <w:rPr>
                      <w:rFonts w:ascii="Times New Roman" w:hAnsi="Times New Roman" w:cs="Times New Roman"/>
                      <w:sz w:val="21"/>
                      <w:szCs w:val="21"/>
                    </w:rPr>
                  </w:pPr>
                  <w:r>
                    <w:rPr>
                      <w:rFonts w:ascii="Times New Roman" w:cs="Times New Roman"/>
                      <w:sz w:val="21"/>
                      <w:szCs w:val="21"/>
                    </w:rPr>
                    <w:t>相符</w:t>
                  </w:r>
                </w:p>
              </w:tc>
            </w:tr>
            <w:tr w14:paraId="1152F5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5" w:type="pct"/>
                  <w:tcBorders>
                    <w:tl2br w:val="nil"/>
                    <w:tr2bl w:val="nil"/>
                  </w:tcBorders>
                  <w:vAlign w:val="center"/>
                </w:tcPr>
                <w:p w14:paraId="57F40BD5">
                  <w:pPr>
                    <w:pStyle w:val="102"/>
                    <w:rPr>
                      <w:rFonts w:ascii="Times New Roman" w:hAnsi="Times New Roman" w:cs="Times New Roman"/>
                      <w:sz w:val="21"/>
                      <w:szCs w:val="21"/>
                    </w:rPr>
                  </w:pPr>
                  <w:r>
                    <w:rPr>
                      <w:rFonts w:ascii="Times New Roman" w:hAnsi="Times New Roman" w:cs="Times New Roman"/>
                      <w:sz w:val="21"/>
                      <w:szCs w:val="21"/>
                    </w:rPr>
                    <w:t>2</w:t>
                  </w:r>
                </w:p>
              </w:tc>
              <w:tc>
                <w:tcPr>
                  <w:tcW w:w="2394" w:type="pct"/>
                  <w:tcBorders>
                    <w:tl2br w:val="nil"/>
                    <w:tr2bl w:val="nil"/>
                  </w:tcBorders>
                  <w:vAlign w:val="center"/>
                </w:tcPr>
                <w:p w14:paraId="14EDA119">
                  <w:pPr>
                    <w:pStyle w:val="102"/>
                    <w:rPr>
                      <w:rFonts w:ascii="Times New Roman" w:hAnsi="Times New Roman" w:cs="Times New Roman"/>
                      <w:sz w:val="21"/>
                      <w:szCs w:val="21"/>
                    </w:rPr>
                  </w:pPr>
                  <w:r>
                    <w:rPr>
                      <w:rFonts w:ascii="Times New Roman" w:cs="Times New Roman"/>
                      <w:sz w:val="21"/>
                      <w:szCs w:val="21"/>
                    </w:rPr>
                    <w:t>全面实行排污许可制度。建议以排污许可证为主要依据的生态环境日常监管执法体系，落实排污许可</w:t>
                  </w:r>
                  <w:r>
                    <w:rPr>
                      <w:rFonts w:cs="Times New Roman" w:asciiTheme="minorEastAsia" w:hAnsiTheme="minorEastAsia"/>
                      <w:sz w:val="21"/>
                      <w:szCs w:val="21"/>
                    </w:rPr>
                    <w:t>“一证式”</w:t>
                  </w:r>
                  <w:r>
                    <w:rPr>
                      <w:rFonts w:ascii="Times New Roman" w:cs="Times New Roman"/>
                      <w:sz w:val="21"/>
                      <w:szCs w:val="21"/>
                    </w:rPr>
                    <w:t>管理。推进排污许可制度与环境影响评价制度有效融合，推动重点行业企业环境影响评价、排污许可、监管执法全闭环管理。持续做好排污许可证换证或登记延续动态更新</w:t>
                  </w:r>
                </w:p>
              </w:tc>
              <w:tc>
                <w:tcPr>
                  <w:tcW w:w="1778" w:type="pct"/>
                  <w:tcBorders>
                    <w:tl2br w:val="nil"/>
                    <w:tr2bl w:val="nil"/>
                  </w:tcBorders>
                  <w:vAlign w:val="center"/>
                </w:tcPr>
                <w:p w14:paraId="5A63D32D">
                  <w:pPr>
                    <w:pStyle w:val="102"/>
                    <w:rPr>
                      <w:rFonts w:ascii="Times New Roman" w:hAnsi="Times New Roman" w:cs="Times New Roman"/>
                      <w:sz w:val="21"/>
                      <w:szCs w:val="21"/>
                    </w:rPr>
                  </w:pPr>
                  <w:r>
                    <w:rPr>
                      <w:rFonts w:hint="eastAsia" w:ascii="Times New Roman" w:hAnsi="Times New Roman" w:cs="Times New Roman"/>
                      <w:sz w:val="21"/>
                      <w:szCs w:val="21"/>
                    </w:rPr>
                    <w:t>企业已取得排污许可证，编号：914304007580036430001P，其实际排放量未超过许可证要求的许可量。新增主要污染物NOx排放量由新钢公司现有NOx总量控制指标实施内部调剂。</w:t>
                  </w:r>
                </w:p>
              </w:tc>
              <w:tc>
                <w:tcPr>
                  <w:tcW w:w="393" w:type="pct"/>
                  <w:tcBorders>
                    <w:tl2br w:val="nil"/>
                    <w:tr2bl w:val="nil"/>
                  </w:tcBorders>
                  <w:vAlign w:val="center"/>
                </w:tcPr>
                <w:p w14:paraId="2C574EF0">
                  <w:pPr>
                    <w:pStyle w:val="102"/>
                    <w:rPr>
                      <w:rFonts w:ascii="Times New Roman" w:hAnsi="Times New Roman" w:cs="Times New Roman"/>
                      <w:sz w:val="21"/>
                      <w:szCs w:val="21"/>
                    </w:rPr>
                  </w:pPr>
                  <w:r>
                    <w:rPr>
                      <w:rFonts w:ascii="Times New Roman" w:cs="Times New Roman"/>
                      <w:sz w:val="21"/>
                      <w:szCs w:val="21"/>
                    </w:rPr>
                    <w:t>相符</w:t>
                  </w:r>
                </w:p>
              </w:tc>
            </w:tr>
            <w:tr w14:paraId="1DD76D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5" w:type="pct"/>
                  <w:tcBorders>
                    <w:tl2br w:val="nil"/>
                    <w:tr2bl w:val="nil"/>
                  </w:tcBorders>
                  <w:vAlign w:val="center"/>
                </w:tcPr>
                <w:p w14:paraId="6917F586">
                  <w:pPr>
                    <w:pStyle w:val="102"/>
                    <w:rPr>
                      <w:rFonts w:ascii="Times New Roman" w:hAnsi="Times New Roman" w:cs="Times New Roman"/>
                      <w:sz w:val="21"/>
                      <w:szCs w:val="21"/>
                    </w:rPr>
                  </w:pPr>
                  <w:r>
                    <w:rPr>
                      <w:rFonts w:ascii="Times New Roman" w:hAnsi="Times New Roman" w:cs="Times New Roman"/>
                      <w:sz w:val="21"/>
                      <w:szCs w:val="21"/>
                    </w:rPr>
                    <w:t>3</w:t>
                  </w:r>
                </w:p>
              </w:tc>
              <w:tc>
                <w:tcPr>
                  <w:tcW w:w="2394" w:type="pct"/>
                  <w:tcBorders>
                    <w:tl2br w:val="nil"/>
                    <w:tr2bl w:val="nil"/>
                  </w:tcBorders>
                  <w:vAlign w:val="center"/>
                </w:tcPr>
                <w:p w14:paraId="5426D4EC">
                  <w:pPr>
                    <w:pStyle w:val="102"/>
                    <w:rPr>
                      <w:rFonts w:ascii="Times New Roman" w:hAnsi="Times New Roman" w:cs="Times New Roman"/>
                      <w:sz w:val="21"/>
                      <w:szCs w:val="21"/>
                    </w:rPr>
                  </w:pPr>
                  <w:r>
                    <w:rPr>
                      <w:rFonts w:hint="eastAsia" w:ascii="Times New Roman" w:hAnsi="Times New Roman" w:cs="Times New Roman"/>
                      <w:sz w:val="21"/>
                      <w:szCs w:val="21"/>
                    </w:rPr>
                    <w:t>强化重点行业NOx深度治理。推进烧结砖瓦行业治理设施升级改造，淘汰“双碱法”脱硫除尘一体化技术，到2025年，烧结砖瓦企业完成高效脱硫除尘改造。推进水泥熟料生产企业采用分级燃烧等技术，配备高效除尘和脱硝设施，实施氮氧化物深度治理，到2023年，NOx排放浓度控制在100毫克/立方米以下。有序推进钢铁行业超低排放改造，到2023年底，全省钢铁企业超低排放改造取得明显进展，到2025年底，钢铁企业全面完成超低排放改造。推进玻璃、陶瓷、铸造、有色等行业污染深度治理。加强自备燃煤机组污染治理设施运行管控，确保按照超低排放运行。焦化、水泥、砖瓦、石灰、耐火材料、有色金属冶炼等行业，严格控制无组织排放。重点涉气排放企业逐步取消烟气旁路，因安全原因无法取消的，安装在线监管系统。开展燃气锅炉低氮改造。</w:t>
                  </w:r>
                </w:p>
              </w:tc>
              <w:tc>
                <w:tcPr>
                  <w:tcW w:w="1778" w:type="pct"/>
                  <w:tcBorders>
                    <w:tl2br w:val="nil"/>
                    <w:tr2bl w:val="nil"/>
                  </w:tcBorders>
                  <w:vAlign w:val="center"/>
                </w:tcPr>
                <w:p w14:paraId="6D15831E">
                  <w:pPr>
                    <w:pStyle w:val="102"/>
                    <w:rPr>
                      <w:rFonts w:ascii="Times New Roman" w:hAnsi="Times New Roman" w:cs="Times New Roman"/>
                      <w:sz w:val="21"/>
                      <w:szCs w:val="21"/>
                    </w:rPr>
                  </w:pPr>
                  <w:r>
                    <w:rPr>
                      <w:rFonts w:hint="eastAsia" w:ascii="Times New Roman" w:hAnsi="Times New Roman" w:cs="Times New Roman"/>
                      <w:sz w:val="21"/>
                      <w:szCs w:val="21"/>
                    </w:rPr>
                    <w:t>项目热轧生产线环形炉、步进炉废气（颗粒物、二氧化硫、碳氧化物）有组织排放执行《关于推进实施钢铁行业超低排放的意见（环大气[2019]35号）》附件2中钢铁企业超低排放标准；喷硼砂作业、连轧管作业粉尘（颗粒物）有组织排放执行《轧钢工业大气污染物排放标准》（GB28665-2012）表3大气污染物特别排放限值；无组织排放颗粒物执行《轧钢工业大气污染物排放标准》（GB28665-2012）表4大气污染物无组织排放浓度限值</w:t>
                  </w:r>
                </w:p>
              </w:tc>
              <w:tc>
                <w:tcPr>
                  <w:tcW w:w="393" w:type="pct"/>
                  <w:tcBorders>
                    <w:tl2br w:val="nil"/>
                    <w:tr2bl w:val="nil"/>
                  </w:tcBorders>
                  <w:vAlign w:val="center"/>
                </w:tcPr>
                <w:p w14:paraId="57A9D9A6">
                  <w:pPr>
                    <w:pStyle w:val="102"/>
                    <w:rPr>
                      <w:rFonts w:ascii="Times New Roman" w:hAnsi="Times New Roman" w:cs="Times New Roman"/>
                      <w:sz w:val="21"/>
                      <w:szCs w:val="21"/>
                    </w:rPr>
                  </w:pPr>
                  <w:r>
                    <w:rPr>
                      <w:rFonts w:ascii="Times New Roman" w:cs="Times New Roman"/>
                      <w:sz w:val="21"/>
                      <w:szCs w:val="21"/>
                    </w:rPr>
                    <w:t>相符</w:t>
                  </w:r>
                </w:p>
              </w:tc>
            </w:tr>
          </w:tbl>
          <w:p w14:paraId="0A63E9B3">
            <w:pPr>
              <w:adjustRightInd w:val="0"/>
              <w:spacing w:line="360" w:lineRule="auto"/>
              <w:ind w:firstLine="480" w:firstLineChars="200"/>
              <w:rPr>
                <w:sz w:val="24"/>
              </w:rPr>
            </w:pPr>
            <w:r>
              <w:rPr>
                <w:rFonts w:hint="eastAsia"/>
                <w:sz w:val="24"/>
              </w:rPr>
              <w:t>综上，本项目建设符合《湖南省“十四五”生态环境保护规划》有关要求。</w:t>
            </w:r>
          </w:p>
          <w:p w14:paraId="6EBC1E19">
            <w:pPr>
              <w:adjustRightInd w:val="0"/>
              <w:spacing w:line="360" w:lineRule="auto"/>
              <w:ind w:firstLine="482" w:firstLineChars="200"/>
              <w:rPr>
                <w:b/>
                <w:sz w:val="24"/>
              </w:rPr>
            </w:pPr>
            <w:r>
              <w:rPr>
                <w:rFonts w:hint="eastAsia"/>
                <w:b/>
                <w:sz w:val="24"/>
              </w:rPr>
              <w:t>10、与《衡阳市“十四五”生态环境保护规划》的符合性分析</w:t>
            </w:r>
          </w:p>
          <w:p w14:paraId="72CEC80B">
            <w:pPr>
              <w:adjustRightInd w:val="0"/>
              <w:spacing w:line="360" w:lineRule="auto"/>
              <w:ind w:firstLine="480" w:firstLineChars="200"/>
              <w:rPr>
                <w:sz w:val="24"/>
              </w:rPr>
            </w:pPr>
            <w:r>
              <w:rPr>
                <w:rFonts w:hint="eastAsia"/>
                <w:sz w:val="24"/>
              </w:rPr>
              <w:t>《衡阳市“十四五”生态环境保护规划》提出以下要求：坚持工艺减排、源头减排、过程控制、未端治理并重，稳步推进完成钢铁行业超低排放改造，在2023年底前基本完成所有生产环节（含原料场、烧结炼铁、炼钢、轧钢、自备电厂等，以及大宗物料产品运输）的升级改造工作，2025年前全面完成钢铁企业超低排放改造。</w:t>
            </w:r>
          </w:p>
          <w:p w14:paraId="4FFD770C">
            <w:pPr>
              <w:adjustRightInd w:val="0"/>
              <w:spacing w:line="360" w:lineRule="auto"/>
              <w:ind w:firstLine="480" w:firstLineChars="200"/>
              <w:rPr>
                <w:sz w:val="24"/>
              </w:rPr>
            </w:pPr>
            <w:r>
              <w:rPr>
                <w:rFonts w:hint="eastAsia"/>
                <w:sz w:val="24"/>
              </w:rPr>
              <w:t>项目</w:t>
            </w:r>
            <w:r>
              <w:rPr>
                <w:rFonts w:hint="eastAsia"/>
                <w:kern w:val="0"/>
                <w:sz w:val="24"/>
              </w:rPr>
              <w:t>热轧生产线</w:t>
            </w:r>
            <w:r>
              <w:rPr>
                <w:spacing w:val="10"/>
                <w:sz w:val="24"/>
              </w:rPr>
              <w:t>环形炉、</w:t>
            </w:r>
            <w:r>
              <w:rPr>
                <w:rFonts w:hint="eastAsia"/>
                <w:spacing w:val="10"/>
                <w:sz w:val="24"/>
              </w:rPr>
              <w:t>步进炉</w:t>
            </w:r>
            <w:r>
              <w:rPr>
                <w:rFonts w:hint="eastAsia"/>
                <w:kern w:val="0"/>
                <w:sz w:val="24"/>
              </w:rPr>
              <w:t>废气（颗粒物、二氧化硫、碳氧化物）有组织排放执行《关于推进实施钢铁行业超低排放的意见（环大气[2019]35号）》附件2中钢铁企业超低排放标准；</w:t>
            </w:r>
            <w:r>
              <w:rPr>
                <w:rFonts w:hAnsi="宋体"/>
                <w:spacing w:val="10"/>
                <w:sz w:val="24"/>
              </w:rPr>
              <w:t>喷硼砂</w:t>
            </w:r>
            <w:r>
              <w:rPr>
                <w:rFonts w:hint="eastAsia" w:hAnsi="宋体"/>
                <w:spacing w:val="10"/>
                <w:sz w:val="24"/>
              </w:rPr>
              <w:t>作业</w:t>
            </w:r>
            <w:r>
              <w:rPr>
                <w:rFonts w:hAnsi="宋体"/>
                <w:spacing w:val="10"/>
                <w:sz w:val="24"/>
              </w:rPr>
              <w:t>、连轧管</w:t>
            </w:r>
            <w:r>
              <w:rPr>
                <w:rFonts w:hint="eastAsia" w:hAnsi="宋体"/>
                <w:spacing w:val="10"/>
                <w:sz w:val="24"/>
              </w:rPr>
              <w:t>作业</w:t>
            </w:r>
            <w:r>
              <w:rPr>
                <w:rFonts w:hint="eastAsia"/>
                <w:sz w:val="24"/>
                <w:szCs w:val="21"/>
              </w:rPr>
              <w:t>粉尘（</w:t>
            </w:r>
            <w:r>
              <w:rPr>
                <w:rFonts w:hint="eastAsia"/>
                <w:kern w:val="0"/>
                <w:sz w:val="24"/>
              </w:rPr>
              <w:t>颗粒物</w:t>
            </w:r>
            <w:r>
              <w:rPr>
                <w:rFonts w:hint="eastAsia"/>
                <w:sz w:val="24"/>
                <w:szCs w:val="21"/>
              </w:rPr>
              <w:t>）</w:t>
            </w:r>
            <w:r>
              <w:rPr>
                <w:rFonts w:hint="eastAsia"/>
                <w:kern w:val="0"/>
                <w:sz w:val="24"/>
              </w:rPr>
              <w:t>有组织排放执行《轧钢工业大气污染物排放标准》（GB28665-2012）表3大气污染物特别排放限值；无组织排放颗粒物执行《轧钢工业大气污染物排放标准》（GB28665-2012）表4大气污染物无组织排放浓度限值</w:t>
            </w:r>
            <w:r>
              <w:rPr>
                <w:sz w:val="24"/>
              </w:rPr>
              <w:t>。</w:t>
            </w:r>
            <w:r>
              <w:rPr>
                <w:rFonts w:hint="eastAsia"/>
                <w:sz w:val="24"/>
              </w:rPr>
              <w:t>项目建设</w:t>
            </w:r>
            <w:r>
              <w:rPr>
                <w:sz w:val="24"/>
              </w:rPr>
              <w:t>符合</w:t>
            </w:r>
            <w:r>
              <w:rPr>
                <w:rFonts w:hint="eastAsia"/>
                <w:sz w:val="24"/>
              </w:rPr>
              <w:t>《衡阳市“十四五”生态环境保护规划》。</w:t>
            </w:r>
          </w:p>
          <w:p w14:paraId="41C52744">
            <w:pPr>
              <w:adjustRightInd w:val="0"/>
              <w:spacing w:line="360" w:lineRule="auto"/>
              <w:ind w:firstLine="482" w:firstLineChars="200"/>
              <w:rPr>
                <w:b/>
                <w:sz w:val="24"/>
              </w:rPr>
            </w:pPr>
            <w:r>
              <w:rPr>
                <w:rFonts w:hint="eastAsia"/>
                <w:b/>
                <w:sz w:val="24"/>
              </w:rPr>
              <w:t>11、与《衡阳市“十四五”空气质量改善规划》相符性分析</w:t>
            </w:r>
          </w:p>
          <w:p w14:paraId="04CE195B">
            <w:pPr>
              <w:adjustRightInd w:val="0"/>
              <w:spacing w:line="360" w:lineRule="auto"/>
              <w:ind w:firstLine="480" w:firstLineChars="200"/>
              <w:rPr>
                <w:sz w:val="24"/>
              </w:rPr>
            </w:pPr>
            <w:r>
              <w:rPr>
                <w:rFonts w:hint="eastAsia"/>
                <w:sz w:val="24"/>
              </w:rPr>
              <w:t>《衡阳市“十四五”空气质量改善规划》提出以下要求：推动钢铁、水泥、焦化及锅炉超低排放改造。2023年底前我市钢铁企业超低排放改造取得明显进展，2025年底前，钢铁企业全面完成超低排放改造。有序推进实施水泥、焦化行业全流程超低排放改造。2025年底前，65蒸吨/小时及以上燃煤锅炉全面实现超低排放。生物质锅炉采用专用锅炉，配套布袋等高效除尘设施，禁止掺烧煤炭、垃圾、工业固体废弃物等其他物料；积极推进城市建成区生物质锅炉超低排放改造。</w:t>
            </w:r>
          </w:p>
          <w:p w14:paraId="1EBDBC29">
            <w:pPr>
              <w:pStyle w:val="56"/>
              <w:snapToGrid/>
              <w:spacing w:line="360" w:lineRule="auto"/>
              <w:ind w:firstLine="480" w:firstLineChars="200"/>
              <w:rPr>
                <w:rFonts w:eastAsia="宋体"/>
                <w:color w:val="auto"/>
                <w:szCs w:val="24"/>
              </w:rPr>
            </w:pPr>
            <w:r>
              <w:rPr>
                <w:rFonts w:hint="eastAsia" w:eastAsia="宋体"/>
                <w:color w:val="auto"/>
                <w:szCs w:val="24"/>
              </w:rPr>
              <w:t>项目热轧生产线环形炉、步进炉废气（颗粒物、二氧化硫、碳氧化物）有组织排放执行《关于推进实施钢铁行业超低排放的意见（环大气[2019]35号）》附件2中钢铁企业超低排放标准；喷硼砂作业、连轧管作业粉尘（颗粒物）有组织排放执行《轧钢工业大气污染物排放标准》（GB28665-2012）表3大气污染物特别排放限值；无组织排放颗粒物执行《轧钢工业大气污染物排放标准》（GB28665-2012）表4大气污染物无组织排放浓度限值。项目建设符合《衡阳市“十四五”空气质量改善规划》相关要求。</w:t>
            </w:r>
          </w:p>
          <w:p w14:paraId="0F0F92F1">
            <w:pPr>
              <w:pStyle w:val="4"/>
              <w:spacing w:after="0"/>
            </w:pPr>
          </w:p>
          <w:p w14:paraId="0F2BD33D"/>
          <w:p w14:paraId="348AB6E6">
            <w:pPr>
              <w:pStyle w:val="2"/>
            </w:pPr>
          </w:p>
          <w:p w14:paraId="569BDDF6">
            <w:pPr>
              <w:pStyle w:val="10"/>
              <w:spacing w:before="0" w:after="0"/>
            </w:pPr>
          </w:p>
          <w:p w14:paraId="1CB2AAB4"/>
          <w:p w14:paraId="6FDE260A">
            <w:pPr>
              <w:pStyle w:val="4"/>
              <w:spacing w:after="0"/>
            </w:pPr>
          </w:p>
          <w:p w14:paraId="4B69EA23"/>
          <w:p w14:paraId="2AFCA2AF">
            <w:pPr>
              <w:pStyle w:val="2"/>
            </w:pPr>
          </w:p>
          <w:p w14:paraId="67FECA49">
            <w:pPr>
              <w:pStyle w:val="4"/>
              <w:spacing w:after="0"/>
            </w:pPr>
          </w:p>
          <w:p w14:paraId="45DCE338"/>
          <w:p w14:paraId="1A24FCA1">
            <w:pPr>
              <w:pStyle w:val="2"/>
            </w:pPr>
          </w:p>
          <w:p w14:paraId="0763F748">
            <w:pPr>
              <w:pStyle w:val="4"/>
              <w:spacing w:after="0"/>
            </w:pPr>
          </w:p>
          <w:p w14:paraId="2352E8AD"/>
          <w:p w14:paraId="5C6E9591">
            <w:pPr>
              <w:pStyle w:val="4"/>
              <w:spacing w:after="0"/>
            </w:pPr>
          </w:p>
          <w:p w14:paraId="5446EB20"/>
          <w:p w14:paraId="6A47C593">
            <w:pPr>
              <w:pStyle w:val="2"/>
            </w:pPr>
          </w:p>
        </w:tc>
      </w:tr>
    </w:tbl>
    <w:p w14:paraId="04B1E596">
      <w:pPr>
        <w:spacing w:line="360" w:lineRule="auto"/>
        <w:outlineLvl w:val="0"/>
        <w:rPr>
          <w:rFonts w:eastAsia="黑体"/>
          <w:sz w:val="30"/>
        </w:rPr>
        <w:sectPr>
          <w:footerReference r:id="rId5" w:type="default"/>
          <w:pgSz w:w="11906" w:h="16838"/>
          <w:pgMar w:top="1701" w:right="1531" w:bottom="1701" w:left="1531" w:header="851" w:footer="1077" w:gutter="0"/>
          <w:pgNumType w:start="1"/>
          <w:cols w:space="720" w:num="1"/>
          <w:docGrid w:linePitch="312" w:charSpace="0"/>
        </w:sectPr>
      </w:pPr>
    </w:p>
    <w:p w14:paraId="779BD43A">
      <w:pPr>
        <w:pStyle w:val="28"/>
        <w:spacing w:before="0" w:beforeAutospacing="0" w:after="0" w:afterAutospacing="0"/>
        <w:jc w:val="center"/>
        <w:outlineLvl w:val="0"/>
        <w:rPr>
          <w:rFonts w:ascii="黑体" w:hAnsi="黑体" w:eastAsia="黑体"/>
          <w:snapToGrid w:val="0"/>
          <w:sz w:val="30"/>
          <w:szCs w:val="30"/>
        </w:rPr>
      </w:pPr>
      <w:bookmarkStart w:id="8" w:name="_Toc111712327"/>
      <w:r>
        <w:rPr>
          <w:rFonts w:hint="eastAsia" w:ascii="黑体" w:hAnsi="黑体" w:eastAsia="黑体"/>
          <w:snapToGrid w:val="0"/>
          <w:sz w:val="30"/>
          <w:szCs w:val="30"/>
        </w:rPr>
        <w:t>二、建设项目工程分析</w:t>
      </w:r>
      <w:bookmarkEnd w:id="8"/>
    </w:p>
    <w:tbl>
      <w:tblPr>
        <w:tblStyle w:val="31"/>
        <w:tblW w:w="102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4"/>
        <w:gridCol w:w="9522"/>
      </w:tblGrid>
      <w:tr w14:paraId="1858F5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jc w:val="center"/>
        </w:trPr>
        <w:tc>
          <w:tcPr>
            <w:tcW w:w="684" w:type="dxa"/>
            <w:vAlign w:val="center"/>
          </w:tcPr>
          <w:p w14:paraId="642765F1">
            <w:pPr>
              <w:pStyle w:val="28"/>
              <w:adjustRightInd w:val="0"/>
              <w:snapToGrid w:val="0"/>
              <w:spacing w:before="0" w:beforeAutospacing="0" w:after="0" w:afterAutospacing="0"/>
              <w:jc w:val="center"/>
              <w:rPr>
                <w:rFonts w:cs="宋体"/>
                <w:b/>
                <w:szCs w:val="24"/>
              </w:rPr>
            </w:pPr>
            <w:r>
              <w:rPr>
                <w:rFonts w:hint="eastAsia" w:cs="宋体"/>
                <w:b/>
                <w:szCs w:val="24"/>
              </w:rPr>
              <w:t>建设内容</w:t>
            </w:r>
          </w:p>
        </w:tc>
        <w:tc>
          <w:tcPr>
            <w:tcW w:w="9522" w:type="dxa"/>
          </w:tcPr>
          <w:p w14:paraId="4270A9AD">
            <w:pPr>
              <w:adjustRightInd w:val="0"/>
              <w:snapToGrid w:val="0"/>
              <w:spacing w:line="360" w:lineRule="auto"/>
              <w:ind w:firstLine="482" w:firstLineChars="200"/>
              <w:rPr>
                <w:b/>
                <w:bCs/>
                <w:sz w:val="24"/>
              </w:rPr>
            </w:pPr>
            <w:r>
              <w:rPr>
                <w:rFonts w:hint="eastAsia"/>
                <w:b/>
                <w:bCs/>
                <w:sz w:val="24"/>
              </w:rPr>
              <w:t>一</w:t>
            </w:r>
            <w:r>
              <w:rPr>
                <w:b/>
                <w:bCs/>
                <w:sz w:val="24"/>
              </w:rPr>
              <w:t>、项目由来</w:t>
            </w:r>
          </w:p>
          <w:p w14:paraId="71D9D622">
            <w:pPr>
              <w:pStyle w:val="104"/>
              <w:rPr>
                <w:kern w:val="2"/>
                <w:szCs w:val="24"/>
              </w:rPr>
            </w:pPr>
            <w:r>
              <w:rPr>
                <w:rFonts w:hint="eastAsia"/>
                <w:kern w:val="2"/>
                <w:szCs w:val="24"/>
              </w:rPr>
              <w:t>衡阳华菱钢管有限公司（以下简称：衡钢）原名衡阳钢管厂，始建于1958年，位于湖南省衡阳市蒸湘区大栗新村10号，隶属于湖南钢铁集团有限公司。1998年，衡钢的主体纳入华菱钢铁上市，衡钢集团成立，分别设立了湖南衡阳钢管（集团）有限公司、衡阳华菱钢管有限公司。衡阳华菱钢管有限公司主要生产无缝钢管，现下辖89厂、特管厂219机组。2003年衡阳华菱钢管有限公司与华菱钢铁股份有限公司合资组建衡阳华菱连轧管有限公司，主要从事无缝钢管的生产、销售；生产各种钢坯、炼钢及轧钢的附属制品和产品销售，并负责收购自用废钢铁；现下辖炼铁厂、炼钢厂、180厂、340厂、特管厂720机组、管加工生产线。</w:t>
            </w:r>
          </w:p>
          <w:p w14:paraId="2C241644">
            <w:pPr>
              <w:adjustRightInd w:val="0"/>
              <w:snapToGrid w:val="0"/>
              <w:spacing w:line="360" w:lineRule="auto"/>
              <w:ind w:firstLine="480" w:firstLineChars="200"/>
              <w:rPr>
                <w:sz w:val="24"/>
              </w:rPr>
            </w:pPr>
            <w:r>
              <w:rPr>
                <w:rFonts w:hint="eastAsia"/>
                <w:sz w:val="24"/>
              </w:rPr>
              <w:t>衡钢89厂始建于1993年，于1997年8月正式投产，到目前为止已运行20多年，期间为扩大机组产量、提高产品质量先后经过多次改造。最近的一次改造是在2019年，主要是将之前工艺落后、问题较多的两辊半浮动芯棒连轧管机升级为三辊限动芯棒连轧管机，同时，</w:t>
            </w:r>
            <w:r>
              <w:rPr>
                <w:sz w:val="24"/>
              </w:rPr>
              <w:t>在89分厂精整3#线区域新建一条产能6万吨的热处理生产线。</w:t>
            </w:r>
            <w:r>
              <w:rPr>
                <w:rFonts w:hint="eastAsia"/>
                <w:sz w:val="24"/>
              </w:rPr>
              <w:t>改造完成后，产品质量大幅提高，在同行业中处于领先地位，市场竞争力不断增强。目前，受制于原有轧制工艺路线和设备布置等因素，与同行业新建机组相比生产成本、机组生产效率、成材率等均处于劣势。</w:t>
            </w:r>
          </w:p>
          <w:p w14:paraId="7E655AAA">
            <w:pPr>
              <w:adjustRightInd w:val="0"/>
              <w:snapToGrid w:val="0"/>
              <w:spacing w:line="360" w:lineRule="auto"/>
              <w:ind w:firstLine="480" w:firstLineChars="200"/>
              <w:rPr>
                <w:sz w:val="24"/>
              </w:rPr>
            </w:pPr>
            <w:r>
              <w:rPr>
                <w:rFonts w:hint="eastAsia"/>
                <w:sz w:val="24"/>
              </w:rPr>
              <w:t>为了提高生产效率，降低能源消耗和原材料消耗，减轻对环境的污染和降低生产成本，建设单位拟投资5200万元实施衡钢89厂连轧后工艺路线改造项目，主要建设内容如下：（1）更新改造现张力减径机系统，以28机架单机架传动张力减径机替代原有的24机架集中差速传动，提高产品轧制尺寸精度问题；（2）淘汰老式进口锯，改为新式国产排锯，提高生产效率；（3）脱管后辊道至步进炉进炉辊道设备升级改造，更新改造冷床上料装置，提升生产节奏，延长钢管生产长度；（4）对项目公辅设施进行同步改造。项目实施后，经过张减机的改造，产品规格下限由现有的Ф48mm扩展到Ф32mm，扩大了的产品规格范围。由于增加了轧制工序的极限长度，增加了轧制单重；此外，优化轧制周期时间由30s减少到25s左右，机组产能得到充分释放，企业生产的产品品种基本保持不变、生产规模由现在的20万t/a增加到28万t/a。</w:t>
            </w:r>
          </w:p>
          <w:p w14:paraId="4B7717F2">
            <w:pPr>
              <w:adjustRightInd w:val="0"/>
              <w:snapToGrid w:val="0"/>
              <w:spacing w:line="360" w:lineRule="auto"/>
              <w:ind w:firstLine="480" w:firstLineChars="200"/>
              <w:rPr>
                <w:sz w:val="24"/>
              </w:rPr>
            </w:pPr>
            <w:r>
              <w:rPr>
                <w:rFonts w:hint="eastAsia"/>
                <w:sz w:val="24"/>
              </w:rPr>
              <w:t>本项目在建设过程中和建成投入生产后，可能会对周围环境产生一定的影响。根据《中华人民共和国环境保护法》、《中华人民共和国环境影响评价法》、《建设项目环境保护管理条例》</w:t>
            </w:r>
            <w:r>
              <w:rPr>
                <w:sz w:val="24"/>
              </w:rPr>
              <w:t>（国务院第</w:t>
            </w:r>
            <w:r>
              <w:rPr>
                <w:rFonts w:hint="eastAsia"/>
                <w:sz w:val="24"/>
              </w:rPr>
              <w:t>682号令</w:t>
            </w:r>
            <w:r>
              <w:rPr>
                <w:sz w:val="24"/>
              </w:rPr>
              <w:t>）</w:t>
            </w:r>
            <w:r>
              <w:rPr>
                <w:rFonts w:hint="eastAsia"/>
                <w:sz w:val="24"/>
              </w:rPr>
              <w:t>中的有关规定，新建、扩建、改建的建设项目必须进行环境影响评价。根据《建设项目环境影响评价分类管理名录（2021年版）》，本项目</w:t>
            </w:r>
            <w:r>
              <w:rPr>
                <w:rFonts w:hint="eastAsia"/>
                <w:color w:val="000000"/>
                <w:kern w:val="0"/>
                <w:sz w:val="24"/>
              </w:rPr>
              <w:t>属于“</w:t>
            </w:r>
            <w:r>
              <w:rPr>
                <w:rFonts w:hint="eastAsia" w:hAnsi="宋体"/>
                <w:bCs/>
                <w:sz w:val="24"/>
              </w:rPr>
              <w:t>二十八、黑色金属冶炼和压延加工业 钢压延加工313”中的“其他”类别</w:t>
            </w:r>
            <w:r>
              <w:rPr>
                <w:rFonts w:hint="eastAsia"/>
                <w:sz w:val="24"/>
              </w:rPr>
              <w:t>，应编制环境影响报告表。</w:t>
            </w:r>
            <w:r>
              <w:rPr>
                <w:rFonts w:hint="eastAsia" w:eastAsiaTheme="minorEastAsia"/>
                <w:sz w:val="24"/>
              </w:rPr>
              <w:t>为此，企业</w:t>
            </w:r>
            <w:r>
              <w:rPr>
                <w:rFonts w:hint="eastAsia"/>
                <w:sz w:val="24"/>
              </w:rPr>
              <w:t>委托</w:t>
            </w:r>
            <w:r>
              <w:rPr>
                <w:rFonts w:ascii="宋体" w:hAnsi="宋体" w:cs="宋体"/>
                <w:sz w:val="24"/>
              </w:rPr>
              <w:t>湖南鑫煜环保科技有限公司</w:t>
            </w:r>
            <w:r>
              <w:rPr>
                <w:rFonts w:hint="eastAsia"/>
                <w:sz w:val="24"/>
              </w:rPr>
              <w:t>承担本项目的环境影响评价工作。我公司接受委托后，立即组织相关技术人员进行现场踏勘、类比调查、收集相关资料，在此基础上，按照国家对建设项目环境影响评价的有关规定和有关环保政策、技术规范，编制了本项目环境影响报告表，报请审查。</w:t>
            </w:r>
          </w:p>
          <w:p w14:paraId="5CA5587E">
            <w:pPr>
              <w:adjustRightInd w:val="0"/>
              <w:snapToGrid w:val="0"/>
              <w:spacing w:line="360" w:lineRule="auto"/>
              <w:ind w:firstLine="482" w:firstLineChars="200"/>
              <w:rPr>
                <w:b/>
                <w:bCs/>
                <w:sz w:val="24"/>
              </w:rPr>
            </w:pPr>
            <w:r>
              <w:rPr>
                <w:rFonts w:hint="eastAsia"/>
                <w:b/>
                <w:bCs/>
                <w:sz w:val="24"/>
              </w:rPr>
              <w:t>注：本次评价仅针对89分厂热轧生产线技术改造内容进行评价，89分厂现有热处理生产线、精整加工生产线及成品油管生产线均不包含在本次评价中。</w:t>
            </w:r>
          </w:p>
          <w:p w14:paraId="6FB9AA8E">
            <w:pPr>
              <w:adjustRightInd w:val="0"/>
              <w:snapToGrid w:val="0"/>
              <w:spacing w:line="360" w:lineRule="auto"/>
              <w:ind w:firstLine="482" w:firstLineChars="200"/>
              <w:rPr>
                <w:b/>
                <w:bCs/>
                <w:sz w:val="24"/>
              </w:rPr>
            </w:pPr>
            <w:r>
              <w:rPr>
                <w:rFonts w:hint="eastAsia"/>
                <w:b/>
                <w:bCs/>
                <w:sz w:val="24"/>
              </w:rPr>
              <w:t>二、建设内容及规模</w:t>
            </w:r>
          </w:p>
          <w:p w14:paraId="4EF2CADC">
            <w:pPr>
              <w:adjustRightInd w:val="0"/>
              <w:snapToGrid w:val="0"/>
              <w:spacing w:line="360" w:lineRule="auto"/>
              <w:ind w:firstLine="482" w:firstLineChars="200"/>
              <w:rPr>
                <w:b/>
                <w:sz w:val="24"/>
              </w:rPr>
            </w:pPr>
            <w:r>
              <w:rPr>
                <w:rFonts w:hint="eastAsia"/>
                <w:b/>
                <w:sz w:val="24"/>
              </w:rPr>
              <w:t>1、项目概况</w:t>
            </w:r>
          </w:p>
          <w:p w14:paraId="311601EC">
            <w:pPr>
              <w:autoSpaceDE w:val="0"/>
              <w:autoSpaceDN w:val="0"/>
              <w:adjustRightInd w:val="0"/>
              <w:spacing w:line="360" w:lineRule="auto"/>
              <w:ind w:firstLine="480" w:firstLineChars="200"/>
              <w:rPr>
                <w:kern w:val="0"/>
                <w:sz w:val="24"/>
              </w:rPr>
            </w:pPr>
            <w:r>
              <w:rPr>
                <w:kern w:val="0"/>
                <w:sz w:val="24"/>
              </w:rPr>
              <w:t>（1）项目名称：</w:t>
            </w:r>
            <w:r>
              <w:rPr>
                <w:rFonts w:hint="eastAsia"/>
                <w:sz w:val="24"/>
              </w:rPr>
              <w:t>衡钢89厂连轧后工艺路线改造项目</w:t>
            </w:r>
          </w:p>
          <w:p w14:paraId="22AE3D3E">
            <w:pPr>
              <w:autoSpaceDE w:val="0"/>
              <w:autoSpaceDN w:val="0"/>
              <w:adjustRightInd w:val="0"/>
              <w:spacing w:line="360" w:lineRule="auto"/>
              <w:ind w:firstLine="480" w:firstLineChars="200"/>
              <w:rPr>
                <w:kern w:val="0"/>
                <w:sz w:val="24"/>
              </w:rPr>
            </w:pPr>
            <w:r>
              <w:rPr>
                <w:kern w:val="0"/>
                <w:sz w:val="24"/>
              </w:rPr>
              <w:t>（2）建设单位：</w:t>
            </w:r>
            <w:r>
              <w:rPr>
                <w:rFonts w:hAnsi="宋体"/>
                <w:sz w:val="24"/>
              </w:rPr>
              <w:t>衡阳华菱钢管有限公司</w:t>
            </w:r>
          </w:p>
          <w:p w14:paraId="0637174F">
            <w:pPr>
              <w:autoSpaceDE w:val="0"/>
              <w:autoSpaceDN w:val="0"/>
              <w:adjustRightInd w:val="0"/>
              <w:spacing w:line="360" w:lineRule="auto"/>
              <w:ind w:firstLine="480" w:firstLineChars="200"/>
              <w:rPr>
                <w:kern w:val="0"/>
                <w:sz w:val="24"/>
              </w:rPr>
            </w:pPr>
            <w:r>
              <w:rPr>
                <w:kern w:val="0"/>
                <w:sz w:val="24"/>
              </w:rPr>
              <w:t>（3）建设地点：</w:t>
            </w:r>
            <w:r>
              <w:rPr>
                <w:sz w:val="24"/>
              </w:rPr>
              <w:t>湖南省衡阳市蒸湘（区）大栗新村10号（衡阳华菱钢管有限公司89分厂现有厂区内），中心地理坐标为：E 112°35′24.639″，N 26°52′39.981″</w:t>
            </w:r>
          </w:p>
          <w:p w14:paraId="30D96EF8">
            <w:pPr>
              <w:autoSpaceDE w:val="0"/>
              <w:autoSpaceDN w:val="0"/>
              <w:adjustRightInd w:val="0"/>
              <w:spacing w:line="360" w:lineRule="auto"/>
              <w:ind w:firstLine="480" w:firstLineChars="200"/>
              <w:rPr>
                <w:kern w:val="0"/>
                <w:sz w:val="24"/>
              </w:rPr>
            </w:pPr>
            <w:r>
              <w:rPr>
                <w:kern w:val="0"/>
                <w:sz w:val="24"/>
              </w:rPr>
              <w:t>（4）项目性质：技术改造</w:t>
            </w:r>
          </w:p>
          <w:p w14:paraId="7F6C732B">
            <w:pPr>
              <w:autoSpaceDE w:val="0"/>
              <w:autoSpaceDN w:val="0"/>
              <w:adjustRightInd w:val="0"/>
              <w:spacing w:line="360" w:lineRule="auto"/>
              <w:ind w:firstLine="480" w:firstLineChars="200"/>
              <w:rPr>
                <w:kern w:val="0"/>
                <w:sz w:val="24"/>
              </w:rPr>
            </w:pPr>
            <w:r>
              <w:rPr>
                <w:kern w:val="0"/>
                <w:sz w:val="24"/>
              </w:rPr>
              <w:t>（5）项目总投资：</w:t>
            </w:r>
            <w:r>
              <w:rPr>
                <w:rFonts w:hint="eastAsia"/>
                <w:sz w:val="24"/>
              </w:rPr>
              <w:t>5200</w:t>
            </w:r>
            <w:r>
              <w:rPr>
                <w:rFonts w:hint="eastAsia"/>
                <w:kern w:val="0"/>
                <w:sz w:val="24"/>
              </w:rPr>
              <w:t>万</w:t>
            </w:r>
            <w:r>
              <w:rPr>
                <w:kern w:val="0"/>
                <w:sz w:val="24"/>
              </w:rPr>
              <w:t>元，其中环保投资为</w:t>
            </w:r>
            <w:r>
              <w:rPr>
                <w:rFonts w:hint="eastAsia"/>
                <w:kern w:val="0"/>
                <w:sz w:val="24"/>
              </w:rPr>
              <w:t>52</w:t>
            </w:r>
            <w:r>
              <w:rPr>
                <w:kern w:val="0"/>
                <w:sz w:val="24"/>
              </w:rPr>
              <w:t>万元，约占总投资的</w:t>
            </w:r>
            <w:r>
              <w:rPr>
                <w:rFonts w:hint="eastAsia"/>
                <w:kern w:val="0"/>
                <w:sz w:val="24"/>
              </w:rPr>
              <w:t>1</w:t>
            </w:r>
            <w:r>
              <w:rPr>
                <w:kern w:val="0"/>
                <w:sz w:val="24"/>
              </w:rPr>
              <w:t>%</w:t>
            </w:r>
          </w:p>
          <w:p w14:paraId="5A311F92">
            <w:pPr>
              <w:autoSpaceDE w:val="0"/>
              <w:autoSpaceDN w:val="0"/>
              <w:adjustRightInd w:val="0"/>
              <w:spacing w:line="360" w:lineRule="auto"/>
              <w:ind w:firstLine="480" w:firstLineChars="200"/>
              <w:rPr>
                <w:kern w:val="0"/>
                <w:sz w:val="24"/>
              </w:rPr>
            </w:pPr>
            <w:r>
              <w:rPr>
                <w:kern w:val="0"/>
                <w:sz w:val="24"/>
              </w:rPr>
              <w:t>（6）占地面积：</w:t>
            </w:r>
            <w:r>
              <w:rPr>
                <w:rFonts w:hint="eastAsia"/>
                <w:sz w:val="24"/>
              </w:rPr>
              <w:t>本项目在</w:t>
            </w:r>
            <w:r>
              <w:rPr>
                <w:sz w:val="24"/>
              </w:rPr>
              <w:t>衡阳华菱钢管有限公司89分厂现有厂区内实施，</w:t>
            </w:r>
            <w:r>
              <w:rPr>
                <w:rFonts w:hint="eastAsia"/>
                <w:sz w:val="24"/>
              </w:rPr>
              <w:t>不新增用地</w:t>
            </w:r>
          </w:p>
          <w:p w14:paraId="7C999B69">
            <w:pPr>
              <w:autoSpaceDE w:val="0"/>
              <w:autoSpaceDN w:val="0"/>
              <w:adjustRightInd w:val="0"/>
              <w:spacing w:line="360" w:lineRule="auto"/>
              <w:ind w:firstLine="480" w:firstLineChars="200"/>
              <w:rPr>
                <w:sz w:val="24"/>
              </w:rPr>
            </w:pPr>
            <w:r>
              <w:rPr>
                <w:kern w:val="0"/>
                <w:sz w:val="24"/>
              </w:rPr>
              <w:t>（7）建设内容：</w:t>
            </w:r>
            <w:r>
              <w:rPr>
                <w:rFonts w:hint="eastAsia"/>
                <w:sz w:val="24"/>
              </w:rPr>
              <w:t>①更新改造现张力减径机系统，以28机架单机架传动张力减径机替代原有的24机架集中差速传动，提高产品轧制尺寸精度问题；②淘汰老式进口锯，改为新式国产排锯，提高生产效率；③脱管后辊道至步进炉进炉辊道设备升级改造，更新改造冷床上料装置，提升生产节奏，延长钢管生产长度；④对项目公辅设施进行同步改造。</w:t>
            </w:r>
          </w:p>
          <w:p w14:paraId="165536AB">
            <w:pPr>
              <w:adjustRightInd w:val="0"/>
              <w:snapToGrid w:val="0"/>
              <w:spacing w:line="360" w:lineRule="auto"/>
              <w:ind w:firstLine="480" w:firstLineChars="200"/>
              <w:rPr>
                <w:bCs/>
                <w:sz w:val="24"/>
              </w:rPr>
            </w:pPr>
            <w:r>
              <w:rPr>
                <w:sz w:val="24"/>
              </w:rPr>
              <w:t>项目</w:t>
            </w:r>
            <w:r>
              <w:rPr>
                <w:rFonts w:hint="eastAsia"/>
                <w:sz w:val="24"/>
              </w:rPr>
              <w:t>主要工程</w:t>
            </w:r>
            <w:r>
              <w:rPr>
                <w:sz w:val="24"/>
              </w:rPr>
              <w:t>组成见表</w:t>
            </w:r>
            <w:r>
              <w:rPr>
                <w:rFonts w:hint="eastAsia"/>
                <w:sz w:val="24"/>
              </w:rPr>
              <w:t>2-1。</w:t>
            </w:r>
          </w:p>
          <w:p w14:paraId="7CDD2874">
            <w:pPr>
              <w:pStyle w:val="2"/>
              <w:spacing w:beforeLines="50"/>
              <w:jc w:val="center"/>
              <w:rPr>
                <w:rFonts w:ascii="Times New Roman"/>
                <w:b/>
                <w:color w:val="auto"/>
                <w:sz w:val="21"/>
              </w:rPr>
            </w:pPr>
            <w:r>
              <w:rPr>
                <w:rFonts w:hint="eastAsia" w:ascii="Times New Roman"/>
                <w:b/>
                <w:color w:val="auto"/>
                <w:sz w:val="21"/>
              </w:rPr>
              <w:t>表2-1  项目工程组成一览表</w:t>
            </w:r>
          </w:p>
          <w:tbl>
            <w:tblPr>
              <w:tblStyle w:val="32"/>
              <w:tblW w:w="92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850"/>
              <w:gridCol w:w="2552"/>
              <w:gridCol w:w="2410"/>
              <w:gridCol w:w="1984"/>
              <w:gridCol w:w="755"/>
            </w:tblGrid>
            <w:tr w14:paraId="313F5D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8" w:type="dxa"/>
                  <w:vAlign w:val="center"/>
                </w:tcPr>
                <w:p w14:paraId="317391F4">
                  <w:pPr>
                    <w:jc w:val="center"/>
                    <w:rPr>
                      <w:b/>
                      <w:szCs w:val="21"/>
                    </w:rPr>
                  </w:pPr>
                  <w:r>
                    <w:rPr>
                      <w:rFonts w:hint="eastAsia"/>
                      <w:b/>
                      <w:szCs w:val="21"/>
                    </w:rPr>
                    <w:t>工程类型</w:t>
                  </w:r>
                </w:p>
              </w:tc>
              <w:tc>
                <w:tcPr>
                  <w:tcW w:w="850" w:type="dxa"/>
                  <w:vAlign w:val="center"/>
                </w:tcPr>
                <w:p w14:paraId="0C85944C">
                  <w:pPr>
                    <w:jc w:val="center"/>
                    <w:rPr>
                      <w:b/>
                      <w:szCs w:val="21"/>
                    </w:rPr>
                  </w:pPr>
                  <w:r>
                    <w:rPr>
                      <w:b/>
                      <w:szCs w:val="21"/>
                    </w:rPr>
                    <w:t>项目</w:t>
                  </w:r>
                </w:p>
                <w:p w14:paraId="62033577">
                  <w:pPr>
                    <w:jc w:val="center"/>
                    <w:rPr>
                      <w:b/>
                      <w:szCs w:val="21"/>
                    </w:rPr>
                  </w:pPr>
                  <w:r>
                    <w:rPr>
                      <w:b/>
                      <w:szCs w:val="21"/>
                    </w:rPr>
                    <w:t>组成</w:t>
                  </w:r>
                </w:p>
              </w:tc>
              <w:tc>
                <w:tcPr>
                  <w:tcW w:w="2552" w:type="dxa"/>
                  <w:vAlign w:val="center"/>
                </w:tcPr>
                <w:p w14:paraId="422D54C8">
                  <w:pPr>
                    <w:jc w:val="center"/>
                    <w:rPr>
                      <w:b/>
                      <w:szCs w:val="21"/>
                    </w:rPr>
                  </w:pPr>
                  <w:r>
                    <w:rPr>
                      <w:b/>
                      <w:szCs w:val="21"/>
                    </w:rPr>
                    <w:t>技改前</w:t>
                  </w:r>
                </w:p>
              </w:tc>
              <w:tc>
                <w:tcPr>
                  <w:tcW w:w="2410" w:type="dxa"/>
                  <w:vAlign w:val="center"/>
                </w:tcPr>
                <w:p w14:paraId="2263CC17">
                  <w:pPr>
                    <w:jc w:val="center"/>
                    <w:rPr>
                      <w:b/>
                      <w:szCs w:val="21"/>
                    </w:rPr>
                  </w:pPr>
                  <w:r>
                    <w:rPr>
                      <w:b/>
                      <w:szCs w:val="21"/>
                    </w:rPr>
                    <w:t>本项目</w:t>
                  </w:r>
                </w:p>
              </w:tc>
              <w:tc>
                <w:tcPr>
                  <w:tcW w:w="1984" w:type="dxa"/>
                  <w:vAlign w:val="center"/>
                </w:tcPr>
                <w:p w14:paraId="3F3FE145">
                  <w:pPr>
                    <w:jc w:val="center"/>
                    <w:rPr>
                      <w:b/>
                      <w:szCs w:val="21"/>
                    </w:rPr>
                  </w:pPr>
                  <w:r>
                    <w:rPr>
                      <w:b/>
                      <w:szCs w:val="21"/>
                    </w:rPr>
                    <w:t>技改后</w:t>
                  </w:r>
                </w:p>
              </w:tc>
              <w:tc>
                <w:tcPr>
                  <w:tcW w:w="755" w:type="dxa"/>
                  <w:vAlign w:val="center"/>
                </w:tcPr>
                <w:p w14:paraId="05878207">
                  <w:pPr>
                    <w:jc w:val="center"/>
                    <w:rPr>
                      <w:b/>
                      <w:szCs w:val="21"/>
                    </w:rPr>
                  </w:pPr>
                  <w:r>
                    <w:rPr>
                      <w:rFonts w:hint="eastAsia"/>
                      <w:b/>
                      <w:szCs w:val="21"/>
                    </w:rPr>
                    <w:t>备注</w:t>
                  </w:r>
                </w:p>
              </w:tc>
            </w:tr>
            <w:tr w14:paraId="39970D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8" w:type="dxa"/>
                  <w:vAlign w:val="center"/>
                </w:tcPr>
                <w:p w14:paraId="1B659FE2">
                  <w:pPr>
                    <w:adjustRightInd w:val="0"/>
                    <w:snapToGrid w:val="0"/>
                    <w:jc w:val="center"/>
                    <w:rPr>
                      <w:szCs w:val="21"/>
                    </w:rPr>
                  </w:pPr>
                  <w:r>
                    <w:rPr>
                      <w:szCs w:val="21"/>
                    </w:rPr>
                    <w:t>主体工程</w:t>
                  </w:r>
                </w:p>
              </w:tc>
              <w:tc>
                <w:tcPr>
                  <w:tcW w:w="850" w:type="dxa"/>
                  <w:vAlign w:val="center"/>
                </w:tcPr>
                <w:p w14:paraId="38650651">
                  <w:pPr>
                    <w:jc w:val="center"/>
                    <w:rPr>
                      <w:szCs w:val="21"/>
                    </w:rPr>
                  </w:pPr>
                  <w:r>
                    <w:rPr>
                      <w:rFonts w:hint="eastAsia"/>
                      <w:szCs w:val="21"/>
                    </w:rPr>
                    <w:t>89分厂热轧生产区</w:t>
                  </w:r>
                </w:p>
              </w:tc>
              <w:tc>
                <w:tcPr>
                  <w:tcW w:w="2552" w:type="dxa"/>
                  <w:vAlign w:val="center"/>
                </w:tcPr>
                <w:p w14:paraId="72A2919C">
                  <w:pPr>
                    <w:jc w:val="center"/>
                    <w:rPr>
                      <w:szCs w:val="21"/>
                    </w:rPr>
                  </w:pPr>
                  <w:r>
                    <w:rPr>
                      <w:rFonts w:hint="eastAsia"/>
                      <w:szCs w:val="21"/>
                    </w:rPr>
                    <w:t>包括1座环形加热炉、1台二辊锥形穿孔机、1组三辊限动芯棒连轧管机+脱管机、1座步进式再加热炉、1台24架张力减径机、1座步进冷床及相配套的3台冷锯机、1台空剪机、矫直机、无损探伤装置等生产设备，生产规模为20万t/a</w:t>
                  </w:r>
                </w:p>
              </w:tc>
              <w:tc>
                <w:tcPr>
                  <w:tcW w:w="2410" w:type="dxa"/>
                  <w:vAlign w:val="center"/>
                </w:tcPr>
                <w:p w14:paraId="021907BD">
                  <w:pPr>
                    <w:jc w:val="center"/>
                    <w:rPr>
                      <w:szCs w:val="21"/>
                    </w:rPr>
                  </w:pPr>
                  <w:r>
                    <w:rPr>
                      <w:rFonts w:hint="eastAsia"/>
                      <w:szCs w:val="21"/>
                    </w:rPr>
                    <w:t>①更新改造现张力减径机系统，以28机架单机架传动张力减径机替代原有的24机架集中差速传动；②淘汰老式进口锯，改为新式国产排锯；③脱管后辊道至步进炉进炉辊道设备升级改造，更新改造冷床上料装置。技改后，生产的产品品种基本保持不变、生产规模增加到28万t/a</w:t>
                  </w:r>
                </w:p>
              </w:tc>
              <w:tc>
                <w:tcPr>
                  <w:tcW w:w="1984" w:type="dxa"/>
                  <w:vAlign w:val="center"/>
                </w:tcPr>
                <w:p w14:paraId="2876993A">
                  <w:pPr>
                    <w:jc w:val="center"/>
                    <w:rPr>
                      <w:szCs w:val="21"/>
                    </w:rPr>
                  </w:pPr>
                  <w:r>
                    <w:rPr>
                      <w:rFonts w:hint="eastAsia"/>
                      <w:szCs w:val="21"/>
                    </w:rPr>
                    <w:t>包括1座环形加热炉、1台二辊锥形穿孔机、1组三辊限动芯棒连轧管机+脱管机、1座步进式再加热炉、1台28架张力减径机、1座步进冷床及相配套的3台冷锯机、1台空剪机、矫直机、无损探伤装置等生产设备，生产规模为28万t/a</w:t>
                  </w:r>
                </w:p>
              </w:tc>
              <w:tc>
                <w:tcPr>
                  <w:tcW w:w="755" w:type="dxa"/>
                  <w:vAlign w:val="center"/>
                </w:tcPr>
                <w:p w14:paraId="54CA528E">
                  <w:pPr>
                    <w:jc w:val="center"/>
                    <w:rPr>
                      <w:szCs w:val="21"/>
                    </w:rPr>
                  </w:pPr>
                  <w:r>
                    <w:rPr>
                      <w:szCs w:val="21"/>
                    </w:rPr>
                    <w:t>利旧、淘汰、更新、技术改造</w:t>
                  </w:r>
                </w:p>
              </w:tc>
            </w:tr>
            <w:tr w14:paraId="0EC153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8" w:type="dxa"/>
                  <w:vMerge w:val="restart"/>
                  <w:vAlign w:val="center"/>
                </w:tcPr>
                <w:p w14:paraId="75DCF6FC">
                  <w:pPr>
                    <w:adjustRightInd w:val="0"/>
                    <w:snapToGrid w:val="0"/>
                    <w:jc w:val="center"/>
                    <w:rPr>
                      <w:szCs w:val="21"/>
                    </w:rPr>
                  </w:pPr>
                  <w:r>
                    <w:rPr>
                      <w:szCs w:val="21"/>
                    </w:rPr>
                    <w:t>辅助工程</w:t>
                  </w:r>
                </w:p>
              </w:tc>
              <w:tc>
                <w:tcPr>
                  <w:tcW w:w="850" w:type="dxa"/>
                  <w:vAlign w:val="center"/>
                </w:tcPr>
                <w:p w14:paraId="2E877F32">
                  <w:pPr>
                    <w:jc w:val="center"/>
                    <w:rPr>
                      <w:szCs w:val="21"/>
                    </w:rPr>
                  </w:pPr>
                  <w:r>
                    <w:rPr>
                      <w:szCs w:val="21"/>
                    </w:rPr>
                    <w:t>办公</w:t>
                  </w:r>
                </w:p>
              </w:tc>
              <w:tc>
                <w:tcPr>
                  <w:tcW w:w="2552" w:type="dxa"/>
                  <w:vAlign w:val="center"/>
                </w:tcPr>
                <w:p w14:paraId="537BE574">
                  <w:pPr>
                    <w:jc w:val="center"/>
                    <w:rPr>
                      <w:szCs w:val="21"/>
                    </w:rPr>
                  </w:pPr>
                  <w:r>
                    <w:rPr>
                      <w:szCs w:val="21"/>
                    </w:rPr>
                    <w:t>衡钢集团内</w:t>
                  </w:r>
                </w:p>
              </w:tc>
              <w:tc>
                <w:tcPr>
                  <w:tcW w:w="2410" w:type="dxa"/>
                  <w:vAlign w:val="center"/>
                </w:tcPr>
                <w:p w14:paraId="670FCCC3">
                  <w:pPr>
                    <w:jc w:val="center"/>
                    <w:rPr>
                      <w:szCs w:val="21"/>
                    </w:rPr>
                  </w:pPr>
                  <w:r>
                    <w:rPr>
                      <w:szCs w:val="21"/>
                    </w:rPr>
                    <w:t>依托现有</w:t>
                  </w:r>
                </w:p>
              </w:tc>
              <w:tc>
                <w:tcPr>
                  <w:tcW w:w="1984" w:type="dxa"/>
                  <w:vAlign w:val="center"/>
                </w:tcPr>
                <w:p w14:paraId="18211F6D">
                  <w:pPr>
                    <w:jc w:val="center"/>
                    <w:rPr>
                      <w:szCs w:val="21"/>
                    </w:rPr>
                  </w:pPr>
                  <w:r>
                    <w:rPr>
                      <w:szCs w:val="21"/>
                    </w:rPr>
                    <w:t>衡钢集团内</w:t>
                  </w:r>
                </w:p>
              </w:tc>
              <w:tc>
                <w:tcPr>
                  <w:tcW w:w="755" w:type="dxa"/>
                  <w:vAlign w:val="center"/>
                </w:tcPr>
                <w:p w14:paraId="7814D033">
                  <w:pPr>
                    <w:jc w:val="center"/>
                    <w:rPr>
                      <w:szCs w:val="21"/>
                    </w:rPr>
                  </w:pPr>
                  <w:r>
                    <w:rPr>
                      <w:szCs w:val="21"/>
                    </w:rPr>
                    <w:t>依托</w:t>
                  </w:r>
                </w:p>
              </w:tc>
            </w:tr>
            <w:tr w14:paraId="3A4E07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8" w:type="dxa"/>
                  <w:vMerge w:val="continue"/>
                  <w:vAlign w:val="center"/>
                </w:tcPr>
                <w:p w14:paraId="77598899">
                  <w:pPr>
                    <w:adjustRightInd w:val="0"/>
                    <w:snapToGrid w:val="0"/>
                    <w:jc w:val="center"/>
                    <w:rPr>
                      <w:szCs w:val="21"/>
                    </w:rPr>
                  </w:pPr>
                </w:p>
              </w:tc>
              <w:tc>
                <w:tcPr>
                  <w:tcW w:w="850" w:type="dxa"/>
                  <w:vAlign w:val="center"/>
                </w:tcPr>
                <w:p w14:paraId="60039FB4">
                  <w:pPr>
                    <w:jc w:val="center"/>
                    <w:rPr>
                      <w:szCs w:val="21"/>
                    </w:rPr>
                  </w:pPr>
                  <w:r>
                    <w:rPr>
                      <w:szCs w:val="21"/>
                    </w:rPr>
                    <w:t>生活</w:t>
                  </w:r>
                </w:p>
              </w:tc>
              <w:tc>
                <w:tcPr>
                  <w:tcW w:w="2552" w:type="dxa"/>
                  <w:vAlign w:val="center"/>
                </w:tcPr>
                <w:p w14:paraId="42583E6A">
                  <w:pPr>
                    <w:jc w:val="center"/>
                    <w:rPr>
                      <w:szCs w:val="21"/>
                    </w:rPr>
                  </w:pPr>
                  <w:r>
                    <w:rPr>
                      <w:szCs w:val="21"/>
                    </w:rPr>
                    <w:t>衡钢集团内</w:t>
                  </w:r>
                </w:p>
              </w:tc>
              <w:tc>
                <w:tcPr>
                  <w:tcW w:w="2410" w:type="dxa"/>
                  <w:vAlign w:val="center"/>
                </w:tcPr>
                <w:p w14:paraId="58F64EAE">
                  <w:pPr>
                    <w:jc w:val="center"/>
                    <w:rPr>
                      <w:szCs w:val="21"/>
                    </w:rPr>
                  </w:pPr>
                  <w:r>
                    <w:rPr>
                      <w:szCs w:val="21"/>
                    </w:rPr>
                    <w:t>依托现有</w:t>
                  </w:r>
                </w:p>
              </w:tc>
              <w:tc>
                <w:tcPr>
                  <w:tcW w:w="1984" w:type="dxa"/>
                  <w:vAlign w:val="center"/>
                </w:tcPr>
                <w:p w14:paraId="41002BA0">
                  <w:pPr>
                    <w:jc w:val="center"/>
                    <w:rPr>
                      <w:szCs w:val="21"/>
                    </w:rPr>
                  </w:pPr>
                  <w:r>
                    <w:rPr>
                      <w:szCs w:val="21"/>
                    </w:rPr>
                    <w:t>衡钢集团内</w:t>
                  </w:r>
                </w:p>
              </w:tc>
              <w:tc>
                <w:tcPr>
                  <w:tcW w:w="755" w:type="dxa"/>
                  <w:vAlign w:val="center"/>
                </w:tcPr>
                <w:p w14:paraId="7FC754A8">
                  <w:pPr>
                    <w:jc w:val="center"/>
                    <w:rPr>
                      <w:szCs w:val="21"/>
                    </w:rPr>
                  </w:pPr>
                  <w:r>
                    <w:rPr>
                      <w:szCs w:val="21"/>
                    </w:rPr>
                    <w:t>依托</w:t>
                  </w:r>
                </w:p>
              </w:tc>
            </w:tr>
            <w:tr w14:paraId="57CC62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8" w:type="dxa"/>
                  <w:vMerge w:val="restart"/>
                  <w:vAlign w:val="center"/>
                </w:tcPr>
                <w:p w14:paraId="347F98BC">
                  <w:pPr>
                    <w:jc w:val="center"/>
                    <w:rPr>
                      <w:szCs w:val="21"/>
                    </w:rPr>
                  </w:pPr>
                  <w:r>
                    <w:rPr>
                      <w:szCs w:val="21"/>
                    </w:rPr>
                    <w:t>公用工程</w:t>
                  </w:r>
                </w:p>
              </w:tc>
              <w:tc>
                <w:tcPr>
                  <w:tcW w:w="850" w:type="dxa"/>
                  <w:vAlign w:val="center"/>
                </w:tcPr>
                <w:p w14:paraId="64FF77A7">
                  <w:pPr>
                    <w:jc w:val="center"/>
                    <w:rPr>
                      <w:szCs w:val="21"/>
                    </w:rPr>
                  </w:pPr>
                  <w:r>
                    <w:rPr>
                      <w:rFonts w:hint="eastAsia"/>
                      <w:szCs w:val="21"/>
                    </w:rPr>
                    <w:t>供水</w:t>
                  </w:r>
                </w:p>
              </w:tc>
              <w:tc>
                <w:tcPr>
                  <w:tcW w:w="2552" w:type="dxa"/>
                  <w:vAlign w:val="center"/>
                </w:tcPr>
                <w:p w14:paraId="31BE6FC8">
                  <w:pPr>
                    <w:jc w:val="center"/>
                    <w:rPr>
                      <w:szCs w:val="21"/>
                    </w:rPr>
                  </w:pPr>
                  <w:r>
                    <w:rPr>
                      <w:rFonts w:hint="eastAsia"/>
                      <w:szCs w:val="21"/>
                    </w:rPr>
                    <w:t>生产循环供水由衡钢公司水处理设施供给，补充部分由市政供水；办公生活用水由市政供水</w:t>
                  </w:r>
                </w:p>
              </w:tc>
              <w:tc>
                <w:tcPr>
                  <w:tcW w:w="2410" w:type="dxa"/>
                  <w:vAlign w:val="center"/>
                </w:tcPr>
                <w:p w14:paraId="2936A7FE">
                  <w:pPr>
                    <w:jc w:val="center"/>
                    <w:rPr>
                      <w:szCs w:val="21"/>
                    </w:rPr>
                  </w:pPr>
                  <w:r>
                    <w:rPr>
                      <w:szCs w:val="21"/>
                    </w:rPr>
                    <w:t>依托现有</w:t>
                  </w:r>
                </w:p>
              </w:tc>
              <w:tc>
                <w:tcPr>
                  <w:tcW w:w="1984" w:type="dxa"/>
                  <w:vAlign w:val="center"/>
                </w:tcPr>
                <w:p w14:paraId="374CC77D">
                  <w:pPr>
                    <w:jc w:val="center"/>
                    <w:rPr>
                      <w:szCs w:val="21"/>
                    </w:rPr>
                  </w:pPr>
                  <w:r>
                    <w:rPr>
                      <w:rFonts w:hint="eastAsia"/>
                      <w:szCs w:val="21"/>
                    </w:rPr>
                    <w:t>生产循环供水由衡钢公司水处理设施供给，补充部分由市政供水；办公生活用水由市政供水</w:t>
                  </w:r>
                </w:p>
              </w:tc>
              <w:tc>
                <w:tcPr>
                  <w:tcW w:w="755" w:type="dxa"/>
                  <w:vAlign w:val="center"/>
                </w:tcPr>
                <w:p w14:paraId="59363B05">
                  <w:pPr>
                    <w:jc w:val="center"/>
                    <w:rPr>
                      <w:szCs w:val="21"/>
                    </w:rPr>
                  </w:pPr>
                  <w:r>
                    <w:rPr>
                      <w:szCs w:val="21"/>
                    </w:rPr>
                    <w:t>依托</w:t>
                  </w:r>
                </w:p>
              </w:tc>
            </w:tr>
            <w:tr w14:paraId="08CDD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8" w:type="dxa"/>
                  <w:vMerge w:val="continue"/>
                  <w:vAlign w:val="center"/>
                </w:tcPr>
                <w:p w14:paraId="57136570">
                  <w:pPr>
                    <w:jc w:val="center"/>
                    <w:rPr>
                      <w:szCs w:val="21"/>
                    </w:rPr>
                  </w:pPr>
                </w:p>
              </w:tc>
              <w:tc>
                <w:tcPr>
                  <w:tcW w:w="850" w:type="dxa"/>
                  <w:vMerge w:val="restart"/>
                  <w:vAlign w:val="center"/>
                </w:tcPr>
                <w:p w14:paraId="45643FAF">
                  <w:pPr>
                    <w:jc w:val="center"/>
                    <w:rPr>
                      <w:szCs w:val="21"/>
                    </w:rPr>
                  </w:pPr>
                  <w:r>
                    <w:rPr>
                      <w:rFonts w:hint="eastAsia"/>
                      <w:szCs w:val="21"/>
                    </w:rPr>
                    <w:t>排水</w:t>
                  </w:r>
                </w:p>
              </w:tc>
              <w:tc>
                <w:tcPr>
                  <w:tcW w:w="2552" w:type="dxa"/>
                  <w:vAlign w:val="center"/>
                </w:tcPr>
                <w:p w14:paraId="388BA3ED">
                  <w:pPr>
                    <w:jc w:val="center"/>
                    <w:rPr>
                      <w:szCs w:val="21"/>
                    </w:rPr>
                  </w:pPr>
                  <w:r>
                    <w:rPr>
                      <w:rFonts w:hint="eastAsia"/>
                      <w:szCs w:val="21"/>
                    </w:rPr>
                    <w:t>采用雨污分流制，雨水经雨水管沟排入衡钢公司雨水管网；生活污水经化粪池预处理后进入衡钢东区污水处理站</w:t>
                  </w:r>
                </w:p>
              </w:tc>
              <w:tc>
                <w:tcPr>
                  <w:tcW w:w="2410" w:type="dxa"/>
                  <w:vAlign w:val="center"/>
                </w:tcPr>
                <w:p w14:paraId="3B21F7EB">
                  <w:pPr>
                    <w:jc w:val="center"/>
                    <w:rPr>
                      <w:szCs w:val="21"/>
                    </w:rPr>
                  </w:pPr>
                  <w:r>
                    <w:rPr>
                      <w:szCs w:val="21"/>
                    </w:rPr>
                    <w:t>依托现有</w:t>
                  </w:r>
                </w:p>
              </w:tc>
              <w:tc>
                <w:tcPr>
                  <w:tcW w:w="1984" w:type="dxa"/>
                  <w:vAlign w:val="center"/>
                </w:tcPr>
                <w:p w14:paraId="160D9A30">
                  <w:pPr>
                    <w:jc w:val="center"/>
                    <w:rPr>
                      <w:szCs w:val="21"/>
                    </w:rPr>
                  </w:pPr>
                  <w:r>
                    <w:rPr>
                      <w:rFonts w:hint="eastAsia"/>
                      <w:szCs w:val="21"/>
                    </w:rPr>
                    <w:t>采用雨污分流制，雨水经雨水管沟排入衡钢公司雨水管网；生活污水经化粪池预处理后进入衡钢东区污水处理站</w:t>
                  </w:r>
                </w:p>
              </w:tc>
              <w:tc>
                <w:tcPr>
                  <w:tcW w:w="755" w:type="dxa"/>
                  <w:vAlign w:val="center"/>
                </w:tcPr>
                <w:p w14:paraId="6F5D4D4B">
                  <w:pPr>
                    <w:jc w:val="center"/>
                    <w:rPr>
                      <w:szCs w:val="21"/>
                    </w:rPr>
                  </w:pPr>
                  <w:r>
                    <w:rPr>
                      <w:szCs w:val="21"/>
                    </w:rPr>
                    <w:t>依托</w:t>
                  </w:r>
                </w:p>
              </w:tc>
            </w:tr>
            <w:tr w14:paraId="6F202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8" w:type="dxa"/>
                  <w:vMerge w:val="continue"/>
                  <w:vAlign w:val="center"/>
                </w:tcPr>
                <w:p w14:paraId="08A3B15D">
                  <w:pPr>
                    <w:jc w:val="center"/>
                    <w:rPr>
                      <w:szCs w:val="21"/>
                    </w:rPr>
                  </w:pPr>
                </w:p>
              </w:tc>
              <w:tc>
                <w:tcPr>
                  <w:tcW w:w="850" w:type="dxa"/>
                  <w:vMerge w:val="continue"/>
                  <w:vAlign w:val="center"/>
                </w:tcPr>
                <w:p w14:paraId="5993E9B3">
                  <w:pPr>
                    <w:jc w:val="center"/>
                    <w:rPr>
                      <w:szCs w:val="21"/>
                    </w:rPr>
                  </w:pPr>
                </w:p>
              </w:tc>
              <w:tc>
                <w:tcPr>
                  <w:tcW w:w="2552" w:type="dxa"/>
                  <w:vAlign w:val="center"/>
                </w:tcPr>
                <w:p w14:paraId="6D6303F2">
                  <w:pPr>
                    <w:jc w:val="center"/>
                    <w:rPr>
                      <w:rFonts w:eastAsiaTheme="minorEastAsia"/>
                      <w:szCs w:val="21"/>
                    </w:rPr>
                  </w:pPr>
                  <w:r>
                    <w:rPr>
                      <w:rFonts w:hint="eastAsia" w:eastAsiaTheme="minorEastAsia"/>
                      <w:szCs w:val="21"/>
                    </w:rPr>
                    <w:t>生产废水大部分循环使用，少量经衡钢东区污水处理站处理达标后回用</w:t>
                  </w:r>
                </w:p>
              </w:tc>
              <w:tc>
                <w:tcPr>
                  <w:tcW w:w="2410" w:type="dxa"/>
                  <w:vAlign w:val="center"/>
                </w:tcPr>
                <w:p w14:paraId="5F71D808">
                  <w:pPr>
                    <w:jc w:val="center"/>
                    <w:rPr>
                      <w:szCs w:val="21"/>
                    </w:rPr>
                  </w:pPr>
                  <w:r>
                    <w:rPr>
                      <w:szCs w:val="21"/>
                    </w:rPr>
                    <w:t>依托现有</w:t>
                  </w:r>
                </w:p>
              </w:tc>
              <w:tc>
                <w:tcPr>
                  <w:tcW w:w="1984" w:type="dxa"/>
                  <w:vAlign w:val="center"/>
                </w:tcPr>
                <w:p w14:paraId="5D260B03">
                  <w:pPr>
                    <w:jc w:val="center"/>
                    <w:rPr>
                      <w:rFonts w:eastAsiaTheme="minorEastAsia"/>
                      <w:szCs w:val="21"/>
                    </w:rPr>
                  </w:pPr>
                  <w:r>
                    <w:rPr>
                      <w:rFonts w:hint="eastAsia" w:eastAsiaTheme="minorEastAsia"/>
                      <w:szCs w:val="21"/>
                    </w:rPr>
                    <w:t>生产废水大部分循环使用，少量经衡钢东区污水处理站处理达标后回用</w:t>
                  </w:r>
                </w:p>
              </w:tc>
              <w:tc>
                <w:tcPr>
                  <w:tcW w:w="755" w:type="dxa"/>
                  <w:vAlign w:val="center"/>
                </w:tcPr>
                <w:p w14:paraId="5907A85B">
                  <w:pPr>
                    <w:jc w:val="center"/>
                    <w:rPr>
                      <w:szCs w:val="21"/>
                    </w:rPr>
                  </w:pPr>
                  <w:r>
                    <w:rPr>
                      <w:szCs w:val="21"/>
                    </w:rPr>
                    <w:t>依托</w:t>
                  </w:r>
                </w:p>
              </w:tc>
            </w:tr>
            <w:tr w14:paraId="7CF8C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8" w:type="dxa"/>
                  <w:vMerge w:val="continue"/>
                  <w:vAlign w:val="center"/>
                </w:tcPr>
                <w:p w14:paraId="087FAF4B">
                  <w:pPr>
                    <w:jc w:val="center"/>
                    <w:rPr>
                      <w:szCs w:val="21"/>
                    </w:rPr>
                  </w:pPr>
                </w:p>
              </w:tc>
              <w:tc>
                <w:tcPr>
                  <w:tcW w:w="850" w:type="dxa"/>
                  <w:vAlign w:val="center"/>
                </w:tcPr>
                <w:p w14:paraId="1155A504">
                  <w:pPr>
                    <w:jc w:val="center"/>
                    <w:rPr>
                      <w:szCs w:val="21"/>
                    </w:rPr>
                  </w:pPr>
                  <w:r>
                    <w:rPr>
                      <w:rFonts w:hint="eastAsia"/>
                      <w:szCs w:val="21"/>
                    </w:rPr>
                    <w:t>供电</w:t>
                  </w:r>
                </w:p>
              </w:tc>
              <w:tc>
                <w:tcPr>
                  <w:tcW w:w="2552" w:type="dxa"/>
                  <w:vAlign w:val="center"/>
                </w:tcPr>
                <w:p w14:paraId="57835A26">
                  <w:pPr>
                    <w:jc w:val="center"/>
                    <w:rPr>
                      <w:szCs w:val="21"/>
                    </w:rPr>
                  </w:pPr>
                  <w:r>
                    <w:rPr>
                      <w:rFonts w:hint="eastAsia"/>
                      <w:szCs w:val="21"/>
                    </w:rPr>
                    <w:t>市政供电</w:t>
                  </w:r>
                </w:p>
              </w:tc>
              <w:tc>
                <w:tcPr>
                  <w:tcW w:w="2410" w:type="dxa"/>
                  <w:vAlign w:val="center"/>
                </w:tcPr>
                <w:p w14:paraId="1B64DCA5">
                  <w:pPr>
                    <w:jc w:val="center"/>
                    <w:rPr>
                      <w:szCs w:val="21"/>
                    </w:rPr>
                  </w:pPr>
                  <w:r>
                    <w:rPr>
                      <w:szCs w:val="21"/>
                    </w:rPr>
                    <w:t>依托现有</w:t>
                  </w:r>
                </w:p>
              </w:tc>
              <w:tc>
                <w:tcPr>
                  <w:tcW w:w="1984" w:type="dxa"/>
                  <w:vAlign w:val="center"/>
                </w:tcPr>
                <w:p w14:paraId="24FB5330">
                  <w:pPr>
                    <w:jc w:val="center"/>
                    <w:rPr>
                      <w:szCs w:val="21"/>
                    </w:rPr>
                  </w:pPr>
                  <w:r>
                    <w:rPr>
                      <w:rFonts w:hint="eastAsia"/>
                      <w:szCs w:val="21"/>
                    </w:rPr>
                    <w:t>市政供电</w:t>
                  </w:r>
                </w:p>
              </w:tc>
              <w:tc>
                <w:tcPr>
                  <w:tcW w:w="755" w:type="dxa"/>
                  <w:vAlign w:val="center"/>
                </w:tcPr>
                <w:p w14:paraId="3844FED3">
                  <w:pPr>
                    <w:jc w:val="center"/>
                    <w:rPr>
                      <w:szCs w:val="21"/>
                    </w:rPr>
                  </w:pPr>
                  <w:r>
                    <w:rPr>
                      <w:szCs w:val="21"/>
                    </w:rPr>
                    <w:t>依托</w:t>
                  </w:r>
                </w:p>
              </w:tc>
            </w:tr>
            <w:tr w14:paraId="58507B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8" w:type="dxa"/>
                  <w:vMerge w:val="continue"/>
                  <w:vAlign w:val="center"/>
                </w:tcPr>
                <w:p w14:paraId="73F73CEF">
                  <w:pPr>
                    <w:jc w:val="center"/>
                    <w:rPr>
                      <w:szCs w:val="21"/>
                    </w:rPr>
                  </w:pPr>
                </w:p>
              </w:tc>
              <w:tc>
                <w:tcPr>
                  <w:tcW w:w="850" w:type="dxa"/>
                  <w:vAlign w:val="center"/>
                </w:tcPr>
                <w:p w14:paraId="442F82E6">
                  <w:pPr>
                    <w:jc w:val="center"/>
                    <w:rPr>
                      <w:szCs w:val="21"/>
                    </w:rPr>
                  </w:pPr>
                  <w:r>
                    <w:rPr>
                      <w:rFonts w:hint="eastAsia"/>
                      <w:szCs w:val="21"/>
                    </w:rPr>
                    <w:t>供气</w:t>
                  </w:r>
                </w:p>
              </w:tc>
              <w:tc>
                <w:tcPr>
                  <w:tcW w:w="2552" w:type="dxa"/>
                  <w:vAlign w:val="center"/>
                </w:tcPr>
                <w:p w14:paraId="2A7BCB85">
                  <w:pPr>
                    <w:jc w:val="center"/>
                    <w:rPr>
                      <w:szCs w:val="21"/>
                    </w:rPr>
                  </w:pPr>
                  <w:r>
                    <w:rPr>
                      <w:rFonts w:hint="eastAsia"/>
                      <w:szCs w:val="21"/>
                    </w:rPr>
                    <w:t>高炉煤气由衡钢集团高炉煤气站供给，天然气由市政供气</w:t>
                  </w:r>
                </w:p>
              </w:tc>
              <w:tc>
                <w:tcPr>
                  <w:tcW w:w="2410" w:type="dxa"/>
                  <w:vAlign w:val="center"/>
                </w:tcPr>
                <w:p w14:paraId="49CBB9E1">
                  <w:pPr>
                    <w:jc w:val="center"/>
                    <w:rPr>
                      <w:szCs w:val="21"/>
                    </w:rPr>
                  </w:pPr>
                  <w:r>
                    <w:rPr>
                      <w:rFonts w:hint="eastAsia"/>
                      <w:szCs w:val="21"/>
                    </w:rPr>
                    <w:t>燃料由混合煤气改为天然气，天然气由市政供气，依托现有天然气输送管道</w:t>
                  </w:r>
                </w:p>
              </w:tc>
              <w:tc>
                <w:tcPr>
                  <w:tcW w:w="1984" w:type="dxa"/>
                  <w:vAlign w:val="center"/>
                </w:tcPr>
                <w:p w14:paraId="6C38B547">
                  <w:pPr>
                    <w:jc w:val="center"/>
                    <w:rPr>
                      <w:szCs w:val="21"/>
                    </w:rPr>
                  </w:pPr>
                  <w:r>
                    <w:rPr>
                      <w:rFonts w:hint="eastAsia"/>
                      <w:szCs w:val="21"/>
                    </w:rPr>
                    <w:t>燃料由混合煤气改为天然气，天然气由市政供气，依托现有天然气输送管道</w:t>
                  </w:r>
                </w:p>
              </w:tc>
              <w:tc>
                <w:tcPr>
                  <w:tcW w:w="755" w:type="dxa"/>
                  <w:vAlign w:val="center"/>
                </w:tcPr>
                <w:p w14:paraId="211A524E">
                  <w:pPr>
                    <w:jc w:val="center"/>
                    <w:rPr>
                      <w:szCs w:val="21"/>
                    </w:rPr>
                  </w:pPr>
                  <w:r>
                    <w:rPr>
                      <w:szCs w:val="21"/>
                    </w:rPr>
                    <w:t>依托</w:t>
                  </w:r>
                </w:p>
              </w:tc>
            </w:tr>
            <w:tr w14:paraId="6B0C84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8" w:type="dxa"/>
                  <w:vMerge w:val="restart"/>
                  <w:vAlign w:val="center"/>
                </w:tcPr>
                <w:p w14:paraId="4A24C2D6">
                  <w:pPr>
                    <w:jc w:val="center"/>
                    <w:rPr>
                      <w:szCs w:val="21"/>
                    </w:rPr>
                  </w:pPr>
                  <w:r>
                    <w:rPr>
                      <w:rFonts w:hint="eastAsia"/>
                      <w:szCs w:val="21"/>
                    </w:rPr>
                    <w:t>环保工程</w:t>
                  </w:r>
                </w:p>
              </w:tc>
              <w:tc>
                <w:tcPr>
                  <w:tcW w:w="850" w:type="dxa"/>
                  <w:vMerge w:val="restart"/>
                  <w:vAlign w:val="center"/>
                </w:tcPr>
                <w:p w14:paraId="45E50E45">
                  <w:pPr>
                    <w:jc w:val="center"/>
                    <w:rPr>
                      <w:szCs w:val="21"/>
                    </w:rPr>
                  </w:pPr>
                  <w:r>
                    <w:rPr>
                      <w:rFonts w:hint="eastAsia"/>
                      <w:szCs w:val="21"/>
                    </w:rPr>
                    <w:t>废水</w:t>
                  </w:r>
                </w:p>
              </w:tc>
              <w:tc>
                <w:tcPr>
                  <w:tcW w:w="2552" w:type="dxa"/>
                  <w:vAlign w:val="center"/>
                </w:tcPr>
                <w:p w14:paraId="180C3B40">
                  <w:pPr>
                    <w:widowControl/>
                    <w:jc w:val="center"/>
                    <w:rPr>
                      <w:rFonts w:eastAsiaTheme="minorEastAsia"/>
                      <w:kern w:val="0"/>
                      <w:szCs w:val="21"/>
                    </w:rPr>
                  </w:pPr>
                  <w:r>
                    <w:rPr>
                      <w:rFonts w:hint="eastAsia" w:eastAsiaTheme="minorEastAsia"/>
                      <w:kern w:val="0"/>
                      <w:szCs w:val="21"/>
                    </w:rPr>
                    <w:t>生产废水：包含净环水系统和浊环水系统，净环水经冷却处理后循环使用，系统强制排污水进入浊环水系统；浊环水经隔油、沉淀、冷却处理后大部分循环使用，少部分排至衡钢东区污水处理站，净环水反冲洗废水经砂石过滤器处理后回用至浊环水系统</w:t>
                  </w:r>
                </w:p>
              </w:tc>
              <w:tc>
                <w:tcPr>
                  <w:tcW w:w="2410" w:type="dxa"/>
                  <w:vAlign w:val="center"/>
                </w:tcPr>
                <w:p w14:paraId="249ED495">
                  <w:pPr>
                    <w:jc w:val="center"/>
                    <w:rPr>
                      <w:szCs w:val="21"/>
                    </w:rPr>
                  </w:pPr>
                  <w:r>
                    <w:rPr>
                      <w:szCs w:val="21"/>
                    </w:rPr>
                    <w:t>依托现有</w:t>
                  </w:r>
                </w:p>
              </w:tc>
              <w:tc>
                <w:tcPr>
                  <w:tcW w:w="1984" w:type="dxa"/>
                  <w:vAlign w:val="center"/>
                </w:tcPr>
                <w:p w14:paraId="3F4BEAFB">
                  <w:pPr>
                    <w:widowControl/>
                    <w:jc w:val="center"/>
                    <w:rPr>
                      <w:rFonts w:eastAsiaTheme="minorEastAsia"/>
                      <w:kern w:val="0"/>
                      <w:szCs w:val="21"/>
                    </w:rPr>
                  </w:pPr>
                  <w:r>
                    <w:rPr>
                      <w:rFonts w:hint="eastAsia" w:eastAsiaTheme="minorEastAsia"/>
                      <w:kern w:val="0"/>
                      <w:szCs w:val="21"/>
                    </w:rPr>
                    <w:t>生产废水：包含净环水系统和浊环水系统，净环水经冷却处理后循环使用，系统强制排污水进入浊环水系统；浊环水经隔油、沉淀、冷却处理后大部分循环使用，少部分排至衡钢东区污水处理站，净环水反冲洗废水经砂石过滤器处理后回用至浊环水系统</w:t>
                  </w:r>
                </w:p>
              </w:tc>
              <w:tc>
                <w:tcPr>
                  <w:tcW w:w="755" w:type="dxa"/>
                  <w:vMerge w:val="restart"/>
                  <w:vAlign w:val="center"/>
                </w:tcPr>
                <w:p w14:paraId="232712FE">
                  <w:pPr>
                    <w:jc w:val="center"/>
                    <w:rPr>
                      <w:szCs w:val="21"/>
                    </w:rPr>
                  </w:pPr>
                  <w:r>
                    <w:rPr>
                      <w:szCs w:val="21"/>
                    </w:rPr>
                    <w:t>依托</w:t>
                  </w:r>
                </w:p>
              </w:tc>
            </w:tr>
            <w:tr w14:paraId="531E2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8" w:type="dxa"/>
                  <w:vMerge w:val="continue"/>
                  <w:vAlign w:val="center"/>
                </w:tcPr>
                <w:p w14:paraId="309020DF">
                  <w:pPr>
                    <w:jc w:val="center"/>
                    <w:rPr>
                      <w:szCs w:val="21"/>
                    </w:rPr>
                  </w:pPr>
                </w:p>
              </w:tc>
              <w:tc>
                <w:tcPr>
                  <w:tcW w:w="850" w:type="dxa"/>
                  <w:vMerge w:val="continue"/>
                  <w:vAlign w:val="center"/>
                </w:tcPr>
                <w:p w14:paraId="1769F11B">
                  <w:pPr>
                    <w:jc w:val="center"/>
                    <w:rPr>
                      <w:szCs w:val="21"/>
                    </w:rPr>
                  </w:pPr>
                </w:p>
              </w:tc>
              <w:tc>
                <w:tcPr>
                  <w:tcW w:w="2552" w:type="dxa"/>
                  <w:vAlign w:val="center"/>
                </w:tcPr>
                <w:p w14:paraId="7F9AC601">
                  <w:pPr>
                    <w:widowControl/>
                    <w:jc w:val="center"/>
                    <w:rPr>
                      <w:kern w:val="0"/>
                      <w:szCs w:val="21"/>
                    </w:rPr>
                  </w:pPr>
                  <w:r>
                    <w:rPr>
                      <w:rFonts w:hint="eastAsia"/>
                      <w:kern w:val="0"/>
                      <w:szCs w:val="21"/>
                    </w:rPr>
                    <w:t>生活污水：经化粪池预处理后进入衡钢东区污水处理站</w:t>
                  </w:r>
                </w:p>
              </w:tc>
              <w:tc>
                <w:tcPr>
                  <w:tcW w:w="2410" w:type="dxa"/>
                  <w:vAlign w:val="center"/>
                </w:tcPr>
                <w:p w14:paraId="7095E213">
                  <w:pPr>
                    <w:jc w:val="center"/>
                    <w:rPr>
                      <w:szCs w:val="21"/>
                    </w:rPr>
                  </w:pPr>
                  <w:r>
                    <w:rPr>
                      <w:szCs w:val="21"/>
                    </w:rPr>
                    <w:t>依托现有</w:t>
                  </w:r>
                </w:p>
              </w:tc>
              <w:tc>
                <w:tcPr>
                  <w:tcW w:w="1984" w:type="dxa"/>
                  <w:vAlign w:val="center"/>
                </w:tcPr>
                <w:p w14:paraId="49692807">
                  <w:pPr>
                    <w:widowControl/>
                    <w:jc w:val="center"/>
                    <w:rPr>
                      <w:kern w:val="0"/>
                      <w:szCs w:val="21"/>
                    </w:rPr>
                  </w:pPr>
                  <w:r>
                    <w:rPr>
                      <w:rFonts w:hint="eastAsia"/>
                      <w:kern w:val="0"/>
                      <w:szCs w:val="21"/>
                    </w:rPr>
                    <w:t>生活污水：经化粪池预处理后进入衡钢东区污水处理站</w:t>
                  </w:r>
                </w:p>
              </w:tc>
              <w:tc>
                <w:tcPr>
                  <w:tcW w:w="755" w:type="dxa"/>
                  <w:vMerge w:val="continue"/>
                  <w:vAlign w:val="center"/>
                </w:tcPr>
                <w:p w14:paraId="6B7C5002">
                  <w:pPr>
                    <w:jc w:val="center"/>
                    <w:rPr>
                      <w:szCs w:val="21"/>
                    </w:rPr>
                  </w:pPr>
                </w:p>
              </w:tc>
            </w:tr>
            <w:tr w14:paraId="2B5095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8" w:type="dxa"/>
                  <w:vMerge w:val="continue"/>
                  <w:vAlign w:val="center"/>
                </w:tcPr>
                <w:p w14:paraId="083E1D9C">
                  <w:pPr>
                    <w:jc w:val="center"/>
                    <w:rPr>
                      <w:szCs w:val="21"/>
                    </w:rPr>
                  </w:pPr>
                </w:p>
              </w:tc>
              <w:tc>
                <w:tcPr>
                  <w:tcW w:w="850" w:type="dxa"/>
                  <w:vMerge w:val="restart"/>
                  <w:vAlign w:val="center"/>
                </w:tcPr>
                <w:p w14:paraId="2A0AED1B">
                  <w:pPr>
                    <w:jc w:val="center"/>
                    <w:rPr>
                      <w:szCs w:val="21"/>
                    </w:rPr>
                  </w:pPr>
                  <w:r>
                    <w:rPr>
                      <w:rFonts w:hint="eastAsia"/>
                      <w:szCs w:val="21"/>
                    </w:rPr>
                    <w:t>废气</w:t>
                  </w:r>
                </w:p>
              </w:tc>
              <w:tc>
                <w:tcPr>
                  <w:tcW w:w="2552" w:type="dxa"/>
                  <w:vAlign w:val="center"/>
                </w:tcPr>
                <w:p w14:paraId="67248ECD">
                  <w:pPr>
                    <w:widowControl/>
                    <w:jc w:val="center"/>
                    <w:rPr>
                      <w:kern w:val="0"/>
                    </w:rPr>
                  </w:pPr>
                  <w:r>
                    <w:rPr>
                      <w:kern w:val="0"/>
                    </w:rPr>
                    <w:t>环形炉尾气：通过80m FQ-1排气筒高空达标排放</w:t>
                  </w:r>
                </w:p>
              </w:tc>
              <w:tc>
                <w:tcPr>
                  <w:tcW w:w="2410" w:type="dxa"/>
                  <w:vAlign w:val="center"/>
                </w:tcPr>
                <w:p w14:paraId="5ADC7930">
                  <w:pPr>
                    <w:jc w:val="center"/>
                    <w:rPr>
                      <w:szCs w:val="21"/>
                    </w:rPr>
                  </w:pPr>
                  <w:r>
                    <w:rPr>
                      <w:szCs w:val="21"/>
                    </w:rPr>
                    <w:t>依托现有</w:t>
                  </w:r>
                </w:p>
              </w:tc>
              <w:tc>
                <w:tcPr>
                  <w:tcW w:w="1984" w:type="dxa"/>
                  <w:vAlign w:val="center"/>
                </w:tcPr>
                <w:p w14:paraId="73846FE2">
                  <w:pPr>
                    <w:widowControl/>
                    <w:jc w:val="center"/>
                    <w:rPr>
                      <w:kern w:val="0"/>
                    </w:rPr>
                  </w:pPr>
                  <w:r>
                    <w:rPr>
                      <w:kern w:val="0"/>
                    </w:rPr>
                    <w:t>环形炉尾气：通过80m FQ-1排气筒高空达标排放</w:t>
                  </w:r>
                </w:p>
              </w:tc>
              <w:tc>
                <w:tcPr>
                  <w:tcW w:w="755" w:type="dxa"/>
                  <w:vMerge w:val="restart"/>
                  <w:vAlign w:val="center"/>
                </w:tcPr>
                <w:p w14:paraId="0CA0A2EF">
                  <w:pPr>
                    <w:jc w:val="center"/>
                    <w:rPr>
                      <w:szCs w:val="21"/>
                    </w:rPr>
                  </w:pPr>
                  <w:r>
                    <w:rPr>
                      <w:szCs w:val="21"/>
                    </w:rPr>
                    <w:t>依托</w:t>
                  </w:r>
                </w:p>
              </w:tc>
            </w:tr>
            <w:tr w14:paraId="2975C3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8" w:type="dxa"/>
                  <w:vMerge w:val="continue"/>
                  <w:vAlign w:val="center"/>
                </w:tcPr>
                <w:p w14:paraId="78CD069C">
                  <w:pPr>
                    <w:jc w:val="center"/>
                    <w:rPr>
                      <w:szCs w:val="21"/>
                    </w:rPr>
                  </w:pPr>
                </w:p>
              </w:tc>
              <w:tc>
                <w:tcPr>
                  <w:tcW w:w="850" w:type="dxa"/>
                  <w:vMerge w:val="continue"/>
                  <w:vAlign w:val="center"/>
                </w:tcPr>
                <w:p w14:paraId="7DC60ADC">
                  <w:pPr>
                    <w:jc w:val="center"/>
                    <w:rPr>
                      <w:szCs w:val="21"/>
                    </w:rPr>
                  </w:pPr>
                </w:p>
              </w:tc>
              <w:tc>
                <w:tcPr>
                  <w:tcW w:w="2552" w:type="dxa"/>
                  <w:vAlign w:val="center"/>
                </w:tcPr>
                <w:p w14:paraId="73D6A8A8">
                  <w:pPr>
                    <w:widowControl/>
                    <w:jc w:val="center"/>
                    <w:rPr>
                      <w:kern w:val="0"/>
                    </w:rPr>
                  </w:pPr>
                  <w:r>
                    <w:rPr>
                      <w:kern w:val="0"/>
                    </w:rPr>
                    <w:t>步进炉尾气：通过</w:t>
                  </w:r>
                  <w:r>
                    <w:rPr>
                      <w:rFonts w:hint="eastAsia"/>
                      <w:kern w:val="0"/>
                    </w:rPr>
                    <w:t>68</w:t>
                  </w:r>
                  <w:r>
                    <w:rPr>
                      <w:kern w:val="0"/>
                    </w:rPr>
                    <w:t>m FQ-</w:t>
                  </w:r>
                  <w:r>
                    <w:rPr>
                      <w:rFonts w:hint="eastAsia"/>
                      <w:kern w:val="0"/>
                    </w:rPr>
                    <w:t>2</w:t>
                  </w:r>
                  <w:r>
                    <w:rPr>
                      <w:kern w:val="0"/>
                    </w:rPr>
                    <w:t>排气筒高空达标排放</w:t>
                  </w:r>
                </w:p>
              </w:tc>
              <w:tc>
                <w:tcPr>
                  <w:tcW w:w="2410" w:type="dxa"/>
                  <w:vAlign w:val="center"/>
                </w:tcPr>
                <w:p w14:paraId="07CCC45E">
                  <w:pPr>
                    <w:jc w:val="center"/>
                    <w:rPr>
                      <w:szCs w:val="21"/>
                    </w:rPr>
                  </w:pPr>
                  <w:r>
                    <w:rPr>
                      <w:szCs w:val="21"/>
                    </w:rPr>
                    <w:t>依托现有</w:t>
                  </w:r>
                </w:p>
              </w:tc>
              <w:tc>
                <w:tcPr>
                  <w:tcW w:w="1984" w:type="dxa"/>
                  <w:vAlign w:val="center"/>
                </w:tcPr>
                <w:p w14:paraId="53BCBBC2">
                  <w:pPr>
                    <w:widowControl/>
                    <w:jc w:val="center"/>
                    <w:rPr>
                      <w:kern w:val="0"/>
                    </w:rPr>
                  </w:pPr>
                  <w:r>
                    <w:rPr>
                      <w:kern w:val="0"/>
                    </w:rPr>
                    <w:t>步进炉尾气：通过</w:t>
                  </w:r>
                  <w:r>
                    <w:rPr>
                      <w:rFonts w:hint="eastAsia"/>
                      <w:kern w:val="0"/>
                    </w:rPr>
                    <w:t>68</w:t>
                  </w:r>
                  <w:r>
                    <w:rPr>
                      <w:kern w:val="0"/>
                    </w:rPr>
                    <w:t>m FQ-</w:t>
                  </w:r>
                  <w:r>
                    <w:rPr>
                      <w:rFonts w:hint="eastAsia"/>
                      <w:kern w:val="0"/>
                    </w:rPr>
                    <w:t>2</w:t>
                  </w:r>
                  <w:r>
                    <w:rPr>
                      <w:kern w:val="0"/>
                    </w:rPr>
                    <w:t>排气筒高空达标排放</w:t>
                  </w:r>
                </w:p>
              </w:tc>
              <w:tc>
                <w:tcPr>
                  <w:tcW w:w="755" w:type="dxa"/>
                  <w:vMerge w:val="continue"/>
                  <w:vAlign w:val="center"/>
                </w:tcPr>
                <w:p w14:paraId="2A9FA010">
                  <w:pPr>
                    <w:jc w:val="center"/>
                    <w:rPr>
                      <w:szCs w:val="21"/>
                    </w:rPr>
                  </w:pPr>
                </w:p>
              </w:tc>
            </w:tr>
            <w:tr w14:paraId="52C116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8" w:type="dxa"/>
                  <w:vMerge w:val="continue"/>
                  <w:vAlign w:val="center"/>
                </w:tcPr>
                <w:p w14:paraId="7851388E">
                  <w:pPr>
                    <w:jc w:val="center"/>
                    <w:rPr>
                      <w:szCs w:val="21"/>
                    </w:rPr>
                  </w:pPr>
                </w:p>
              </w:tc>
              <w:tc>
                <w:tcPr>
                  <w:tcW w:w="850" w:type="dxa"/>
                  <w:vMerge w:val="continue"/>
                  <w:vAlign w:val="center"/>
                </w:tcPr>
                <w:p w14:paraId="3AC908DD">
                  <w:pPr>
                    <w:jc w:val="center"/>
                    <w:rPr>
                      <w:szCs w:val="21"/>
                    </w:rPr>
                  </w:pPr>
                </w:p>
              </w:tc>
              <w:tc>
                <w:tcPr>
                  <w:tcW w:w="2552" w:type="dxa"/>
                  <w:vAlign w:val="center"/>
                </w:tcPr>
                <w:p w14:paraId="533B0CAA">
                  <w:pPr>
                    <w:pStyle w:val="2"/>
                    <w:jc w:val="center"/>
                    <w:rPr>
                      <w:rFonts w:ascii="Times New Roman" w:cs="Times New Roman"/>
                      <w:color w:val="auto"/>
                      <w:sz w:val="21"/>
                      <w:szCs w:val="21"/>
                    </w:rPr>
                  </w:pPr>
                  <w:r>
                    <w:rPr>
                      <w:rFonts w:hint="eastAsia" w:ascii="Times New Roman" w:cs="Times New Roman"/>
                      <w:color w:val="auto"/>
                      <w:sz w:val="21"/>
                      <w:szCs w:val="21"/>
                    </w:rPr>
                    <w:t>喷硼砂作业、连轧管作业粉尘：经塑烧板除尘器处理后通过18m FQ-3排气筒高空达标排放</w:t>
                  </w:r>
                </w:p>
              </w:tc>
              <w:tc>
                <w:tcPr>
                  <w:tcW w:w="2410" w:type="dxa"/>
                  <w:vAlign w:val="center"/>
                </w:tcPr>
                <w:p w14:paraId="402640FE">
                  <w:pPr>
                    <w:jc w:val="center"/>
                    <w:rPr>
                      <w:szCs w:val="21"/>
                    </w:rPr>
                  </w:pPr>
                  <w:r>
                    <w:rPr>
                      <w:szCs w:val="21"/>
                    </w:rPr>
                    <w:t>依托现有</w:t>
                  </w:r>
                </w:p>
              </w:tc>
              <w:tc>
                <w:tcPr>
                  <w:tcW w:w="1984" w:type="dxa"/>
                  <w:vAlign w:val="center"/>
                </w:tcPr>
                <w:p w14:paraId="4920D75A">
                  <w:pPr>
                    <w:pStyle w:val="2"/>
                    <w:jc w:val="center"/>
                    <w:rPr>
                      <w:rFonts w:ascii="Times New Roman" w:cs="Times New Roman"/>
                      <w:color w:val="auto"/>
                      <w:sz w:val="21"/>
                      <w:szCs w:val="21"/>
                    </w:rPr>
                  </w:pPr>
                  <w:r>
                    <w:rPr>
                      <w:rFonts w:hint="eastAsia" w:ascii="Times New Roman" w:cs="Times New Roman"/>
                      <w:color w:val="auto"/>
                      <w:sz w:val="21"/>
                      <w:szCs w:val="21"/>
                    </w:rPr>
                    <w:t>喷硼砂作业、连轧管作业粉尘：经塑烧板除尘器处理后通过18m FQ-3排气筒高空达标排放</w:t>
                  </w:r>
                </w:p>
              </w:tc>
              <w:tc>
                <w:tcPr>
                  <w:tcW w:w="755" w:type="dxa"/>
                  <w:vMerge w:val="continue"/>
                  <w:vAlign w:val="center"/>
                </w:tcPr>
                <w:p w14:paraId="795D921C">
                  <w:pPr>
                    <w:jc w:val="center"/>
                    <w:rPr>
                      <w:szCs w:val="21"/>
                    </w:rPr>
                  </w:pPr>
                </w:p>
              </w:tc>
            </w:tr>
            <w:tr w14:paraId="198587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8" w:type="dxa"/>
                  <w:vMerge w:val="continue"/>
                  <w:vAlign w:val="center"/>
                </w:tcPr>
                <w:p w14:paraId="4B41E81E">
                  <w:pPr>
                    <w:jc w:val="center"/>
                    <w:rPr>
                      <w:szCs w:val="21"/>
                    </w:rPr>
                  </w:pPr>
                </w:p>
              </w:tc>
              <w:tc>
                <w:tcPr>
                  <w:tcW w:w="850" w:type="dxa"/>
                  <w:vAlign w:val="center"/>
                </w:tcPr>
                <w:p w14:paraId="680BE42B">
                  <w:pPr>
                    <w:jc w:val="center"/>
                    <w:rPr>
                      <w:szCs w:val="21"/>
                    </w:rPr>
                  </w:pPr>
                  <w:r>
                    <w:rPr>
                      <w:rFonts w:hint="eastAsia"/>
                      <w:szCs w:val="21"/>
                    </w:rPr>
                    <w:t>噪声</w:t>
                  </w:r>
                </w:p>
              </w:tc>
              <w:tc>
                <w:tcPr>
                  <w:tcW w:w="2552" w:type="dxa"/>
                  <w:vAlign w:val="center"/>
                </w:tcPr>
                <w:p w14:paraId="2FE2898C">
                  <w:pPr>
                    <w:widowControl/>
                    <w:jc w:val="center"/>
                    <w:rPr>
                      <w:kern w:val="0"/>
                      <w:szCs w:val="21"/>
                    </w:rPr>
                  </w:pPr>
                  <w:r>
                    <w:rPr>
                      <w:rFonts w:hint="eastAsia"/>
                      <w:kern w:val="0"/>
                      <w:szCs w:val="21"/>
                    </w:rPr>
                    <w:t>采用低噪声设备、基础减振、隔声等综合措施</w:t>
                  </w:r>
                </w:p>
              </w:tc>
              <w:tc>
                <w:tcPr>
                  <w:tcW w:w="2410" w:type="dxa"/>
                  <w:vAlign w:val="center"/>
                </w:tcPr>
                <w:p w14:paraId="0A32DC73">
                  <w:pPr>
                    <w:jc w:val="center"/>
                    <w:rPr>
                      <w:szCs w:val="21"/>
                    </w:rPr>
                  </w:pPr>
                  <w:r>
                    <w:rPr>
                      <w:rFonts w:hint="eastAsia"/>
                      <w:kern w:val="0"/>
                      <w:szCs w:val="21"/>
                    </w:rPr>
                    <w:t>采用低噪声设备、基础减振、隔声等综合措施</w:t>
                  </w:r>
                </w:p>
              </w:tc>
              <w:tc>
                <w:tcPr>
                  <w:tcW w:w="1984" w:type="dxa"/>
                  <w:vAlign w:val="center"/>
                </w:tcPr>
                <w:p w14:paraId="25B71BD7">
                  <w:pPr>
                    <w:jc w:val="center"/>
                    <w:rPr>
                      <w:szCs w:val="21"/>
                    </w:rPr>
                  </w:pPr>
                  <w:r>
                    <w:rPr>
                      <w:rFonts w:hint="eastAsia"/>
                      <w:kern w:val="0"/>
                      <w:szCs w:val="21"/>
                    </w:rPr>
                    <w:t>采用低噪声设备、基础减振、隔声等综合措施</w:t>
                  </w:r>
                </w:p>
              </w:tc>
              <w:tc>
                <w:tcPr>
                  <w:tcW w:w="755" w:type="dxa"/>
                  <w:vAlign w:val="center"/>
                </w:tcPr>
                <w:p w14:paraId="7D2E351A">
                  <w:pPr>
                    <w:jc w:val="center"/>
                    <w:rPr>
                      <w:szCs w:val="21"/>
                    </w:rPr>
                  </w:pPr>
                  <w:r>
                    <w:rPr>
                      <w:szCs w:val="21"/>
                    </w:rPr>
                    <w:t>淘汰、新增部分设备</w:t>
                  </w:r>
                </w:p>
              </w:tc>
            </w:tr>
            <w:tr w14:paraId="2F94F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8" w:type="dxa"/>
                  <w:vMerge w:val="continue"/>
                  <w:vAlign w:val="center"/>
                </w:tcPr>
                <w:p w14:paraId="611EF845">
                  <w:pPr>
                    <w:jc w:val="center"/>
                    <w:rPr>
                      <w:szCs w:val="21"/>
                    </w:rPr>
                  </w:pPr>
                </w:p>
              </w:tc>
              <w:tc>
                <w:tcPr>
                  <w:tcW w:w="850" w:type="dxa"/>
                  <w:vMerge w:val="restart"/>
                  <w:vAlign w:val="center"/>
                </w:tcPr>
                <w:p w14:paraId="79D35623">
                  <w:pPr>
                    <w:jc w:val="center"/>
                    <w:rPr>
                      <w:szCs w:val="21"/>
                    </w:rPr>
                  </w:pPr>
                  <w:r>
                    <w:rPr>
                      <w:rFonts w:hint="eastAsia"/>
                      <w:szCs w:val="21"/>
                    </w:rPr>
                    <w:t>固废</w:t>
                  </w:r>
                </w:p>
              </w:tc>
              <w:tc>
                <w:tcPr>
                  <w:tcW w:w="2552" w:type="dxa"/>
                  <w:vAlign w:val="center"/>
                </w:tcPr>
                <w:p w14:paraId="55390B57">
                  <w:pPr>
                    <w:pStyle w:val="2"/>
                    <w:jc w:val="center"/>
                    <w:rPr>
                      <w:rFonts w:ascii="Times New Roman" w:cs="Times New Roman"/>
                      <w:color w:val="auto"/>
                      <w:sz w:val="21"/>
                      <w:szCs w:val="21"/>
                    </w:rPr>
                  </w:pPr>
                  <w:r>
                    <w:rPr>
                      <w:rFonts w:ascii="Times New Roman" w:cs="Times New Roman"/>
                      <w:color w:val="auto"/>
                      <w:sz w:val="21"/>
                      <w:szCs w:val="21"/>
                    </w:rPr>
                    <w:t>切头、切尾等废钢：送炼钢厂炼钢综合利用</w:t>
                  </w:r>
                </w:p>
              </w:tc>
              <w:tc>
                <w:tcPr>
                  <w:tcW w:w="2410" w:type="dxa"/>
                  <w:vAlign w:val="center"/>
                </w:tcPr>
                <w:p w14:paraId="4737C4E7">
                  <w:pPr>
                    <w:jc w:val="center"/>
                    <w:rPr>
                      <w:szCs w:val="21"/>
                    </w:rPr>
                  </w:pPr>
                  <w:r>
                    <w:rPr>
                      <w:szCs w:val="21"/>
                    </w:rPr>
                    <w:t>依托现有</w:t>
                  </w:r>
                </w:p>
              </w:tc>
              <w:tc>
                <w:tcPr>
                  <w:tcW w:w="1984" w:type="dxa"/>
                  <w:vAlign w:val="center"/>
                </w:tcPr>
                <w:p w14:paraId="7539D231">
                  <w:pPr>
                    <w:pStyle w:val="2"/>
                    <w:jc w:val="center"/>
                    <w:rPr>
                      <w:rFonts w:ascii="Times New Roman" w:cs="Times New Roman"/>
                      <w:color w:val="auto"/>
                      <w:sz w:val="21"/>
                      <w:szCs w:val="21"/>
                    </w:rPr>
                  </w:pPr>
                  <w:r>
                    <w:rPr>
                      <w:rFonts w:ascii="Times New Roman" w:cs="Times New Roman"/>
                      <w:color w:val="auto"/>
                      <w:sz w:val="21"/>
                      <w:szCs w:val="21"/>
                    </w:rPr>
                    <w:t>切头、切尾、废包装带等废钢：送炼钢厂炼钢综合利用</w:t>
                  </w:r>
                </w:p>
              </w:tc>
              <w:tc>
                <w:tcPr>
                  <w:tcW w:w="755" w:type="dxa"/>
                  <w:vMerge w:val="restart"/>
                  <w:vAlign w:val="center"/>
                </w:tcPr>
                <w:p w14:paraId="73C69A5B">
                  <w:pPr>
                    <w:jc w:val="center"/>
                    <w:rPr>
                      <w:szCs w:val="21"/>
                    </w:rPr>
                  </w:pPr>
                  <w:r>
                    <w:rPr>
                      <w:szCs w:val="21"/>
                    </w:rPr>
                    <w:t>依托，部分固废产量有所变化</w:t>
                  </w:r>
                </w:p>
              </w:tc>
            </w:tr>
            <w:tr w14:paraId="306BAC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8" w:type="dxa"/>
                  <w:vMerge w:val="continue"/>
                  <w:vAlign w:val="center"/>
                </w:tcPr>
                <w:p w14:paraId="64176556">
                  <w:pPr>
                    <w:jc w:val="center"/>
                    <w:rPr>
                      <w:szCs w:val="21"/>
                    </w:rPr>
                  </w:pPr>
                </w:p>
              </w:tc>
              <w:tc>
                <w:tcPr>
                  <w:tcW w:w="850" w:type="dxa"/>
                  <w:vMerge w:val="continue"/>
                  <w:vAlign w:val="center"/>
                </w:tcPr>
                <w:p w14:paraId="3B76364E">
                  <w:pPr>
                    <w:jc w:val="center"/>
                    <w:rPr>
                      <w:szCs w:val="21"/>
                    </w:rPr>
                  </w:pPr>
                </w:p>
              </w:tc>
              <w:tc>
                <w:tcPr>
                  <w:tcW w:w="2552" w:type="dxa"/>
                  <w:vAlign w:val="center"/>
                </w:tcPr>
                <w:p w14:paraId="52BBF900">
                  <w:pPr>
                    <w:pStyle w:val="2"/>
                    <w:jc w:val="center"/>
                    <w:rPr>
                      <w:rFonts w:ascii="Times New Roman" w:cs="Times New Roman"/>
                      <w:color w:val="auto"/>
                      <w:sz w:val="21"/>
                      <w:szCs w:val="21"/>
                    </w:rPr>
                  </w:pPr>
                  <w:r>
                    <w:rPr>
                      <w:rFonts w:ascii="Times New Roman" w:cs="Times New Roman"/>
                      <w:color w:val="auto"/>
                      <w:sz w:val="21"/>
                      <w:szCs w:val="21"/>
                    </w:rPr>
                    <w:t>氧化铁皮、除尘器收集粉尘：送往烧结系统用作原料</w:t>
                  </w:r>
                </w:p>
              </w:tc>
              <w:tc>
                <w:tcPr>
                  <w:tcW w:w="2410" w:type="dxa"/>
                  <w:vAlign w:val="center"/>
                </w:tcPr>
                <w:p w14:paraId="4B4FB301">
                  <w:pPr>
                    <w:jc w:val="center"/>
                    <w:rPr>
                      <w:szCs w:val="21"/>
                    </w:rPr>
                  </w:pPr>
                  <w:r>
                    <w:rPr>
                      <w:szCs w:val="21"/>
                    </w:rPr>
                    <w:t>依托现有</w:t>
                  </w:r>
                </w:p>
              </w:tc>
              <w:tc>
                <w:tcPr>
                  <w:tcW w:w="1984" w:type="dxa"/>
                  <w:vAlign w:val="center"/>
                </w:tcPr>
                <w:p w14:paraId="4148648A">
                  <w:pPr>
                    <w:pStyle w:val="2"/>
                    <w:jc w:val="center"/>
                    <w:rPr>
                      <w:rFonts w:ascii="Times New Roman" w:cs="Times New Roman"/>
                      <w:color w:val="auto"/>
                      <w:sz w:val="21"/>
                      <w:szCs w:val="21"/>
                    </w:rPr>
                  </w:pPr>
                  <w:r>
                    <w:rPr>
                      <w:rFonts w:ascii="Times New Roman" w:cs="Times New Roman"/>
                      <w:color w:val="auto"/>
                      <w:sz w:val="21"/>
                      <w:szCs w:val="21"/>
                    </w:rPr>
                    <w:t>氧化铁皮、除尘器收集粉尘：送往烧结系统用作原料</w:t>
                  </w:r>
                </w:p>
              </w:tc>
              <w:tc>
                <w:tcPr>
                  <w:tcW w:w="755" w:type="dxa"/>
                  <w:vMerge w:val="continue"/>
                  <w:vAlign w:val="center"/>
                </w:tcPr>
                <w:p w14:paraId="1113FB42">
                  <w:pPr>
                    <w:jc w:val="center"/>
                    <w:rPr>
                      <w:szCs w:val="21"/>
                    </w:rPr>
                  </w:pPr>
                </w:p>
              </w:tc>
            </w:tr>
            <w:tr w14:paraId="64193F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8" w:type="dxa"/>
                  <w:vMerge w:val="continue"/>
                  <w:vAlign w:val="center"/>
                </w:tcPr>
                <w:p w14:paraId="3DF0D3C2">
                  <w:pPr>
                    <w:jc w:val="center"/>
                    <w:rPr>
                      <w:szCs w:val="21"/>
                    </w:rPr>
                  </w:pPr>
                </w:p>
              </w:tc>
              <w:tc>
                <w:tcPr>
                  <w:tcW w:w="850" w:type="dxa"/>
                  <w:vMerge w:val="continue"/>
                  <w:vAlign w:val="center"/>
                </w:tcPr>
                <w:p w14:paraId="2588A4E8">
                  <w:pPr>
                    <w:jc w:val="center"/>
                    <w:rPr>
                      <w:szCs w:val="21"/>
                    </w:rPr>
                  </w:pPr>
                </w:p>
              </w:tc>
              <w:tc>
                <w:tcPr>
                  <w:tcW w:w="2552" w:type="dxa"/>
                  <w:vAlign w:val="center"/>
                </w:tcPr>
                <w:p w14:paraId="5D863B44">
                  <w:pPr>
                    <w:pStyle w:val="2"/>
                    <w:jc w:val="center"/>
                    <w:rPr>
                      <w:rFonts w:ascii="Times New Roman" w:cs="Times New Roman"/>
                      <w:color w:val="auto"/>
                      <w:sz w:val="21"/>
                      <w:szCs w:val="21"/>
                    </w:rPr>
                  </w:pPr>
                  <w:r>
                    <w:rPr>
                      <w:rFonts w:ascii="Times New Roman" w:cs="Times New Roman"/>
                      <w:color w:val="auto"/>
                      <w:sz w:val="21"/>
                      <w:szCs w:val="21"/>
                    </w:rPr>
                    <w:t>废耐火材料：外售用作建筑材料</w:t>
                  </w:r>
                </w:p>
              </w:tc>
              <w:tc>
                <w:tcPr>
                  <w:tcW w:w="2410" w:type="dxa"/>
                  <w:vAlign w:val="center"/>
                </w:tcPr>
                <w:p w14:paraId="6E1E7557">
                  <w:pPr>
                    <w:jc w:val="center"/>
                    <w:rPr>
                      <w:szCs w:val="21"/>
                    </w:rPr>
                  </w:pPr>
                  <w:r>
                    <w:rPr>
                      <w:szCs w:val="21"/>
                    </w:rPr>
                    <w:t>依托现有</w:t>
                  </w:r>
                </w:p>
              </w:tc>
              <w:tc>
                <w:tcPr>
                  <w:tcW w:w="1984" w:type="dxa"/>
                  <w:vAlign w:val="center"/>
                </w:tcPr>
                <w:p w14:paraId="40813261">
                  <w:pPr>
                    <w:pStyle w:val="2"/>
                    <w:jc w:val="center"/>
                    <w:rPr>
                      <w:rFonts w:ascii="Times New Roman" w:cs="Times New Roman"/>
                      <w:color w:val="auto"/>
                      <w:sz w:val="21"/>
                      <w:szCs w:val="21"/>
                    </w:rPr>
                  </w:pPr>
                  <w:r>
                    <w:rPr>
                      <w:rFonts w:ascii="Times New Roman" w:cs="Times New Roman"/>
                      <w:color w:val="auto"/>
                      <w:sz w:val="21"/>
                      <w:szCs w:val="21"/>
                    </w:rPr>
                    <w:t>废耐火材料：外售用作建筑材料</w:t>
                  </w:r>
                </w:p>
              </w:tc>
              <w:tc>
                <w:tcPr>
                  <w:tcW w:w="755" w:type="dxa"/>
                  <w:vMerge w:val="continue"/>
                  <w:vAlign w:val="center"/>
                </w:tcPr>
                <w:p w14:paraId="1E997BDB">
                  <w:pPr>
                    <w:jc w:val="center"/>
                    <w:rPr>
                      <w:szCs w:val="21"/>
                    </w:rPr>
                  </w:pPr>
                </w:p>
              </w:tc>
            </w:tr>
            <w:tr w14:paraId="60A44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8" w:type="dxa"/>
                  <w:vMerge w:val="continue"/>
                  <w:vAlign w:val="center"/>
                </w:tcPr>
                <w:p w14:paraId="1509FFB7">
                  <w:pPr>
                    <w:jc w:val="center"/>
                    <w:rPr>
                      <w:szCs w:val="21"/>
                    </w:rPr>
                  </w:pPr>
                </w:p>
              </w:tc>
              <w:tc>
                <w:tcPr>
                  <w:tcW w:w="850" w:type="dxa"/>
                  <w:vMerge w:val="continue"/>
                  <w:vAlign w:val="center"/>
                </w:tcPr>
                <w:p w14:paraId="540E01C2">
                  <w:pPr>
                    <w:jc w:val="center"/>
                    <w:rPr>
                      <w:szCs w:val="21"/>
                    </w:rPr>
                  </w:pPr>
                </w:p>
              </w:tc>
              <w:tc>
                <w:tcPr>
                  <w:tcW w:w="2552" w:type="dxa"/>
                  <w:vAlign w:val="center"/>
                </w:tcPr>
                <w:p w14:paraId="01AE0119">
                  <w:pPr>
                    <w:pStyle w:val="2"/>
                    <w:jc w:val="center"/>
                    <w:rPr>
                      <w:rFonts w:ascii="Times New Roman" w:cs="Times New Roman"/>
                      <w:color w:val="auto"/>
                      <w:sz w:val="21"/>
                      <w:szCs w:val="21"/>
                    </w:rPr>
                  </w:pPr>
                  <w:r>
                    <w:rPr>
                      <w:rFonts w:ascii="Times New Roman" w:cs="Times New Roman"/>
                      <w:color w:val="auto"/>
                      <w:sz w:val="21"/>
                      <w:szCs w:val="21"/>
                    </w:rPr>
                    <w:t>生活垃圾：委托环卫部门清运处理</w:t>
                  </w:r>
                </w:p>
              </w:tc>
              <w:tc>
                <w:tcPr>
                  <w:tcW w:w="2410" w:type="dxa"/>
                  <w:vAlign w:val="center"/>
                </w:tcPr>
                <w:p w14:paraId="66EED7C2">
                  <w:pPr>
                    <w:jc w:val="center"/>
                    <w:rPr>
                      <w:szCs w:val="21"/>
                    </w:rPr>
                  </w:pPr>
                  <w:r>
                    <w:rPr>
                      <w:szCs w:val="21"/>
                    </w:rPr>
                    <w:t>依托现有</w:t>
                  </w:r>
                </w:p>
              </w:tc>
              <w:tc>
                <w:tcPr>
                  <w:tcW w:w="1984" w:type="dxa"/>
                  <w:vAlign w:val="center"/>
                </w:tcPr>
                <w:p w14:paraId="65CB2CF0">
                  <w:pPr>
                    <w:pStyle w:val="2"/>
                    <w:jc w:val="center"/>
                    <w:rPr>
                      <w:rFonts w:ascii="Times New Roman" w:cs="Times New Roman"/>
                      <w:color w:val="auto"/>
                      <w:sz w:val="21"/>
                      <w:szCs w:val="21"/>
                    </w:rPr>
                  </w:pPr>
                  <w:r>
                    <w:rPr>
                      <w:rFonts w:ascii="Times New Roman" w:cs="Times New Roman"/>
                      <w:color w:val="auto"/>
                      <w:sz w:val="21"/>
                      <w:szCs w:val="21"/>
                    </w:rPr>
                    <w:t>生活垃圾：委托环卫部门清运处理</w:t>
                  </w:r>
                </w:p>
              </w:tc>
              <w:tc>
                <w:tcPr>
                  <w:tcW w:w="755" w:type="dxa"/>
                  <w:vMerge w:val="continue"/>
                  <w:vAlign w:val="center"/>
                </w:tcPr>
                <w:p w14:paraId="27CC7C27">
                  <w:pPr>
                    <w:jc w:val="center"/>
                    <w:rPr>
                      <w:szCs w:val="21"/>
                    </w:rPr>
                  </w:pPr>
                </w:p>
              </w:tc>
            </w:tr>
            <w:tr w14:paraId="756B6C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8" w:type="dxa"/>
                  <w:vMerge w:val="continue"/>
                  <w:vAlign w:val="center"/>
                </w:tcPr>
                <w:p w14:paraId="7B8B4FD0">
                  <w:pPr>
                    <w:jc w:val="center"/>
                    <w:rPr>
                      <w:szCs w:val="21"/>
                    </w:rPr>
                  </w:pPr>
                </w:p>
              </w:tc>
              <w:tc>
                <w:tcPr>
                  <w:tcW w:w="850" w:type="dxa"/>
                  <w:vMerge w:val="continue"/>
                  <w:vAlign w:val="center"/>
                </w:tcPr>
                <w:p w14:paraId="2FF09661">
                  <w:pPr>
                    <w:jc w:val="center"/>
                    <w:rPr>
                      <w:szCs w:val="21"/>
                    </w:rPr>
                  </w:pPr>
                </w:p>
              </w:tc>
              <w:tc>
                <w:tcPr>
                  <w:tcW w:w="2552" w:type="dxa"/>
                  <w:vAlign w:val="center"/>
                </w:tcPr>
                <w:p w14:paraId="4571E28B">
                  <w:pPr>
                    <w:pStyle w:val="2"/>
                    <w:jc w:val="center"/>
                    <w:rPr>
                      <w:rFonts w:ascii="Times New Roman" w:cs="Times New Roman"/>
                      <w:color w:val="auto"/>
                      <w:sz w:val="21"/>
                      <w:szCs w:val="21"/>
                    </w:rPr>
                  </w:pPr>
                  <w:r>
                    <w:rPr>
                      <w:rFonts w:ascii="Times New Roman" w:cs="Times New Roman"/>
                      <w:color w:val="auto"/>
                      <w:sz w:val="21"/>
                      <w:szCs w:val="21"/>
                    </w:rPr>
                    <w:t>废润滑油、隔油渣</w:t>
                  </w:r>
                  <w:r>
                    <w:rPr>
                      <w:rFonts w:hint="eastAsia" w:ascii="Times New Roman" w:cs="Times New Roman"/>
                      <w:color w:val="auto"/>
                      <w:sz w:val="21"/>
                      <w:szCs w:val="21"/>
                    </w:rPr>
                    <w:t>：委托有危废资质单位代为处置</w:t>
                  </w:r>
                </w:p>
              </w:tc>
              <w:tc>
                <w:tcPr>
                  <w:tcW w:w="2410" w:type="dxa"/>
                  <w:vAlign w:val="center"/>
                </w:tcPr>
                <w:p w14:paraId="0BF7151F">
                  <w:pPr>
                    <w:jc w:val="center"/>
                    <w:rPr>
                      <w:szCs w:val="21"/>
                    </w:rPr>
                  </w:pPr>
                  <w:r>
                    <w:rPr>
                      <w:szCs w:val="21"/>
                    </w:rPr>
                    <w:t>依托现有</w:t>
                  </w:r>
                </w:p>
              </w:tc>
              <w:tc>
                <w:tcPr>
                  <w:tcW w:w="1984" w:type="dxa"/>
                  <w:vAlign w:val="center"/>
                </w:tcPr>
                <w:p w14:paraId="574A8A2C">
                  <w:pPr>
                    <w:pStyle w:val="2"/>
                    <w:jc w:val="center"/>
                    <w:rPr>
                      <w:rFonts w:ascii="Times New Roman" w:cs="Times New Roman"/>
                      <w:color w:val="auto"/>
                      <w:sz w:val="21"/>
                      <w:szCs w:val="21"/>
                    </w:rPr>
                  </w:pPr>
                  <w:r>
                    <w:rPr>
                      <w:rFonts w:ascii="Times New Roman" w:cs="Times New Roman"/>
                      <w:color w:val="auto"/>
                      <w:sz w:val="21"/>
                      <w:szCs w:val="21"/>
                    </w:rPr>
                    <w:t>废润滑油、隔油渣</w:t>
                  </w:r>
                  <w:r>
                    <w:rPr>
                      <w:rFonts w:hint="eastAsia" w:ascii="Times New Roman" w:cs="Times New Roman"/>
                      <w:color w:val="auto"/>
                      <w:sz w:val="21"/>
                      <w:szCs w:val="21"/>
                    </w:rPr>
                    <w:t>：委托有危废资质单位代为处置</w:t>
                  </w:r>
                </w:p>
              </w:tc>
              <w:tc>
                <w:tcPr>
                  <w:tcW w:w="755" w:type="dxa"/>
                  <w:vMerge w:val="continue"/>
                  <w:vAlign w:val="center"/>
                </w:tcPr>
                <w:p w14:paraId="66BA924C">
                  <w:pPr>
                    <w:jc w:val="center"/>
                    <w:rPr>
                      <w:szCs w:val="21"/>
                    </w:rPr>
                  </w:pPr>
                </w:p>
              </w:tc>
            </w:tr>
          </w:tbl>
          <w:p w14:paraId="6002B04C">
            <w:pPr>
              <w:adjustRightInd w:val="0"/>
              <w:snapToGrid w:val="0"/>
              <w:spacing w:line="360" w:lineRule="auto"/>
              <w:ind w:firstLine="482" w:firstLineChars="200"/>
              <w:rPr>
                <w:b/>
                <w:bCs/>
                <w:sz w:val="24"/>
              </w:rPr>
            </w:pPr>
            <w:r>
              <w:rPr>
                <w:rFonts w:hint="eastAsia"/>
                <w:b/>
                <w:bCs/>
                <w:sz w:val="24"/>
              </w:rPr>
              <w:t>2</w:t>
            </w:r>
            <w:r>
              <w:rPr>
                <w:b/>
                <w:bCs/>
                <w:sz w:val="24"/>
              </w:rPr>
              <w:t>、产品方案</w:t>
            </w:r>
          </w:p>
          <w:p w14:paraId="02801875">
            <w:pPr>
              <w:pStyle w:val="118"/>
              <w:spacing w:line="360" w:lineRule="auto"/>
              <w:ind w:firstLine="480"/>
              <w:rPr>
                <w:rFonts w:eastAsia="宋体" w:cs="Times New Roman"/>
                <w:sz w:val="24"/>
                <w:szCs w:val="24"/>
              </w:rPr>
            </w:pPr>
            <w:r>
              <w:rPr>
                <w:rFonts w:eastAsia="宋体" w:cs="Times New Roman"/>
                <w:sz w:val="24"/>
                <w:szCs w:val="24"/>
              </w:rPr>
              <w:t>项目技改前后生产规模及产品方案见表</w:t>
            </w:r>
            <w:r>
              <w:rPr>
                <w:rFonts w:hint="eastAsia" w:eastAsia="宋体" w:cs="Times New Roman"/>
                <w:sz w:val="24"/>
                <w:szCs w:val="24"/>
              </w:rPr>
              <w:t>2-2。项目技改前后产品具体方案表见表2-3。</w:t>
            </w:r>
          </w:p>
          <w:p w14:paraId="6C05DAB2">
            <w:pPr>
              <w:pStyle w:val="2"/>
              <w:spacing w:beforeLines="50"/>
              <w:jc w:val="center"/>
              <w:rPr>
                <w:rFonts w:ascii="Times New Roman"/>
                <w:b/>
                <w:color w:val="auto"/>
                <w:sz w:val="21"/>
              </w:rPr>
            </w:pPr>
            <w:r>
              <w:rPr>
                <w:rFonts w:ascii="Times New Roman"/>
                <w:b/>
                <w:color w:val="auto"/>
                <w:sz w:val="21"/>
              </w:rPr>
              <w:t>表</w:t>
            </w:r>
            <w:r>
              <w:rPr>
                <w:rFonts w:hint="eastAsia" w:ascii="Times New Roman"/>
                <w:b/>
                <w:color w:val="auto"/>
                <w:sz w:val="21"/>
              </w:rPr>
              <w:t xml:space="preserve">2-2 </w:t>
            </w:r>
            <w:r>
              <w:rPr>
                <w:rFonts w:ascii="Times New Roman"/>
                <w:b/>
                <w:color w:val="auto"/>
                <w:sz w:val="21"/>
              </w:rPr>
              <w:t xml:space="preserve"> 项目技改前后生产规模及成品方案</w:t>
            </w:r>
          </w:p>
          <w:tbl>
            <w:tblPr>
              <w:tblStyle w:val="3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55"/>
              <w:gridCol w:w="1855"/>
              <w:gridCol w:w="1855"/>
              <w:gridCol w:w="1553"/>
              <w:gridCol w:w="2158"/>
            </w:tblGrid>
            <w:tr w14:paraId="5C24C0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0" w:type="pct"/>
                  <w:vAlign w:val="center"/>
                </w:tcPr>
                <w:p w14:paraId="5C347FD8">
                  <w:pPr>
                    <w:widowControl/>
                    <w:jc w:val="center"/>
                    <w:rPr>
                      <w:b/>
                      <w:kern w:val="0"/>
                    </w:rPr>
                  </w:pPr>
                  <w:r>
                    <w:rPr>
                      <w:b/>
                      <w:kern w:val="0"/>
                    </w:rPr>
                    <w:t>产品名称</w:t>
                  </w:r>
                </w:p>
              </w:tc>
              <w:tc>
                <w:tcPr>
                  <w:tcW w:w="1000" w:type="pct"/>
                  <w:vAlign w:val="center"/>
                </w:tcPr>
                <w:p w14:paraId="1189390C">
                  <w:pPr>
                    <w:widowControl/>
                    <w:jc w:val="center"/>
                    <w:rPr>
                      <w:b/>
                      <w:kern w:val="0"/>
                    </w:rPr>
                  </w:pPr>
                  <w:r>
                    <w:rPr>
                      <w:b/>
                      <w:kern w:val="0"/>
                    </w:rPr>
                    <w:t>技改前项目生产规模</w:t>
                  </w:r>
                </w:p>
              </w:tc>
              <w:tc>
                <w:tcPr>
                  <w:tcW w:w="1000" w:type="pct"/>
                  <w:vAlign w:val="center"/>
                </w:tcPr>
                <w:p w14:paraId="3724A6C6">
                  <w:pPr>
                    <w:widowControl/>
                    <w:jc w:val="center"/>
                    <w:rPr>
                      <w:b/>
                      <w:kern w:val="0"/>
                    </w:rPr>
                  </w:pPr>
                  <w:r>
                    <w:rPr>
                      <w:b/>
                      <w:kern w:val="0"/>
                    </w:rPr>
                    <w:t>技改后项目生产规模</w:t>
                  </w:r>
                </w:p>
              </w:tc>
              <w:tc>
                <w:tcPr>
                  <w:tcW w:w="837" w:type="pct"/>
                  <w:vAlign w:val="center"/>
                </w:tcPr>
                <w:p w14:paraId="3B94A57C">
                  <w:pPr>
                    <w:widowControl/>
                    <w:jc w:val="center"/>
                    <w:rPr>
                      <w:b/>
                      <w:kern w:val="0"/>
                    </w:rPr>
                  </w:pPr>
                  <w:r>
                    <w:rPr>
                      <w:b/>
                      <w:kern w:val="0"/>
                    </w:rPr>
                    <w:t>增减量</w:t>
                  </w:r>
                </w:p>
              </w:tc>
              <w:tc>
                <w:tcPr>
                  <w:tcW w:w="1164" w:type="pct"/>
                  <w:vAlign w:val="center"/>
                </w:tcPr>
                <w:p w14:paraId="45C7E9AE">
                  <w:pPr>
                    <w:widowControl/>
                    <w:jc w:val="center"/>
                    <w:rPr>
                      <w:b/>
                      <w:kern w:val="0"/>
                    </w:rPr>
                  </w:pPr>
                  <w:r>
                    <w:rPr>
                      <w:b/>
                      <w:kern w:val="0"/>
                    </w:rPr>
                    <w:t>备注</w:t>
                  </w:r>
                </w:p>
              </w:tc>
            </w:tr>
            <w:tr w14:paraId="5FE78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0" w:type="pct"/>
                  <w:vAlign w:val="center"/>
                </w:tcPr>
                <w:p w14:paraId="274B3CC0">
                  <w:pPr>
                    <w:widowControl/>
                    <w:jc w:val="center"/>
                    <w:rPr>
                      <w:kern w:val="0"/>
                    </w:rPr>
                  </w:pPr>
                  <w:r>
                    <w:rPr>
                      <w:kern w:val="0"/>
                    </w:rPr>
                    <w:t>热轧无缝钢管</w:t>
                  </w:r>
                </w:p>
              </w:tc>
              <w:tc>
                <w:tcPr>
                  <w:tcW w:w="1000" w:type="pct"/>
                  <w:vAlign w:val="center"/>
                </w:tcPr>
                <w:p w14:paraId="32C34205">
                  <w:pPr>
                    <w:widowControl/>
                    <w:jc w:val="center"/>
                    <w:rPr>
                      <w:kern w:val="0"/>
                    </w:rPr>
                  </w:pPr>
                  <w:r>
                    <w:rPr>
                      <w:rFonts w:hint="eastAsia"/>
                      <w:kern w:val="0"/>
                    </w:rPr>
                    <w:t>20万t/a</w:t>
                  </w:r>
                </w:p>
              </w:tc>
              <w:tc>
                <w:tcPr>
                  <w:tcW w:w="1000" w:type="pct"/>
                  <w:vAlign w:val="center"/>
                </w:tcPr>
                <w:p w14:paraId="1861D435">
                  <w:pPr>
                    <w:widowControl/>
                    <w:jc w:val="center"/>
                    <w:rPr>
                      <w:kern w:val="0"/>
                    </w:rPr>
                  </w:pPr>
                  <w:r>
                    <w:rPr>
                      <w:rFonts w:hint="eastAsia"/>
                      <w:kern w:val="0"/>
                    </w:rPr>
                    <w:t>28万t/a</w:t>
                  </w:r>
                </w:p>
              </w:tc>
              <w:tc>
                <w:tcPr>
                  <w:tcW w:w="837" w:type="pct"/>
                  <w:vAlign w:val="center"/>
                </w:tcPr>
                <w:p w14:paraId="0338508D">
                  <w:pPr>
                    <w:widowControl/>
                    <w:jc w:val="center"/>
                    <w:rPr>
                      <w:kern w:val="0"/>
                    </w:rPr>
                  </w:pPr>
                  <w:r>
                    <w:rPr>
                      <w:kern w:val="0"/>
                    </w:rPr>
                    <w:t>+</w:t>
                  </w:r>
                  <w:r>
                    <w:rPr>
                      <w:rFonts w:hint="eastAsia"/>
                      <w:kern w:val="0"/>
                    </w:rPr>
                    <w:t>8万t/a</w:t>
                  </w:r>
                </w:p>
              </w:tc>
              <w:tc>
                <w:tcPr>
                  <w:tcW w:w="1164" w:type="pct"/>
                  <w:vAlign w:val="center"/>
                </w:tcPr>
                <w:p w14:paraId="1CF7B4D6">
                  <w:pPr>
                    <w:widowControl/>
                    <w:jc w:val="center"/>
                    <w:rPr>
                      <w:kern w:val="0"/>
                    </w:rPr>
                  </w:pPr>
                  <w:r>
                    <w:rPr>
                      <w:rFonts w:hint="eastAsia"/>
                      <w:kern w:val="0"/>
                    </w:rPr>
                    <w:t>其中6万吨进入热处理生产线进行调质</w:t>
                  </w:r>
                </w:p>
              </w:tc>
            </w:tr>
          </w:tbl>
          <w:p w14:paraId="144220B6">
            <w:pPr>
              <w:pStyle w:val="2"/>
              <w:spacing w:beforeLines="50"/>
              <w:jc w:val="center"/>
              <w:rPr>
                <w:rFonts w:ascii="Times New Roman"/>
                <w:b/>
                <w:color w:val="auto"/>
                <w:sz w:val="21"/>
              </w:rPr>
            </w:pPr>
            <w:r>
              <w:rPr>
                <w:rFonts w:ascii="Times New Roman"/>
                <w:b/>
                <w:color w:val="auto"/>
                <w:sz w:val="21"/>
              </w:rPr>
              <w:t>表</w:t>
            </w:r>
            <w:r>
              <w:rPr>
                <w:rFonts w:hint="eastAsia" w:ascii="Times New Roman"/>
                <w:b/>
                <w:color w:val="auto"/>
                <w:sz w:val="21"/>
              </w:rPr>
              <w:t>2-3</w:t>
            </w:r>
            <w:r>
              <w:rPr>
                <w:rFonts w:ascii="Times New Roman"/>
                <w:b/>
                <w:color w:val="auto"/>
                <w:sz w:val="21"/>
              </w:rPr>
              <w:t xml:space="preserve">  项目技改前后产品方案表</w:t>
            </w:r>
          </w:p>
          <w:tbl>
            <w:tblPr>
              <w:tblStyle w:val="32"/>
              <w:tblW w:w="92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3"/>
              <w:gridCol w:w="851"/>
              <w:gridCol w:w="1659"/>
              <w:gridCol w:w="1459"/>
              <w:gridCol w:w="851"/>
              <w:gridCol w:w="783"/>
              <w:gridCol w:w="1343"/>
              <w:gridCol w:w="992"/>
              <w:gridCol w:w="758"/>
            </w:tblGrid>
            <w:tr w14:paraId="1DDBD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83" w:type="dxa"/>
                  <w:vMerge w:val="restart"/>
                  <w:vAlign w:val="center"/>
                </w:tcPr>
                <w:p w14:paraId="761C2E40">
                  <w:pPr>
                    <w:pStyle w:val="2"/>
                    <w:jc w:val="center"/>
                    <w:rPr>
                      <w:rFonts w:ascii="Times New Roman"/>
                      <w:b/>
                      <w:bCs/>
                      <w:sz w:val="18"/>
                      <w:szCs w:val="18"/>
                    </w:rPr>
                  </w:pPr>
                  <w:r>
                    <w:rPr>
                      <w:rFonts w:ascii="Times New Roman"/>
                      <w:b/>
                      <w:bCs/>
                      <w:sz w:val="18"/>
                      <w:szCs w:val="18"/>
                    </w:rPr>
                    <w:t>序号</w:t>
                  </w:r>
                </w:p>
              </w:tc>
              <w:tc>
                <w:tcPr>
                  <w:tcW w:w="851" w:type="dxa"/>
                  <w:vMerge w:val="restart"/>
                  <w:vAlign w:val="center"/>
                </w:tcPr>
                <w:p w14:paraId="27FF6CA2">
                  <w:pPr>
                    <w:pStyle w:val="2"/>
                    <w:jc w:val="center"/>
                    <w:rPr>
                      <w:rFonts w:ascii="Times New Roman"/>
                      <w:b/>
                      <w:bCs/>
                      <w:sz w:val="18"/>
                      <w:szCs w:val="18"/>
                    </w:rPr>
                  </w:pPr>
                  <w:r>
                    <w:rPr>
                      <w:rFonts w:ascii="Times New Roman"/>
                      <w:b/>
                      <w:bCs/>
                      <w:sz w:val="18"/>
                      <w:szCs w:val="18"/>
                    </w:rPr>
                    <w:t>品种</w:t>
                  </w:r>
                </w:p>
              </w:tc>
              <w:tc>
                <w:tcPr>
                  <w:tcW w:w="1659" w:type="dxa"/>
                  <w:vMerge w:val="restart"/>
                  <w:vAlign w:val="center"/>
                </w:tcPr>
                <w:p w14:paraId="4411E6CD">
                  <w:pPr>
                    <w:pStyle w:val="2"/>
                    <w:jc w:val="center"/>
                    <w:rPr>
                      <w:rFonts w:ascii="Times New Roman"/>
                      <w:b/>
                      <w:bCs/>
                      <w:sz w:val="18"/>
                      <w:szCs w:val="18"/>
                    </w:rPr>
                  </w:pPr>
                  <w:r>
                    <w:rPr>
                      <w:rFonts w:ascii="Times New Roman"/>
                      <w:b/>
                      <w:bCs/>
                      <w:sz w:val="18"/>
                      <w:szCs w:val="18"/>
                    </w:rPr>
                    <w:t>代表钢号</w:t>
                  </w:r>
                </w:p>
              </w:tc>
              <w:tc>
                <w:tcPr>
                  <w:tcW w:w="3093" w:type="dxa"/>
                  <w:gridSpan w:val="3"/>
                  <w:vAlign w:val="center"/>
                </w:tcPr>
                <w:p w14:paraId="574336AE">
                  <w:pPr>
                    <w:pStyle w:val="119"/>
                    <w:widowControl/>
                    <w:spacing w:beforeLines="0" w:afterLines="0" w:line="240" w:lineRule="auto"/>
                    <w:ind w:firstLine="0" w:firstLineChars="0"/>
                    <w:jc w:val="center"/>
                    <w:rPr>
                      <w:b/>
                      <w:bCs/>
                      <w:sz w:val="18"/>
                      <w:szCs w:val="18"/>
                    </w:rPr>
                  </w:pPr>
                  <w:r>
                    <w:rPr>
                      <w:b/>
                      <w:bCs/>
                      <w:sz w:val="18"/>
                      <w:szCs w:val="18"/>
                    </w:rPr>
                    <w:t>技改前</w:t>
                  </w:r>
                </w:p>
              </w:tc>
              <w:tc>
                <w:tcPr>
                  <w:tcW w:w="3093" w:type="dxa"/>
                  <w:gridSpan w:val="3"/>
                  <w:vAlign w:val="center"/>
                </w:tcPr>
                <w:p w14:paraId="0AB2001B">
                  <w:pPr>
                    <w:pStyle w:val="119"/>
                    <w:widowControl/>
                    <w:spacing w:beforeLines="0" w:afterLines="0" w:line="240" w:lineRule="auto"/>
                    <w:ind w:firstLine="0" w:firstLineChars="0"/>
                    <w:jc w:val="center"/>
                    <w:rPr>
                      <w:b/>
                      <w:bCs/>
                      <w:sz w:val="18"/>
                      <w:szCs w:val="18"/>
                    </w:rPr>
                  </w:pPr>
                  <w:r>
                    <w:rPr>
                      <w:b/>
                      <w:bCs/>
                      <w:sz w:val="18"/>
                      <w:szCs w:val="18"/>
                    </w:rPr>
                    <w:t>技改后</w:t>
                  </w:r>
                </w:p>
              </w:tc>
            </w:tr>
            <w:tr w14:paraId="7E7BA2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83" w:type="dxa"/>
                  <w:vMerge w:val="continue"/>
                  <w:vAlign w:val="center"/>
                </w:tcPr>
                <w:p w14:paraId="450062E3">
                  <w:pPr>
                    <w:pStyle w:val="2"/>
                    <w:jc w:val="center"/>
                    <w:rPr>
                      <w:rFonts w:ascii="Times New Roman"/>
                      <w:b/>
                      <w:color w:val="auto"/>
                      <w:sz w:val="18"/>
                      <w:szCs w:val="18"/>
                    </w:rPr>
                  </w:pPr>
                </w:p>
              </w:tc>
              <w:tc>
                <w:tcPr>
                  <w:tcW w:w="851" w:type="dxa"/>
                  <w:vMerge w:val="continue"/>
                  <w:vAlign w:val="center"/>
                </w:tcPr>
                <w:p w14:paraId="200F5B24">
                  <w:pPr>
                    <w:pStyle w:val="2"/>
                    <w:jc w:val="center"/>
                    <w:rPr>
                      <w:rFonts w:ascii="Times New Roman"/>
                      <w:b/>
                      <w:color w:val="auto"/>
                      <w:sz w:val="18"/>
                      <w:szCs w:val="18"/>
                    </w:rPr>
                  </w:pPr>
                </w:p>
              </w:tc>
              <w:tc>
                <w:tcPr>
                  <w:tcW w:w="1659" w:type="dxa"/>
                  <w:vMerge w:val="continue"/>
                  <w:vAlign w:val="center"/>
                </w:tcPr>
                <w:p w14:paraId="40FC084D">
                  <w:pPr>
                    <w:pStyle w:val="2"/>
                    <w:jc w:val="center"/>
                    <w:rPr>
                      <w:rFonts w:ascii="Times New Roman"/>
                      <w:b/>
                      <w:color w:val="auto"/>
                      <w:sz w:val="18"/>
                      <w:szCs w:val="18"/>
                    </w:rPr>
                  </w:pPr>
                </w:p>
              </w:tc>
              <w:tc>
                <w:tcPr>
                  <w:tcW w:w="1459" w:type="dxa"/>
                  <w:vAlign w:val="center"/>
                </w:tcPr>
                <w:p w14:paraId="51FA3D3B">
                  <w:pPr>
                    <w:pStyle w:val="119"/>
                    <w:widowControl/>
                    <w:spacing w:beforeLines="0" w:afterLines="0" w:line="240" w:lineRule="auto"/>
                    <w:ind w:firstLine="0" w:firstLineChars="0"/>
                    <w:jc w:val="center"/>
                    <w:rPr>
                      <w:b/>
                      <w:bCs/>
                      <w:sz w:val="18"/>
                      <w:szCs w:val="18"/>
                    </w:rPr>
                  </w:pPr>
                  <w:r>
                    <w:rPr>
                      <w:b/>
                      <w:bCs/>
                      <w:sz w:val="18"/>
                      <w:szCs w:val="18"/>
                    </w:rPr>
                    <w:t>产品规格范围</w:t>
                  </w:r>
                </w:p>
                <w:p w14:paraId="2B481782">
                  <w:pPr>
                    <w:pStyle w:val="119"/>
                    <w:widowControl/>
                    <w:spacing w:beforeLines="0" w:afterLines="0" w:line="240" w:lineRule="auto"/>
                    <w:ind w:firstLine="0" w:firstLineChars="0"/>
                    <w:jc w:val="center"/>
                    <w:rPr>
                      <w:b/>
                      <w:bCs/>
                      <w:sz w:val="18"/>
                      <w:szCs w:val="18"/>
                    </w:rPr>
                  </w:pPr>
                  <w:r>
                    <w:rPr>
                      <w:b/>
                      <w:bCs/>
                      <w:sz w:val="18"/>
                      <w:szCs w:val="18"/>
                    </w:rPr>
                    <w:t>外径×壁厚×长度（mm）</w:t>
                  </w:r>
                </w:p>
              </w:tc>
              <w:tc>
                <w:tcPr>
                  <w:tcW w:w="851" w:type="dxa"/>
                  <w:vAlign w:val="center"/>
                </w:tcPr>
                <w:p w14:paraId="373DD585">
                  <w:pPr>
                    <w:pStyle w:val="119"/>
                    <w:widowControl/>
                    <w:spacing w:beforeLines="0" w:afterLines="0" w:line="240" w:lineRule="auto"/>
                    <w:ind w:firstLine="0" w:firstLineChars="0"/>
                    <w:jc w:val="center"/>
                    <w:rPr>
                      <w:b/>
                      <w:sz w:val="18"/>
                      <w:szCs w:val="18"/>
                    </w:rPr>
                  </w:pPr>
                  <w:r>
                    <w:rPr>
                      <w:b/>
                      <w:bCs/>
                      <w:sz w:val="18"/>
                      <w:szCs w:val="18"/>
                    </w:rPr>
                    <w:t>年产量（t）</w:t>
                  </w:r>
                </w:p>
              </w:tc>
              <w:tc>
                <w:tcPr>
                  <w:tcW w:w="783" w:type="dxa"/>
                  <w:vAlign w:val="center"/>
                </w:tcPr>
                <w:p w14:paraId="26D7EB8C">
                  <w:pPr>
                    <w:pStyle w:val="119"/>
                    <w:widowControl/>
                    <w:spacing w:beforeLines="0" w:afterLines="0" w:line="240" w:lineRule="auto"/>
                    <w:ind w:firstLine="0" w:firstLineChars="0"/>
                    <w:jc w:val="center"/>
                    <w:rPr>
                      <w:b/>
                      <w:sz w:val="18"/>
                      <w:szCs w:val="18"/>
                    </w:rPr>
                  </w:pPr>
                  <w:r>
                    <w:rPr>
                      <w:b/>
                      <w:bCs/>
                      <w:sz w:val="18"/>
                      <w:szCs w:val="18"/>
                    </w:rPr>
                    <w:t>比例（%）</w:t>
                  </w:r>
                </w:p>
              </w:tc>
              <w:tc>
                <w:tcPr>
                  <w:tcW w:w="1343" w:type="dxa"/>
                  <w:vAlign w:val="center"/>
                </w:tcPr>
                <w:p w14:paraId="3D0FF463">
                  <w:pPr>
                    <w:pStyle w:val="119"/>
                    <w:widowControl/>
                    <w:spacing w:beforeLines="0" w:afterLines="0" w:line="240" w:lineRule="auto"/>
                    <w:ind w:firstLine="0" w:firstLineChars="0"/>
                    <w:jc w:val="center"/>
                    <w:rPr>
                      <w:b/>
                      <w:bCs/>
                      <w:sz w:val="18"/>
                      <w:szCs w:val="18"/>
                    </w:rPr>
                  </w:pPr>
                  <w:r>
                    <w:rPr>
                      <w:b/>
                      <w:bCs/>
                      <w:sz w:val="18"/>
                      <w:szCs w:val="18"/>
                    </w:rPr>
                    <w:t>产品规格范围</w:t>
                  </w:r>
                </w:p>
                <w:p w14:paraId="66B2A0D5">
                  <w:pPr>
                    <w:pStyle w:val="119"/>
                    <w:widowControl/>
                    <w:spacing w:beforeLines="0" w:afterLines="0" w:line="240" w:lineRule="auto"/>
                    <w:ind w:firstLine="0" w:firstLineChars="0"/>
                    <w:jc w:val="center"/>
                    <w:rPr>
                      <w:b/>
                      <w:bCs/>
                      <w:sz w:val="18"/>
                      <w:szCs w:val="18"/>
                    </w:rPr>
                  </w:pPr>
                  <w:r>
                    <w:rPr>
                      <w:b/>
                      <w:bCs/>
                      <w:sz w:val="18"/>
                      <w:szCs w:val="18"/>
                    </w:rPr>
                    <w:t>外径×壁厚×长度（mm）</w:t>
                  </w:r>
                </w:p>
              </w:tc>
              <w:tc>
                <w:tcPr>
                  <w:tcW w:w="992" w:type="dxa"/>
                  <w:vAlign w:val="center"/>
                </w:tcPr>
                <w:p w14:paraId="437524FB">
                  <w:pPr>
                    <w:pStyle w:val="119"/>
                    <w:widowControl/>
                    <w:spacing w:beforeLines="0" w:afterLines="0" w:line="240" w:lineRule="auto"/>
                    <w:ind w:firstLine="0" w:firstLineChars="0"/>
                    <w:jc w:val="center"/>
                    <w:rPr>
                      <w:b/>
                      <w:sz w:val="18"/>
                      <w:szCs w:val="18"/>
                    </w:rPr>
                  </w:pPr>
                  <w:r>
                    <w:rPr>
                      <w:b/>
                      <w:bCs/>
                      <w:sz w:val="18"/>
                      <w:szCs w:val="18"/>
                    </w:rPr>
                    <w:t>年产量（t）</w:t>
                  </w:r>
                </w:p>
              </w:tc>
              <w:tc>
                <w:tcPr>
                  <w:tcW w:w="758" w:type="dxa"/>
                  <w:vAlign w:val="center"/>
                </w:tcPr>
                <w:p w14:paraId="76FCF9B3">
                  <w:pPr>
                    <w:pStyle w:val="119"/>
                    <w:widowControl/>
                    <w:spacing w:beforeLines="0" w:afterLines="0" w:line="240" w:lineRule="auto"/>
                    <w:ind w:firstLine="0" w:firstLineChars="0"/>
                    <w:jc w:val="center"/>
                    <w:rPr>
                      <w:b/>
                      <w:sz w:val="18"/>
                      <w:szCs w:val="18"/>
                    </w:rPr>
                  </w:pPr>
                  <w:r>
                    <w:rPr>
                      <w:b/>
                      <w:bCs/>
                      <w:sz w:val="18"/>
                      <w:szCs w:val="18"/>
                    </w:rPr>
                    <w:t>比例（%）</w:t>
                  </w:r>
                </w:p>
              </w:tc>
            </w:tr>
            <w:tr w14:paraId="71D130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83" w:type="dxa"/>
                  <w:vAlign w:val="center"/>
                </w:tcPr>
                <w:p w14:paraId="6970228F">
                  <w:pPr>
                    <w:pStyle w:val="119"/>
                    <w:widowControl/>
                    <w:spacing w:beforeLines="0" w:afterLines="0" w:line="240" w:lineRule="auto"/>
                    <w:ind w:firstLine="0" w:firstLineChars="0"/>
                    <w:jc w:val="center"/>
                    <w:rPr>
                      <w:bCs/>
                      <w:sz w:val="18"/>
                      <w:szCs w:val="18"/>
                    </w:rPr>
                  </w:pPr>
                  <w:r>
                    <w:rPr>
                      <w:bCs/>
                      <w:sz w:val="18"/>
                      <w:szCs w:val="18"/>
                    </w:rPr>
                    <w:t>1</w:t>
                  </w:r>
                </w:p>
              </w:tc>
              <w:tc>
                <w:tcPr>
                  <w:tcW w:w="851" w:type="dxa"/>
                  <w:vAlign w:val="center"/>
                </w:tcPr>
                <w:p w14:paraId="2200DB44">
                  <w:pPr>
                    <w:pStyle w:val="119"/>
                    <w:widowControl/>
                    <w:spacing w:beforeLines="0" w:afterLines="0" w:line="240" w:lineRule="auto"/>
                    <w:ind w:firstLine="0" w:firstLineChars="0"/>
                    <w:jc w:val="center"/>
                    <w:rPr>
                      <w:bCs/>
                      <w:sz w:val="18"/>
                      <w:szCs w:val="18"/>
                    </w:rPr>
                  </w:pPr>
                  <w:r>
                    <w:rPr>
                      <w:bCs/>
                      <w:sz w:val="18"/>
                      <w:szCs w:val="18"/>
                    </w:rPr>
                    <w:t>油管管料</w:t>
                  </w:r>
                </w:p>
              </w:tc>
              <w:tc>
                <w:tcPr>
                  <w:tcW w:w="1659" w:type="dxa"/>
                  <w:vAlign w:val="center"/>
                </w:tcPr>
                <w:p w14:paraId="3C7C9BDC">
                  <w:pPr>
                    <w:pStyle w:val="119"/>
                    <w:widowControl/>
                    <w:spacing w:beforeLines="0" w:afterLines="0" w:line="240" w:lineRule="auto"/>
                    <w:ind w:firstLine="0" w:firstLineChars="0"/>
                    <w:jc w:val="center"/>
                    <w:rPr>
                      <w:bCs/>
                      <w:sz w:val="18"/>
                      <w:szCs w:val="18"/>
                    </w:rPr>
                  </w:pPr>
                  <w:r>
                    <w:rPr>
                      <w:bCs/>
                      <w:sz w:val="18"/>
                      <w:szCs w:val="18"/>
                    </w:rPr>
                    <w:t>J55、K55、N80-1、N80Q、L80-1、R95、P110</w:t>
                  </w:r>
                </w:p>
              </w:tc>
              <w:tc>
                <w:tcPr>
                  <w:tcW w:w="1459" w:type="dxa"/>
                  <w:vAlign w:val="center"/>
                </w:tcPr>
                <w:p w14:paraId="3A1BFF81">
                  <w:pPr>
                    <w:pStyle w:val="119"/>
                    <w:widowControl/>
                    <w:spacing w:beforeLines="0" w:afterLines="0" w:line="240" w:lineRule="auto"/>
                    <w:ind w:firstLine="0" w:firstLineChars="0"/>
                    <w:jc w:val="center"/>
                    <w:rPr>
                      <w:bCs/>
                      <w:sz w:val="18"/>
                      <w:szCs w:val="18"/>
                    </w:rPr>
                  </w:pPr>
                  <w:r>
                    <w:rPr>
                      <w:bCs/>
                      <w:sz w:val="18"/>
                      <w:szCs w:val="18"/>
                    </w:rPr>
                    <w:t>Ф48.3~Ф114.30×4.24~10.92×5490~12500</w:t>
                  </w:r>
                </w:p>
              </w:tc>
              <w:tc>
                <w:tcPr>
                  <w:tcW w:w="851" w:type="dxa"/>
                  <w:vAlign w:val="center"/>
                </w:tcPr>
                <w:p w14:paraId="4D4102C1">
                  <w:pPr>
                    <w:pStyle w:val="119"/>
                    <w:widowControl/>
                    <w:spacing w:beforeLines="0" w:afterLines="0" w:line="240" w:lineRule="auto"/>
                    <w:ind w:firstLine="0" w:firstLineChars="0"/>
                    <w:jc w:val="center"/>
                    <w:rPr>
                      <w:bCs/>
                      <w:sz w:val="18"/>
                      <w:szCs w:val="18"/>
                    </w:rPr>
                  </w:pPr>
                  <w:r>
                    <w:rPr>
                      <w:bCs/>
                      <w:sz w:val="18"/>
                      <w:szCs w:val="18"/>
                    </w:rPr>
                    <w:t>90000</w:t>
                  </w:r>
                </w:p>
              </w:tc>
              <w:tc>
                <w:tcPr>
                  <w:tcW w:w="783" w:type="dxa"/>
                  <w:vAlign w:val="center"/>
                </w:tcPr>
                <w:p w14:paraId="71017FF7">
                  <w:pPr>
                    <w:pStyle w:val="119"/>
                    <w:widowControl/>
                    <w:spacing w:beforeLines="0" w:afterLines="0" w:line="240" w:lineRule="auto"/>
                    <w:ind w:firstLine="0" w:firstLineChars="0"/>
                    <w:jc w:val="center"/>
                    <w:rPr>
                      <w:bCs/>
                      <w:sz w:val="18"/>
                      <w:szCs w:val="18"/>
                    </w:rPr>
                  </w:pPr>
                  <w:r>
                    <w:rPr>
                      <w:bCs/>
                      <w:sz w:val="18"/>
                      <w:szCs w:val="18"/>
                    </w:rPr>
                    <w:t>45</w:t>
                  </w:r>
                </w:p>
              </w:tc>
              <w:tc>
                <w:tcPr>
                  <w:tcW w:w="1343" w:type="dxa"/>
                  <w:vAlign w:val="center"/>
                </w:tcPr>
                <w:p w14:paraId="4793535B">
                  <w:pPr>
                    <w:rPr>
                      <w:sz w:val="18"/>
                      <w:szCs w:val="18"/>
                    </w:rPr>
                  </w:pPr>
                  <w:r>
                    <w:rPr>
                      <w:sz w:val="18"/>
                      <w:szCs w:val="18"/>
                    </w:rPr>
                    <w:t>Ф33.4~Ф114.30×4.24~10.92×5490~12500</w:t>
                  </w:r>
                </w:p>
              </w:tc>
              <w:tc>
                <w:tcPr>
                  <w:tcW w:w="992" w:type="dxa"/>
                  <w:vAlign w:val="center"/>
                </w:tcPr>
                <w:p w14:paraId="2E59874E">
                  <w:pPr>
                    <w:pStyle w:val="119"/>
                    <w:widowControl/>
                    <w:spacing w:beforeLines="0" w:afterLines="0" w:line="240" w:lineRule="auto"/>
                    <w:ind w:firstLine="0" w:firstLineChars="0"/>
                    <w:jc w:val="center"/>
                    <w:rPr>
                      <w:bCs/>
                      <w:kern w:val="0"/>
                      <w:sz w:val="21"/>
                      <w:szCs w:val="21"/>
                    </w:rPr>
                  </w:pPr>
                  <w:r>
                    <w:rPr>
                      <w:rFonts w:hint="eastAsia"/>
                      <w:bCs/>
                      <w:kern w:val="0"/>
                      <w:sz w:val="21"/>
                      <w:szCs w:val="21"/>
                    </w:rPr>
                    <w:t>125000</w:t>
                  </w:r>
                </w:p>
              </w:tc>
              <w:tc>
                <w:tcPr>
                  <w:tcW w:w="758" w:type="dxa"/>
                  <w:vAlign w:val="center"/>
                </w:tcPr>
                <w:p w14:paraId="3AD9BE91">
                  <w:pPr>
                    <w:pStyle w:val="119"/>
                    <w:widowControl/>
                    <w:spacing w:beforeLines="0" w:afterLines="0" w:line="240" w:lineRule="auto"/>
                    <w:ind w:firstLine="0" w:firstLineChars="0"/>
                    <w:jc w:val="center"/>
                    <w:rPr>
                      <w:bCs/>
                      <w:kern w:val="0"/>
                      <w:sz w:val="21"/>
                      <w:szCs w:val="21"/>
                    </w:rPr>
                  </w:pPr>
                  <w:r>
                    <w:rPr>
                      <w:rFonts w:hint="eastAsia"/>
                      <w:bCs/>
                      <w:kern w:val="0"/>
                      <w:sz w:val="21"/>
                      <w:szCs w:val="21"/>
                    </w:rPr>
                    <w:t>44.6</w:t>
                  </w:r>
                </w:p>
              </w:tc>
            </w:tr>
            <w:tr w14:paraId="76B732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83" w:type="dxa"/>
                  <w:vAlign w:val="center"/>
                </w:tcPr>
                <w:p w14:paraId="6D751C51">
                  <w:pPr>
                    <w:pStyle w:val="119"/>
                    <w:widowControl/>
                    <w:spacing w:beforeLines="0" w:afterLines="0" w:line="240" w:lineRule="auto"/>
                    <w:ind w:firstLine="0" w:firstLineChars="0"/>
                    <w:jc w:val="center"/>
                    <w:rPr>
                      <w:bCs/>
                      <w:sz w:val="18"/>
                      <w:szCs w:val="18"/>
                    </w:rPr>
                  </w:pPr>
                  <w:r>
                    <w:rPr>
                      <w:bCs/>
                      <w:sz w:val="18"/>
                      <w:szCs w:val="18"/>
                    </w:rPr>
                    <w:t>2</w:t>
                  </w:r>
                </w:p>
              </w:tc>
              <w:tc>
                <w:tcPr>
                  <w:tcW w:w="851" w:type="dxa"/>
                  <w:vAlign w:val="center"/>
                </w:tcPr>
                <w:p w14:paraId="2E3D5C73">
                  <w:pPr>
                    <w:pStyle w:val="119"/>
                    <w:widowControl/>
                    <w:spacing w:beforeLines="0" w:afterLines="0" w:line="240" w:lineRule="auto"/>
                    <w:ind w:firstLine="0" w:firstLineChars="0"/>
                    <w:jc w:val="center"/>
                    <w:rPr>
                      <w:bCs/>
                      <w:sz w:val="18"/>
                      <w:szCs w:val="18"/>
                    </w:rPr>
                  </w:pPr>
                  <w:r>
                    <w:rPr>
                      <w:bCs/>
                      <w:sz w:val="18"/>
                      <w:szCs w:val="18"/>
                    </w:rPr>
                    <w:t>高钢级油管管料</w:t>
                  </w:r>
                </w:p>
              </w:tc>
              <w:tc>
                <w:tcPr>
                  <w:tcW w:w="1659" w:type="dxa"/>
                  <w:vAlign w:val="center"/>
                </w:tcPr>
                <w:p w14:paraId="67CC4A78">
                  <w:pPr>
                    <w:pStyle w:val="119"/>
                    <w:widowControl/>
                    <w:spacing w:beforeLines="0" w:afterLines="0" w:line="240" w:lineRule="auto"/>
                    <w:ind w:firstLine="0" w:firstLineChars="0"/>
                    <w:jc w:val="center"/>
                    <w:rPr>
                      <w:bCs/>
                      <w:sz w:val="18"/>
                      <w:szCs w:val="18"/>
                    </w:rPr>
                  </w:pPr>
                  <w:r>
                    <w:rPr>
                      <w:bCs/>
                      <w:sz w:val="18"/>
                      <w:szCs w:val="18"/>
                    </w:rPr>
                    <w:t>L80-1Cr、L80-3Cr、 L80-13Cr、C90、T95、C110、80S、95S、110S、110-3Cr</w:t>
                  </w:r>
                </w:p>
              </w:tc>
              <w:tc>
                <w:tcPr>
                  <w:tcW w:w="1459" w:type="dxa"/>
                  <w:vAlign w:val="center"/>
                </w:tcPr>
                <w:p w14:paraId="370B80FE">
                  <w:pPr>
                    <w:pStyle w:val="119"/>
                    <w:widowControl/>
                    <w:spacing w:beforeLines="0" w:afterLines="0" w:line="240" w:lineRule="auto"/>
                    <w:ind w:firstLine="0" w:firstLineChars="0"/>
                    <w:jc w:val="center"/>
                    <w:rPr>
                      <w:bCs/>
                      <w:sz w:val="18"/>
                      <w:szCs w:val="18"/>
                    </w:rPr>
                  </w:pPr>
                  <w:r>
                    <w:rPr>
                      <w:bCs/>
                      <w:sz w:val="18"/>
                      <w:szCs w:val="18"/>
                    </w:rPr>
                    <w:t>Ф48.3~Ф114.30×4.83~10.92×5490~12500</w:t>
                  </w:r>
                </w:p>
              </w:tc>
              <w:tc>
                <w:tcPr>
                  <w:tcW w:w="851" w:type="dxa"/>
                  <w:vAlign w:val="center"/>
                </w:tcPr>
                <w:p w14:paraId="3B6D6337">
                  <w:pPr>
                    <w:pStyle w:val="119"/>
                    <w:widowControl/>
                    <w:spacing w:beforeLines="0" w:afterLines="0" w:line="240" w:lineRule="auto"/>
                    <w:ind w:firstLine="0" w:firstLineChars="0"/>
                    <w:jc w:val="center"/>
                    <w:rPr>
                      <w:bCs/>
                      <w:sz w:val="18"/>
                      <w:szCs w:val="18"/>
                    </w:rPr>
                  </w:pPr>
                  <w:r>
                    <w:rPr>
                      <w:bCs/>
                      <w:sz w:val="18"/>
                      <w:szCs w:val="18"/>
                    </w:rPr>
                    <w:t>30000</w:t>
                  </w:r>
                </w:p>
              </w:tc>
              <w:tc>
                <w:tcPr>
                  <w:tcW w:w="783" w:type="dxa"/>
                  <w:vAlign w:val="center"/>
                </w:tcPr>
                <w:p w14:paraId="7F872C13">
                  <w:pPr>
                    <w:pStyle w:val="119"/>
                    <w:widowControl/>
                    <w:spacing w:beforeLines="0" w:afterLines="0" w:line="240" w:lineRule="auto"/>
                    <w:ind w:firstLine="0" w:firstLineChars="0"/>
                    <w:jc w:val="center"/>
                    <w:rPr>
                      <w:bCs/>
                      <w:sz w:val="18"/>
                      <w:szCs w:val="18"/>
                    </w:rPr>
                  </w:pPr>
                  <w:r>
                    <w:rPr>
                      <w:bCs/>
                      <w:sz w:val="18"/>
                      <w:szCs w:val="18"/>
                    </w:rPr>
                    <w:t>15</w:t>
                  </w:r>
                </w:p>
              </w:tc>
              <w:tc>
                <w:tcPr>
                  <w:tcW w:w="1343" w:type="dxa"/>
                  <w:vAlign w:val="center"/>
                </w:tcPr>
                <w:p w14:paraId="1089F4AF">
                  <w:pPr>
                    <w:overflowPunct w:val="0"/>
                    <w:rPr>
                      <w:sz w:val="18"/>
                      <w:szCs w:val="18"/>
                    </w:rPr>
                  </w:pPr>
                  <w:r>
                    <w:rPr>
                      <w:sz w:val="18"/>
                      <w:szCs w:val="18"/>
                    </w:rPr>
                    <w:t>Ф33.4~Ф114.30</w:t>
                  </w:r>
                  <w:r>
                    <w:rPr>
                      <w:spacing w:val="10"/>
                      <w:sz w:val="18"/>
                      <w:szCs w:val="18"/>
                    </w:rPr>
                    <w:t>×4.83</w:t>
                  </w:r>
                  <w:r>
                    <w:rPr>
                      <w:sz w:val="18"/>
                      <w:szCs w:val="18"/>
                    </w:rPr>
                    <w:t>~10.92</w:t>
                  </w:r>
                  <w:r>
                    <w:rPr>
                      <w:spacing w:val="10"/>
                      <w:sz w:val="18"/>
                      <w:szCs w:val="18"/>
                    </w:rPr>
                    <w:t>×5490</w:t>
                  </w:r>
                  <w:r>
                    <w:rPr>
                      <w:sz w:val="18"/>
                      <w:szCs w:val="18"/>
                    </w:rPr>
                    <w:t>~12500</w:t>
                  </w:r>
                </w:p>
              </w:tc>
              <w:tc>
                <w:tcPr>
                  <w:tcW w:w="992" w:type="dxa"/>
                  <w:vAlign w:val="center"/>
                </w:tcPr>
                <w:p w14:paraId="4523EDF6">
                  <w:pPr>
                    <w:pStyle w:val="119"/>
                    <w:widowControl/>
                    <w:spacing w:beforeLines="0" w:afterLines="0" w:line="240" w:lineRule="auto"/>
                    <w:ind w:firstLine="0" w:firstLineChars="0"/>
                    <w:jc w:val="center"/>
                    <w:rPr>
                      <w:bCs/>
                      <w:kern w:val="0"/>
                      <w:sz w:val="21"/>
                      <w:szCs w:val="21"/>
                    </w:rPr>
                  </w:pPr>
                  <w:r>
                    <w:rPr>
                      <w:rFonts w:hint="eastAsia"/>
                      <w:bCs/>
                      <w:kern w:val="0"/>
                      <w:sz w:val="21"/>
                      <w:szCs w:val="21"/>
                    </w:rPr>
                    <w:t>43000</w:t>
                  </w:r>
                </w:p>
              </w:tc>
              <w:tc>
                <w:tcPr>
                  <w:tcW w:w="758" w:type="dxa"/>
                  <w:vAlign w:val="center"/>
                </w:tcPr>
                <w:p w14:paraId="0B361AC8">
                  <w:pPr>
                    <w:pStyle w:val="119"/>
                    <w:widowControl/>
                    <w:spacing w:beforeLines="0" w:afterLines="0" w:line="240" w:lineRule="auto"/>
                    <w:ind w:firstLine="0" w:firstLineChars="0"/>
                    <w:jc w:val="center"/>
                    <w:rPr>
                      <w:bCs/>
                      <w:kern w:val="0"/>
                      <w:sz w:val="21"/>
                      <w:szCs w:val="21"/>
                    </w:rPr>
                  </w:pPr>
                  <w:r>
                    <w:rPr>
                      <w:rFonts w:hint="eastAsia"/>
                      <w:bCs/>
                      <w:kern w:val="0"/>
                      <w:sz w:val="21"/>
                      <w:szCs w:val="21"/>
                    </w:rPr>
                    <w:t>15.4</w:t>
                  </w:r>
                </w:p>
              </w:tc>
            </w:tr>
            <w:tr w14:paraId="01843E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83" w:type="dxa"/>
                  <w:vAlign w:val="center"/>
                </w:tcPr>
                <w:p w14:paraId="287B7F58">
                  <w:pPr>
                    <w:pStyle w:val="119"/>
                    <w:widowControl/>
                    <w:spacing w:beforeLines="0" w:afterLines="0" w:line="240" w:lineRule="auto"/>
                    <w:ind w:firstLine="0" w:firstLineChars="0"/>
                    <w:jc w:val="center"/>
                    <w:rPr>
                      <w:bCs/>
                      <w:sz w:val="18"/>
                      <w:szCs w:val="18"/>
                    </w:rPr>
                  </w:pPr>
                  <w:r>
                    <w:rPr>
                      <w:bCs/>
                      <w:sz w:val="18"/>
                      <w:szCs w:val="18"/>
                    </w:rPr>
                    <w:t>3</w:t>
                  </w:r>
                </w:p>
              </w:tc>
              <w:tc>
                <w:tcPr>
                  <w:tcW w:w="851" w:type="dxa"/>
                  <w:vAlign w:val="center"/>
                </w:tcPr>
                <w:p w14:paraId="588789E5">
                  <w:pPr>
                    <w:pStyle w:val="119"/>
                    <w:widowControl/>
                    <w:spacing w:beforeLines="0" w:afterLines="0" w:line="240" w:lineRule="auto"/>
                    <w:ind w:firstLine="0" w:firstLineChars="0"/>
                    <w:jc w:val="center"/>
                    <w:rPr>
                      <w:bCs/>
                      <w:sz w:val="18"/>
                      <w:szCs w:val="18"/>
                    </w:rPr>
                  </w:pPr>
                  <w:r>
                    <w:rPr>
                      <w:bCs/>
                      <w:sz w:val="18"/>
                      <w:szCs w:val="18"/>
                    </w:rPr>
                    <w:t>钻杆、射孔枪管</w:t>
                  </w:r>
                </w:p>
              </w:tc>
              <w:tc>
                <w:tcPr>
                  <w:tcW w:w="1659" w:type="dxa"/>
                  <w:vAlign w:val="center"/>
                </w:tcPr>
                <w:p w14:paraId="781C18A7">
                  <w:pPr>
                    <w:pStyle w:val="119"/>
                    <w:widowControl/>
                    <w:spacing w:beforeLines="0" w:afterLines="0" w:line="240" w:lineRule="auto"/>
                    <w:ind w:firstLine="0" w:firstLineChars="0"/>
                    <w:jc w:val="center"/>
                    <w:rPr>
                      <w:bCs/>
                      <w:sz w:val="18"/>
                      <w:szCs w:val="18"/>
                    </w:rPr>
                  </w:pPr>
                  <w:r>
                    <w:rPr>
                      <w:bCs/>
                      <w:sz w:val="18"/>
                      <w:szCs w:val="18"/>
                    </w:rPr>
                    <w:t>钻杆管：E、X、G、S</w:t>
                  </w:r>
                </w:p>
                <w:p w14:paraId="24219F45">
                  <w:pPr>
                    <w:pStyle w:val="119"/>
                    <w:widowControl/>
                    <w:spacing w:beforeLines="0" w:afterLines="0" w:line="240" w:lineRule="auto"/>
                    <w:ind w:firstLine="0" w:firstLineChars="0"/>
                    <w:jc w:val="center"/>
                    <w:rPr>
                      <w:bCs/>
                      <w:sz w:val="18"/>
                      <w:szCs w:val="18"/>
                    </w:rPr>
                  </w:pPr>
                  <w:r>
                    <w:rPr>
                      <w:bCs/>
                      <w:sz w:val="18"/>
                      <w:szCs w:val="18"/>
                    </w:rPr>
                    <w:t>射孔枪管：32CrMo4、22CrMo8V</w:t>
                  </w:r>
                </w:p>
              </w:tc>
              <w:tc>
                <w:tcPr>
                  <w:tcW w:w="1459" w:type="dxa"/>
                  <w:vAlign w:val="center"/>
                </w:tcPr>
                <w:p w14:paraId="0D577C5A">
                  <w:pPr>
                    <w:pStyle w:val="119"/>
                    <w:widowControl/>
                    <w:spacing w:beforeLines="0" w:afterLines="0" w:line="240" w:lineRule="auto"/>
                    <w:ind w:firstLine="0" w:firstLineChars="0"/>
                    <w:jc w:val="center"/>
                    <w:rPr>
                      <w:bCs/>
                      <w:sz w:val="18"/>
                      <w:szCs w:val="18"/>
                    </w:rPr>
                  </w:pPr>
                  <w:r>
                    <w:rPr>
                      <w:bCs/>
                      <w:sz w:val="18"/>
                      <w:szCs w:val="18"/>
                    </w:rPr>
                    <w:t>Ф48.3~Ф114.30×4.83~10.92×6000~12500</w:t>
                  </w:r>
                </w:p>
              </w:tc>
              <w:tc>
                <w:tcPr>
                  <w:tcW w:w="851" w:type="dxa"/>
                  <w:vAlign w:val="center"/>
                </w:tcPr>
                <w:p w14:paraId="2AED696E">
                  <w:pPr>
                    <w:pStyle w:val="119"/>
                    <w:widowControl/>
                    <w:spacing w:beforeLines="0" w:afterLines="0" w:line="240" w:lineRule="auto"/>
                    <w:ind w:firstLine="0" w:firstLineChars="0"/>
                    <w:jc w:val="center"/>
                    <w:rPr>
                      <w:bCs/>
                      <w:sz w:val="18"/>
                      <w:szCs w:val="18"/>
                    </w:rPr>
                  </w:pPr>
                  <w:r>
                    <w:rPr>
                      <w:bCs/>
                      <w:sz w:val="18"/>
                      <w:szCs w:val="18"/>
                    </w:rPr>
                    <w:t>15000</w:t>
                  </w:r>
                </w:p>
              </w:tc>
              <w:tc>
                <w:tcPr>
                  <w:tcW w:w="783" w:type="dxa"/>
                  <w:vAlign w:val="center"/>
                </w:tcPr>
                <w:p w14:paraId="02554FCF">
                  <w:pPr>
                    <w:pStyle w:val="119"/>
                    <w:widowControl/>
                    <w:spacing w:beforeLines="0" w:afterLines="0" w:line="240" w:lineRule="auto"/>
                    <w:ind w:firstLine="0" w:firstLineChars="0"/>
                    <w:jc w:val="center"/>
                    <w:rPr>
                      <w:bCs/>
                      <w:sz w:val="18"/>
                      <w:szCs w:val="18"/>
                    </w:rPr>
                  </w:pPr>
                  <w:r>
                    <w:rPr>
                      <w:bCs/>
                      <w:sz w:val="18"/>
                      <w:szCs w:val="18"/>
                    </w:rPr>
                    <w:t>7.5</w:t>
                  </w:r>
                </w:p>
              </w:tc>
              <w:tc>
                <w:tcPr>
                  <w:tcW w:w="1343" w:type="dxa"/>
                  <w:vAlign w:val="center"/>
                </w:tcPr>
                <w:p w14:paraId="68559ACD">
                  <w:pPr>
                    <w:overflowPunct w:val="0"/>
                    <w:rPr>
                      <w:sz w:val="18"/>
                      <w:szCs w:val="18"/>
                    </w:rPr>
                  </w:pPr>
                  <w:r>
                    <w:rPr>
                      <w:sz w:val="18"/>
                      <w:szCs w:val="18"/>
                    </w:rPr>
                    <w:t>Ф33.4~Ф114.30</w:t>
                  </w:r>
                  <w:r>
                    <w:rPr>
                      <w:spacing w:val="10"/>
                      <w:sz w:val="18"/>
                      <w:szCs w:val="18"/>
                    </w:rPr>
                    <w:t>×4.83</w:t>
                  </w:r>
                  <w:r>
                    <w:rPr>
                      <w:sz w:val="18"/>
                      <w:szCs w:val="18"/>
                    </w:rPr>
                    <w:t>~10.92</w:t>
                  </w:r>
                  <w:r>
                    <w:rPr>
                      <w:spacing w:val="10"/>
                      <w:sz w:val="18"/>
                      <w:szCs w:val="18"/>
                    </w:rPr>
                    <w:t>×6000</w:t>
                  </w:r>
                  <w:r>
                    <w:rPr>
                      <w:sz w:val="18"/>
                      <w:szCs w:val="18"/>
                    </w:rPr>
                    <w:t>~12500</w:t>
                  </w:r>
                </w:p>
              </w:tc>
              <w:tc>
                <w:tcPr>
                  <w:tcW w:w="992" w:type="dxa"/>
                  <w:vAlign w:val="center"/>
                </w:tcPr>
                <w:p w14:paraId="23A29F42">
                  <w:pPr>
                    <w:pStyle w:val="119"/>
                    <w:widowControl/>
                    <w:spacing w:beforeLines="0" w:afterLines="0" w:line="240" w:lineRule="auto"/>
                    <w:ind w:firstLine="0" w:firstLineChars="0"/>
                    <w:jc w:val="center"/>
                    <w:rPr>
                      <w:bCs/>
                      <w:kern w:val="0"/>
                      <w:sz w:val="21"/>
                      <w:szCs w:val="21"/>
                    </w:rPr>
                  </w:pPr>
                  <w:r>
                    <w:rPr>
                      <w:rFonts w:hint="eastAsia"/>
                      <w:bCs/>
                      <w:kern w:val="0"/>
                      <w:sz w:val="21"/>
                      <w:szCs w:val="21"/>
                    </w:rPr>
                    <w:t>20000</w:t>
                  </w:r>
                </w:p>
              </w:tc>
              <w:tc>
                <w:tcPr>
                  <w:tcW w:w="758" w:type="dxa"/>
                  <w:vAlign w:val="center"/>
                </w:tcPr>
                <w:p w14:paraId="69ACBD5B">
                  <w:pPr>
                    <w:pStyle w:val="119"/>
                    <w:widowControl/>
                    <w:spacing w:beforeLines="0" w:afterLines="0" w:line="240" w:lineRule="auto"/>
                    <w:ind w:firstLine="0" w:firstLineChars="0"/>
                    <w:jc w:val="center"/>
                    <w:rPr>
                      <w:bCs/>
                      <w:kern w:val="0"/>
                      <w:sz w:val="21"/>
                      <w:szCs w:val="21"/>
                    </w:rPr>
                  </w:pPr>
                  <w:r>
                    <w:rPr>
                      <w:rFonts w:hint="eastAsia"/>
                      <w:bCs/>
                      <w:kern w:val="0"/>
                      <w:sz w:val="21"/>
                      <w:szCs w:val="21"/>
                    </w:rPr>
                    <w:t>7.2</w:t>
                  </w:r>
                </w:p>
              </w:tc>
            </w:tr>
            <w:tr w14:paraId="37383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83" w:type="dxa"/>
                  <w:vAlign w:val="center"/>
                </w:tcPr>
                <w:p w14:paraId="51A9E210">
                  <w:pPr>
                    <w:pStyle w:val="119"/>
                    <w:widowControl/>
                    <w:spacing w:beforeLines="0" w:afterLines="0" w:line="240" w:lineRule="auto"/>
                    <w:ind w:firstLine="0" w:firstLineChars="0"/>
                    <w:jc w:val="center"/>
                    <w:rPr>
                      <w:bCs/>
                      <w:sz w:val="18"/>
                      <w:szCs w:val="18"/>
                    </w:rPr>
                  </w:pPr>
                  <w:r>
                    <w:rPr>
                      <w:bCs/>
                      <w:sz w:val="18"/>
                      <w:szCs w:val="18"/>
                    </w:rPr>
                    <w:t>4</w:t>
                  </w:r>
                </w:p>
              </w:tc>
              <w:tc>
                <w:tcPr>
                  <w:tcW w:w="851" w:type="dxa"/>
                  <w:vAlign w:val="center"/>
                </w:tcPr>
                <w:p w14:paraId="6D24668B">
                  <w:pPr>
                    <w:pStyle w:val="119"/>
                    <w:widowControl/>
                    <w:spacing w:beforeLines="0" w:afterLines="0" w:line="240" w:lineRule="auto"/>
                    <w:ind w:firstLine="0" w:firstLineChars="0"/>
                    <w:jc w:val="center"/>
                    <w:rPr>
                      <w:bCs/>
                      <w:sz w:val="18"/>
                      <w:szCs w:val="18"/>
                    </w:rPr>
                  </w:pPr>
                  <w:r>
                    <w:rPr>
                      <w:bCs/>
                      <w:sz w:val="18"/>
                      <w:szCs w:val="18"/>
                    </w:rPr>
                    <w:t>低温管及管线管</w:t>
                  </w:r>
                </w:p>
              </w:tc>
              <w:tc>
                <w:tcPr>
                  <w:tcW w:w="1659" w:type="dxa"/>
                  <w:vAlign w:val="center"/>
                </w:tcPr>
                <w:p w14:paraId="4C7515C9">
                  <w:pPr>
                    <w:pStyle w:val="119"/>
                    <w:widowControl/>
                    <w:spacing w:beforeLines="0" w:afterLines="0" w:line="240" w:lineRule="auto"/>
                    <w:ind w:firstLine="0" w:firstLineChars="0"/>
                    <w:jc w:val="center"/>
                    <w:rPr>
                      <w:bCs/>
                      <w:sz w:val="18"/>
                      <w:szCs w:val="18"/>
                    </w:rPr>
                  </w:pPr>
                  <w:r>
                    <w:rPr>
                      <w:bCs/>
                      <w:sz w:val="18"/>
                      <w:szCs w:val="18"/>
                    </w:rPr>
                    <w:t>Gr.3、Gr.8、B、X42、X46、X52、X56、X60、X70、X80</w:t>
                  </w:r>
                </w:p>
              </w:tc>
              <w:tc>
                <w:tcPr>
                  <w:tcW w:w="1459" w:type="dxa"/>
                  <w:vAlign w:val="center"/>
                </w:tcPr>
                <w:p w14:paraId="1849FD5C">
                  <w:pPr>
                    <w:pStyle w:val="119"/>
                    <w:widowControl/>
                    <w:spacing w:beforeLines="0" w:afterLines="0" w:line="240" w:lineRule="auto"/>
                    <w:ind w:firstLine="0" w:firstLineChars="0"/>
                    <w:jc w:val="center"/>
                    <w:rPr>
                      <w:bCs/>
                      <w:sz w:val="18"/>
                      <w:szCs w:val="18"/>
                    </w:rPr>
                  </w:pPr>
                  <w:r>
                    <w:rPr>
                      <w:bCs/>
                      <w:sz w:val="18"/>
                      <w:szCs w:val="18"/>
                    </w:rPr>
                    <w:t>Ф48.3~Ф114.30×4.83~10.92×6000~12500</w:t>
                  </w:r>
                </w:p>
              </w:tc>
              <w:tc>
                <w:tcPr>
                  <w:tcW w:w="851" w:type="dxa"/>
                  <w:vAlign w:val="center"/>
                </w:tcPr>
                <w:p w14:paraId="21943485">
                  <w:pPr>
                    <w:pStyle w:val="119"/>
                    <w:widowControl/>
                    <w:spacing w:beforeLines="0" w:afterLines="0" w:line="240" w:lineRule="auto"/>
                    <w:ind w:firstLine="0" w:firstLineChars="0"/>
                    <w:jc w:val="center"/>
                    <w:rPr>
                      <w:bCs/>
                      <w:sz w:val="18"/>
                      <w:szCs w:val="18"/>
                    </w:rPr>
                  </w:pPr>
                  <w:r>
                    <w:rPr>
                      <w:bCs/>
                      <w:sz w:val="18"/>
                      <w:szCs w:val="18"/>
                    </w:rPr>
                    <w:t>15000</w:t>
                  </w:r>
                </w:p>
              </w:tc>
              <w:tc>
                <w:tcPr>
                  <w:tcW w:w="783" w:type="dxa"/>
                  <w:vAlign w:val="center"/>
                </w:tcPr>
                <w:p w14:paraId="31E00821">
                  <w:pPr>
                    <w:pStyle w:val="119"/>
                    <w:widowControl/>
                    <w:spacing w:beforeLines="0" w:afterLines="0" w:line="240" w:lineRule="auto"/>
                    <w:ind w:firstLine="0" w:firstLineChars="0"/>
                    <w:jc w:val="center"/>
                    <w:rPr>
                      <w:bCs/>
                      <w:sz w:val="18"/>
                      <w:szCs w:val="18"/>
                    </w:rPr>
                  </w:pPr>
                  <w:r>
                    <w:rPr>
                      <w:bCs/>
                      <w:sz w:val="18"/>
                      <w:szCs w:val="18"/>
                    </w:rPr>
                    <w:t>7.5</w:t>
                  </w:r>
                </w:p>
              </w:tc>
              <w:tc>
                <w:tcPr>
                  <w:tcW w:w="1343" w:type="dxa"/>
                  <w:vAlign w:val="center"/>
                </w:tcPr>
                <w:p w14:paraId="1A5EF48F">
                  <w:pPr>
                    <w:overflowPunct w:val="0"/>
                    <w:rPr>
                      <w:sz w:val="18"/>
                      <w:szCs w:val="18"/>
                    </w:rPr>
                  </w:pPr>
                  <w:r>
                    <w:rPr>
                      <w:sz w:val="18"/>
                      <w:szCs w:val="18"/>
                    </w:rPr>
                    <w:t>Ф33.4~Ф114.30</w:t>
                  </w:r>
                  <w:r>
                    <w:rPr>
                      <w:spacing w:val="10"/>
                      <w:sz w:val="18"/>
                      <w:szCs w:val="18"/>
                    </w:rPr>
                    <w:t>×4.83</w:t>
                  </w:r>
                  <w:r>
                    <w:rPr>
                      <w:sz w:val="18"/>
                      <w:szCs w:val="18"/>
                    </w:rPr>
                    <w:t>~10.92</w:t>
                  </w:r>
                  <w:r>
                    <w:rPr>
                      <w:spacing w:val="10"/>
                      <w:sz w:val="18"/>
                      <w:szCs w:val="18"/>
                    </w:rPr>
                    <w:t>×6000</w:t>
                  </w:r>
                  <w:r>
                    <w:rPr>
                      <w:sz w:val="18"/>
                      <w:szCs w:val="18"/>
                    </w:rPr>
                    <w:t>~12500</w:t>
                  </w:r>
                </w:p>
              </w:tc>
              <w:tc>
                <w:tcPr>
                  <w:tcW w:w="992" w:type="dxa"/>
                  <w:vAlign w:val="center"/>
                </w:tcPr>
                <w:p w14:paraId="2E9EBF13">
                  <w:pPr>
                    <w:pStyle w:val="119"/>
                    <w:widowControl/>
                    <w:spacing w:beforeLines="0" w:afterLines="0" w:line="240" w:lineRule="auto"/>
                    <w:ind w:firstLine="0" w:firstLineChars="0"/>
                    <w:jc w:val="center"/>
                    <w:rPr>
                      <w:bCs/>
                      <w:kern w:val="0"/>
                      <w:sz w:val="21"/>
                      <w:szCs w:val="21"/>
                    </w:rPr>
                  </w:pPr>
                  <w:r>
                    <w:rPr>
                      <w:rFonts w:hint="eastAsia"/>
                      <w:bCs/>
                      <w:kern w:val="0"/>
                      <w:sz w:val="21"/>
                      <w:szCs w:val="21"/>
                    </w:rPr>
                    <w:t>20000</w:t>
                  </w:r>
                </w:p>
              </w:tc>
              <w:tc>
                <w:tcPr>
                  <w:tcW w:w="758" w:type="dxa"/>
                  <w:vAlign w:val="center"/>
                </w:tcPr>
                <w:p w14:paraId="296E5E1C">
                  <w:pPr>
                    <w:pStyle w:val="119"/>
                    <w:widowControl/>
                    <w:spacing w:beforeLines="0" w:afterLines="0" w:line="240" w:lineRule="auto"/>
                    <w:ind w:firstLine="0" w:firstLineChars="0"/>
                    <w:jc w:val="center"/>
                    <w:rPr>
                      <w:bCs/>
                      <w:kern w:val="0"/>
                      <w:sz w:val="21"/>
                      <w:szCs w:val="21"/>
                    </w:rPr>
                  </w:pPr>
                  <w:r>
                    <w:rPr>
                      <w:rFonts w:hint="eastAsia"/>
                      <w:bCs/>
                      <w:kern w:val="0"/>
                      <w:sz w:val="21"/>
                      <w:szCs w:val="21"/>
                    </w:rPr>
                    <w:t>7.2</w:t>
                  </w:r>
                </w:p>
              </w:tc>
            </w:tr>
            <w:tr w14:paraId="2B3E0B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83" w:type="dxa"/>
                  <w:vAlign w:val="center"/>
                </w:tcPr>
                <w:p w14:paraId="523A3F4A">
                  <w:pPr>
                    <w:pStyle w:val="119"/>
                    <w:widowControl/>
                    <w:spacing w:beforeLines="0" w:afterLines="0" w:line="240" w:lineRule="auto"/>
                    <w:ind w:firstLine="0" w:firstLineChars="0"/>
                    <w:jc w:val="center"/>
                    <w:rPr>
                      <w:bCs/>
                      <w:sz w:val="18"/>
                      <w:szCs w:val="18"/>
                    </w:rPr>
                  </w:pPr>
                  <w:r>
                    <w:rPr>
                      <w:bCs/>
                      <w:sz w:val="18"/>
                      <w:szCs w:val="18"/>
                    </w:rPr>
                    <w:t>5</w:t>
                  </w:r>
                </w:p>
              </w:tc>
              <w:tc>
                <w:tcPr>
                  <w:tcW w:w="851" w:type="dxa"/>
                  <w:vAlign w:val="center"/>
                </w:tcPr>
                <w:p w14:paraId="115F99A7">
                  <w:pPr>
                    <w:pStyle w:val="119"/>
                    <w:widowControl/>
                    <w:spacing w:beforeLines="0" w:afterLines="0" w:line="240" w:lineRule="auto"/>
                    <w:ind w:firstLine="0" w:firstLineChars="0"/>
                    <w:jc w:val="center"/>
                    <w:rPr>
                      <w:bCs/>
                      <w:sz w:val="18"/>
                      <w:szCs w:val="18"/>
                    </w:rPr>
                  </w:pPr>
                  <w:r>
                    <w:rPr>
                      <w:bCs/>
                      <w:sz w:val="18"/>
                      <w:szCs w:val="18"/>
                    </w:rPr>
                    <w:t>高压锅炉管</w:t>
                  </w:r>
                </w:p>
              </w:tc>
              <w:tc>
                <w:tcPr>
                  <w:tcW w:w="1659" w:type="dxa"/>
                  <w:vAlign w:val="center"/>
                </w:tcPr>
                <w:p w14:paraId="1590A19C">
                  <w:pPr>
                    <w:pStyle w:val="119"/>
                    <w:widowControl/>
                    <w:spacing w:beforeLines="0" w:afterLines="0" w:line="240" w:lineRule="auto"/>
                    <w:ind w:firstLine="0" w:firstLineChars="0"/>
                    <w:jc w:val="center"/>
                    <w:rPr>
                      <w:bCs/>
                      <w:sz w:val="18"/>
                      <w:szCs w:val="18"/>
                    </w:rPr>
                  </w:pPr>
                  <w:r>
                    <w:rPr>
                      <w:bCs/>
                      <w:sz w:val="18"/>
                      <w:szCs w:val="18"/>
                    </w:rPr>
                    <w:t>20G、15CrMoG、HD245、12Cr1MoVG、T11、</w:t>
                  </w:r>
                </w:p>
                <w:p w14:paraId="45F6BDE8">
                  <w:pPr>
                    <w:pStyle w:val="119"/>
                    <w:widowControl/>
                    <w:spacing w:beforeLines="0" w:afterLines="0" w:line="240" w:lineRule="auto"/>
                    <w:ind w:firstLine="0" w:firstLineChars="0"/>
                    <w:jc w:val="center"/>
                    <w:rPr>
                      <w:bCs/>
                      <w:sz w:val="18"/>
                      <w:szCs w:val="18"/>
                    </w:rPr>
                  </w:pPr>
                  <w:r>
                    <w:rPr>
                      <w:bCs/>
                      <w:sz w:val="18"/>
                      <w:szCs w:val="18"/>
                    </w:rPr>
                    <w:t>T12、T91、T92</w:t>
                  </w:r>
                </w:p>
              </w:tc>
              <w:tc>
                <w:tcPr>
                  <w:tcW w:w="1459" w:type="dxa"/>
                  <w:vAlign w:val="center"/>
                </w:tcPr>
                <w:p w14:paraId="6A19B90E">
                  <w:pPr>
                    <w:pStyle w:val="119"/>
                    <w:widowControl/>
                    <w:spacing w:beforeLines="0" w:afterLines="0" w:line="240" w:lineRule="auto"/>
                    <w:ind w:firstLine="0" w:firstLineChars="0"/>
                    <w:jc w:val="center"/>
                    <w:rPr>
                      <w:bCs/>
                      <w:sz w:val="18"/>
                      <w:szCs w:val="18"/>
                    </w:rPr>
                  </w:pPr>
                  <w:r>
                    <w:rPr>
                      <w:bCs/>
                      <w:sz w:val="18"/>
                      <w:szCs w:val="18"/>
                    </w:rPr>
                    <w:t>Ф48~Ф114×4.0~14×4000~12000</w:t>
                  </w:r>
                </w:p>
              </w:tc>
              <w:tc>
                <w:tcPr>
                  <w:tcW w:w="851" w:type="dxa"/>
                  <w:vAlign w:val="center"/>
                </w:tcPr>
                <w:p w14:paraId="506C254B">
                  <w:pPr>
                    <w:pStyle w:val="119"/>
                    <w:widowControl/>
                    <w:spacing w:beforeLines="0" w:afterLines="0" w:line="240" w:lineRule="auto"/>
                    <w:ind w:firstLine="0" w:firstLineChars="0"/>
                    <w:jc w:val="center"/>
                    <w:rPr>
                      <w:bCs/>
                      <w:sz w:val="18"/>
                      <w:szCs w:val="18"/>
                    </w:rPr>
                  </w:pPr>
                  <w:r>
                    <w:rPr>
                      <w:bCs/>
                      <w:sz w:val="18"/>
                      <w:szCs w:val="18"/>
                    </w:rPr>
                    <w:t>20000</w:t>
                  </w:r>
                </w:p>
              </w:tc>
              <w:tc>
                <w:tcPr>
                  <w:tcW w:w="783" w:type="dxa"/>
                  <w:vAlign w:val="center"/>
                </w:tcPr>
                <w:p w14:paraId="51895EE0">
                  <w:pPr>
                    <w:pStyle w:val="119"/>
                    <w:widowControl/>
                    <w:spacing w:beforeLines="0" w:afterLines="0" w:line="240" w:lineRule="auto"/>
                    <w:ind w:firstLine="0" w:firstLineChars="0"/>
                    <w:jc w:val="center"/>
                    <w:rPr>
                      <w:bCs/>
                      <w:sz w:val="18"/>
                      <w:szCs w:val="18"/>
                    </w:rPr>
                  </w:pPr>
                  <w:r>
                    <w:rPr>
                      <w:bCs/>
                      <w:sz w:val="18"/>
                      <w:szCs w:val="18"/>
                    </w:rPr>
                    <w:t>10</w:t>
                  </w:r>
                </w:p>
              </w:tc>
              <w:tc>
                <w:tcPr>
                  <w:tcW w:w="1343" w:type="dxa"/>
                  <w:vAlign w:val="center"/>
                </w:tcPr>
                <w:p w14:paraId="2594D3EA">
                  <w:pPr>
                    <w:overflowPunct w:val="0"/>
                    <w:rPr>
                      <w:spacing w:val="10"/>
                      <w:sz w:val="18"/>
                      <w:szCs w:val="18"/>
                    </w:rPr>
                  </w:pPr>
                  <w:r>
                    <w:rPr>
                      <w:sz w:val="18"/>
                      <w:szCs w:val="18"/>
                    </w:rPr>
                    <w:t>Ф32~Ф114</w:t>
                  </w:r>
                  <w:r>
                    <w:rPr>
                      <w:spacing w:val="10"/>
                      <w:sz w:val="18"/>
                      <w:szCs w:val="18"/>
                    </w:rPr>
                    <w:t>×4.0</w:t>
                  </w:r>
                  <w:r>
                    <w:rPr>
                      <w:sz w:val="18"/>
                      <w:szCs w:val="18"/>
                    </w:rPr>
                    <w:t>~14</w:t>
                  </w:r>
                  <w:r>
                    <w:rPr>
                      <w:spacing w:val="10"/>
                      <w:sz w:val="18"/>
                      <w:szCs w:val="18"/>
                    </w:rPr>
                    <w:t>×4000~12000</w:t>
                  </w:r>
                </w:p>
              </w:tc>
              <w:tc>
                <w:tcPr>
                  <w:tcW w:w="992" w:type="dxa"/>
                  <w:vAlign w:val="center"/>
                </w:tcPr>
                <w:p w14:paraId="5E06DB3A">
                  <w:pPr>
                    <w:pStyle w:val="119"/>
                    <w:widowControl/>
                    <w:spacing w:beforeLines="0" w:afterLines="0" w:line="240" w:lineRule="auto"/>
                    <w:ind w:firstLine="0" w:firstLineChars="0"/>
                    <w:jc w:val="center"/>
                    <w:rPr>
                      <w:bCs/>
                      <w:kern w:val="0"/>
                      <w:sz w:val="21"/>
                      <w:szCs w:val="21"/>
                    </w:rPr>
                  </w:pPr>
                  <w:r>
                    <w:rPr>
                      <w:rFonts w:hint="eastAsia"/>
                      <w:bCs/>
                      <w:kern w:val="0"/>
                      <w:sz w:val="21"/>
                      <w:szCs w:val="21"/>
                    </w:rPr>
                    <w:t>30000</w:t>
                  </w:r>
                </w:p>
              </w:tc>
              <w:tc>
                <w:tcPr>
                  <w:tcW w:w="758" w:type="dxa"/>
                  <w:vAlign w:val="center"/>
                </w:tcPr>
                <w:p w14:paraId="48FED125">
                  <w:pPr>
                    <w:pStyle w:val="119"/>
                    <w:widowControl/>
                    <w:spacing w:beforeLines="0" w:afterLines="0" w:line="240" w:lineRule="auto"/>
                    <w:ind w:firstLine="0" w:firstLineChars="0"/>
                    <w:jc w:val="center"/>
                    <w:rPr>
                      <w:bCs/>
                      <w:kern w:val="0"/>
                      <w:sz w:val="21"/>
                      <w:szCs w:val="21"/>
                    </w:rPr>
                  </w:pPr>
                  <w:r>
                    <w:rPr>
                      <w:rFonts w:hint="eastAsia"/>
                      <w:bCs/>
                      <w:kern w:val="0"/>
                      <w:sz w:val="21"/>
                      <w:szCs w:val="21"/>
                    </w:rPr>
                    <w:t>10.7</w:t>
                  </w:r>
                </w:p>
              </w:tc>
            </w:tr>
            <w:tr w14:paraId="0F2C67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83" w:type="dxa"/>
                  <w:vAlign w:val="center"/>
                </w:tcPr>
                <w:p w14:paraId="2CFE43ED">
                  <w:pPr>
                    <w:pStyle w:val="119"/>
                    <w:widowControl/>
                    <w:spacing w:beforeLines="0" w:afterLines="0" w:line="240" w:lineRule="auto"/>
                    <w:ind w:firstLine="0" w:firstLineChars="0"/>
                    <w:jc w:val="center"/>
                    <w:rPr>
                      <w:bCs/>
                      <w:sz w:val="18"/>
                      <w:szCs w:val="18"/>
                    </w:rPr>
                  </w:pPr>
                  <w:r>
                    <w:rPr>
                      <w:bCs/>
                      <w:sz w:val="18"/>
                      <w:szCs w:val="18"/>
                    </w:rPr>
                    <w:t>6</w:t>
                  </w:r>
                </w:p>
              </w:tc>
              <w:tc>
                <w:tcPr>
                  <w:tcW w:w="851" w:type="dxa"/>
                  <w:vAlign w:val="center"/>
                </w:tcPr>
                <w:p w14:paraId="237701C2">
                  <w:pPr>
                    <w:pStyle w:val="119"/>
                    <w:widowControl/>
                    <w:spacing w:beforeLines="0" w:afterLines="0" w:line="240" w:lineRule="auto"/>
                    <w:ind w:firstLine="0" w:firstLineChars="0"/>
                    <w:jc w:val="center"/>
                    <w:rPr>
                      <w:bCs/>
                      <w:sz w:val="18"/>
                      <w:szCs w:val="18"/>
                    </w:rPr>
                  </w:pPr>
                  <w:r>
                    <w:rPr>
                      <w:bCs/>
                      <w:sz w:val="18"/>
                      <w:szCs w:val="18"/>
                    </w:rPr>
                    <w:t>机加工用管</w:t>
                  </w:r>
                </w:p>
              </w:tc>
              <w:tc>
                <w:tcPr>
                  <w:tcW w:w="1659" w:type="dxa"/>
                  <w:vAlign w:val="center"/>
                </w:tcPr>
                <w:p w14:paraId="2CD8F03E">
                  <w:pPr>
                    <w:pStyle w:val="119"/>
                    <w:widowControl/>
                    <w:spacing w:beforeLines="0" w:afterLines="0" w:line="240" w:lineRule="auto"/>
                    <w:ind w:firstLine="0" w:firstLineChars="0"/>
                    <w:jc w:val="center"/>
                    <w:rPr>
                      <w:bCs/>
                      <w:sz w:val="18"/>
                      <w:szCs w:val="18"/>
                    </w:rPr>
                  </w:pPr>
                  <w:r>
                    <w:rPr>
                      <w:bCs/>
                      <w:sz w:val="18"/>
                      <w:szCs w:val="18"/>
                    </w:rPr>
                    <w:t>HSM770、HSM890、HSM960、DZ40～DZ60、30CrMo、35CrMo、4130、4140、20MnTiB、27SiMn</w:t>
                  </w:r>
                </w:p>
              </w:tc>
              <w:tc>
                <w:tcPr>
                  <w:tcW w:w="1459" w:type="dxa"/>
                  <w:vAlign w:val="center"/>
                </w:tcPr>
                <w:p w14:paraId="180826D4">
                  <w:pPr>
                    <w:pStyle w:val="119"/>
                    <w:widowControl/>
                    <w:spacing w:beforeLines="0" w:afterLines="0" w:line="240" w:lineRule="auto"/>
                    <w:ind w:firstLine="0" w:firstLineChars="0"/>
                    <w:jc w:val="center"/>
                    <w:rPr>
                      <w:bCs/>
                      <w:sz w:val="18"/>
                      <w:szCs w:val="18"/>
                    </w:rPr>
                  </w:pPr>
                  <w:r>
                    <w:rPr>
                      <w:bCs/>
                      <w:sz w:val="18"/>
                      <w:szCs w:val="18"/>
                    </w:rPr>
                    <w:t>Ф48~Ф114×4.0~14×4000~12000</w:t>
                  </w:r>
                </w:p>
              </w:tc>
              <w:tc>
                <w:tcPr>
                  <w:tcW w:w="851" w:type="dxa"/>
                  <w:vAlign w:val="center"/>
                </w:tcPr>
                <w:p w14:paraId="57BE230C">
                  <w:pPr>
                    <w:pStyle w:val="119"/>
                    <w:widowControl/>
                    <w:spacing w:beforeLines="0" w:afterLines="0" w:line="240" w:lineRule="auto"/>
                    <w:ind w:firstLine="0" w:firstLineChars="0"/>
                    <w:jc w:val="center"/>
                    <w:rPr>
                      <w:bCs/>
                      <w:sz w:val="18"/>
                      <w:szCs w:val="18"/>
                    </w:rPr>
                  </w:pPr>
                  <w:r>
                    <w:rPr>
                      <w:bCs/>
                      <w:sz w:val="18"/>
                      <w:szCs w:val="18"/>
                    </w:rPr>
                    <w:t>10000</w:t>
                  </w:r>
                </w:p>
              </w:tc>
              <w:tc>
                <w:tcPr>
                  <w:tcW w:w="783" w:type="dxa"/>
                  <w:vAlign w:val="center"/>
                </w:tcPr>
                <w:p w14:paraId="1D31AF3F">
                  <w:pPr>
                    <w:pStyle w:val="119"/>
                    <w:widowControl/>
                    <w:spacing w:beforeLines="0" w:afterLines="0" w:line="240" w:lineRule="auto"/>
                    <w:ind w:firstLine="0" w:firstLineChars="0"/>
                    <w:jc w:val="center"/>
                    <w:rPr>
                      <w:bCs/>
                      <w:sz w:val="18"/>
                      <w:szCs w:val="18"/>
                    </w:rPr>
                  </w:pPr>
                  <w:r>
                    <w:rPr>
                      <w:bCs/>
                      <w:sz w:val="18"/>
                      <w:szCs w:val="18"/>
                    </w:rPr>
                    <w:t>5</w:t>
                  </w:r>
                </w:p>
              </w:tc>
              <w:tc>
                <w:tcPr>
                  <w:tcW w:w="1343" w:type="dxa"/>
                  <w:vAlign w:val="center"/>
                </w:tcPr>
                <w:p w14:paraId="0F427516">
                  <w:pPr>
                    <w:overflowPunct w:val="0"/>
                    <w:rPr>
                      <w:spacing w:val="10"/>
                      <w:sz w:val="18"/>
                      <w:szCs w:val="18"/>
                    </w:rPr>
                  </w:pPr>
                  <w:r>
                    <w:rPr>
                      <w:sz w:val="18"/>
                      <w:szCs w:val="18"/>
                    </w:rPr>
                    <w:t>Ф32~Ф114.3</w:t>
                  </w:r>
                  <w:r>
                    <w:rPr>
                      <w:spacing w:val="10"/>
                      <w:sz w:val="18"/>
                      <w:szCs w:val="18"/>
                    </w:rPr>
                    <w:t>×4.0</w:t>
                  </w:r>
                  <w:r>
                    <w:rPr>
                      <w:sz w:val="18"/>
                      <w:szCs w:val="18"/>
                    </w:rPr>
                    <w:t>~14</w:t>
                  </w:r>
                  <w:r>
                    <w:rPr>
                      <w:spacing w:val="10"/>
                      <w:sz w:val="18"/>
                      <w:szCs w:val="18"/>
                    </w:rPr>
                    <w:t>×4000~12000</w:t>
                  </w:r>
                </w:p>
              </w:tc>
              <w:tc>
                <w:tcPr>
                  <w:tcW w:w="992" w:type="dxa"/>
                  <w:vAlign w:val="center"/>
                </w:tcPr>
                <w:p w14:paraId="27A8222A">
                  <w:pPr>
                    <w:pStyle w:val="119"/>
                    <w:widowControl/>
                    <w:spacing w:beforeLines="0" w:afterLines="0" w:line="240" w:lineRule="auto"/>
                    <w:ind w:firstLine="0" w:firstLineChars="0"/>
                    <w:jc w:val="center"/>
                    <w:rPr>
                      <w:bCs/>
                      <w:kern w:val="0"/>
                      <w:sz w:val="21"/>
                      <w:szCs w:val="21"/>
                    </w:rPr>
                  </w:pPr>
                  <w:r>
                    <w:rPr>
                      <w:rFonts w:hint="eastAsia"/>
                      <w:bCs/>
                      <w:kern w:val="0"/>
                      <w:sz w:val="21"/>
                      <w:szCs w:val="21"/>
                    </w:rPr>
                    <w:t>16000</w:t>
                  </w:r>
                </w:p>
              </w:tc>
              <w:tc>
                <w:tcPr>
                  <w:tcW w:w="758" w:type="dxa"/>
                  <w:vAlign w:val="center"/>
                </w:tcPr>
                <w:p w14:paraId="5EEA1740">
                  <w:pPr>
                    <w:pStyle w:val="119"/>
                    <w:widowControl/>
                    <w:spacing w:beforeLines="0" w:afterLines="0" w:line="240" w:lineRule="auto"/>
                    <w:ind w:firstLine="0" w:firstLineChars="0"/>
                    <w:jc w:val="center"/>
                    <w:rPr>
                      <w:bCs/>
                      <w:kern w:val="0"/>
                      <w:sz w:val="21"/>
                      <w:szCs w:val="21"/>
                    </w:rPr>
                  </w:pPr>
                  <w:r>
                    <w:rPr>
                      <w:rFonts w:hint="eastAsia"/>
                      <w:bCs/>
                      <w:kern w:val="0"/>
                      <w:sz w:val="21"/>
                      <w:szCs w:val="21"/>
                    </w:rPr>
                    <w:t>5.7</w:t>
                  </w:r>
                </w:p>
              </w:tc>
            </w:tr>
            <w:tr w14:paraId="6DD6B6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83" w:type="dxa"/>
                  <w:vAlign w:val="center"/>
                </w:tcPr>
                <w:p w14:paraId="51CDD10B">
                  <w:pPr>
                    <w:pStyle w:val="119"/>
                    <w:widowControl/>
                    <w:spacing w:beforeLines="0" w:afterLines="0" w:line="240" w:lineRule="auto"/>
                    <w:ind w:firstLine="0" w:firstLineChars="0"/>
                    <w:jc w:val="center"/>
                    <w:rPr>
                      <w:bCs/>
                      <w:sz w:val="18"/>
                      <w:szCs w:val="18"/>
                    </w:rPr>
                  </w:pPr>
                  <w:r>
                    <w:rPr>
                      <w:bCs/>
                      <w:sz w:val="18"/>
                      <w:szCs w:val="18"/>
                    </w:rPr>
                    <w:t>7</w:t>
                  </w:r>
                </w:p>
              </w:tc>
              <w:tc>
                <w:tcPr>
                  <w:tcW w:w="851" w:type="dxa"/>
                  <w:vAlign w:val="center"/>
                </w:tcPr>
                <w:p w14:paraId="543A4CCF">
                  <w:pPr>
                    <w:pStyle w:val="119"/>
                    <w:widowControl/>
                    <w:spacing w:beforeLines="0" w:afterLines="0" w:line="240" w:lineRule="auto"/>
                    <w:ind w:firstLine="0" w:firstLineChars="0"/>
                    <w:jc w:val="center"/>
                    <w:rPr>
                      <w:bCs/>
                      <w:sz w:val="18"/>
                      <w:szCs w:val="18"/>
                    </w:rPr>
                  </w:pPr>
                  <w:r>
                    <w:rPr>
                      <w:bCs/>
                      <w:sz w:val="18"/>
                      <w:szCs w:val="18"/>
                    </w:rPr>
                    <w:t>高化管、石油裂化管</w:t>
                  </w:r>
                </w:p>
              </w:tc>
              <w:tc>
                <w:tcPr>
                  <w:tcW w:w="1659" w:type="dxa"/>
                  <w:vAlign w:val="center"/>
                </w:tcPr>
                <w:p w14:paraId="10E16687">
                  <w:pPr>
                    <w:pStyle w:val="119"/>
                    <w:widowControl/>
                    <w:spacing w:beforeLines="0" w:afterLines="0" w:line="240" w:lineRule="auto"/>
                    <w:ind w:firstLine="0" w:firstLineChars="0"/>
                    <w:jc w:val="center"/>
                    <w:rPr>
                      <w:bCs/>
                      <w:sz w:val="18"/>
                      <w:szCs w:val="18"/>
                    </w:rPr>
                  </w:pPr>
                  <w:r>
                    <w:rPr>
                      <w:bCs/>
                      <w:sz w:val="18"/>
                      <w:szCs w:val="18"/>
                    </w:rPr>
                    <w:t>12Cr2Mo、10MoWVNb、15CrMo、1Cr5Mo、P5、P9</w:t>
                  </w:r>
                </w:p>
              </w:tc>
              <w:tc>
                <w:tcPr>
                  <w:tcW w:w="1459" w:type="dxa"/>
                  <w:vAlign w:val="center"/>
                </w:tcPr>
                <w:p w14:paraId="1FEE4B18">
                  <w:pPr>
                    <w:pStyle w:val="119"/>
                    <w:widowControl/>
                    <w:spacing w:beforeLines="0" w:afterLines="0" w:line="240" w:lineRule="auto"/>
                    <w:ind w:firstLine="0" w:firstLineChars="0"/>
                    <w:jc w:val="center"/>
                    <w:rPr>
                      <w:bCs/>
                      <w:sz w:val="18"/>
                      <w:szCs w:val="18"/>
                    </w:rPr>
                  </w:pPr>
                  <w:r>
                    <w:rPr>
                      <w:bCs/>
                      <w:sz w:val="18"/>
                      <w:szCs w:val="18"/>
                    </w:rPr>
                    <w:t>Ф48~Ф114×4.0~14×4000~12000</w:t>
                  </w:r>
                </w:p>
              </w:tc>
              <w:tc>
                <w:tcPr>
                  <w:tcW w:w="851" w:type="dxa"/>
                  <w:vAlign w:val="center"/>
                </w:tcPr>
                <w:p w14:paraId="4956C2D7">
                  <w:pPr>
                    <w:pStyle w:val="119"/>
                    <w:widowControl/>
                    <w:spacing w:beforeLines="0" w:afterLines="0" w:line="240" w:lineRule="auto"/>
                    <w:ind w:firstLine="0" w:firstLineChars="0"/>
                    <w:jc w:val="center"/>
                    <w:rPr>
                      <w:bCs/>
                      <w:sz w:val="18"/>
                      <w:szCs w:val="18"/>
                    </w:rPr>
                  </w:pPr>
                  <w:r>
                    <w:rPr>
                      <w:bCs/>
                      <w:sz w:val="18"/>
                      <w:szCs w:val="18"/>
                    </w:rPr>
                    <w:t>10000</w:t>
                  </w:r>
                </w:p>
              </w:tc>
              <w:tc>
                <w:tcPr>
                  <w:tcW w:w="783" w:type="dxa"/>
                  <w:vAlign w:val="center"/>
                </w:tcPr>
                <w:p w14:paraId="2CE0E4BE">
                  <w:pPr>
                    <w:pStyle w:val="119"/>
                    <w:widowControl/>
                    <w:spacing w:beforeLines="0" w:afterLines="0" w:line="240" w:lineRule="auto"/>
                    <w:ind w:firstLine="0" w:firstLineChars="0"/>
                    <w:jc w:val="center"/>
                    <w:rPr>
                      <w:bCs/>
                      <w:sz w:val="18"/>
                      <w:szCs w:val="18"/>
                    </w:rPr>
                  </w:pPr>
                  <w:r>
                    <w:rPr>
                      <w:bCs/>
                      <w:sz w:val="18"/>
                      <w:szCs w:val="18"/>
                    </w:rPr>
                    <w:t>5</w:t>
                  </w:r>
                </w:p>
              </w:tc>
              <w:tc>
                <w:tcPr>
                  <w:tcW w:w="1343" w:type="dxa"/>
                  <w:vAlign w:val="center"/>
                </w:tcPr>
                <w:p w14:paraId="79F40435">
                  <w:pPr>
                    <w:overflowPunct w:val="0"/>
                    <w:rPr>
                      <w:spacing w:val="10"/>
                      <w:sz w:val="18"/>
                      <w:szCs w:val="18"/>
                    </w:rPr>
                  </w:pPr>
                  <w:r>
                    <w:rPr>
                      <w:sz w:val="18"/>
                      <w:szCs w:val="18"/>
                    </w:rPr>
                    <w:t>Ф32~Ф114</w:t>
                  </w:r>
                  <w:r>
                    <w:rPr>
                      <w:spacing w:val="10"/>
                      <w:sz w:val="18"/>
                      <w:szCs w:val="18"/>
                    </w:rPr>
                    <w:t>×4.0</w:t>
                  </w:r>
                  <w:r>
                    <w:rPr>
                      <w:sz w:val="18"/>
                      <w:szCs w:val="18"/>
                    </w:rPr>
                    <w:t>~14</w:t>
                  </w:r>
                  <w:r>
                    <w:rPr>
                      <w:spacing w:val="10"/>
                      <w:sz w:val="18"/>
                      <w:szCs w:val="18"/>
                    </w:rPr>
                    <w:t>×4000~12000</w:t>
                  </w:r>
                </w:p>
              </w:tc>
              <w:tc>
                <w:tcPr>
                  <w:tcW w:w="992" w:type="dxa"/>
                  <w:vAlign w:val="center"/>
                </w:tcPr>
                <w:p w14:paraId="42C8BF59">
                  <w:pPr>
                    <w:pStyle w:val="119"/>
                    <w:widowControl/>
                    <w:spacing w:beforeLines="0" w:afterLines="0" w:line="240" w:lineRule="auto"/>
                    <w:ind w:firstLine="0" w:firstLineChars="0"/>
                    <w:jc w:val="center"/>
                    <w:rPr>
                      <w:bCs/>
                      <w:kern w:val="0"/>
                      <w:sz w:val="21"/>
                      <w:szCs w:val="21"/>
                    </w:rPr>
                  </w:pPr>
                  <w:r>
                    <w:rPr>
                      <w:rFonts w:hint="eastAsia"/>
                      <w:bCs/>
                      <w:kern w:val="0"/>
                      <w:sz w:val="21"/>
                      <w:szCs w:val="21"/>
                    </w:rPr>
                    <w:t>13000</w:t>
                  </w:r>
                </w:p>
              </w:tc>
              <w:tc>
                <w:tcPr>
                  <w:tcW w:w="758" w:type="dxa"/>
                  <w:vAlign w:val="center"/>
                </w:tcPr>
                <w:p w14:paraId="23EA7599">
                  <w:pPr>
                    <w:pStyle w:val="119"/>
                    <w:widowControl/>
                    <w:spacing w:beforeLines="0" w:afterLines="0" w:line="240" w:lineRule="auto"/>
                    <w:ind w:firstLine="0" w:firstLineChars="0"/>
                    <w:jc w:val="center"/>
                    <w:rPr>
                      <w:bCs/>
                      <w:kern w:val="0"/>
                      <w:sz w:val="21"/>
                      <w:szCs w:val="21"/>
                    </w:rPr>
                  </w:pPr>
                  <w:r>
                    <w:rPr>
                      <w:rFonts w:hint="eastAsia"/>
                      <w:bCs/>
                      <w:kern w:val="0"/>
                      <w:sz w:val="21"/>
                      <w:szCs w:val="21"/>
                    </w:rPr>
                    <w:t>4.6</w:t>
                  </w:r>
                </w:p>
              </w:tc>
            </w:tr>
            <w:tr w14:paraId="2CE929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83" w:type="dxa"/>
                  <w:vAlign w:val="center"/>
                </w:tcPr>
                <w:p w14:paraId="792A70D0">
                  <w:pPr>
                    <w:pStyle w:val="119"/>
                    <w:widowControl/>
                    <w:spacing w:beforeLines="0" w:afterLines="0" w:line="240" w:lineRule="auto"/>
                    <w:ind w:firstLine="0" w:firstLineChars="0"/>
                    <w:jc w:val="center"/>
                    <w:rPr>
                      <w:bCs/>
                      <w:sz w:val="18"/>
                      <w:szCs w:val="18"/>
                    </w:rPr>
                  </w:pPr>
                  <w:r>
                    <w:rPr>
                      <w:bCs/>
                      <w:sz w:val="18"/>
                      <w:szCs w:val="18"/>
                    </w:rPr>
                    <w:t>8</w:t>
                  </w:r>
                </w:p>
              </w:tc>
              <w:tc>
                <w:tcPr>
                  <w:tcW w:w="851" w:type="dxa"/>
                  <w:vAlign w:val="center"/>
                </w:tcPr>
                <w:p w14:paraId="43BD3863">
                  <w:pPr>
                    <w:pStyle w:val="119"/>
                    <w:widowControl/>
                    <w:spacing w:beforeLines="0" w:afterLines="0" w:line="240" w:lineRule="auto"/>
                    <w:ind w:firstLine="0" w:firstLineChars="0"/>
                    <w:jc w:val="center"/>
                    <w:rPr>
                      <w:bCs/>
                      <w:sz w:val="18"/>
                      <w:szCs w:val="18"/>
                    </w:rPr>
                  </w:pPr>
                  <w:r>
                    <w:rPr>
                      <w:bCs/>
                      <w:sz w:val="18"/>
                      <w:szCs w:val="18"/>
                    </w:rPr>
                    <w:t>结构管、流体管等</w:t>
                  </w:r>
                </w:p>
              </w:tc>
              <w:tc>
                <w:tcPr>
                  <w:tcW w:w="1659" w:type="dxa"/>
                  <w:vAlign w:val="center"/>
                </w:tcPr>
                <w:p w14:paraId="46C26B62">
                  <w:pPr>
                    <w:pStyle w:val="119"/>
                    <w:widowControl/>
                    <w:spacing w:beforeLines="0" w:afterLines="0" w:line="240" w:lineRule="auto"/>
                    <w:ind w:firstLine="0" w:firstLineChars="0"/>
                    <w:jc w:val="center"/>
                    <w:rPr>
                      <w:bCs/>
                      <w:sz w:val="18"/>
                      <w:szCs w:val="18"/>
                    </w:rPr>
                  </w:pPr>
                  <w:r>
                    <w:rPr>
                      <w:bCs/>
                      <w:sz w:val="18"/>
                      <w:szCs w:val="18"/>
                    </w:rPr>
                    <w:t>20、Q345、Q390、45Mn2</w:t>
                  </w:r>
                </w:p>
              </w:tc>
              <w:tc>
                <w:tcPr>
                  <w:tcW w:w="1459" w:type="dxa"/>
                  <w:vAlign w:val="center"/>
                </w:tcPr>
                <w:p w14:paraId="30AD937C">
                  <w:pPr>
                    <w:pStyle w:val="119"/>
                    <w:widowControl/>
                    <w:spacing w:beforeLines="0" w:afterLines="0" w:line="240" w:lineRule="auto"/>
                    <w:ind w:firstLine="0" w:firstLineChars="0"/>
                    <w:jc w:val="center"/>
                    <w:rPr>
                      <w:bCs/>
                      <w:sz w:val="18"/>
                      <w:szCs w:val="18"/>
                    </w:rPr>
                  </w:pPr>
                  <w:r>
                    <w:rPr>
                      <w:bCs/>
                      <w:sz w:val="18"/>
                      <w:szCs w:val="18"/>
                    </w:rPr>
                    <w:t>Ф48~Ф114×4.0~14×4000~12000</w:t>
                  </w:r>
                </w:p>
              </w:tc>
              <w:tc>
                <w:tcPr>
                  <w:tcW w:w="851" w:type="dxa"/>
                  <w:vAlign w:val="center"/>
                </w:tcPr>
                <w:p w14:paraId="269270FC">
                  <w:pPr>
                    <w:pStyle w:val="119"/>
                    <w:widowControl/>
                    <w:spacing w:beforeLines="0" w:afterLines="0" w:line="240" w:lineRule="auto"/>
                    <w:ind w:firstLine="0" w:firstLineChars="0"/>
                    <w:jc w:val="center"/>
                    <w:rPr>
                      <w:bCs/>
                      <w:sz w:val="18"/>
                      <w:szCs w:val="18"/>
                    </w:rPr>
                  </w:pPr>
                  <w:r>
                    <w:rPr>
                      <w:bCs/>
                      <w:sz w:val="18"/>
                      <w:szCs w:val="18"/>
                    </w:rPr>
                    <w:t>10000</w:t>
                  </w:r>
                </w:p>
              </w:tc>
              <w:tc>
                <w:tcPr>
                  <w:tcW w:w="783" w:type="dxa"/>
                  <w:vAlign w:val="center"/>
                </w:tcPr>
                <w:p w14:paraId="2A688312">
                  <w:pPr>
                    <w:pStyle w:val="119"/>
                    <w:widowControl/>
                    <w:spacing w:beforeLines="0" w:afterLines="0" w:line="240" w:lineRule="auto"/>
                    <w:ind w:firstLine="0" w:firstLineChars="0"/>
                    <w:jc w:val="center"/>
                    <w:rPr>
                      <w:bCs/>
                      <w:sz w:val="18"/>
                      <w:szCs w:val="18"/>
                    </w:rPr>
                  </w:pPr>
                  <w:r>
                    <w:rPr>
                      <w:bCs/>
                      <w:sz w:val="18"/>
                      <w:szCs w:val="18"/>
                    </w:rPr>
                    <w:t>5</w:t>
                  </w:r>
                </w:p>
              </w:tc>
              <w:tc>
                <w:tcPr>
                  <w:tcW w:w="1343" w:type="dxa"/>
                  <w:vAlign w:val="center"/>
                </w:tcPr>
                <w:p w14:paraId="7D8F7C65">
                  <w:pPr>
                    <w:overflowPunct w:val="0"/>
                    <w:rPr>
                      <w:spacing w:val="10"/>
                      <w:sz w:val="18"/>
                      <w:szCs w:val="18"/>
                    </w:rPr>
                  </w:pPr>
                  <w:r>
                    <w:rPr>
                      <w:sz w:val="18"/>
                      <w:szCs w:val="18"/>
                    </w:rPr>
                    <w:t>Ф32~Ф114</w:t>
                  </w:r>
                  <w:r>
                    <w:rPr>
                      <w:spacing w:val="10"/>
                      <w:sz w:val="18"/>
                      <w:szCs w:val="18"/>
                    </w:rPr>
                    <w:t>×4.0</w:t>
                  </w:r>
                  <w:r>
                    <w:rPr>
                      <w:sz w:val="18"/>
                      <w:szCs w:val="18"/>
                    </w:rPr>
                    <w:t>~14</w:t>
                  </w:r>
                  <w:r>
                    <w:rPr>
                      <w:spacing w:val="10"/>
                      <w:sz w:val="18"/>
                      <w:szCs w:val="18"/>
                    </w:rPr>
                    <w:t>×4000~12000</w:t>
                  </w:r>
                </w:p>
              </w:tc>
              <w:tc>
                <w:tcPr>
                  <w:tcW w:w="992" w:type="dxa"/>
                  <w:vAlign w:val="center"/>
                </w:tcPr>
                <w:p w14:paraId="2BB48D09">
                  <w:pPr>
                    <w:pStyle w:val="119"/>
                    <w:widowControl/>
                    <w:spacing w:beforeLines="0" w:afterLines="0" w:line="240" w:lineRule="auto"/>
                    <w:ind w:firstLine="0" w:firstLineChars="0"/>
                    <w:jc w:val="center"/>
                    <w:rPr>
                      <w:bCs/>
                      <w:kern w:val="0"/>
                      <w:sz w:val="21"/>
                      <w:szCs w:val="21"/>
                    </w:rPr>
                  </w:pPr>
                  <w:r>
                    <w:rPr>
                      <w:rFonts w:hint="eastAsia"/>
                      <w:bCs/>
                      <w:kern w:val="0"/>
                      <w:sz w:val="21"/>
                      <w:szCs w:val="21"/>
                    </w:rPr>
                    <w:t>13000</w:t>
                  </w:r>
                </w:p>
              </w:tc>
              <w:tc>
                <w:tcPr>
                  <w:tcW w:w="758" w:type="dxa"/>
                  <w:vAlign w:val="center"/>
                </w:tcPr>
                <w:p w14:paraId="79CE1AA8">
                  <w:pPr>
                    <w:pStyle w:val="119"/>
                    <w:widowControl/>
                    <w:spacing w:beforeLines="0" w:afterLines="0" w:line="240" w:lineRule="auto"/>
                    <w:ind w:firstLine="0" w:firstLineChars="0"/>
                    <w:jc w:val="center"/>
                    <w:rPr>
                      <w:bCs/>
                      <w:kern w:val="0"/>
                      <w:sz w:val="21"/>
                      <w:szCs w:val="21"/>
                    </w:rPr>
                  </w:pPr>
                  <w:r>
                    <w:rPr>
                      <w:rFonts w:hint="eastAsia"/>
                      <w:bCs/>
                      <w:kern w:val="0"/>
                      <w:sz w:val="21"/>
                      <w:szCs w:val="21"/>
                    </w:rPr>
                    <w:t>4.6</w:t>
                  </w:r>
                </w:p>
              </w:tc>
            </w:tr>
            <w:tr w14:paraId="5ACBC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52" w:type="dxa"/>
                  <w:gridSpan w:val="4"/>
                  <w:vAlign w:val="center"/>
                </w:tcPr>
                <w:p w14:paraId="6367C9D6">
                  <w:pPr>
                    <w:pStyle w:val="119"/>
                    <w:widowControl/>
                    <w:spacing w:beforeLines="0" w:afterLines="0" w:line="240" w:lineRule="auto"/>
                    <w:ind w:firstLine="0" w:firstLineChars="0"/>
                    <w:jc w:val="center"/>
                    <w:rPr>
                      <w:b/>
                      <w:bCs/>
                      <w:sz w:val="18"/>
                      <w:szCs w:val="18"/>
                    </w:rPr>
                  </w:pPr>
                  <w:r>
                    <w:rPr>
                      <w:b/>
                      <w:bCs/>
                      <w:sz w:val="18"/>
                      <w:szCs w:val="18"/>
                    </w:rPr>
                    <w:t>合计</w:t>
                  </w:r>
                </w:p>
              </w:tc>
              <w:tc>
                <w:tcPr>
                  <w:tcW w:w="851" w:type="dxa"/>
                  <w:vAlign w:val="center"/>
                </w:tcPr>
                <w:p w14:paraId="4253FA7C">
                  <w:pPr>
                    <w:pStyle w:val="119"/>
                    <w:widowControl/>
                    <w:spacing w:beforeLines="0" w:afterLines="0" w:line="240" w:lineRule="auto"/>
                    <w:ind w:firstLine="0" w:firstLineChars="0"/>
                    <w:jc w:val="center"/>
                    <w:rPr>
                      <w:b/>
                      <w:bCs/>
                      <w:sz w:val="18"/>
                      <w:szCs w:val="18"/>
                    </w:rPr>
                  </w:pPr>
                  <w:r>
                    <w:rPr>
                      <w:rFonts w:hint="eastAsia"/>
                      <w:b/>
                      <w:bCs/>
                      <w:sz w:val="18"/>
                      <w:szCs w:val="18"/>
                    </w:rPr>
                    <w:t>200000</w:t>
                  </w:r>
                </w:p>
              </w:tc>
              <w:tc>
                <w:tcPr>
                  <w:tcW w:w="783" w:type="dxa"/>
                  <w:vAlign w:val="center"/>
                </w:tcPr>
                <w:p w14:paraId="6855F36A">
                  <w:pPr>
                    <w:pStyle w:val="119"/>
                    <w:widowControl/>
                    <w:spacing w:beforeLines="0" w:afterLines="0" w:line="240" w:lineRule="auto"/>
                    <w:ind w:firstLine="0" w:firstLineChars="0"/>
                    <w:jc w:val="center"/>
                    <w:rPr>
                      <w:b/>
                      <w:bCs/>
                      <w:sz w:val="18"/>
                      <w:szCs w:val="18"/>
                    </w:rPr>
                  </w:pPr>
                  <w:r>
                    <w:rPr>
                      <w:rFonts w:hint="eastAsia"/>
                      <w:b/>
                      <w:bCs/>
                      <w:sz w:val="18"/>
                      <w:szCs w:val="18"/>
                    </w:rPr>
                    <w:t>100</w:t>
                  </w:r>
                </w:p>
              </w:tc>
              <w:tc>
                <w:tcPr>
                  <w:tcW w:w="1343" w:type="dxa"/>
                  <w:vAlign w:val="center"/>
                </w:tcPr>
                <w:p w14:paraId="72082A89">
                  <w:pPr>
                    <w:pStyle w:val="119"/>
                    <w:widowControl/>
                    <w:spacing w:beforeLines="0" w:afterLines="0" w:line="240" w:lineRule="auto"/>
                    <w:ind w:firstLine="0" w:firstLineChars="0"/>
                    <w:jc w:val="center"/>
                    <w:rPr>
                      <w:b/>
                      <w:bCs/>
                      <w:sz w:val="18"/>
                      <w:szCs w:val="18"/>
                    </w:rPr>
                  </w:pPr>
                  <w:r>
                    <w:rPr>
                      <w:rFonts w:hint="eastAsia"/>
                      <w:b/>
                      <w:bCs/>
                      <w:sz w:val="18"/>
                      <w:szCs w:val="18"/>
                    </w:rPr>
                    <w:t>/</w:t>
                  </w:r>
                </w:p>
              </w:tc>
              <w:tc>
                <w:tcPr>
                  <w:tcW w:w="992" w:type="dxa"/>
                  <w:vAlign w:val="center"/>
                </w:tcPr>
                <w:p w14:paraId="1463EC97">
                  <w:pPr>
                    <w:pStyle w:val="119"/>
                    <w:widowControl/>
                    <w:spacing w:beforeLines="0" w:afterLines="0" w:line="240" w:lineRule="auto"/>
                    <w:ind w:firstLine="0" w:firstLineChars="0"/>
                    <w:jc w:val="center"/>
                    <w:rPr>
                      <w:b/>
                      <w:bCs/>
                      <w:sz w:val="18"/>
                      <w:szCs w:val="18"/>
                    </w:rPr>
                  </w:pPr>
                  <w:r>
                    <w:rPr>
                      <w:rFonts w:hint="eastAsia"/>
                      <w:b/>
                      <w:bCs/>
                      <w:sz w:val="18"/>
                      <w:szCs w:val="18"/>
                    </w:rPr>
                    <w:t>280000</w:t>
                  </w:r>
                </w:p>
              </w:tc>
              <w:tc>
                <w:tcPr>
                  <w:tcW w:w="758" w:type="dxa"/>
                  <w:vAlign w:val="center"/>
                </w:tcPr>
                <w:p w14:paraId="44CF6357">
                  <w:pPr>
                    <w:pStyle w:val="119"/>
                    <w:widowControl/>
                    <w:spacing w:beforeLines="0" w:afterLines="0" w:line="240" w:lineRule="auto"/>
                    <w:ind w:firstLine="0" w:firstLineChars="0"/>
                    <w:jc w:val="center"/>
                    <w:rPr>
                      <w:b/>
                      <w:bCs/>
                      <w:sz w:val="18"/>
                      <w:szCs w:val="18"/>
                    </w:rPr>
                  </w:pPr>
                  <w:r>
                    <w:rPr>
                      <w:rFonts w:hint="eastAsia"/>
                      <w:b/>
                      <w:bCs/>
                      <w:sz w:val="18"/>
                      <w:szCs w:val="18"/>
                    </w:rPr>
                    <w:t>100</w:t>
                  </w:r>
                </w:p>
              </w:tc>
            </w:tr>
          </w:tbl>
          <w:p w14:paraId="10C40485">
            <w:pPr>
              <w:pStyle w:val="118"/>
              <w:spacing w:line="360" w:lineRule="auto"/>
              <w:ind w:firstLine="482"/>
              <w:rPr>
                <w:rFonts w:eastAsia="宋体" w:cs="Times New Roman"/>
                <w:b/>
                <w:sz w:val="24"/>
                <w:szCs w:val="24"/>
              </w:rPr>
            </w:pPr>
            <w:r>
              <w:rPr>
                <w:rFonts w:hint="eastAsia" w:eastAsia="宋体" w:cs="Times New Roman"/>
                <w:b/>
                <w:sz w:val="24"/>
                <w:szCs w:val="24"/>
              </w:rPr>
              <w:t>3、</w:t>
            </w:r>
            <w:r>
              <w:rPr>
                <w:rFonts w:eastAsia="宋体" w:cs="Times New Roman"/>
                <w:b/>
                <w:sz w:val="24"/>
                <w:szCs w:val="24"/>
              </w:rPr>
              <w:t>项目主要经济技术指标</w:t>
            </w:r>
          </w:p>
          <w:p w14:paraId="75FE48EB">
            <w:pPr>
              <w:pStyle w:val="118"/>
              <w:spacing w:line="360" w:lineRule="auto"/>
              <w:ind w:firstLine="480"/>
              <w:rPr>
                <w:rFonts w:eastAsia="宋体" w:cs="Times New Roman"/>
                <w:sz w:val="24"/>
                <w:szCs w:val="24"/>
              </w:rPr>
            </w:pPr>
            <w:r>
              <w:rPr>
                <w:rFonts w:eastAsia="宋体" w:cs="Times New Roman"/>
                <w:sz w:val="24"/>
                <w:szCs w:val="24"/>
              </w:rPr>
              <w:t>项目技改前、后所用原料均为合格的连铸圆管坯，管坯使用规格如下：直径：</w:t>
            </w:r>
            <w:r>
              <w:rPr>
                <w:rFonts w:eastAsia="宋体" w:cs="Times New Roman"/>
                <w:sz w:val="24"/>
                <w:szCs w:val="24"/>
              </w:rPr>
              <w:sym w:font="Symbol" w:char="F046"/>
            </w:r>
            <w:r>
              <w:rPr>
                <w:rFonts w:eastAsia="宋体" w:cs="Times New Roman"/>
                <w:sz w:val="24"/>
                <w:szCs w:val="24"/>
              </w:rPr>
              <w:t>140mm；长度：4m～10m；年需管坯量由原有的224000t增加至</w:t>
            </w:r>
            <w:r>
              <w:rPr>
                <w:rFonts w:hint="eastAsia" w:eastAsia="宋体" w:cs="Times New Roman"/>
                <w:sz w:val="24"/>
                <w:szCs w:val="24"/>
              </w:rPr>
              <w:t>308110t</w:t>
            </w:r>
            <w:r>
              <w:rPr>
                <w:rFonts w:eastAsia="宋体" w:cs="Times New Roman"/>
                <w:sz w:val="24"/>
                <w:szCs w:val="24"/>
              </w:rPr>
              <w:t>，金属消耗系数</w:t>
            </w:r>
            <w:r>
              <w:rPr>
                <w:rFonts w:hint="eastAsia" w:eastAsia="宋体" w:cs="Times New Roman"/>
                <w:sz w:val="24"/>
                <w:szCs w:val="24"/>
              </w:rPr>
              <w:t>由原有的</w:t>
            </w:r>
            <w:r>
              <w:rPr>
                <w:rFonts w:eastAsia="宋体" w:cs="Times New Roman"/>
                <w:sz w:val="24"/>
                <w:szCs w:val="24"/>
              </w:rPr>
              <w:t>1.12</w:t>
            </w:r>
            <w:r>
              <w:rPr>
                <w:rFonts w:hint="eastAsia" w:eastAsia="宋体" w:cs="Times New Roman"/>
                <w:sz w:val="24"/>
                <w:szCs w:val="24"/>
              </w:rPr>
              <w:t>0</w:t>
            </w:r>
            <w:r>
              <w:rPr>
                <w:rFonts w:eastAsia="宋体" w:cs="Times New Roman"/>
                <w:sz w:val="24"/>
                <w:szCs w:val="24"/>
              </w:rPr>
              <w:t>降低至</w:t>
            </w:r>
            <w:r>
              <w:rPr>
                <w:rFonts w:hint="eastAsia" w:eastAsia="宋体" w:cs="Times New Roman"/>
                <w:sz w:val="24"/>
                <w:szCs w:val="24"/>
              </w:rPr>
              <w:t>1.100</w:t>
            </w:r>
            <w:r>
              <w:rPr>
                <w:rFonts w:eastAsia="宋体" w:cs="Times New Roman"/>
                <w:sz w:val="24"/>
                <w:szCs w:val="24"/>
              </w:rPr>
              <w:t>。项目技改前、后金属平衡情况见表</w:t>
            </w:r>
            <w:r>
              <w:rPr>
                <w:rFonts w:hint="eastAsia" w:eastAsia="宋体" w:cs="Times New Roman"/>
                <w:sz w:val="24"/>
                <w:szCs w:val="24"/>
              </w:rPr>
              <w:t>2-4</w:t>
            </w:r>
            <w:r>
              <w:rPr>
                <w:rFonts w:eastAsia="宋体" w:cs="Times New Roman"/>
                <w:sz w:val="24"/>
                <w:szCs w:val="24"/>
              </w:rPr>
              <w:t>。</w:t>
            </w:r>
          </w:p>
          <w:p w14:paraId="2FF5850D">
            <w:pPr>
              <w:pStyle w:val="2"/>
              <w:spacing w:beforeLines="50"/>
              <w:jc w:val="center"/>
              <w:rPr>
                <w:rFonts w:ascii="Times New Roman"/>
                <w:b/>
                <w:color w:val="auto"/>
                <w:sz w:val="21"/>
              </w:rPr>
            </w:pPr>
            <w:r>
              <w:rPr>
                <w:rFonts w:ascii="Times New Roman"/>
                <w:b/>
                <w:color w:val="auto"/>
                <w:sz w:val="21"/>
              </w:rPr>
              <w:t>表</w:t>
            </w:r>
            <w:r>
              <w:rPr>
                <w:rFonts w:hint="eastAsia" w:ascii="Times New Roman"/>
                <w:b/>
                <w:color w:val="auto"/>
                <w:sz w:val="21"/>
              </w:rPr>
              <w:t>2-4</w:t>
            </w:r>
            <w:r>
              <w:rPr>
                <w:rFonts w:ascii="Times New Roman"/>
                <w:b/>
                <w:color w:val="auto"/>
                <w:sz w:val="21"/>
              </w:rPr>
              <w:t xml:space="preserve">  项目技改前金属平衡表</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6"/>
              <w:gridCol w:w="2167"/>
              <w:gridCol w:w="850"/>
              <w:gridCol w:w="991"/>
              <w:gridCol w:w="1020"/>
              <w:gridCol w:w="827"/>
              <w:gridCol w:w="850"/>
              <w:gridCol w:w="855"/>
              <w:gridCol w:w="1030"/>
            </w:tblGrid>
            <w:tr w14:paraId="57FE60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70" w:type="pct"/>
                  <w:vMerge w:val="restart"/>
                  <w:vAlign w:val="center"/>
                </w:tcPr>
                <w:p w14:paraId="774C2824">
                  <w:pPr>
                    <w:jc w:val="center"/>
                    <w:rPr>
                      <w:rFonts w:eastAsiaTheme="minorEastAsia"/>
                      <w:b/>
                      <w:szCs w:val="21"/>
                    </w:rPr>
                  </w:pPr>
                  <w:r>
                    <w:rPr>
                      <w:rFonts w:eastAsiaTheme="minorEastAsia"/>
                      <w:b/>
                      <w:szCs w:val="21"/>
                    </w:rPr>
                    <w:t>序号</w:t>
                  </w:r>
                </w:p>
              </w:tc>
              <w:tc>
                <w:tcPr>
                  <w:tcW w:w="1168" w:type="pct"/>
                  <w:vMerge w:val="restart"/>
                  <w:vAlign w:val="center"/>
                </w:tcPr>
                <w:p w14:paraId="5DC64FE8">
                  <w:pPr>
                    <w:jc w:val="center"/>
                    <w:rPr>
                      <w:rFonts w:eastAsiaTheme="minorEastAsia"/>
                      <w:b/>
                      <w:szCs w:val="21"/>
                    </w:rPr>
                  </w:pPr>
                  <w:r>
                    <w:rPr>
                      <w:rFonts w:eastAsiaTheme="minorEastAsia"/>
                      <w:b/>
                      <w:szCs w:val="21"/>
                    </w:rPr>
                    <w:t>产品品种</w:t>
                  </w:r>
                </w:p>
              </w:tc>
              <w:tc>
                <w:tcPr>
                  <w:tcW w:w="458" w:type="pct"/>
                  <w:vAlign w:val="center"/>
                </w:tcPr>
                <w:p w14:paraId="672B15D0">
                  <w:pPr>
                    <w:jc w:val="center"/>
                    <w:rPr>
                      <w:rFonts w:eastAsiaTheme="minorEastAsia"/>
                      <w:b/>
                      <w:szCs w:val="21"/>
                    </w:rPr>
                  </w:pPr>
                  <w:r>
                    <w:rPr>
                      <w:rFonts w:eastAsiaTheme="minorEastAsia"/>
                      <w:b/>
                      <w:szCs w:val="21"/>
                    </w:rPr>
                    <w:t>原料量</w:t>
                  </w:r>
                </w:p>
              </w:tc>
              <w:tc>
                <w:tcPr>
                  <w:tcW w:w="534" w:type="pct"/>
                  <w:vAlign w:val="center"/>
                </w:tcPr>
                <w:p w14:paraId="75AACF08">
                  <w:pPr>
                    <w:jc w:val="center"/>
                    <w:rPr>
                      <w:rFonts w:eastAsiaTheme="minorEastAsia"/>
                      <w:b/>
                      <w:szCs w:val="21"/>
                    </w:rPr>
                  </w:pPr>
                  <w:r>
                    <w:rPr>
                      <w:rFonts w:eastAsiaTheme="minorEastAsia"/>
                      <w:b/>
                      <w:szCs w:val="21"/>
                    </w:rPr>
                    <w:t>成品量</w:t>
                  </w:r>
                </w:p>
              </w:tc>
              <w:tc>
                <w:tcPr>
                  <w:tcW w:w="996" w:type="pct"/>
                  <w:gridSpan w:val="2"/>
                  <w:vAlign w:val="center"/>
                </w:tcPr>
                <w:p w14:paraId="4206F795">
                  <w:pPr>
                    <w:jc w:val="center"/>
                    <w:rPr>
                      <w:rFonts w:eastAsiaTheme="minorEastAsia"/>
                      <w:b/>
                      <w:szCs w:val="21"/>
                    </w:rPr>
                  </w:pPr>
                  <w:r>
                    <w:rPr>
                      <w:rFonts w:eastAsiaTheme="minorEastAsia"/>
                      <w:b/>
                      <w:szCs w:val="21"/>
                    </w:rPr>
                    <w:t>切头及废品</w:t>
                  </w:r>
                </w:p>
              </w:tc>
              <w:tc>
                <w:tcPr>
                  <w:tcW w:w="919" w:type="pct"/>
                  <w:gridSpan w:val="2"/>
                  <w:vAlign w:val="center"/>
                </w:tcPr>
                <w:p w14:paraId="4E0B6ECD">
                  <w:pPr>
                    <w:jc w:val="center"/>
                    <w:rPr>
                      <w:rFonts w:eastAsiaTheme="minorEastAsia"/>
                      <w:b/>
                      <w:szCs w:val="21"/>
                    </w:rPr>
                  </w:pPr>
                  <w:r>
                    <w:rPr>
                      <w:rFonts w:eastAsiaTheme="minorEastAsia"/>
                      <w:b/>
                      <w:szCs w:val="21"/>
                    </w:rPr>
                    <w:t>烧损</w:t>
                  </w:r>
                </w:p>
              </w:tc>
              <w:tc>
                <w:tcPr>
                  <w:tcW w:w="555" w:type="pct"/>
                  <w:vMerge w:val="restart"/>
                  <w:vAlign w:val="center"/>
                </w:tcPr>
                <w:p w14:paraId="37A96016">
                  <w:pPr>
                    <w:jc w:val="center"/>
                    <w:rPr>
                      <w:rFonts w:eastAsiaTheme="minorEastAsia"/>
                      <w:b/>
                      <w:szCs w:val="21"/>
                    </w:rPr>
                  </w:pPr>
                  <w:r>
                    <w:rPr>
                      <w:rFonts w:eastAsiaTheme="minorEastAsia"/>
                      <w:b/>
                      <w:szCs w:val="21"/>
                    </w:rPr>
                    <w:t>金属消耗系数</w:t>
                  </w:r>
                </w:p>
              </w:tc>
            </w:tr>
            <w:tr w14:paraId="1BF117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70" w:type="pct"/>
                  <w:vMerge w:val="continue"/>
                  <w:vAlign w:val="center"/>
                </w:tcPr>
                <w:p w14:paraId="0FDABB9A">
                  <w:pPr>
                    <w:jc w:val="center"/>
                    <w:rPr>
                      <w:rFonts w:eastAsiaTheme="minorEastAsia"/>
                      <w:szCs w:val="21"/>
                    </w:rPr>
                  </w:pPr>
                </w:p>
              </w:tc>
              <w:tc>
                <w:tcPr>
                  <w:tcW w:w="1168" w:type="pct"/>
                  <w:vMerge w:val="continue"/>
                  <w:vAlign w:val="center"/>
                </w:tcPr>
                <w:p w14:paraId="16431114">
                  <w:pPr>
                    <w:jc w:val="center"/>
                    <w:rPr>
                      <w:rFonts w:eastAsiaTheme="minorEastAsia"/>
                      <w:szCs w:val="21"/>
                    </w:rPr>
                  </w:pPr>
                </w:p>
              </w:tc>
              <w:tc>
                <w:tcPr>
                  <w:tcW w:w="458" w:type="pct"/>
                  <w:vAlign w:val="center"/>
                </w:tcPr>
                <w:p w14:paraId="3F7516B2">
                  <w:pPr>
                    <w:jc w:val="center"/>
                    <w:rPr>
                      <w:rFonts w:eastAsiaTheme="minorEastAsia"/>
                      <w:b/>
                      <w:szCs w:val="21"/>
                    </w:rPr>
                  </w:pPr>
                  <w:r>
                    <w:rPr>
                      <w:rFonts w:eastAsiaTheme="minorEastAsia"/>
                      <w:b/>
                      <w:szCs w:val="21"/>
                    </w:rPr>
                    <w:t>t/a</w:t>
                  </w:r>
                </w:p>
              </w:tc>
              <w:tc>
                <w:tcPr>
                  <w:tcW w:w="534" w:type="pct"/>
                  <w:vAlign w:val="center"/>
                </w:tcPr>
                <w:p w14:paraId="5E2707B8">
                  <w:pPr>
                    <w:jc w:val="center"/>
                    <w:rPr>
                      <w:rFonts w:eastAsiaTheme="minorEastAsia"/>
                      <w:b/>
                      <w:szCs w:val="21"/>
                    </w:rPr>
                  </w:pPr>
                  <w:r>
                    <w:rPr>
                      <w:rFonts w:eastAsiaTheme="minorEastAsia"/>
                      <w:b/>
                      <w:szCs w:val="21"/>
                    </w:rPr>
                    <w:t>t/a</w:t>
                  </w:r>
                </w:p>
              </w:tc>
              <w:tc>
                <w:tcPr>
                  <w:tcW w:w="550" w:type="pct"/>
                  <w:vAlign w:val="center"/>
                </w:tcPr>
                <w:p w14:paraId="20147BBD">
                  <w:pPr>
                    <w:jc w:val="center"/>
                    <w:rPr>
                      <w:rFonts w:eastAsiaTheme="minorEastAsia"/>
                      <w:b/>
                      <w:szCs w:val="21"/>
                    </w:rPr>
                  </w:pPr>
                  <w:r>
                    <w:rPr>
                      <w:rFonts w:eastAsiaTheme="minorEastAsia"/>
                      <w:b/>
                      <w:szCs w:val="21"/>
                    </w:rPr>
                    <w:t>t/a</w:t>
                  </w:r>
                </w:p>
              </w:tc>
              <w:tc>
                <w:tcPr>
                  <w:tcW w:w="446" w:type="pct"/>
                  <w:vAlign w:val="center"/>
                </w:tcPr>
                <w:p w14:paraId="77022CB1">
                  <w:pPr>
                    <w:jc w:val="center"/>
                    <w:rPr>
                      <w:rFonts w:eastAsiaTheme="minorEastAsia"/>
                      <w:b/>
                      <w:szCs w:val="21"/>
                    </w:rPr>
                  </w:pPr>
                  <w:r>
                    <w:rPr>
                      <w:rFonts w:eastAsiaTheme="minorEastAsia"/>
                      <w:b/>
                      <w:szCs w:val="21"/>
                    </w:rPr>
                    <w:t>%</w:t>
                  </w:r>
                </w:p>
              </w:tc>
              <w:tc>
                <w:tcPr>
                  <w:tcW w:w="458" w:type="pct"/>
                  <w:vAlign w:val="center"/>
                </w:tcPr>
                <w:p w14:paraId="23057D81">
                  <w:pPr>
                    <w:jc w:val="center"/>
                    <w:rPr>
                      <w:rFonts w:eastAsiaTheme="minorEastAsia"/>
                      <w:b/>
                      <w:szCs w:val="21"/>
                    </w:rPr>
                  </w:pPr>
                  <w:r>
                    <w:rPr>
                      <w:rFonts w:eastAsiaTheme="minorEastAsia"/>
                      <w:b/>
                      <w:szCs w:val="21"/>
                    </w:rPr>
                    <w:t>t/a</w:t>
                  </w:r>
                </w:p>
              </w:tc>
              <w:tc>
                <w:tcPr>
                  <w:tcW w:w="461" w:type="pct"/>
                  <w:vAlign w:val="center"/>
                </w:tcPr>
                <w:p w14:paraId="17BDD470">
                  <w:pPr>
                    <w:jc w:val="center"/>
                    <w:rPr>
                      <w:rFonts w:eastAsiaTheme="minorEastAsia"/>
                      <w:b/>
                      <w:szCs w:val="21"/>
                    </w:rPr>
                  </w:pPr>
                  <w:r>
                    <w:rPr>
                      <w:rFonts w:eastAsiaTheme="minorEastAsia"/>
                      <w:b/>
                      <w:szCs w:val="21"/>
                    </w:rPr>
                    <w:t>%</w:t>
                  </w:r>
                </w:p>
              </w:tc>
              <w:tc>
                <w:tcPr>
                  <w:tcW w:w="555" w:type="pct"/>
                  <w:vMerge w:val="continue"/>
                  <w:vAlign w:val="center"/>
                </w:tcPr>
                <w:p w14:paraId="72C6966D">
                  <w:pPr>
                    <w:jc w:val="center"/>
                    <w:rPr>
                      <w:rFonts w:eastAsiaTheme="minorEastAsia"/>
                      <w:szCs w:val="21"/>
                    </w:rPr>
                  </w:pPr>
                </w:p>
              </w:tc>
            </w:tr>
            <w:tr w14:paraId="1613FE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70" w:type="pct"/>
                  <w:vAlign w:val="center"/>
                </w:tcPr>
                <w:p w14:paraId="0CD07AAC">
                  <w:pPr>
                    <w:jc w:val="center"/>
                    <w:rPr>
                      <w:rFonts w:eastAsiaTheme="minorEastAsia"/>
                      <w:szCs w:val="21"/>
                    </w:rPr>
                  </w:pPr>
                  <w:r>
                    <w:rPr>
                      <w:rFonts w:eastAsiaTheme="minorEastAsia"/>
                      <w:szCs w:val="21"/>
                    </w:rPr>
                    <w:t>1</w:t>
                  </w:r>
                </w:p>
              </w:tc>
              <w:tc>
                <w:tcPr>
                  <w:tcW w:w="1168" w:type="pct"/>
                  <w:vAlign w:val="center"/>
                </w:tcPr>
                <w:p w14:paraId="1E19F4AB">
                  <w:pPr>
                    <w:jc w:val="center"/>
                    <w:rPr>
                      <w:rFonts w:eastAsiaTheme="minorEastAsia"/>
                      <w:szCs w:val="21"/>
                    </w:rPr>
                  </w:pPr>
                  <w:r>
                    <w:rPr>
                      <w:rFonts w:eastAsiaTheme="minorEastAsia"/>
                      <w:szCs w:val="21"/>
                    </w:rPr>
                    <w:t>油管管料</w:t>
                  </w:r>
                </w:p>
              </w:tc>
              <w:tc>
                <w:tcPr>
                  <w:tcW w:w="458" w:type="pct"/>
                  <w:vAlign w:val="center"/>
                </w:tcPr>
                <w:p w14:paraId="5E8F0312">
                  <w:pPr>
                    <w:jc w:val="center"/>
                    <w:rPr>
                      <w:rFonts w:eastAsiaTheme="minorEastAsia"/>
                      <w:szCs w:val="21"/>
                    </w:rPr>
                  </w:pPr>
                  <w:r>
                    <w:rPr>
                      <w:rFonts w:eastAsiaTheme="minorEastAsia"/>
                      <w:szCs w:val="21"/>
                    </w:rPr>
                    <w:t>100800</w:t>
                  </w:r>
                </w:p>
              </w:tc>
              <w:tc>
                <w:tcPr>
                  <w:tcW w:w="534" w:type="pct"/>
                  <w:vAlign w:val="center"/>
                </w:tcPr>
                <w:p w14:paraId="6D4C47BB">
                  <w:pPr>
                    <w:jc w:val="center"/>
                    <w:rPr>
                      <w:rFonts w:eastAsiaTheme="minorEastAsia"/>
                      <w:szCs w:val="21"/>
                    </w:rPr>
                  </w:pPr>
                  <w:r>
                    <w:rPr>
                      <w:rFonts w:eastAsiaTheme="minorEastAsia"/>
                      <w:szCs w:val="21"/>
                    </w:rPr>
                    <w:t>90000</w:t>
                  </w:r>
                </w:p>
              </w:tc>
              <w:tc>
                <w:tcPr>
                  <w:tcW w:w="550" w:type="pct"/>
                  <w:vAlign w:val="center"/>
                </w:tcPr>
                <w:p w14:paraId="796C5E8A">
                  <w:pPr>
                    <w:jc w:val="center"/>
                    <w:rPr>
                      <w:rFonts w:eastAsiaTheme="minorEastAsia"/>
                      <w:szCs w:val="21"/>
                    </w:rPr>
                  </w:pPr>
                  <w:r>
                    <w:rPr>
                      <w:rFonts w:eastAsiaTheme="minorEastAsia"/>
                      <w:szCs w:val="21"/>
                    </w:rPr>
                    <w:t>8280.0</w:t>
                  </w:r>
                </w:p>
              </w:tc>
              <w:tc>
                <w:tcPr>
                  <w:tcW w:w="446" w:type="pct"/>
                  <w:vAlign w:val="center"/>
                </w:tcPr>
                <w:p w14:paraId="19CDE474">
                  <w:pPr>
                    <w:jc w:val="center"/>
                    <w:rPr>
                      <w:rFonts w:eastAsiaTheme="minorEastAsia"/>
                      <w:szCs w:val="21"/>
                    </w:rPr>
                  </w:pPr>
                  <w:r>
                    <w:rPr>
                      <w:rFonts w:eastAsiaTheme="minorEastAsia"/>
                      <w:szCs w:val="21"/>
                    </w:rPr>
                    <w:t>8.21</w:t>
                  </w:r>
                  <w:r>
                    <w:rPr>
                      <w:rFonts w:hint="eastAsia" w:eastAsiaTheme="minorEastAsia"/>
                      <w:szCs w:val="21"/>
                    </w:rPr>
                    <w:t>4</w:t>
                  </w:r>
                </w:p>
              </w:tc>
              <w:tc>
                <w:tcPr>
                  <w:tcW w:w="458" w:type="pct"/>
                  <w:vAlign w:val="center"/>
                </w:tcPr>
                <w:p w14:paraId="4172C1D6">
                  <w:pPr>
                    <w:jc w:val="center"/>
                    <w:rPr>
                      <w:rFonts w:eastAsiaTheme="minorEastAsia"/>
                      <w:szCs w:val="21"/>
                    </w:rPr>
                  </w:pPr>
                  <w:r>
                    <w:rPr>
                      <w:rFonts w:eastAsiaTheme="minorEastAsia"/>
                      <w:szCs w:val="21"/>
                    </w:rPr>
                    <w:t>2520</w:t>
                  </w:r>
                </w:p>
              </w:tc>
              <w:tc>
                <w:tcPr>
                  <w:tcW w:w="461" w:type="pct"/>
                  <w:vAlign w:val="center"/>
                </w:tcPr>
                <w:p w14:paraId="36366EC8">
                  <w:pPr>
                    <w:jc w:val="center"/>
                    <w:rPr>
                      <w:rFonts w:eastAsiaTheme="minorEastAsia"/>
                      <w:szCs w:val="21"/>
                    </w:rPr>
                  </w:pPr>
                  <w:r>
                    <w:rPr>
                      <w:rFonts w:eastAsiaTheme="minorEastAsia"/>
                      <w:szCs w:val="21"/>
                    </w:rPr>
                    <w:t>2.5</w:t>
                  </w:r>
                </w:p>
              </w:tc>
              <w:tc>
                <w:tcPr>
                  <w:tcW w:w="555" w:type="pct"/>
                  <w:vAlign w:val="center"/>
                </w:tcPr>
                <w:p w14:paraId="57D89E58">
                  <w:pPr>
                    <w:jc w:val="center"/>
                    <w:rPr>
                      <w:rFonts w:eastAsiaTheme="minorEastAsia"/>
                      <w:szCs w:val="21"/>
                    </w:rPr>
                  </w:pPr>
                  <w:r>
                    <w:rPr>
                      <w:rFonts w:eastAsiaTheme="minorEastAsia"/>
                      <w:szCs w:val="21"/>
                    </w:rPr>
                    <w:t>1.120</w:t>
                  </w:r>
                </w:p>
              </w:tc>
            </w:tr>
            <w:tr w14:paraId="5CB6B1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70" w:type="pct"/>
                  <w:vAlign w:val="center"/>
                </w:tcPr>
                <w:p w14:paraId="7C9F922C">
                  <w:pPr>
                    <w:jc w:val="center"/>
                    <w:rPr>
                      <w:rFonts w:eastAsiaTheme="minorEastAsia"/>
                      <w:szCs w:val="21"/>
                    </w:rPr>
                  </w:pPr>
                  <w:r>
                    <w:rPr>
                      <w:rFonts w:eastAsiaTheme="minorEastAsia"/>
                      <w:szCs w:val="21"/>
                    </w:rPr>
                    <w:t>2</w:t>
                  </w:r>
                </w:p>
              </w:tc>
              <w:tc>
                <w:tcPr>
                  <w:tcW w:w="1168" w:type="pct"/>
                  <w:vAlign w:val="center"/>
                </w:tcPr>
                <w:p w14:paraId="46216C1D">
                  <w:pPr>
                    <w:jc w:val="center"/>
                    <w:rPr>
                      <w:rFonts w:eastAsiaTheme="minorEastAsia"/>
                      <w:szCs w:val="21"/>
                    </w:rPr>
                  </w:pPr>
                  <w:r>
                    <w:rPr>
                      <w:rFonts w:eastAsiaTheme="minorEastAsia"/>
                      <w:szCs w:val="21"/>
                    </w:rPr>
                    <w:t>高钢级油管管料</w:t>
                  </w:r>
                </w:p>
              </w:tc>
              <w:tc>
                <w:tcPr>
                  <w:tcW w:w="458" w:type="pct"/>
                  <w:vAlign w:val="center"/>
                </w:tcPr>
                <w:p w14:paraId="29DFC3C9">
                  <w:pPr>
                    <w:jc w:val="center"/>
                    <w:rPr>
                      <w:rFonts w:eastAsiaTheme="minorEastAsia"/>
                      <w:szCs w:val="21"/>
                    </w:rPr>
                  </w:pPr>
                  <w:r>
                    <w:rPr>
                      <w:rFonts w:eastAsiaTheme="minorEastAsia"/>
                      <w:szCs w:val="21"/>
                    </w:rPr>
                    <w:t>33800</w:t>
                  </w:r>
                </w:p>
              </w:tc>
              <w:tc>
                <w:tcPr>
                  <w:tcW w:w="534" w:type="pct"/>
                  <w:vAlign w:val="center"/>
                </w:tcPr>
                <w:p w14:paraId="009AFA5C">
                  <w:pPr>
                    <w:jc w:val="center"/>
                    <w:rPr>
                      <w:rFonts w:eastAsiaTheme="minorEastAsia"/>
                      <w:szCs w:val="21"/>
                    </w:rPr>
                  </w:pPr>
                  <w:r>
                    <w:rPr>
                      <w:rFonts w:eastAsiaTheme="minorEastAsia"/>
                      <w:szCs w:val="21"/>
                    </w:rPr>
                    <w:t>30000</w:t>
                  </w:r>
                </w:p>
              </w:tc>
              <w:tc>
                <w:tcPr>
                  <w:tcW w:w="550" w:type="pct"/>
                  <w:vAlign w:val="center"/>
                </w:tcPr>
                <w:p w14:paraId="417D7A32">
                  <w:pPr>
                    <w:jc w:val="center"/>
                    <w:rPr>
                      <w:rFonts w:eastAsiaTheme="minorEastAsia"/>
                      <w:szCs w:val="21"/>
                    </w:rPr>
                  </w:pPr>
                  <w:r>
                    <w:rPr>
                      <w:rFonts w:eastAsiaTheme="minorEastAsia"/>
                      <w:szCs w:val="21"/>
                    </w:rPr>
                    <w:t>2955.0</w:t>
                  </w:r>
                </w:p>
              </w:tc>
              <w:tc>
                <w:tcPr>
                  <w:tcW w:w="446" w:type="pct"/>
                  <w:vAlign w:val="center"/>
                </w:tcPr>
                <w:p w14:paraId="51E9AF7F">
                  <w:pPr>
                    <w:jc w:val="center"/>
                    <w:rPr>
                      <w:rFonts w:eastAsiaTheme="minorEastAsia"/>
                      <w:szCs w:val="21"/>
                    </w:rPr>
                  </w:pPr>
                  <w:r>
                    <w:rPr>
                      <w:rFonts w:eastAsiaTheme="minorEastAsia"/>
                      <w:szCs w:val="21"/>
                    </w:rPr>
                    <w:t>8.74</w:t>
                  </w:r>
                  <w:r>
                    <w:rPr>
                      <w:rFonts w:hint="eastAsia" w:eastAsiaTheme="minorEastAsia"/>
                      <w:szCs w:val="21"/>
                    </w:rPr>
                    <w:t>3</w:t>
                  </w:r>
                </w:p>
              </w:tc>
              <w:tc>
                <w:tcPr>
                  <w:tcW w:w="458" w:type="pct"/>
                  <w:vAlign w:val="center"/>
                </w:tcPr>
                <w:p w14:paraId="3D7A8623">
                  <w:pPr>
                    <w:jc w:val="center"/>
                    <w:rPr>
                      <w:rFonts w:eastAsiaTheme="minorEastAsia"/>
                      <w:szCs w:val="21"/>
                    </w:rPr>
                  </w:pPr>
                  <w:r>
                    <w:rPr>
                      <w:rFonts w:eastAsiaTheme="minorEastAsia"/>
                      <w:szCs w:val="21"/>
                    </w:rPr>
                    <w:t>845</w:t>
                  </w:r>
                </w:p>
              </w:tc>
              <w:tc>
                <w:tcPr>
                  <w:tcW w:w="461" w:type="pct"/>
                  <w:vAlign w:val="center"/>
                </w:tcPr>
                <w:p w14:paraId="57E0D4AB">
                  <w:pPr>
                    <w:jc w:val="center"/>
                    <w:rPr>
                      <w:rFonts w:eastAsiaTheme="minorEastAsia"/>
                      <w:szCs w:val="21"/>
                    </w:rPr>
                  </w:pPr>
                  <w:r>
                    <w:rPr>
                      <w:rFonts w:eastAsiaTheme="minorEastAsia"/>
                      <w:szCs w:val="21"/>
                    </w:rPr>
                    <w:t>2.5</w:t>
                  </w:r>
                </w:p>
              </w:tc>
              <w:tc>
                <w:tcPr>
                  <w:tcW w:w="555" w:type="pct"/>
                  <w:vAlign w:val="center"/>
                </w:tcPr>
                <w:p w14:paraId="2F0A10C0">
                  <w:pPr>
                    <w:jc w:val="center"/>
                    <w:rPr>
                      <w:rFonts w:eastAsiaTheme="minorEastAsia"/>
                      <w:szCs w:val="21"/>
                    </w:rPr>
                  </w:pPr>
                  <w:r>
                    <w:rPr>
                      <w:rFonts w:eastAsiaTheme="minorEastAsia"/>
                      <w:szCs w:val="21"/>
                    </w:rPr>
                    <w:t>1.125</w:t>
                  </w:r>
                </w:p>
              </w:tc>
            </w:tr>
            <w:tr w14:paraId="5E55DC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70" w:type="pct"/>
                  <w:vAlign w:val="center"/>
                </w:tcPr>
                <w:p w14:paraId="79C945B8">
                  <w:pPr>
                    <w:jc w:val="center"/>
                    <w:rPr>
                      <w:rFonts w:eastAsiaTheme="minorEastAsia"/>
                      <w:szCs w:val="21"/>
                    </w:rPr>
                  </w:pPr>
                  <w:r>
                    <w:rPr>
                      <w:rFonts w:eastAsiaTheme="minorEastAsia"/>
                      <w:szCs w:val="21"/>
                    </w:rPr>
                    <w:t>3</w:t>
                  </w:r>
                </w:p>
              </w:tc>
              <w:tc>
                <w:tcPr>
                  <w:tcW w:w="1168" w:type="pct"/>
                  <w:vAlign w:val="center"/>
                </w:tcPr>
                <w:p w14:paraId="3E9BA551">
                  <w:pPr>
                    <w:jc w:val="center"/>
                    <w:rPr>
                      <w:rFonts w:eastAsiaTheme="minorEastAsia"/>
                      <w:szCs w:val="21"/>
                    </w:rPr>
                  </w:pPr>
                  <w:r>
                    <w:rPr>
                      <w:rFonts w:eastAsiaTheme="minorEastAsia"/>
                      <w:szCs w:val="21"/>
                    </w:rPr>
                    <w:t>钻杆、射孔枪管</w:t>
                  </w:r>
                </w:p>
              </w:tc>
              <w:tc>
                <w:tcPr>
                  <w:tcW w:w="458" w:type="pct"/>
                  <w:vAlign w:val="center"/>
                </w:tcPr>
                <w:p w14:paraId="53F2347F">
                  <w:pPr>
                    <w:jc w:val="center"/>
                    <w:rPr>
                      <w:rFonts w:eastAsiaTheme="minorEastAsia"/>
                      <w:szCs w:val="21"/>
                    </w:rPr>
                  </w:pPr>
                  <w:r>
                    <w:rPr>
                      <w:rFonts w:eastAsiaTheme="minorEastAsia"/>
                      <w:szCs w:val="21"/>
                    </w:rPr>
                    <w:t>16700</w:t>
                  </w:r>
                </w:p>
              </w:tc>
              <w:tc>
                <w:tcPr>
                  <w:tcW w:w="534" w:type="pct"/>
                  <w:vAlign w:val="center"/>
                </w:tcPr>
                <w:p w14:paraId="0F889105">
                  <w:pPr>
                    <w:jc w:val="center"/>
                    <w:rPr>
                      <w:rFonts w:eastAsiaTheme="minorEastAsia"/>
                      <w:szCs w:val="21"/>
                    </w:rPr>
                  </w:pPr>
                  <w:r>
                    <w:rPr>
                      <w:rFonts w:eastAsiaTheme="minorEastAsia"/>
                      <w:szCs w:val="21"/>
                    </w:rPr>
                    <w:t>15000</w:t>
                  </w:r>
                </w:p>
              </w:tc>
              <w:tc>
                <w:tcPr>
                  <w:tcW w:w="550" w:type="pct"/>
                  <w:vAlign w:val="center"/>
                </w:tcPr>
                <w:p w14:paraId="3D3AA02D">
                  <w:pPr>
                    <w:jc w:val="center"/>
                    <w:rPr>
                      <w:rFonts w:eastAsiaTheme="minorEastAsia"/>
                      <w:szCs w:val="21"/>
                    </w:rPr>
                  </w:pPr>
                  <w:r>
                    <w:rPr>
                      <w:rFonts w:eastAsiaTheme="minorEastAsia"/>
                      <w:szCs w:val="21"/>
                    </w:rPr>
                    <w:t>1282.5</w:t>
                  </w:r>
                </w:p>
              </w:tc>
              <w:tc>
                <w:tcPr>
                  <w:tcW w:w="446" w:type="pct"/>
                  <w:vAlign w:val="center"/>
                </w:tcPr>
                <w:p w14:paraId="51E1BA41">
                  <w:pPr>
                    <w:jc w:val="center"/>
                    <w:rPr>
                      <w:rFonts w:eastAsiaTheme="minorEastAsia"/>
                      <w:szCs w:val="21"/>
                    </w:rPr>
                  </w:pPr>
                  <w:r>
                    <w:rPr>
                      <w:rFonts w:eastAsiaTheme="minorEastAsia"/>
                      <w:szCs w:val="21"/>
                    </w:rPr>
                    <w:t>7.68</w:t>
                  </w:r>
                  <w:r>
                    <w:rPr>
                      <w:rFonts w:hint="eastAsia" w:eastAsiaTheme="minorEastAsia"/>
                      <w:szCs w:val="21"/>
                    </w:rPr>
                    <w:t>0</w:t>
                  </w:r>
                </w:p>
              </w:tc>
              <w:tc>
                <w:tcPr>
                  <w:tcW w:w="458" w:type="pct"/>
                  <w:vAlign w:val="center"/>
                </w:tcPr>
                <w:p w14:paraId="6A7A51FC">
                  <w:pPr>
                    <w:jc w:val="center"/>
                    <w:rPr>
                      <w:rFonts w:eastAsiaTheme="minorEastAsia"/>
                      <w:szCs w:val="21"/>
                    </w:rPr>
                  </w:pPr>
                  <w:r>
                    <w:rPr>
                      <w:rFonts w:eastAsiaTheme="minorEastAsia"/>
                      <w:szCs w:val="21"/>
                    </w:rPr>
                    <w:t>417.5</w:t>
                  </w:r>
                </w:p>
              </w:tc>
              <w:tc>
                <w:tcPr>
                  <w:tcW w:w="461" w:type="pct"/>
                  <w:vAlign w:val="center"/>
                </w:tcPr>
                <w:p w14:paraId="501D2A79">
                  <w:pPr>
                    <w:jc w:val="center"/>
                    <w:rPr>
                      <w:rFonts w:eastAsiaTheme="minorEastAsia"/>
                      <w:szCs w:val="21"/>
                    </w:rPr>
                  </w:pPr>
                  <w:r>
                    <w:rPr>
                      <w:rFonts w:eastAsiaTheme="minorEastAsia"/>
                      <w:szCs w:val="21"/>
                    </w:rPr>
                    <w:t>2.5</w:t>
                  </w:r>
                </w:p>
              </w:tc>
              <w:tc>
                <w:tcPr>
                  <w:tcW w:w="555" w:type="pct"/>
                  <w:vAlign w:val="center"/>
                </w:tcPr>
                <w:p w14:paraId="3AC0A17C">
                  <w:pPr>
                    <w:jc w:val="center"/>
                    <w:rPr>
                      <w:rFonts w:eastAsiaTheme="minorEastAsia"/>
                      <w:szCs w:val="21"/>
                    </w:rPr>
                  </w:pPr>
                  <w:r>
                    <w:rPr>
                      <w:rFonts w:eastAsiaTheme="minorEastAsia"/>
                      <w:szCs w:val="21"/>
                    </w:rPr>
                    <w:t>1.112</w:t>
                  </w:r>
                </w:p>
              </w:tc>
            </w:tr>
            <w:tr w14:paraId="4D25C9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70" w:type="pct"/>
                  <w:vAlign w:val="center"/>
                </w:tcPr>
                <w:p w14:paraId="26056337">
                  <w:pPr>
                    <w:jc w:val="center"/>
                    <w:rPr>
                      <w:rFonts w:eastAsiaTheme="minorEastAsia"/>
                      <w:szCs w:val="21"/>
                    </w:rPr>
                  </w:pPr>
                  <w:r>
                    <w:rPr>
                      <w:rFonts w:eastAsiaTheme="minorEastAsia"/>
                      <w:szCs w:val="21"/>
                    </w:rPr>
                    <w:t>4</w:t>
                  </w:r>
                </w:p>
              </w:tc>
              <w:tc>
                <w:tcPr>
                  <w:tcW w:w="1168" w:type="pct"/>
                  <w:vAlign w:val="center"/>
                </w:tcPr>
                <w:p w14:paraId="2D0679D6">
                  <w:pPr>
                    <w:jc w:val="center"/>
                    <w:rPr>
                      <w:rFonts w:eastAsiaTheme="minorEastAsia"/>
                      <w:szCs w:val="21"/>
                    </w:rPr>
                  </w:pPr>
                  <w:r>
                    <w:rPr>
                      <w:rFonts w:eastAsiaTheme="minorEastAsia"/>
                      <w:szCs w:val="21"/>
                    </w:rPr>
                    <w:t>低温管及管线管</w:t>
                  </w:r>
                </w:p>
              </w:tc>
              <w:tc>
                <w:tcPr>
                  <w:tcW w:w="458" w:type="pct"/>
                  <w:vAlign w:val="center"/>
                </w:tcPr>
                <w:p w14:paraId="3E5DE3F5">
                  <w:pPr>
                    <w:jc w:val="center"/>
                    <w:rPr>
                      <w:rFonts w:eastAsiaTheme="minorEastAsia"/>
                      <w:szCs w:val="21"/>
                    </w:rPr>
                  </w:pPr>
                  <w:r>
                    <w:rPr>
                      <w:rFonts w:eastAsiaTheme="minorEastAsia"/>
                      <w:szCs w:val="21"/>
                    </w:rPr>
                    <w:t>16800</w:t>
                  </w:r>
                </w:p>
              </w:tc>
              <w:tc>
                <w:tcPr>
                  <w:tcW w:w="534" w:type="pct"/>
                  <w:vAlign w:val="center"/>
                </w:tcPr>
                <w:p w14:paraId="66652EB5">
                  <w:pPr>
                    <w:jc w:val="center"/>
                    <w:rPr>
                      <w:rFonts w:eastAsiaTheme="minorEastAsia"/>
                      <w:szCs w:val="21"/>
                    </w:rPr>
                  </w:pPr>
                  <w:r>
                    <w:rPr>
                      <w:rFonts w:eastAsiaTheme="minorEastAsia"/>
                      <w:szCs w:val="21"/>
                    </w:rPr>
                    <w:t>15000</w:t>
                  </w:r>
                </w:p>
              </w:tc>
              <w:tc>
                <w:tcPr>
                  <w:tcW w:w="550" w:type="pct"/>
                  <w:vAlign w:val="center"/>
                </w:tcPr>
                <w:p w14:paraId="22405989">
                  <w:pPr>
                    <w:jc w:val="center"/>
                    <w:rPr>
                      <w:rFonts w:eastAsiaTheme="minorEastAsia"/>
                      <w:szCs w:val="21"/>
                    </w:rPr>
                  </w:pPr>
                  <w:r>
                    <w:rPr>
                      <w:rFonts w:eastAsiaTheme="minorEastAsia"/>
                      <w:szCs w:val="21"/>
                    </w:rPr>
                    <w:t>1380.0</w:t>
                  </w:r>
                </w:p>
              </w:tc>
              <w:tc>
                <w:tcPr>
                  <w:tcW w:w="446" w:type="pct"/>
                  <w:vAlign w:val="center"/>
                </w:tcPr>
                <w:p w14:paraId="62F880BA">
                  <w:pPr>
                    <w:jc w:val="center"/>
                    <w:rPr>
                      <w:rFonts w:eastAsiaTheme="minorEastAsia"/>
                      <w:szCs w:val="21"/>
                    </w:rPr>
                  </w:pPr>
                  <w:r>
                    <w:rPr>
                      <w:rFonts w:eastAsiaTheme="minorEastAsia"/>
                      <w:szCs w:val="21"/>
                    </w:rPr>
                    <w:t>8.21</w:t>
                  </w:r>
                  <w:r>
                    <w:rPr>
                      <w:rFonts w:hint="eastAsia" w:eastAsiaTheme="minorEastAsia"/>
                      <w:szCs w:val="21"/>
                    </w:rPr>
                    <w:t>4</w:t>
                  </w:r>
                </w:p>
              </w:tc>
              <w:tc>
                <w:tcPr>
                  <w:tcW w:w="458" w:type="pct"/>
                  <w:vAlign w:val="center"/>
                </w:tcPr>
                <w:p w14:paraId="7E7FDBDC">
                  <w:pPr>
                    <w:jc w:val="center"/>
                    <w:rPr>
                      <w:rFonts w:eastAsiaTheme="minorEastAsia"/>
                      <w:szCs w:val="21"/>
                    </w:rPr>
                  </w:pPr>
                  <w:r>
                    <w:rPr>
                      <w:rFonts w:eastAsiaTheme="minorEastAsia"/>
                      <w:szCs w:val="21"/>
                    </w:rPr>
                    <w:t>420</w:t>
                  </w:r>
                </w:p>
              </w:tc>
              <w:tc>
                <w:tcPr>
                  <w:tcW w:w="461" w:type="pct"/>
                  <w:vAlign w:val="center"/>
                </w:tcPr>
                <w:p w14:paraId="345AF311">
                  <w:pPr>
                    <w:jc w:val="center"/>
                    <w:rPr>
                      <w:rFonts w:eastAsiaTheme="minorEastAsia"/>
                      <w:szCs w:val="21"/>
                    </w:rPr>
                  </w:pPr>
                  <w:r>
                    <w:rPr>
                      <w:rFonts w:eastAsiaTheme="minorEastAsia"/>
                      <w:szCs w:val="21"/>
                    </w:rPr>
                    <w:t>2.5</w:t>
                  </w:r>
                </w:p>
              </w:tc>
              <w:tc>
                <w:tcPr>
                  <w:tcW w:w="555" w:type="pct"/>
                  <w:vAlign w:val="center"/>
                </w:tcPr>
                <w:p w14:paraId="3155ED68">
                  <w:pPr>
                    <w:jc w:val="center"/>
                    <w:rPr>
                      <w:rFonts w:eastAsiaTheme="minorEastAsia"/>
                      <w:szCs w:val="21"/>
                    </w:rPr>
                  </w:pPr>
                  <w:r>
                    <w:rPr>
                      <w:rFonts w:eastAsiaTheme="minorEastAsia"/>
                      <w:szCs w:val="21"/>
                    </w:rPr>
                    <w:t>1.120</w:t>
                  </w:r>
                </w:p>
              </w:tc>
            </w:tr>
            <w:tr w14:paraId="56CE01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70" w:type="pct"/>
                  <w:vAlign w:val="center"/>
                </w:tcPr>
                <w:p w14:paraId="3EB2CDD2">
                  <w:pPr>
                    <w:jc w:val="center"/>
                    <w:rPr>
                      <w:rFonts w:eastAsiaTheme="minorEastAsia"/>
                      <w:szCs w:val="21"/>
                    </w:rPr>
                  </w:pPr>
                  <w:r>
                    <w:rPr>
                      <w:rFonts w:eastAsiaTheme="minorEastAsia"/>
                      <w:szCs w:val="21"/>
                    </w:rPr>
                    <w:t>5</w:t>
                  </w:r>
                </w:p>
              </w:tc>
              <w:tc>
                <w:tcPr>
                  <w:tcW w:w="1168" w:type="pct"/>
                  <w:vAlign w:val="center"/>
                </w:tcPr>
                <w:p w14:paraId="51509988">
                  <w:pPr>
                    <w:jc w:val="center"/>
                    <w:rPr>
                      <w:rFonts w:eastAsiaTheme="minorEastAsia"/>
                      <w:szCs w:val="21"/>
                    </w:rPr>
                  </w:pPr>
                  <w:r>
                    <w:rPr>
                      <w:rFonts w:eastAsiaTheme="minorEastAsia"/>
                      <w:szCs w:val="21"/>
                    </w:rPr>
                    <w:t>高压锅炉管</w:t>
                  </w:r>
                </w:p>
              </w:tc>
              <w:tc>
                <w:tcPr>
                  <w:tcW w:w="458" w:type="pct"/>
                  <w:vAlign w:val="center"/>
                </w:tcPr>
                <w:p w14:paraId="74E11686">
                  <w:pPr>
                    <w:jc w:val="center"/>
                    <w:rPr>
                      <w:rFonts w:eastAsiaTheme="minorEastAsia"/>
                      <w:szCs w:val="21"/>
                    </w:rPr>
                  </w:pPr>
                  <w:r>
                    <w:rPr>
                      <w:rFonts w:eastAsiaTheme="minorEastAsia"/>
                      <w:szCs w:val="21"/>
                    </w:rPr>
                    <w:t>22500</w:t>
                  </w:r>
                </w:p>
              </w:tc>
              <w:tc>
                <w:tcPr>
                  <w:tcW w:w="534" w:type="pct"/>
                  <w:vAlign w:val="center"/>
                </w:tcPr>
                <w:p w14:paraId="7B6207FB">
                  <w:pPr>
                    <w:jc w:val="center"/>
                    <w:rPr>
                      <w:rFonts w:eastAsiaTheme="minorEastAsia"/>
                      <w:szCs w:val="21"/>
                    </w:rPr>
                  </w:pPr>
                  <w:r>
                    <w:rPr>
                      <w:rFonts w:eastAsiaTheme="minorEastAsia"/>
                      <w:szCs w:val="21"/>
                    </w:rPr>
                    <w:t>20000</w:t>
                  </w:r>
                </w:p>
              </w:tc>
              <w:tc>
                <w:tcPr>
                  <w:tcW w:w="550" w:type="pct"/>
                  <w:vAlign w:val="center"/>
                </w:tcPr>
                <w:p w14:paraId="4B964C7D">
                  <w:pPr>
                    <w:jc w:val="center"/>
                    <w:rPr>
                      <w:rFonts w:eastAsiaTheme="minorEastAsia"/>
                      <w:szCs w:val="21"/>
                    </w:rPr>
                  </w:pPr>
                  <w:r>
                    <w:rPr>
                      <w:rFonts w:eastAsiaTheme="minorEastAsia"/>
                      <w:szCs w:val="21"/>
                    </w:rPr>
                    <w:t>1937.5</w:t>
                  </w:r>
                </w:p>
              </w:tc>
              <w:tc>
                <w:tcPr>
                  <w:tcW w:w="446" w:type="pct"/>
                  <w:vAlign w:val="center"/>
                </w:tcPr>
                <w:p w14:paraId="7FD82EE9">
                  <w:pPr>
                    <w:jc w:val="center"/>
                    <w:rPr>
                      <w:rFonts w:eastAsiaTheme="minorEastAsia"/>
                      <w:szCs w:val="21"/>
                    </w:rPr>
                  </w:pPr>
                  <w:r>
                    <w:rPr>
                      <w:rFonts w:eastAsiaTheme="minorEastAsia"/>
                      <w:szCs w:val="21"/>
                    </w:rPr>
                    <w:t>8.61</w:t>
                  </w:r>
                  <w:r>
                    <w:rPr>
                      <w:rFonts w:hint="eastAsia" w:eastAsiaTheme="minorEastAsia"/>
                      <w:szCs w:val="21"/>
                    </w:rPr>
                    <w:t>1</w:t>
                  </w:r>
                </w:p>
              </w:tc>
              <w:tc>
                <w:tcPr>
                  <w:tcW w:w="458" w:type="pct"/>
                  <w:vAlign w:val="center"/>
                </w:tcPr>
                <w:p w14:paraId="62E4DE3E">
                  <w:pPr>
                    <w:jc w:val="center"/>
                    <w:rPr>
                      <w:rFonts w:eastAsiaTheme="minorEastAsia"/>
                      <w:szCs w:val="21"/>
                    </w:rPr>
                  </w:pPr>
                  <w:r>
                    <w:rPr>
                      <w:rFonts w:eastAsiaTheme="minorEastAsia"/>
                      <w:szCs w:val="21"/>
                    </w:rPr>
                    <w:t>562.5</w:t>
                  </w:r>
                </w:p>
              </w:tc>
              <w:tc>
                <w:tcPr>
                  <w:tcW w:w="461" w:type="pct"/>
                  <w:vAlign w:val="center"/>
                </w:tcPr>
                <w:p w14:paraId="611DFACA">
                  <w:pPr>
                    <w:jc w:val="center"/>
                    <w:rPr>
                      <w:rFonts w:eastAsiaTheme="minorEastAsia"/>
                      <w:szCs w:val="21"/>
                    </w:rPr>
                  </w:pPr>
                  <w:r>
                    <w:rPr>
                      <w:rFonts w:eastAsiaTheme="minorEastAsia"/>
                      <w:szCs w:val="21"/>
                    </w:rPr>
                    <w:t>2.5</w:t>
                  </w:r>
                </w:p>
              </w:tc>
              <w:tc>
                <w:tcPr>
                  <w:tcW w:w="555" w:type="pct"/>
                  <w:vAlign w:val="center"/>
                </w:tcPr>
                <w:p w14:paraId="12C46E92">
                  <w:pPr>
                    <w:jc w:val="center"/>
                    <w:rPr>
                      <w:rFonts w:eastAsiaTheme="minorEastAsia"/>
                      <w:szCs w:val="21"/>
                    </w:rPr>
                  </w:pPr>
                  <w:r>
                    <w:rPr>
                      <w:rFonts w:eastAsiaTheme="minorEastAsia"/>
                      <w:szCs w:val="21"/>
                    </w:rPr>
                    <w:t>1.125</w:t>
                  </w:r>
                </w:p>
              </w:tc>
            </w:tr>
            <w:tr w14:paraId="6C41DF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70" w:type="pct"/>
                  <w:vAlign w:val="center"/>
                </w:tcPr>
                <w:p w14:paraId="39BE23BA">
                  <w:pPr>
                    <w:jc w:val="center"/>
                    <w:rPr>
                      <w:rFonts w:eastAsiaTheme="minorEastAsia"/>
                      <w:szCs w:val="21"/>
                    </w:rPr>
                  </w:pPr>
                  <w:r>
                    <w:rPr>
                      <w:rFonts w:eastAsiaTheme="minorEastAsia"/>
                      <w:szCs w:val="21"/>
                    </w:rPr>
                    <w:t>6</w:t>
                  </w:r>
                </w:p>
              </w:tc>
              <w:tc>
                <w:tcPr>
                  <w:tcW w:w="1168" w:type="pct"/>
                  <w:vAlign w:val="center"/>
                </w:tcPr>
                <w:p w14:paraId="68F42953">
                  <w:pPr>
                    <w:jc w:val="center"/>
                    <w:rPr>
                      <w:rFonts w:eastAsiaTheme="minorEastAsia"/>
                      <w:szCs w:val="21"/>
                    </w:rPr>
                  </w:pPr>
                  <w:r>
                    <w:rPr>
                      <w:rFonts w:eastAsiaTheme="minorEastAsia"/>
                      <w:szCs w:val="21"/>
                    </w:rPr>
                    <w:t>机加工用管</w:t>
                  </w:r>
                </w:p>
              </w:tc>
              <w:tc>
                <w:tcPr>
                  <w:tcW w:w="458" w:type="pct"/>
                  <w:vAlign w:val="center"/>
                </w:tcPr>
                <w:p w14:paraId="55C68351">
                  <w:pPr>
                    <w:jc w:val="center"/>
                    <w:rPr>
                      <w:rFonts w:eastAsiaTheme="minorEastAsia"/>
                      <w:szCs w:val="21"/>
                    </w:rPr>
                  </w:pPr>
                  <w:r>
                    <w:rPr>
                      <w:rFonts w:eastAsiaTheme="minorEastAsia"/>
                      <w:szCs w:val="21"/>
                    </w:rPr>
                    <w:t>11100</w:t>
                  </w:r>
                </w:p>
              </w:tc>
              <w:tc>
                <w:tcPr>
                  <w:tcW w:w="534" w:type="pct"/>
                  <w:vAlign w:val="center"/>
                </w:tcPr>
                <w:p w14:paraId="1A77019A">
                  <w:pPr>
                    <w:jc w:val="center"/>
                    <w:rPr>
                      <w:rFonts w:eastAsiaTheme="minorEastAsia"/>
                      <w:szCs w:val="21"/>
                    </w:rPr>
                  </w:pPr>
                  <w:r>
                    <w:rPr>
                      <w:rFonts w:eastAsiaTheme="minorEastAsia"/>
                      <w:szCs w:val="21"/>
                    </w:rPr>
                    <w:t>10000</w:t>
                  </w:r>
                </w:p>
              </w:tc>
              <w:tc>
                <w:tcPr>
                  <w:tcW w:w="550" w:type="pct"/>
                  <w:vAlign w:val="center"/>
                </w:tcPr>
                <w:p w14:paraId="0055DCBB">
                  <w:pPr>
                    <w:jc w:val="center"/>
                    <w:rPr>
                      <w:rFonts w:eastAsiaTheme="minorEastAsia"/>
                      <w:szCs w:val="21"/>
                    </w:rPr>
                  </w:pPr>
                  <w:r>
                    <w:rPr>
                      <w:rFonts w:eastAsiaTheme="minorEastAsia"/>
                      <w:szCs w:val="21"/>
                    </w:rPr>
                    <w:t>822.5</w:t>
                  </w:r>
                </w:p>
              </w:tc>
              <w:tc>
                <w:tcPr>
                  <w:tcW w:w="446" w:type="pct"/>
                  <w:vAlign w:val="center"/>
                </w:tcPr>
                <w:p w14:paraId="32708093">
                  <w:pPr>
                    <w:jc w:val="center"/>
                    <w:rPr>
                      <w:rFonts w:eastAsiaTheme="minorEastAsia"/>
                      <w:szCs w:val="21"/>
                    </w:rPr>
                  </w:pPr>
                  <w:r>
                    <w:rPr>
                      <w:rFonts w:eastAsiaTheme="minorEastAsia"/>
                      <w:szCs w:val="21"/>
                    </w:rPr>
                    <w:t>7.41</w:t>
                  </w:r>
                  <w:r>
                    <w:rPr>
                      <w:rFonts w:hint="eastAsia" w:eastAsiaTheme="minorEastAsia"/>
                      <w:szCs w:val="21"/>
                    </w:rPr>
                    <w:t>0</w:t>
                  </w:r>
                </w:p>
              </w:tc>
              <w:tc>
                <w:tcPr>
                  <w:tcW w:w="458" w:type="pct"/>
                  <w:vAlign w:val="center"/>
                </w:tcPr>
                <w:p w14:paraId="265B1CE5">
                  <w:pPr>
                    <w:jc w:val="center"/>
                    <w:rPr>
                      <w:rFonts w:eastAsiaTheme="minorEastAsia"/>
                      <w:szCs w:val="21"/>
                    </w:rPr>
                  </w:pPr>
                  <w:r>
                    <w:rPr>
                      <w:rFonts w:eastAsiaTheme="minorEastAsia"/>
                      <w:szCs w:val="21"/>
                    </w:rPr>
                    <w:t>277.5</w:t>
                  </w:r>
                </w:p>
              </w:tc>
              <w:tc>
                <w:tcPr>
                  <w:tcW w:w="461" w:type="pct"/>
                  <w:vAlign w:val="center"/>
                </w:tcPr>
                <w:p w14:paraId="1D306890">
                  <w:pPr>
                    <w:jc w:val="center"/>
                    <w:rPr>
                      <w:rFonts w:eastAsiaTheme="minorEastAsia"/>
                      <w:szCs w:val="21"/>
                    </w:rPr>
                  </w:pPr>
                  <w:r>
                    <w:rPr>
                      <w:rFonts w:eastAsiaTheme="minorEastAsia"/>
                      <w:szCs w:val="21"/>
                    </w:rPr>
                    <w:t>2.5</w:t>
                  </w:r>
                </w:p>
              </w:tc>
              <w:tc>
                <w:tcPr>
                  <w:tcW w:w="555" w:type="pct"/>
                  <w:vAlign w:val="center"/>
                </w:tcPr>
                <w:p w14:paraId="7D07E918">
                  <w:pPr>
                    <w:jc w:val="center"/>
                    <w:rPr>
                      <w:rFonts w:eastAsiaTheme="minorEastAsia"/>
                      <w:szCs w:val="21"/>
                    </w:rPr>
                  </w:pPr>
                  <w:r>
                    <w:rPr>
                      <w:rFonts w:eastAsiaTheme="minorEastAsia"/>
                      <w:szCs w:val="21"/>
                    </w:rPr>
                    <w:t>1.112</w:t>
                  </w:r>
                </w:p>
              </w:tc>
            </w:tr>
            <w:tr w14:paraId="11E5F5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70" w:type="pct"/>
                  <w:vAlign w:val="center"/>
                </w:tcPr>
                <w:p w14:paraId="5122C83D">
                  <w:pPr>
                    <w:jc w:val="center"/>
                    <w:rPr>
                      <w:rFonts w:eastAsiaTheme="minorEastAsia"/>
                      <w:szCs w:val="21"/>
                    </w:rPr>
                  </w:pPr>
                  <w:r>
                    <w:rPr>
                      <w:rFonts w:eastAsiaTheme="minorEastAsia"/>
                      <w:szCs w:val="21"/>
                    </w:rPr>
                    <w:t>7</w:t>
                  </w:r>
                </w:p>
              </w:tc>
              <w:tc>
                <w:tcPr>
                  <w:tcW w:w="1168" w:type="pct"/>
                  <w:vAlign w:val="center"/>
                </w:tcPr>
                <w:p w14:paraId="2E1E0F3C">
                  <w:pPr>
                    <w:jc w:val="center"/>
                    <w:rPr>
                      <w:rFonts w:eastAsiaTheme="minorEastAsia"/>
                      <w:szCs w:val="21"/>
                    </w:rPr>
                  </w:pPr>
                  <w:r>
                    <w:rPr>
                      <w:rFonts w:eastAsiaTheme="minorEastAsia"/>
                      <w:szCs w:val="21"/>
                    </w:rPr>
                    <w:t>高化管、石油裂化管</w:t>
                  </w:r>
                </w:p>
              </w:tc>
              <w:tc>
                <w:tcPr>
                  <w:tcW w:w="458" w:type="pct"/>
                  <w:vAlign w:val="center"/>
                </w:tcPr>
                <w:p w14:paraId="07BBDD7A">
                  <w:pPr>
                    <w:jc w:val="center"/>
                    <w:rPr>
                      <w:rFonts w:eastAsiaTheme="minorEastAsia"/>
                      <w:szCs w:val="21"/>
                    </w:rPr>
                  </w:pPr>
                  <w:r>
                    <w:rPr>
                      <w:rFonts w:eastAsiaTheme="minorEastAsia"/>
                      <w:szCs w:val="21"/>
                    </w:rPr>
                    <w:t>11200</w:t>
                  </w:r>
                </w:p>
              </w:tc>
              <w:tc>
                <w:tcPr>
                  <w:tcW w:w="534" w:type="pct"/>
                  <w:vAlign w:val="center"/>
                </w:tcPr>
                <w:p w14:paraId="26E0602A">
                  <w:pPr>
                    <w:jc w:val="center"/>
                    <w:rPr>
                      <w:rFonts w:eastAsiaTheme="minorEastAsia"/>
                      <w:szCs w:val="21"/>
                    </w:rPr>
                  </w:pPr>
                  <w:r>
                    <w:rPr>
                      <w:rFonts w:eastAsiaTheme="minorEastAsia"/>
                      <w:szCs w:val="21"/>
                    </w:rPr>
                    <w:t>10000</w:t>
                  </w:r>
                </w:p>
              </w:tc>
              <w:tc>
                <w:tcPr>
                  <w:tcW w:w="550" w:type="pct"/>
                  <w:vAlign w:val="center"/>
                </w:tcPr>
                <w:p w14:paraId="0B16CFEF">
                  <w:pPr>
                    <w:jc w:val="center"/>
                    <w:rPr>
                      <w:rFonts w:eastAsiaTheme="minorEastAsia"/>
                      <w:szCs w:val="21"/>
                    </w:rPr>
                  </w:pPr>
                  <w:r>
                    <w:rPr>
                      <w:rFonts w:eastAsiaTheme="minorEastAsia"/>
                      <w:szCs w:val="21"/>
                    </w:rPr>
                    <w:t>920.0</w:t>
                  </w:r>
                </w:p>
              </w:tc>
              <w:tc>
                <w:tcPr>
                  <w:tcW w:w="446" w:type="pct"/>
                  <w:vAlign w:val="center"/>
                </w:tcPr>
                <w:p w14:paraId="188CA1BD">
                  <w:pPr>
                    <w:jc w:val="center"/>
                    <w:rPr>
                      <w:rFonts w:eastAsiaTheme="minorEastAsia"/>
                      <w:szCs w:val="21"/>
                    </w:rPr>
                  </w:pPr>
                  <w:r>
                    <w:rPr>
                      <w:rFonts w:eastAsiaTheme="minorEastAsia"/>
                      <w:szCs w:val="21"/>
                    </w:rPr>
                    <w:t>8.21</w:t>
                  </w:r>
                  <w:r>
                    <w:rPr>
                      <w:rFonts w:hint="eastAsia" w:eastAsiaTheme="minorEastAsia"/>
                      <w:szCs w:val="21"/>
                    </w:rPr>
                    <w:t>4</w:t>
                  </w:r>
                </w:p>
              </w:tc>
              <w:tc>
                <w:tcPr>
                  <w:tcW w:w="458" w:type="pct"/>
                  <w:vAlign w:val="center"/>
                </w:tcPr>
                <w:p w14:paraId="5007A2A8">
                  <w:pPr>
                    <w:jc w:val="center"/>
                    <w:rPr>
                      <w:rFonts w:eastAsiaTheme="minorEastAsia"/>
                      <w:szCs w:val="21"/>
                    </w:rPr>
                  </w:pPr>
                  <w:r>
                    <w:rPr>
                      <w:rFonts w:eastAsiaTheme="minorEastAsia"/>
                      <w:szCs w:val="21"/>
                    </w:rPr>
                    <w:t>280</w:t>
                  </w:r>
                </w:p>
              </w:tc>
              <w:tc>
                <w:tcPr>
                  <w:tcW w:w="461" w:type="pct"/>
                  <w:vAlign w:val="center"/>
                </w:tcPr>
                <w:p w14:paraId="7A7F12BB">
                  <w:pPr>
                    <w:jc w:val="center"/>
                    <w:rPr>
                      <w:rFonts w:eastAsiaTheme="minorEastAsia"/>
                      <w:szCs w:val="21"/>
                    </w:rPr>
                  </w:pPr>
                  <w:r>
                    <w:rPr>
                      <w:rFonts w:eastAsiaTheme="minorEastAsia"/>
                      <w:szCs w:val="21"/>
                    </w:rPr>
                    <w:t>2.5</w:t>
                  </w:r>
                </w:p>
              </w:tc>
              <w:tc>
                <w:tcPr>
                  <w:tcW w:w="555" w:type="pct"/>
                  <w:vAlign w:val="center"/>
                </w:tcPr>
                <w:p w14:paraId="041E1713">
                  <w:pPr>
                    <w:jc w:val="center"/>
                    <w:rPr>
                      <w:rFonts w:eastAsiaTheme="minorEastAsia"/>
                      <w:szCs w:val="21"/>
                    </w:rPr>
                  </w:pPr>
                  <w:r>
                    <w:rPr>
                      <w:rFonts w:eastAsiaTheme="minorEastAsia"/>
                      <w:szCs w:val="21"/>
                    </w:rPr>
                    <w:t>1.120</w:t>
                  </w:r>
                </w:p>
              </w:tc>
            </w:tr>
            <w:tr w14:paraId="11056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70" w:type="pct"/>
                  <w:vAlign w:val="center"/>
                </w:tcPr>
                <w:p w14:paraId="05D12F1D">
                  <w:pPr>
                    <w:jc w:val="center"/>
                    <w:rPr>
                      <w:rFonts w:eastAsiaTheme="minorEastAsia"/>
                      <w:szCs w:val="21"/>
                    </w:rPr>
                  </w:pPr>
                  <w:r>
                    <w:rPr>
                      <w:rFonts w:eastAsiaTheme="minorEastAsia"/>
                      <w:szCs w:val="21"/>
                    </w:rPr>
                    <w:t>8</w:t>
                  </w:r>
                </w:p>
              </w:tc>
              <w:tc>
                <w:tcPr>
                  <w:tcW w:w="1168" w:type="pct"/>
                  <w:vAlign w:val="center"/>
                </w:tcPr>
                <w:p w14:paraId="2DA8845D">
                  <w:pPr>
                    <w:jc w:val="center"/>
                    <w:rPr>
                      <w:rFonts w:eastAsiaTheme="minorEastAsia"/>
                      <w:szCs w:val="21"/>
                    </w:rPr>
                  </w:pPr>
                  <w:r>
                    <w:rPr>
                      <w:rFonts w:eastAsiaTheme="minorEastAsia"/>
                      <w:szCs w:val="21"/>
                    </w:rPr>
                    <w:t>结构管、流体管等</w:t>
                  </w:r>
                </w:p>
              </w:tc>
              <w:tc>
                <w:tcPr>
                  <w:tcW w:w="458" w:type="pct"/>
                  <w:vAlign w:val="center"/>
                </w:tcPr>
                <w:p w14:paraId="6800A5C3">
                  <w:pPr>
                    <w:jc w:val="center"/>
                    <w:rPr>
                      <w:rFonts w:eastAsiaTheme="minorEastAsia"/>
                      <w:szCs w:val="21"/>
                    </w:rPr>
                  </w:pPr>
                  <w:r>
                    <w:rPr>
                      <w:rFonts w:eastAsiaTheme="minorEastAsia"/>
                      <w:szCs w:val="21"/>
                    </w:rPr>
                    <w:t>11100</w:t>
                  </w:r>
                </w:p>
              </w:tc>
              <w:tc>
                <w:tcPr>
                  <w:tcW w:w="534" w:type="pct"/>
                  <w:vAlign w:val="center"/>
                </w:tcPr>
                <w:p w14:paraId="3C7BD049">
                  <w:pPr>
                    <w:jc w:val="center"/>
                    <w:rPr>
                      <w:rFonts w:eastAsiaTheme="minorEastAsia"/>
                      <w:szCs w:val="21"/>
                    </w:rPr>
                  </w:pPr>
                  <w:r>
                    <w:rPr>
                      <w:rFonts w:eastAsiaTheme="minorEastAsia"/>
                      <w:szCs w:val="21"/>
                    </w:rPr>
                    <w:t>10000</w:t>
                  </w:r>
                </w:p>
              </w:tc>
              <w:tc>
                <w:tcPr>
                  <w:tcW w:w="550" w:type="pct"/>
                  <w:vAlign w:val="center"/>
                </w:tcPr>
                <w:p w14:paraId="6361BB42">
                  <w:pPr>
                    <w:jc w:val="center"/>
                    <w:rPr>
                      <w:rFonts w:eastAsiaTheme="minorEastAsia"/>
                      <w:szCs w:val="21"/>
                    </w:rPr>
                  </w:pPr>
                  <w:r>
                    <w:rPr>
                      <w:rFonts w:eastAsiaTheme="minorEastAsia"/>
                      <w:szCs w:val="21"/>
                    </w:rPr>
                    <w:t>822.5</w:t>
                  </w:r>
                </w:p>
              </w:tc>
              <w:tc>
                <w:tcPr>
                  <w:tcW w:w="446" w:type="pct"/>
                  <w:vAlign w:val="center"/>
                </w:tcPr>
                <w:p w14:paraId="5245C399">
                  <w:pPr>
                    <w:jc w:val="center"/>
                    <w:rPr>
                      <w:rFonts w:eastAsiaTheme="minorEastAsia"/>
                      <w:szCs w:val="21"/>
                    </w:rPr>
                  </w:pPr>
                  <w:r>
                    <w:rPr>
                      <w:rFonts w:eastAsiaTheme="minorEastAsia"/>
                      <w:szCs w:val="21"/>
                    </w:rPr>
                    <w:t>7.41</w:t>
                  </w:r>
                  <w:r>
                    <w:rPr>
                      <w:rFonts w:hint="eastAsia" w:eastAsiaTheme="minorEastAsia"/>
                      <w:szCs w:val="21"/>
                    </w:rPr>
                    <w:t>0</w:t>
                  </w:r>
                </w:p>
              </w:tc>
              <w:tc>
                <w:tcPr>
                  <w:tcW w:w="458" w:type="pct"/>
                  <w:vAlign w:val="center"/>
                </w:tcPr>
                <w:p w14:paraId="15C38CE9">
                  <w:pPr>
                    <w:jc w:val="center"/>
                    <w:rPr>
                      <w:rFonts w:eastAsiaTheme="minorEastAsia"/>
                      <w:szCs w:val="21"/>
                    </w:rPr>
                  </w:pPr>
                  <w:r>
                    <w:rPr>
                      <w:rFonts w:eastAsiaTheme="minorEastAsia"/>
                      <w:szCs w:val="21"/>
                    </w:rPr>
                    <w:t>277.5</w:t>
                  </w:r>
                </w:p>
              </w:tc>
              <w:tc>
                <w:tcPr>
                  <w:tcW w:w="461" w:type="pct"/>
                  <w:vAlign w:val="center"/>
                </w:tcPr>
                <w:p w14:paraId="397648FD">
                  <w:pPr>
                    <w:jc w:val="center"/>
                    <w:rPr>
                      <w:rFonts w:eastAsiaTheme="minorEastAsia"/>
                      <w:szCs w:val="21"/>
                    </w:rPr>
                  </w:pPr>
                  <w:r>
                    <w:rPr>
                      <w:rFonts w:eastAsiaTheme="minorEastAsia"/>
                      <w:szCs w:val="21"/>
                    </w:rPr>
                    <w:t>2.5</w:t>
                  </w:r>
                </w:p>
              </w:tc>
              <w:tc>
                <w:tcPr>
                  <w:tcW w:w="555" w:type="pct"/>
                  <w:vAlign w:val="center"/>
                </w:tcPr>
                <w:p w14:paraId="15986114">
                  <w:pPr>
                    <w:jc w:val="center"/>
                    <w:rPr>
                      <w:rFonts w:eastAsiaTheme="minorEastAsia"/>
                      <w:szCs w:val="21"/>
                    </w:rPr>
                  </w:pPr>
                  <w:r>
                    <w:rPr>
                      <w:rFonts w:eastAsiaTheme="minorEastAsia"/>
                      <w:szCs w:val="21"/>
                    </w:rPr>
                    <w:t>1.112</w:t>
                  </w:r>
                </w:p>
              </w:tc>
            </w:tr>
            <w:tr w14:paraId="11434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38" w:type="pct"/>
                  <w:gridSpan w:val="2"/>
                  <w:vAlign w:val="center"/>
                </w:tcPr>
                <w:p w14:paraId="0979D41F">
                  <w:pPr>
                    <w:jc w:val="center"/>
                    <w:rPr>
                      <w:rFonts w:eastAsiaTheme="minorEastAsia"/>
                      <w:b/>
                      <w:szCs w:val="21"/>
                    </w:rPr>
                  </w:pPr>
                  <w:r>
                    <w:rPr>
                      <w:rFonts w:eastAsiaTheme="minorEastAsia"/>
                      <w:b/>
                      <w:szCs w:val="21"/>
                    </w:rPr>
                    <w:t>合计</w:t>
                  </w:r>
                </w:p>
              </w:tc>
              <w:tc>
                <w:tcPr>
                  <w:tcW w:w="458" w:type="pct"/>
                  <w:vAlign w:val="center"/>
                </w:tcPr>
                <w:p w14:paraId="632FD876">
                  <w:pPr>
                    <w:jc w:val="center"/>
                    <w:rPr>
                      <w:rFonts w:eastAsiaTheme="minorEastAsia"/>
                      <w:b/>
                      <w:szCs w:val="21"/>
                    </w:rPr>
                  </w:pPr>
                  <w:r>
                    <w:rPr>
                      <w:rFonts w:eastAsiaTheme="minorEastAsia"/>
                      <w:b/>
                      <w:szCs w:val="21"/>
                    </w:rPr>
                    <w:t>224000</w:t>
                  </w:r>
                </w:p>
              </w:tc>
              <w:tc>
                <w:tcPr>
                  <w:tcW w:w="534" w:type="pct"/>
                  <w:vAlign w:val="center"/>
                </w:tcPr>
                <w:p w14:paraId="4122405B">
                  <w:pPr>
                    <w:jc w:val="center"/>
                    <w:rPr>
                      <w:rFonts w:eastAsiaTheme="minorEastAsia"/>
                      <w:b/>
                      <w:szCs w:val="21"/>
                    </w:rPr>
                  </w:pPr>
                  <w:r>
                    <w:rPr>
                      <w:rFonts w:eastAsiaTheme="minorEastAsia"/>
                      <w:b/>
                      <w:szCs w:val="21"/>
                    </w:rPr>
                    <w:t>200000</w:t>
                  </w:r>
                </w:p>
              </w:tc>
              <w:tc>
                <w:tcPr>
                  <w:tcW w:w="550" w:type="pct"/>
                  <w:vAlign w:val="center"/>
                </w:tcPr>
                <w:p w14:paraId="3C10E3A1">
                  <w:pPr>
                    <w:jc w:val="center"/>
                    <w:rPr>
                      <w:rFonts w:eastAsiaTheme="minorEastAsia"/>
                      <w:b/>
                      <w:szCs w:val="21"/>
                    </w:rPr>
                  </w:pPr>
                  <w:r>
                    <w:rPr>
                      <w:rFonts w:eastAsiaTheme="minorEastAsia"/>
                      <w:b/>
                      <w:szCs w:val="21"/>
                    </w:rPr>
                    <w:t>18400.0</w:t>
                  </w:r>
                </w:p>
              </w:tc>
              <w:tc>
                <w:tcPr>
                  <w:tcW w:w="446" w:type="pct"/>
                  <w:vAlign w:val="center"/>
                </w:tcPr>
                <w:p w14:paraId="1EAF958E">
                  <w:pPr>
                    <w:jc w:val="center"/>
                    <w:rPr>
                      <w:rFonts w:eastAsiaTheme="minorEastAsia"/>
                      <w:b/>
                      <w:szCs w:val="21"/>
                    </w:rPr>
                  </w:pPr>
                  <w:r>
                    <w:rPr>
                      <w:rFonts w:eastAsiaTheme="minorEastAsia"/>
                      <w:b/>
                      <w:szCs w:val="21"/>
                    </w:rPr>
                    <w:t>8.21</w:t>
                  </w:r>
                </w:p>
              </w:tc>
              <w:tc>
                <w:tcPr>
                  <w:tcW w:w="458" w:type="pct"/>
                  <w:vAlign w:val="center"/>
                </w:tcPr>
                <w:p w14:paraId="59D0ED89">
                  <w:pPr>
                    <w:jc w:val="center"/>
                    <w:rPr>
                      <w:rFonts w:eastAsiaTheme="minorEastAsia"/>
                      <w:b/>
                      <w:szCs w:val="21"/>
                    </w:rPr>
                  </w:pPr>
                  <w:r>
                    <w:rPr>
                      <w:rFonts w:eastAsiaTheme="minorEastAsia"/>
                      <w:b/>
                      <w:szCs w:val="21"/>
                    </w:rPr>
                    <w:t>5600.0</w:t>
                  </w:r>
                </w:p>
              </w:tc>
              <w:tc>
                <w:tcPr>
                  <w:tcW w:w="461" w:type="pct"/>
                  <w:vAlign w:val="center"/>
                </w:tcPr>
                <w:p w14:paraId="2B4B682D">
                  <w:pPr>
                    <w:jc w:val="center"/>
                    <w:rPr>
                      <w:rFonts w:eastAsiaTheme="minorEastAsia"/>
                      <w:b/>
                      <w:szCs w:val="21"/>
                    </w:rPr>
                  </w:pPr>
                  <w:r>
                    <w:rPr>
                      <w:rFonts w:eastAsiaTheme="minorEastAsia"/>
                      <w:b/>
                      <w:szCs w:val="21"/>
                    </w:rPr>
                    <w:t>2.5</w:t>
                  </w:r>
                </w:p>
              </w:tc>
              <w:tc>
                <w:tcPr>
                  <w:tcW w:w="555" w:type="pct"/>
                  <w:vAlign w:val="center"/>
                </w:tcPr>
                <w:p w14:paraId="38FA5804">
                  <w:pPr>
                    <w:jc w:val="center"/>
                    <w:rPr>
                      <w:rFonts w:eastAsiaTheme="minorEastAsia"/>
                      <w:b/>
                      <w:szCs w:val="21"/>
                    </w:rPr>
                  </w:pPr>
                  <w:r>
                    <w:rPr>
                      <w:rFonts w:eastAsiaTheme="minorEastAsia"/>
                      <w:b/>
                      <w:szCs w:val="21"/>
                    </w:rPr>
                    <w:t>1.120</w:t>
                  </w:r>
                </w:p>
              </w:tc>
            </w:tr>
          </w:tbl>
          <w:p w14:paraId="37A4B9FE">
            <w:pPr>
              <w:pStyle w:val="2"/>
              <w:spacing w:beforeLines="50"/>
              <w:jc w:val="center"/>
              <w:rPr>
                <w:rFonts w:ascii="Times New Roman"/>
                <w:b/>
                <w:color w:val="auto"/>
                <w:sz w:val="21"/>
              </w:rPr>
            </w:pPr>
            <w:r>
              <w:rPr>
                <w:rFonts w:ascii="Times New Roman"/>
                <w:b/>
                <w:color w:val="auto"/>
                <w:sz w:val="21"/>
              </w:rPr>
              <w:t>表</w:t>
            </w:r>
            <w:r>
              <w:rPr>
                <w:rFonts w:hint="eastAsia" w:ascii="Times New Roman"/>
                <w:b/>
                <w:color w:val="auto"/>
                <w:sz w:val="21"/>
              </w:rPr>
              <w:t>2-5</w:t>
            </w:r>
            <w:r>
              <w:rPr>
                <w:rFonts w:ascii="Times New Roman"/>
                <w:b/>
                <w:color w:val="auto"/>
                <w:sz w:val="21"/>
              </w:rPr>
              <w:t xml:space="preserve">  技改</w:t>
            </w:r>
            <w:r>
              <w:rPr>
                <w:rFonts w:hint="eastAsia" w:ascii="Times New Roman"/>
                <w:b/>
                <w:color w:val="auto"/>
                <w:sz w:val="21"/>
              </w:rPr>
              <w:t>后</w:t>
            </w:r>
            <w:r>
              <w:rPr>
                <w:rFonts w:ascii="Times New Roman"/>
                <w:b/>
                <w:color w:val="auto"/>
                <w:sz w:val="21"/>
              </w:rPr>
              <w:t>项目金属平衡表</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4"/>
              <w:gridCol w:w="2169"/>
              <w:gridCol w:w="850"/>
              <w:gridCol w:w="991"/>
              <w:gridCol w:w="1020"/>
              <w:gridCol w:w="826"/>
              <w:gridCol w:w="852"/>
              <w:gridCol w:w="853"/>
              <w:gridCol w:w="1031"/>
            </w:tblGrid>
            <w:tr w14:paraId="7BBA6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69" w:type="pct"/>
                  <w:vMerge w:val="restart"/>
                  <w:vAlign w:val="center"/>
                </w:tcPr>
                <w:p w14:paraId="23763ECC">
                  <w:pPr>
                    <w:pStyle w:val="120"/>
                    <w:spacing w:beforeLines="0"/>
                    <w:rPr>
                      <w:b/>
                      <w:szCs w:val="21"/>
                    </w:rPr>
                  </w:pPr>
                  <w:r>
                    <w:rPr>
                      <w:b/>
                      <w:szCs w:val="21"/>
                    </w:rPr>
                    <w:t>序号</w:t>
                  </w:r>
                </w:p>
              </w:tc>
              <w:tc>
                <w:tcPr>
                  <w:tcW w:w="1169" w:type="pct"/>
                  <w:vMerge w:val="restart"/>
                  <w:vAlign w:val="center"/>
                </w:tcPr>
                <w:p w14:paraId="00325C54">
                  <w:pPr>
                    <w:pStyle w:val="120"/>
                    <w:spacing w:beforeLines="0"/>
                    <w:rPr>
                      <w:b/>
                      <w:szCs w:val="21"/>
                    </w:rPr>
                  </w:pPr>
                  <w:r>
                    <w:rPr>
                      <w:b/>
                      <w:szCs w:val="21"/>
                    </w:rPr>
                    <w:t>产品品种</w:t>
                  </w:r>
                </w:p>
              </w:tc>
              <w:tc>
                <w:tcPr>
                  <w:tcW w:w="458" w:type="pct"/>
                  <w:vAlign w:val="center"/>
                </w:tcPr>
                <w:p w14:paraId="085A3E79">
                  <w:pPr>
                    <w:pStyle w:val="120"/>
                    <w:spacing w:beforeLines="0"/>
                    <w:rPr>
                      <w:b/>
                      <w:szCs w:val="21"/>
                    </w:rPr>
                  </w:pPr>
                  <w:r>
                    <w:rPr>
                      <w:b/>
                      <w:szCs w:val="21"/>
                    </w:rPr>
                    <w:t>原料量</w:t>
                  </w:r>
                </w:p>
              </w:tc>
              <w:tc>
                <w:tcPr>
                  <w:tcW w:w="534" w:type="pct"/>
                  <w:vAlign w:val="center"/>
                </w:tcPr>
                <w:p w14:paraId="3D301C00">
                  <w:pPr>
                    <w:pStyle w:val="120"/>
                    <w:spacing w:beforeLines="0"/>
                    <w:rPr>
                      <w:b/>
                      <w:szCs w:val="21"/>
                    </w:rPr>
                  </w:pPr>
                  <w:r>
                    <w:rPr>
                      <w:b/>
                      <w:szCs w:val="21"/>
                    </w:rPr>
                    <w:t>成品量</w:t>
                  </w:r>
                </w:p>
              </w:tc>
              <w:tc>
                <w:tcPr>
                  <w:tcW w:w="995" w:type="pct"/>
                  <w:gridSpan w:val="2"/>
                  <w:vAlign w:val="center"/>
                </w:tcPr>
                <w:p w14:paraId="67F459DB">
                  <w:pPr>
                    <w:pStyle w:val="120"/>
                    <w:spacing w:beforeLines="0"/>
                    <w:rPr>
                      <w:b/>
                      <w:szCs w:val="21"/>
                    </w:rPr>
                  </w:pPr>
                  <w:r>
                    <w:rPr>
                      <w:b/>
                      <w:szCs w:val="21"/>
                    </w:rPr>
                    <w:t>切头及废品</w:t>
                  </w:r>
                </w:p>
              </w:tc>
              <w:tc>
                <w:tcPr>
                  <w:tcW w:w="919" w:type="pct"/>
                  <w:gridSpan w:val="2"/>
                  <w:vAlign w:val="center"/>
                </w:tcPr>
                <w:p w14:paraId="112FD97B">
                  <w:pPr>
                    <w:pStyle w:val="120"/>
                    <w:spacing w:beforeLines="0"/>
                    <w:rPr>
                      <w:b/>
                      <w:szCs w:val="21"/>
                    </w:rPr>
                  </w:pPr>
                  <w:r>
                    <w:rPr>
                      <w:b/>
                      <w:szCs w:val="21"/>
                    </w:rPr>
                    <w:t>烧损</w:t>
                  </w:r>
                </w:p>
              </w:tc>
              <w:tc>
                <w:tcPr>
                  <w:tcW w:w="556" w:type="pct"/>
                  <w:vMerge w:val="restart"/>
                  <w:vAlign w:val="center"/>
                </w:tcPr>
                <w:p w14:paraId="709850EE">
                  <w:pPr>
                    <w:pStyle w:val="120"/>
                    <w:spacing w:beforeLines="0"/>
                    <w:rPr>
                      <w:b/>
                      <w:szCs w:val="21"/>
                    </w:rPr>
                  </w:pPr>
                  <w:r>
                    <w:rPr>
                      <w:b/>
                      <w:szCs w:val="21"/>
                    </w:rPr>
                    <w:t>金属消耗系数</w:t>
                  </w:r>
                </w:p>
              </w:tc>
            </w:tr>
            <w:tr w14:paraId="7D9D41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69" w:type="pct"/>
                  <w:vMerge w:val="continue"/>
                  <w:vAlign w:val="center"/>
                </w:tcPr>
                <w:p w14:paraId="6A1AC973">
                  <w:pPr>
                    <w:pStyle w:val="120"/>
                    <w:spacing w:beforeLines="0"/>
                    <w:rPr>
                      <w:szCs w:val="21"/>
                    </w:rPr>
                  </w:pPr>
                </w:p>
              </w:tc>
              <w:tc>
                <w:tcPr>
                  <w:tcW w:w="1169" w:type="pct"/>
                  <w:vMerge w:val="continue"/>
                  <w:vAlign w:val="center"/>
                </w:tcPr>
                <w:p w14:paraId="73FF70A7">
                  <w:pPr>
                    <w:pStyle w:val="120"/>
                    <w:spacing w:beforeLines="0"/>
                    <w:rPr>
                      <w:szCs w:val="21"/>
                    </w:rPr>
                  </w:pPr>
                </w:p>
              </w:tc>
              <w:tc>
                <w:tcPr>
                  <w:tcW w:w="458" w:type="pct"/>
                  <w:vAlign w:val="center"/>
                </w:tcPr>
                <w:p w14:paraId="6008591B">
                  <w:pPr>
                    <w:pStyle w:val="120"/>
                    <w:spacing w:beforeLines="0"/>
                    <w:rPr>
                      <w:b/>
                      <w:szCs w:val="21"/>
                    </w:rPr>
                  </w:pPr>
                  <w:r>
                    <w:rPr>
                      <w:b/>
                      <w:szCs w:val="21"/>
                    </w:rPr>
                    <w:t>t/a</w:t>
                  </w:r>
                </w:p>
              </w:tc>
              <w:tc>
                <w:tcPr>
                  <w:tcW w:w="534" w:type="pct"/>
                  <w:vAlign w:val="center"/>
                </w:tcPr>
                <w:p w14:paraId="4F70A456">
                  <w:pPr>
                    <w:pStyle w:val="120"/>
                    <w:spacing w:beforeLines="0"/>
                    <w:rPr>
                      <w:b/>
                      <w:szCs w:val="21"/>
                    </w:rPr>
                  </w:pPr>
                  <w:r>
                    <w:rPr>
                      <w:b/>
                      <w:szCs w:val="21"/>
                    </w:rPr>
                    <w:t>t/a</w:t>
                  </w:r>
                </w:p>
              </w:tc>
              <w:tc>
                <w:tcPr>
                  <w:tcW w:w="550" w:type="pct"/>
                  <w:vAlign w:val="center"/>
                </w:tcPr>
                <w:p w14:paraId="4CAF44BE">
                  <w:pPr>
                    <w:pStyle w:val="120"/>
                    <w:spacing w:beforeLines="0"/>
                    <w:rPr>
                      <w:b/>
                      <w:szCs w:val="21"/>
                    </w:rPr>
                  </w:pPr>
                  <w:r>
                    <w:rPr>
                      <w:b/>
                      <w:szCs w:val="21"/>
                    </w:rPr>
                    <w:t>t/a</w:t>
                  </w:r>
                </w:p>
              </w:tc>
              <w:tc>
                <w:tcPr>
                  <w:tcW w:w="445" w:type="pct"/>
                  <w:vAlign w:val="center"/>
                </w:tcPr>
                <w:p w14:paraId="1AF514F2">
                  <w:pPr>
                    <w:pStyle w:val="120"/>
                    <w:spacing w:beforeLines="0"/>
                    <w:rPr>
                      <w:b/>
                      <w:szCs w:val="21"/>
                    </w:rPr>
                  </w:pPr>
                  <w:r>
                    <w:rPr>
                      <w:b/>
                      <w:szCs w:val="21"/>
                    </w:rPr>
                    <w:t>%</w:t>
                  </w:r>
                </w:p>
              </w:tc>
              <w:tc>
                <w:tcPr>
                  <w:tcW w:w="459" w:type="pct"/>
                  <w:vAlign w:val="center"/>
                </w:tcPr>
                <w:p w14:paraId="7DD9587D">
                  <w:pPr>
                    <w:pStyle w:val="120"/>
                    <w:spacing w:beforeLines="0"/>
                    <w:rPr>
                      <w:b/>
                      <w:szCs w:val="21"/>
                    </w:rPr>
                  </w:pPr>
                  <w:r>
                    <w:rPr>
                      <w:b/>
                      <w:szCs w:val="21"/>
                    </w:rPr>
                    <w:t>t/a</w:t>
                  </w:r>
                </w:p>
              </w:tc>
              <w:tc>
                <w:tcPr>
                  <w:tcW w:w="460" w:type="pct"/>
                  <w:vAlign w:val="center"/>
                </w:tcPr>
                <w:p w14:paraId="0169759B">
                  <w:pPr>
                    <w:pStyle w:val="120"/>
                    <w:spacing w:beforeLines="0"/>
                    <w:rPr>
                      <w:b/>
                      <w:szCs w:val="21"/>
                    </w:rPr>
                  </w:pPr>
                  <w:r>
                    <w:rPr>
                      <w:b/>
                      <w:szCs w:val="21"/>
                    </w:rPr>
                    <w:t>%</w:t>
                  </w:r>
                </w:p>
              </w:tc>
              <w:tc>
                <w:tcPr>
                  <w:tcW w:w="556" w:type="pct"/>
                  <w:vMerge w:val="continue"/>
                  <w:vAlign w:val="center"/>
                </w:tcPr>
                <w:p w14:paraId="251945C8">
                  <w:pPr>
                    <w:pStyle w:val="120"/>
                    <w:spacing w:beforeLines="0"/>
                    <w:rPr>
                      <w:szCs w:val="21"/>
                    </w:rPr>
                  </w:pPr>
                </w:p>
              </w:tc>
            </w:tr>
            <w:tr w14:paraId="041CD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69" w:type="pct"/>
                  <w:vAlign w:val="center"/>
                </w:tcPr>
                <w:p w14:paraId="3A2A27E5">
                  <w:pPr>
                    <w:pStyle w:val="120"/>
                    <w:spacing w:beforeLines="0"/>
                    <w:rPr>
                      <w:szCs w:val="21"/>
                    </w:rPr>
                  </w:pPr>
                  <w:r>
                    <w:rPr>
                      <w:szCs w:val="21"/>
                    </w:rPr>
                    <w:t>1</w:t>
                  </w:r>
                </w:p>
              </w:tc>
              <w:tc>
                <w:tcPr>
                  <w:tcW w:w="1169" w:type="pct"/>
                  <w:vAlign w:val="center"/>
                </w:tcPr>
                <w:p w14:paraId="23D6A3A1">
                  <w:pPr>
                    <w:jc w:val="center"/>
                    <w:rPr>
                      <w:szCs w:val="21"/>
                    </w:rPr>
                  </w:pPr>
                  <w:r>
                    <w:rPr>
                      <w:szCs w:val="21"/>
                    </w:rPr>
                    <w:t>油管管料</w:t>
                  </w:r>
                </w:p>
              </w:tc>
              <w:tc>
                <w:tcPr>
                  <w:tcW w:w="458" w:type="pct"/>
                  <w:vAlign w:val="center"/>
                </w:tcPr>
                <w:p w14:paraId="782815D3">
                  <w:pPr>
                    <w:jc w:val="center"/>
                    <w:rPr>
                      <w:rFonts w:eastAsiaTheme="minorEastAsia"/>
                      <w:szCs w:val="21"/>
                    </w:rPr>
                  </w:pPr>
                  <w:r>
                    <w:rPr>
                      <w:rFonts w:hint="eastAsia" w:eastAsiaTheme="minorEastAsia"/>
                      <w:szCs w:val="21"/>
                    </w:rPr>
                    <w:t>137540</w:t>
                  </w:r>
                </w:p>
              </w:tc>
              <w:tc>
                <w:tcPr>
                  <w:tcW w:w="534" w:type="pct"/>
                  <w:vAlign w:val="center"/>
                </w:tcPr>
                <w:p w14:paraId="42E56774">
                  <w:pPr>
                    <w:jc w:val="center"/>
                    <w:rPr>
                      <w:rFonts w:eastAsiaTheme="minorEastAsia"/>
                      <w:szCs w:val="21"/>
                    </w:rPr>
                  </w:pPr>
                  <w:r>
                    <w:rPr>
                      <w:rFonts w:hint="eastAsia" w:eastAsiaTheme="minorEastAsia"/>
                      <w:szCs w:val="21"/>
                    </w:rPr>
                    <w:t>125000</w:t>
                  </w:r>
                </w:p>
              </w:tc>
              <w:tc>
                <w:tcPr>
                  <w:tcW w:w="550" w:type="pct"/>
                  <w:vAlign w:val="center"/>
                </w:tcPr>
                <w:p w14:paraId="3FC069AA">
                  <w:pPr>
                    <w:jc w:val="center"/>
                    <w:rPr>
                      <w:rFonts w:eastAsiaTheme="minorEastAsia"/>
                      <w:szCs w:val="21"/>
                    </w:rPr>
                  </w:pPr>
                  <w:r>
                    <w:rPr>
                      <w:rFonts w:hint="eastAsia" w:eastAsiaTheme="minorEastAsia"/>
                      <w:szCs w:val="21"/>
                    </w:rPr>
                    <w:t>9789.2</w:t>
                  </w:r>
                </w:p>
              </w:tc>
              <w:tc>
                <w:tcPr>
                  <w:tcW w:w="445" w:type="pct"/>
                  <w:vAlign w:val="center"/>
                </w:tcPr>
                <w:p w14:paraId="51356CFA">
                  <w:pPr>
                    <w:jc w:val="center"/>
                    <w:rPr>
                      <w:rFonts w:eastAsiaTheme="minorEastAsia"/>
                      <w:szCs w:val="21"/>
                    </w:rPr>
                  </w:pPr>
                  <w:r>
                    <w:rPr>
                      <w:rFonts w:hint="eastAsia" w:eastAsiaTheme="minorEastAsia"/>
                      <w:szCs w:val="21"/>
                    </w:rPr>
                    <w:t>7.117</w:t>
                  </w:r>
                </w:p>
              </w:tc>
              <w:tc>
                <w:tcPr>
                  <w:tcW w:w="459" w:type="pct"/>
                  <w:vAlign w:val="center"/>
                </w:tcPr>
                <w:p w14:paraId="0E0DC33A">
                  <w:pPr>
                    <w:jc w:val="center"/>
                    <w:rPr>
                      <w:rFonts w:eastAsiaTheme="minorEastAsia"/>
                      <w:szCs w:val="21"/>
                    </w:rPr>
                  </w:pPr>
                  <w:r>
                    <w:rPr>
                      <w:rFonts w:hint="eastAsia" w:eastAsiaTheme="minorEastAsia"/>
                      <w:szCs w:val="21"/>
                    </w:rPr>
                    <w:t>2750.8</w:t>
                  </w:r>
                </w:p>
              </w:tc>
              <w:tc>
                <w:tcPr>
                  <w:tcW w:w="460" w:type="pct"/>
                  <w:vAlign w:val="center"/>
                </w:tcPr>
                <w:p w14:paraId="7A0F3F60">
                  <w:pPr>
                    <w:jc w:val="center"/>
                    <w:rPr>
                      <w:rFonts w:eastAsiaTheme="minorEastAsia"/>
                      <w:szCs w:val="21"/>
                    </w:rPr>
                  </w:pPr>
                  <w:r>
                    <w:rPr>
                      <w:rFonts w:eastAsiaTheme="minorEastAsia"/>
                      <w:szCs w:val="21"/>
                    </w:rPr>
                    <w:t>2</w:t>
                  </w:r>
                </w:p>
              </w:tc>
              <w:tc>
                <w:tcPr>
                  <w:tcW w:w="556" w:type="pct"/>
                  <w:vAlign w:val="center"/>
                </w:tcPr>
                <w:p w14:paraId="4C438F18">
                  <w:pPr>
                    <w:jc w:val="center"/>
                    <w:rPr>
                      <w:rFonts w:ascii="宋体" w:hAnsi="宋体" w:cs="宋体"/>
                      <w:color w:val="000000"/>
                      <w:sz w:val="22"/>
                      <w:szCs w:val="22"/>
                    </w:rPr>
                  </w:pPr>
                  <w:r>
                    <w:rPr>
                      <w:rFonts w:hint="eastAsia"/>
                      <w:color w:val="000000"/>
                      <w:sz w:val="22"/>
                      <w:szCs w:val="22"/>
                    </w:rPr>
                    <w:t>1.100</w:t>
                  </w:r>
                </w:p>
              </w:tc>
            </w:tr>
            <w:tr w14:paraId="0BBE8D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69" w:type="pct"/>
                  <w:vAlign w:val="center"/>
                </w:tcPr>
                <w:p w14:paraId="56005A86">
                  <w:pPr>
                    <w:pStyle w:val="120"/>
                    <w:spacing w:beforeLines="0"/>
                    <w:rPr>
                      <w:szCs w:val="21"/>
                    </w:rPr>
                  </w:pPr>
                  <w:r>
                    <w:rPr>
                      <w:szCs w:val="21"/>
                    </w:rPr>
                    <w:t>2</w:t>
                  </w:r>
                </w:p>
              </w:tc>
              <w:tc>
                <w:tcPr>
                  <w:tcW w:w="1169" w:type="pct"/>
                  <w:vAlign w:val="center"/>
                </w:tcPr>
                <w:p w14:paraId="52FB2BE0">
                  <w:pPr>
                    <w:jc w:val="center"/>
                    <w:rPr>
                      <w:szCs w:val="21"/>
                    </w:rPr>
                  </w:pPr>
                  <w:r>
                    <w:rPr>
                      <w:szCs w:val="21"/>
                    </w:rPr>
                    <w:t>高钢级油管管料</w:t>
                  </w:r>
                </w:p>
              </w:tc>
              <w:tc>
                <w:tcPr>
                  <w:tcW w:w="458" w:type="pct"/>
                  <w:vAlign w:val="center"/>
                </w:tcPr>
                <w:p w14:paraId="62B4C451">
                  <w:pPr>
                    <w:jc w:val="center"/>
                    <w:rPr>
                      <w:rFonts w:eastAsiaTheme="minorEastAsia"/>
                      <w:szCs w:val="21"/>
                    </w:rPr>
                  </w:pPr>
                  <w:r>
                    <w:rPr>
                      <w:rFonts w:hint="eastAsia" w:eastAsiaTheme="minorEastAsia"/>
                      <w:szCs w:val="21"/>
                    </w:rPr>
                    <w:t>47600</w:t>
                  </w:r>
                </w:p>
              </w:tc>
              <w:tc>
                <w:tcPr>
                  <w:tcW w:w="534" w:type="pct"/>
                  <w:vAlign w:val="center"/>
                </w:tcPr>
                <w:p w14:paraId="64D3ADFD">
                  <w:pPr>
                    <w:jc w:val="center"/>
                    <w:rPr>
                      <w:rFonts w:eastAsiaTheme="minorEastAsia"/>
                      <w:szCs w:val="21"/>
                    </w:rPr>
                  </w:pPr>
                  <w:r>
                    <w:rPr>
                      <w:rFonts w:hint="eastAsia" w:eastAsiaTheme="minorEastAsia"/>
                      <w:szCs w:val="21"/>
                    </w:rPr>
                    <w:t>43000</w:t>
                  </w:r>
                </w:p>
              </w:tc>
              <w:tc>
                <w:tcPr>
                  <w:tcW w:w="550" w:type="pct"/>
                  <w:vAlign w:val="center"/>
                </w:tcPr>
                <w:p w14:paraId="06FC1B0F">
                  <w:pPr>
                    <w:jc w:val="center"/>
                    <w:rPr>
                      <w:rFonts w:eastAsiaTheme="minorEastAsia"/>
                      <w:szCs w:val="21"/>
                    </w:rPr>
                  </w:pPr>
                  <w:r>
                    <w:rPr>
                      <w:rFonts w:hint="eastAsia" w:eastAsiaTheme="minorEastAsia"/>
                      <w:szCs w:val="21"/>
                    </w:rPr>
                    <w:t>3648</w:t>
                  </w:r>
                </w:p>
              </w:tc>
              <w:tc>
                <w:tcPr>
                  <w:tcW w:w="445" w:type="pct"/>
                  <w:vAlign w:val="center"/>
                </w:tcPr>
                <w:p w14:paraId="30EA2691">
                  <w:pPr>
                    <w:jc w:val="center"/>
                    <w:rPr>
                      <w:rFonts w:eastAsiaTheme="minorEastAsia"/>
                      <w:szCs w:val="21"/>
                    </w:rPr>
                  </w:pPr>
                  <w:r>
                    <w:rPr>
                      <w:rFonts w:hint="eastAsia" w:eastAsiaTheme="minorEastAsia"/>
                      <w:szCs w:val="21"/>
                    </w:rPr>
                    <w:t>7.664</w:t>
                  </w:r>
                </w:p>
              </w:tc>
              <w:tc>
                <w:tcPr>
                  <w:tcW w:w="459" w:type="pct"/>
                  <w:vAlign w:val="center"/>
                </w:tcPr>
                <w:p w14:paraId="7988442F">
                  <w:pPr>
                    <w:jc w:val="center"/>
                    <w:rPr>
                      <w:rFonts w:eastAsiaTheme="minorEastAsia"/>
                      <w:szCs w:val="21"/>
                    </w:rPr>
                  </w:pPr>
                  <w:r>
                    <w:rPr>
                      <w:rFonts w:hint="eastAsia" w:eastAsiaTheme="minorEastAsia"/>
                      <w:szCs w:val="21"/>
                    </w:rPr>
                    <w:t>952</w:t>
                  </w:r>
                </w:p>
              </w:tc>
              <w:tc>
                <w:tcPr>
                  <w:tcW w:w="460" w:type="pct"/>
                  <w:vAlign w:val="center"/>
                </w:tcPr>
                <w:p w14:paraId="153E6C5A">
                  <w:pPr>
                    <w:jc w:val="center"/>
                    <w:rPr>
                      <w:rFonts w:eastAsiaTheme="minorEastAsia"/>
                      <w:szCs w:val="21"/>
                    </w:rPr>
                  </w:pPr>
                  <w:r>
                    <w:rPr>
                      <w:rFonts w:eastAsiaTheme="minorEastAsia"/>
                      <w:szCs w:val="21"/>
                    </w:rPr>
                    <w:t>2</w:t>
                  </w:r>
                </w:p>
              </w:tc>
              <w:tc>
                <w:tcPr>
                  <w:tcW w:w="556" w:type="pct"/>
                  <w:vAlign w:val="center"/>
                </w:tcPr>
                <w:p w14:paraId="37CD57D7">
                  <w:pPr>
                    <w:jc w:val="center"/>
                    <w:rPr>
                      <w:rFonts w:ascii="宋体" w:hAnsi="宋体" w:cs="宋体"/>
                      <w:color w:val="000000"/>
                      <w:sz w:val="22"/>
                      <w:szCs w:val="22"/>
                    </w:rPr>
                  </w:pPr>
                  <w:r>
                    <w:rPr>
                      <w:rFonts w:hint="eastAsia"/>
                      <w:color w:val="000000"/>
                      <w:sz w:val="22"/>
                      <w:szCs w:val="22"/>
                    </w:rPr>
                    <w:t>1.107</w:t>
                  </w:r>
                </w:p>
              </w:tc>
            </w:tr>
            <w:tr w14:paraId="4CED1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69" w:type="pct"/>
                  <w:vAlign w:val="center"/>
                </w:tcPr>
                <w:p w14:paraId="1A831240">
                  <w:pPr>
                    <w:pStyle w:val="120"/>
                    <w:spacing w:beforeLines="0"/>
                    <w:rPr>
                      <w:szCs w:val="21"/>
                    </w:rPr>
                  </w:pPr>
                  <w:r>
                    <w:rPr>
                      <w:szCs w:val="21"/>
                    </w:rPr>
                    <w:t>3</w:t>
                  </w:r>
                </w:p>
              </w:tc>
              <w:tc>
                <w:tcPr>
                  <w:tcW w:w="1169" w:type="pct"/>
                  <w:vAlign w:val="center"/>
                </w:tcPr>
                <w:p w14:paraId="45752EE2">
                  <w:pPr>
                    <w:jc w:val="center"/>
                    <w:rPr>
                      <w:szCs w:val="21"/>
                    </w:rPr>
                  </w:pPr>
                  <w:r>
                    <w:rPr>
                      <w:szCs w:val="21"/>
                    </w:rPr>
                    <w:t>钻杆、射孔枪管</w:t>
                  </w:r>
                </w:p>
              </w:tc>
              <w:tc>
                <w:tcPr>
                  <w:tcW w:w="458" w:type="pct"/>
                  <w:vAlign w:val="center"/>
                </w:tcPr>
                <w:p w14:paraId="70CD11CA">
                  <w:pPr>
                    <w:jc w:val="center"/>
                    <w:rPr>
                      <w:rFonts w:eastAsiaTheme="minorEastAsia"/>
                      <w:szCs w:val="21"/>
                    </w:rPr>
                  </w:pPr>
                  <w:r>
                    <w:rPr>
                      <w:rFonts w:hint="eastAsia" w:eastAsiaTheme="minorEastAsia"/>
                      <w:szCs w:val="21"/>
                    </w:rPr>
                    <w:t>21880</w:t>
                  </w:r>
                </w:p>
              </w:tc>
              <w:tc>
                <w:tcPr>
                  <w:tcW w:w="534" w:type="pct"/>
                  <w:vAlign w:val="center"/>
                </w:tcPr>
                <w:p w14:paraId="74679D77">
                  <w:pPr>
                    <w:jc w:val="center"/>
                    <w:rPr>
                      <w:rFonts w:eastAsiaTheme="minorEastAsia"/>
                      <w:szCs w:val="21"/>
                    </w:rPr>
                  </w:pPr>
                  <w:r>
                    <w:rPr>
                      <w:rFonts w:hint="eastAsia" w:eastAsiaTheme="minorEastAsia"/>
                      <w:szCs w:val="21"/>
                    </w:rPr>
                    <w:t>20000</w:t>
                  </w:r>
                </w:p>
              </w:tc>
              <w:tc>
                <w:tcPr>
                  <w:tcW w:w="550" w:type="pct"/>
                  <w:vAlign w:val="center"/>
                </w:tcPr>
                <w:p w14:paraId="1DF40052">
                  <w:pPr>
                    <w:jc w:val="center"/>
                    <w:rPr>
                      <w:rFonts w:eastAsiaTheme="minorEastAsia"/>
                      <w:szCs w:val="21"/>
                    </w:rPr>
                  </w:pPr>
                  <w:r>
                    <w:rPr>
                      <w:rFonts w:hint="eastAsia" w:eastAsiaTheme="minorEastAsia"/>
                      <w:szCs w:val="21"/>
                    </w:rPr>
                    <w:t>1442.4</w:t>
                  </w:r>
                </w:p>
              </w:tc>
              <w:tc>
                <w:tcPr>
                  <w:tcW w:w="445" w:type="pct"/>
                  <w:vAlign w:val="center"/>
                </w:tcPr>
                <w:p w14:paraId="5E8B9CB1">
                  <w:pPr>
                    <w:jc w:val="center"/>
                    <w:rPr>
                      <w:rFonts w:eastAsiaTheme="minorEastAsia"/>
                      <w:szCs w:val="21"/>
                    </w:rPr>
                  </w:pPr>
                  <w:r>
                    <w:rPr>
                      <w:rFonts w:hint="eastAsia" w:eastAsiaTheme="minorEastAsia"/>
                      <w:szCs w:val="21"/>
                    </w:rPr>
                    <w:t>6.592</w:t>
                  </w:r>
                </w:p>
              </w:tc>
              <w:tc>
                <w:tcPr>
                  <w:tcW w:w="459" w:type="pct"/>
                  <w:vAlign w:val="center"/>
                </w:tcPr>
                <w:p w14:paraId="529F5CF2">
                  <w:pPr>
                    <w:jc w:val="center"/>
                    <w:rPr>
                      <w:rFonts w:eastAsiaTheme="minorEastAsia"/>
                      <w:szCs w:val="21"/>
                    </w:rPr>
                  </w:pPr>
                  <w:r>
                    <w:rPr>
                      <w:rFonts w:hint="eastAsia" w:eastAsiaTheme="minorEastAsia"/>
                      <w:szCs w:val="21"/>
                    </w:rPr>
                    <w:t>437.6</w:t>
                  </w:r>
                </w:p>
              </w:tc>
              <w:tc>
                <w:tcPr>
                  <w:tcW w:w="460" w:type="pct"/>
                  <w:vAlign w:val="center"/>
                </w:tcPr>
                <w:p w14:paraId="5EBF5036">
                  <w:pPr>
                    <w:jc w:val="center"/>
                    <w:rPr>
                      <w:rFonts w:eastAsiaTheme="minorEastAsia"/>
                      <w:szCs w:val="21"/>
                    </w:rPr>
                  </w:pPr>
                  <w:r>
                    <w:rPr>
                      <w:rFonts w:eastAsiaTheme="minorEastAsia"/>
                      <w:szCs w:val="21"/>
                    </w:rPr>
                    <w:t>2</w:t>
                  </w:r>
                </w:p>
              </w:tc>
              <w:tc>
                <w:tcPr>
                  <w:tcW w:w="556" w:type="pct"/>
                  <w:vAlign w:val="center"/>
                </w:tcPr>
                <w:p w14:paraId="39F56735">
                  <w:pPr>
                    <w:jc w:val="center"/>
                    <w:rPr>
                      <w:rFonts w:ascii="宋体" w:hAnsi="宋体" w:cs="宋体"/>
                      <w:color w:val="000000"/>
                      <w:sz w:val="22"/>
                      <w:szCs w:val="22"/>
                    </w:rPr>
                  </w:pPr>
                  <w:r>
                    <w:rPr>
                      <w:rFonts w:hint="eastAsia"/>
                      <w:color w:val="000000"/>
                      <w:sz w:val="22"/>
                      <w:szCs w:val="22"/>
                    </w:rPr>
                    <w:t>1.094</w:t>
                  </w:r>
                </w:p>
              </w:tc>
            </w:tr>
            <w:tr w14:paraId="16F4D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69" w:type="pct"/>
                  <w:vAlign w:val="center"/>
                </w:tcPr>
                <w:p w14:paraId="461541A2">
                  <w:pPr>
                    <w:pStyle w:val="120"/>
                    <w:spacing w:beforeLines="0"/>
                    <w:rPr>
                      <w:szCs w:val="21"/>
                    </w:rPr>
                  </w:pPr>
                  <w:r>
                    <w:rPr>
                      <w:szCs w:val="21"/>
                    </w:rPr>
                    <w:t>4</w:t>
                  </w:r>
                </w:p>
              </w:tc>
              <w:tc>
                <w:tcPr>
                  <w:tcW w:w="1169" w:type="pct"/>
                  <w:vAlign w:val="center"/>
                </w:tcPr>
                <w:p w14:paraId="3FB4B0FB">
                  <w:pPr>
                    <w:jc w:val="center"/>
                    <w:rPr>
                      <w:szCs w:val="21"/>
                    </w:rPr>
                  </w:pPr>
                  <w:r>
                    <w:rPr>
                      <w:szCs w:val="21"/>
                    </w:rPr>
                    <w:t>低温管及管线管</w:t>
                  </w:r>
                </w:p>
              </w:tc>
              <w:tc>
                <w:tcPr>
                  <w:tcW w:w="458" w:type="pct"/>
                  <w:vAlign w:val="center"/>
                </w:tcPr>
                <w:p w14:paraId="18D404DB">
                  <w:pPr>
                    <w:jc w:val="center"/>
                    <w:rPr>
                      <w:rFonts w:eastAsiaTheme="minorEastAsia"/>
                      <w:szCs w:val="21"/>
                    </w:rPr>
                  </w:pPr>
                  <w:r>
                    <w:rPr>
                      <w:rFonts w:hint="eastAsia" w:eastAsiaTheme="minorEastAsia"/>
                      <w:szCs w:val="21"/>
                    </w:rPr>
                    <w:t>22000</w:t>
                  </w:r>
                </w:p>
              </w:tc>
              <w:tc>
                <w:tcPr>
                  <w:tcW w:w="534" w:type="pct"/>
                  <w:vAlign w:val="center"/>
                </w:tcPr>
                <w:p w14:paraId="155DCF7F">
                  <w:pPr>
                    <w:jc w:val="center"/>
                    <w:rPr>
                      <w:rFonts w:eastAsiaTheme="minorEastAsia"/>
                      <w:szCs w:val="21"/>
                    </w:rPr>
                  </w:pPr>
                  <w:r>
                    <w:rPr>
                      <w:rFonts w:hint="eastAsia" w:eastAsiaTheme="minorEastAsia"/>
                      <w:szCs w:val="21"/>
                    </w:rPr>
                    <w:t>20000</w:t>
                  </w:r>
                </w:p>
              </w:tc>
              <w:tc>
                <w:tcPr>
                  <w:tcW w:w="550" w:type="pct"/>
                  <w:vAlign w:val="center"/>
                </w:tcPr>
                <w:p w14:paraId="0D343AF5">
                  <w:pPr>
                    <w:jc w:val="center"/>
                    <w:rPr>
                      <w:rFonts w:eastAsiaTheme="minorEastAsia"/>
                      <w:szCs w:val="21"/>
                    </w:rPr>
                  </w:pPr>
                  <w:r>
                    <w:rPr>
                      <w:rFonts w:hint="eastAsia" w:eastAsiaTheme="minorEastAsia"/>
                      <w:szCs w:val="21"/>
                    </w:rPr>
                    <w:t>1560</w:t>
                  </w:r>
                </w:p>
              </w:tc>
              <w:tc>
                <w:tcPr>
                  <w:tcW w:w="445" w:type="pct"/>
                  <w:vAlign w:val="center"/>
                </w:tcPr>
                <w:p w14:paraId="4C53C97B">
                  <w:pPr>
                    <w:jc w:val="center"/>
                    <w:rPr>
                      <w:rFonts w:eastAsiaTheme="minorEastAsia"/>
                      <w:szCs w:val="21"/>
                    </w:rPr>
                  </w:pPr>
                  <w:r>
                    <w:rPr>
                      <w:rFonts w:hint="eastAsia" w:eastAsiaTheme="minorEastAsia"/>
                      <w:szCs w:val="21"/>
                    </w:rPr>
                    <w:t>7.091</w:t>
                  </w:r>
                </w:p>
              </w:tc>
              <w:tc>
                <w:tcPr>
                  <w:tcW w:w="459" w:type="pct"/>
                  <w:vAlign w:val="center"/>
                </w:tcPr>
                <w:p w14:paraId="2D862488">
                  <w:pPr>
                    <w:jc w:val="center"/>
                    <w:rPr>
                      <w:rFonts w:eastAsiaTheme="minorEastAsia"/>
                      <w:szCs w:val="21"/>
                    </w:rPr>
                  </w:pPr>
                  <w:r>
                    <w:rPr>
                      <w:rFonts w:hint="eastAsia" w:eastAsiaTheme="minorEastAsia"/>
                      <w:szCs w:val="21"/>
                    </w:rPr>
                    <w:t>440</w:t>
                  </w:r>
                </w:p>
              </w:tc>
              <w:tc>
                <w:tcPr>
                  <w:tcW w:w="460" w:type="pct"/>
                  <w:vAlign w:val="center"/>
                </w:tcPr>
                <w:p w14:paraId="027105C3">
                  <w:pPr>
                    <w:jc w:val="center"/>
                    <w:rPr>
                      <w:rFonts w:eastAsiaTheme="minorEastAsia"/>
                      <w:szCs w:val="21"/>
                    </w:rPr>
                  </w:pPr>
                  <w:r>
                    <w:rPr>
                      <w:rFonts w:eastAsiaTheme="minorEastAsia"/>
                      <w:szCs w:val="21"/>
                    </w:rPr>
                    <w:t>2</w:t>
                  </w:r>
                </w:p>
              </w:tc>
              <w:tc>
                <w:tcPr>
                  <w:tcW w:w="556" w:type="pct"/>
                  <w:vAlign w:val="center"/>
                </w:tcPr>
                <w:p w14:paraId="69666E0A">
                  <w:pPr>
                    <w:jc w:val="center"/>
                    <w:rPr>
                      <w:rFonts w:ascii="宋体" w:hAnsi="宋体" w:cs="宋体"/>
                      <w:color w:val="000000"/>
                      <w:sz w:val="22"/>
                      <w:szCs w:val="22"/>
                    </w:rPr>
                  </w:pPr>
                  <w:r>
                    <w:rPr>
                      <w:rFonts w:hint="eastAsia"/>
                      <w:color w:val="000000"/>
                      <w:sz w:val="22"/>
                      <w:szCs w:val="22"/>
                    </w:rPr>
                    <w:t>1.100</w:t>
                  </w:r>
                </w:p>
              </w:tc>
            </w:tr>
            <w:tr w14:paraId="48658B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69" w:type="pct"/>
                  <w:vAlign w:val="center"/>
                </w:tcPr>
                <w:p w14:paraId="4227FAD5">
                  <w:pPr>
                    <w:pStyle w:val="120"/>
                    <w:spacing w:beforeLines="0"/>
                    <w:rPr>
                      <w:szCs w:val="21"/>
                    </w:rPr>
                  </w:pPr>
                  <w:r>
                    <w:rPr>
                      <w:szCs w:val="21"/>
                    </w:rPr>
                    <w:t>5</w:t>
                  </w:r>
                </w:p>
              </w:tc>
              <w:tc>
                <w:tcPr>
                  <w:tcW w:w="1169" w:type="pct"/>
                  <w:vAlign w:val="center"/>
                </w:tcPr>
                <w:p w14:paraId="4BD27CB3">
                  <w:pPr>
                    <w:jc w:val="center"/>
                    <w:rPr>
                      <w:szCs w:val="21"/>
                    </w:rPr>
                  </w:pPr>
                  <w:r>
                    <w:rPr>
                      <w:szCs w:val="21"/>
                    </w:rPr>
                    <w:t>高压锅炉管</w:t>
                  </w:r>
                </w:p>
              </w:tc>
              <w:tc>
                <w:tcPr>
                  <w:tcW w:w="458" w:type="pct"/>
                  <w:vAlign w:val="center"/>
                </w:tcPr>
                <w:p w14:paraId="5565564F">
                  <w:pPr>
                    <w:jc w:val="center"/>
                    <w:rPr>
                      <w:rFonts w:eastAsiaTheme="minorEastAsia"/>
                      <w:szCs w:val="21"/>
                    </w:rPr>
                  </w:pPr>
                  <w:r>
                    <w:rPr>
                      <w:rFonts w:hint="eastAsia" w:eastAsiaTheme="minorEastAsia"/>
                      <w:szCs w:val="21"/>
                    </w:rPr>
                    <w:t>33155</w:t>
                  </w:r>
                </w:p>
              </w:tc>
              <w:tc>
                <w:tcPr>
                  <w:tcW w:w="534" w:type="pct"/>
                  <w:vAlign w:val="center"/>
                </w:tcPr>
                <w:p w14:paraId="4E639A38">
                  <w:pPr>
                    <w:jc w:val="center"/>
                    <w:rPr>
                      <w:rFonts w:eastAsiaTheme="minorEastAsia"/>
                      <w:szCs w:val="21"/>
                    </w:rPr>
                  </w:pPr>
                  <w:r>
                    <w:rPr>
                      <w:rFonts w:hint="eastAsia" w:eastAsiaTheme="minorEastAsia"/>
                      <w:szCs w:val="21"/>
                    </w:rPr>
                    <w:t>30000</w:t>
                  </w:r>
                </w:p>
              </w:tc>
              <w:tc>
                <w:tcPr>
                  <w:tcW w:w="550" w:type="pct"/>
                  <w:vAlign w:val="center"/>
                </w:tcPr>
                <w:p w14:paraId="62297311">
                  <w:pPr>
                    <w:jc w:val="center"/>
                    <w:rPr>
                      <w:rFonts w:eastAsiaTheme="minorEastAsia"/>
                      <w:szCs w:val="21"/>
                    </w:rPr>
                  </w:pPr>
                  <w:r>
                    <w:rPr>
                      <w:rFonts w:hint="eastAsia" w:eastAsiaTheme="minorEastAsia"/>
                      <w:szCs w:val="21"/>
                    </w:rPr>
                    <w:t>2491.9</w:t>
                  </w:r>
                </w:p>
              </w:tc>
              <w:tc>
                <w:tcPr>
                  <w:tcW w:w="445" w:type="pct"/>
                  <w:vAlign w:val="center"/>
                </w:tcPr>
                <w:p w14:paraId="7AEEB9FE">
                  <w:pPr>
                    <w:jc w:val="center"/>
                    <w:rPr>
                      <w:rFonts w:eastAsiaTheme="minorEastAsia"/>
                      <w:szCs w:val="21"/>
                    </w:rPr>
                  </w:pPr>
                  <w:r>
                    <w:rPr>
                      <w:rFonts w:hint="eastAsia" w:eastAsiaTheme="minorEastAsia"/>
                      <w:szCs w:val="21"/>
                    </w:rPr>
                    <w:t>7.516</w:t>
                  </w:r>
                </w:p>
              </w:tc>
              <w:tc>
                <w:tcPr>
                  <w:tcW w:w="459" w:type="pct"/>
                  <w:vAlign w:val="center"/>
                </w:tcPr>
                <w:p w14:paraId="64984132">
                  <w:pPr>
                    <w:jc w:val="center"/>
                    <w:rPr>
                      <w:rFonts w:eastAsiaTheme="minorEastAsia"/>
                      <w:szCs w:val="21"/>
                    </w:rPr>
                  </w:pPr>
                  <w:r>
                    <w:rPr>
                      <w:rFonts w:hint="eastAsia" w:eastAsiaTheme="minorEastAsia"/>
                      <w:szCs w:val="21"/>
                    </w:rPr>
                    <w:t>663.1</w:t>
                  </w:r>
                </w:p>
              </w:tc>
              <w:tc>
                <w:tcPr>
                  <w:tcW w:w="460" w:type="pct"/>
                  <w:vAlign w:val="center"/>
                </w:tcPr>
                <w:p w14:paraId="2526E6BE">
                  <w:pPr>
                    <w:jc w:val="center"/>
                    <w:rPr>
                      <w:rFonts w:eastAsiaTheme="minorEastAsia"/>
                      <w:szCs w:val="21"/>
                    </w:rPr>
                  </w:pPr>
                  <w:r>
                    <w:rPr>
                      <w:rFonts w:eastAsiaTheme="minorEastAsia"/>
                      <w:szCs w:val="21"/>
                    </w:rPr>
                    <w:t>2</w:t>
                  </w:r>
                </w:p>
              </w:tc>
              <w:tc>
                <w:tcPr>
                  <w:tcW w:w="556" w:type="pct"/>
                  <w:vAlign w:val="center"/>
                </w:tcPr>
                <w:p w14:paraId="25BD27BD">
                  <w:pPr>
                    <w:jc w:val="center"/>
                    <w:rPr>
                      <w:rFonts w:ascii="宋体" w:hAnsi="宋体" w:cs="宋体"/>
                      <w:color w:val="000000"/>
                      <w:sz w:val="22"/>
                      <w:szCs w:val="22"/>
                    </w:rPr>
                  </w:pPr>
                  <w:r>
                    <w:rPr>
                      <w:rFonts w:hint="eastAsia"/>
                      <w:color w:val="000000"/>
                      <w:sz w:val="22"/>
                      <w:szCs w:val="22"/>
                    </w:rPr>
                    <w:t>1.105</w:t>
                  </w:r>
                </w:p>
              </w:tc>
            </w:tr>
            <w:tr w14:paraId="040CD2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69" w:type="pct"/>
                  <w:vAlign w:val="center"/>
                </w:tcPr>
                <w:p w14:paraId="39D7237B">
                  <w:pPr>
                    <w:pStyle w:val="120"/>
                    <w:spacing w:beforeLines="0"/>
                    <w:rPr>
                      <w:szCs w:val="21"/>
                    </w:rPr>
                  </w:pPr>
                  <w:r>
                    <w:rPr>
                      <w:szCs w:val="21"/>
                    </w:rPr>
                    <w:t>6</w:t>
                  </w:r>
                </w:p>
              </w:tc>
              <w:tc>
                <w:tcPr>
                  <w:tcW w:w="1169" w:type="pct"/>
                  <w:vAlign w:val="center"/>
                </w:tcPr>
                <w:p w14:paraId="4C15D2C1">
                  <w:pPr>
                    <w:jc w:val="center"/>
                    <w:rPr>
                      <w:szCs w:val="21"/>
                    </w:rPr>
                  </w:pPr>
                  <w:r>
                    <w:rPr>
                      <w:szCs w:val="21"/>
                    </w:rPr>
                    <w:t>机加工用管</w:t>
                  </w:r>
                </w:p>
              </w:tc>
              <w:tc>
                <w:tcPr>
                  <w:tcW w:w="458" w:type="pct"/>
                  <w:vAlign w:val="center"/>
                </w:tcPr>
                <w:p w14:paraId="17C06D43">
                  <w:pPr>
                    <w:jc w:val="center"/>
                    <w:rPr>
                      <w:rFonts w:eastAsiaTheme="minorEastAsia"/>
                      <w:szCs w:val="21"/>
                    </w:rPr>
                  </w:pPr>
                  <w:r>
                    <w:rPr>
                      <w:rFonts w:hint="eastAsia" w:eastAsiaTheme="minorEastAsia"/>
                      <w:szCs w:val="21"/>
                    </w:rPr>
                    <w:t>17450</w:t>
                  </w:r>
                </w:p>
              </w:tc>
              <w:tc>
                <w:tcPr>
                  <w:tcW w:w="534" w:type="pct"/>
                  <w:vAlign w:val="center"/>
                </w:tcPr>
                <w:p w14:paraId="272A3E90">
                  <w:pPr>
                    <w:jc w:val="center"/>
                    <w:rPr>
                      <w:rFonts w:eastAsiaTheme="minorEastAsia"/>
                      <w:szCs w:val="21"/>
                    </w:rPr>
                  </w:pPr>
                  <w:r>
                    <w:rPr>
                      <w:rFonts w:hint="eastAsia" w:eastAsiaTheme="minorEastAsia"/>
                      <w:szCs w:val="21"/>
                    </w:rPr>
                    <w:t>16000</w:t>
                  </w:r>
                </w:p>
              </w:tc>
              <w:tc>
                <w:tcPr>
                  <w:tcW w:w="550" w:type="pct"/>
                  <w:vAlign w:val="center"/>
                </w:tcPr>
                <w:p w14:paraId="67B2F741">
                  <w:pPr>
                    <w:jc w:val="center"/>
                    <w:rPr>
                      <w:rFonts w:eastAsiaTheme="minorEastAsia"/>
                      <w:szCs w:val="21"/>
                    </w:rPr>
                  </w:pPr>
                  <w:r>
                    <w:rPr>
                      <w:rFonts w:hint="eastAsia" w:eastAsiaTheme="minorEastAsia"/>
                      <w:szCs w:val="21"/>
                    </w:rPr>
                    <w:t>1101</w:t>
                  </w:r>
                </w:p>
              </w:tc>
              <w:tc>
                <w:tcPr>
                  <w:tcW w:w="445" w:type="pct"/>
                  <w:vAlign w:val="center"/>
                </w:tcPr>
                <w:p w14:paraId="4E036479">
                  <w:pPr>
                    <w:jc w:val="center"/>
                    <w:rPr>
                      <w:rFonts w:eastAsiaTheme="minorEastAsia"/>
                      <w:szCs w:val="21"/>
                    </w:rPr>
                  </w:pPr>
                  <w:r>
                    <w:rPr>
                      <w:rFonts w:hint="eastAsia" w:eastAsiaTheme="minorEastAsia"/>
                      <w:szCs w:val="21"/>
                    </w:rPr>
                    <w:t>6.309</w:t>
                  </w:r>
                </w:p>
              </w:tc>
              <w:tc>
                <w:tcPr>
                  <w:tcW w:w="459" w:type="pct"/>
                  <w:vAlign w:val="center"/>
                </w:tcPr>
                <w:p w14:paraId="6D073766">
                  <w:pPr>
                    <w:jc w:val="center"/>
                    <w:rPr>
                      <w:rFonts w:eastAsiaTheme="minorEastAsia"/>
                      <w:szCs w:val="21"/>
                    </w:rPr>
                  </w:pPr>
                  <w:r>
                    <w:rPr>
                      <w:rFonts w:hint="eastAsia" w:eastAsiaTheme="minorEastAsia"/>
                      <w:szCs w:val="21"/>
                    </w:rPr>
                    <w:t>349</w:t>
                  </w:r>
                </w:p>
              </w:tc>
              <w:tc>
                <w:tcPr>
                  <w:tcW w:w="460" w:type="pct"/>
                  <w:vAlign w:val="center"/>
                </w:tcPr>
                <w:p w14:paraId="7DF5EE1C">
                  <w:pPr>
                    <w:jc w:val="center"/>
                    <w:rPr>
                      <w:rFonts w:eastAsiaTheme="minorEastAsia"/>
                      <w:szCs w:val="21"/>
                    </w:rPr>
                  </w:pPr>
                  <w:r>
                    <w:rPr>
                      <w:rFonts w:eastAsiaTheme="minorEastAsia"/>
                      <w:szCs w:val="21"/>
                    </w:rPr>
                    <w:t>2</w:t>
                  </w:r>
                </w:p>
              </w:tc>
              <w:tc>
                <w:tcPr>
                  <w:tcW w:w="556" w:type="pct"/>
                  <w:vAlign w:val="center"/>
                </w:tcPr>
                <w:p w14:paraId="1FCD45C8">
                  <w:pPr>
                    <w:jc w:val="center"/>
                    <w:rPr>
                      <w:rFonts w:ascii="宋体" w:hAnsi="宋体" w:cs="宋体"/>
                      <w:color w:val="000000"/>
                      <w:sz w:val="22"/>
                      <w:szCs w:val="22"/>
                    </w:rPr>
                  </w:pPr>
                  <w:r>
                    <w:rPr>
                      <w:rFonts w:hint="eastAsia"/>
                      <w:color w:val="000000"/>
                      <w:sz w:val="22"/>
                      <w:szCs w:val="22"/>
                    </w:rPr>
                    <w:t>1.091</w:t>
                  </w:r>
                </w:p>
              </w:tc>
            </w:tr>
            <w:tr w14:paraId="229263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69" w:type="pct"/>
                  <w:vAlign w:val="center"/>
                </w:tcPr>
                <w:p w14:paraId="6BC22007">
                  <w:pPr>
                    <w:pStyle w:val="120"/>
                    <w:spacing w:beforeLines="0"/>
                    <w:rPr>
                      <w:szCs w:val="21"/>
                    </w:rPr>
                  </w:pPr>
                  <w:r>
                    <w:rPr>
                      <w:szCs w:val="21"/>
                    </w:rPr>
                    <w:t>7</w:t>
                  </w:r>
                </w:p>
              </w:tc>
              <w:tc>
                <w:tcPr>
                  <w:tcW w:w="1169" w:type="pct"/>
                  <w:vAlign w:val="center"/>
                </w:tcPr>
                <w:p w14:paraId="07A00B0F">
                  <w:pPr>
                    <w:jc w:val="center"/>
                    <w:rPr>
                      <w:szCs w:val="21"/>
                    </w:rPr>
                  </w:pPr>
                  <w:r>
                    <w:rPr>
                      <w:szCs w:val="21"/>
                    </w:rPr>
                    <w:t>高化管、石油裂化管</w:t>
                  </w:r>
                </w:p>
              </w:tc>
              <w:tc>
                <w:tcPr>
                  <w:tcW w:w="458" w:type="pct"/>
                  <w:vAlign w:val="center"/>
                </w:tcPr>
                <w:p w14:paraId="4B29D62F">
                  <w:pPr>
                    <w:jc w:val="center"/>
                    <w:rPr>
                      <w:rFonts w:eastAsiaTheme="minorEastAsia"/>
                      <w:szCs w:val="21"/>
                    </w:rPr>
                  </w:pPr>
                  <w:r>
                    <w:rPr>
                      <w:rFonts w:hint="eastAsia" w:eastAsiaTheme="minorEastAsia"/>
                      <w:szCs w:val="21"/>
                    </w:rPr>
                    <w:t>14305</w:t>
                  </w:r>
                </w:p>
              </w:tc>
              <w:tc>
                <w:tcPr>
                  <w:tcW w:w="534" w:type="pct"/>
                  <w:vAlign w:val="center"/>
                </w:tcPr>
                <w:p w14:paraId="2E325A9F">
                  <w:pPr>
                    <w:jc w:val="center"/>
                    <w:rPr>
                      <w:rFonts w:eastAsiaTheme="minorEastAsia"/>
                      <w:szCs w:val="21"/>
                    </w:rPr>
                  </w:pPr>
                  <w:r>
                    <w:rPr>
                      <w:rFonts w:hint="eastAsia" w:eastAsiaTheme="minorEastAsia"/>
                      <w:szCs w:val="21"/>
                    </w:rPr>
                    <w:t>13000</w:t>
                  </w:r>
                </w:p>
              </w:tc>
              <w:tc>
                <w:tcPr>
                  <w:tcW w:w="550" w:type="pct"/>
                  <w:vAlign w:val="center"/>
                </w:tcPr>
                <w:p w14:paraId="091AEFA6">
                  <w:pPr>
                    <w:jc w:val="center"/>
                    <w:rPr>
                      <w:rFonts w:eastAsiaTheme="minorEastAsia"/>
                      <w:szCs w:val="21"/>
                    </w:rPr>
                  </w:pPr>
                  <w:r>
                    <w:rPr>
                      <w:rFonts w:hint="eastAsia" w:eastAsiaTheme="minorEastAsia"/>
                      <w:szCs w:val="21"/>
                    </w:rPr>
                    <w:t>1018.9</w:t>
                  </w:r>
                </w:p>
              </w:tc>
              <w:tc>
                <w:tcPr>
                  <w:tcW w:w="445" w:type="pct"/>
                  <w:vAlign w:val="center"/>
                </w:tcPr>
                <w:p w14:paraId="2C10CFB8">
                  <w:pPr>
                    <w:jc w:val="center"/>
                    <w:rPr>
                      <w:rFonts w:eastAsiaTheme="minorEastAsia"/>
                      <w:szCs w:val="21"/>
                    </w:rPr>
                  </w:pPr>
                  <w:r>
                    <w:rPr>
                      <w:rFonts w:hint="eastAsia" w:eastAsiaTheme="minorEastAsia"/>
                      <w:szCs w:val="21"/>
                    </w:rPr>
                    <w:t>7.123</w:t>
                  </w:r>
                </w:p>
              </w:tc>
              <w:tc>
                <w:tcPr>
                  <w:tcW w:w="459" w:type="pct"/>
                  <w:vAlign w:val="center"/>
                </w:tcPr>
                <w:p w14:paraId="53340743">
                  <w:pPr>
                    <w:jc w:val="center"/>
                    <w:rPr>
                      <w:rFonts w:eastAsiaTheme="minorEastAsia"/>
                      <w:szCs w:val="21"/>
                    </w:rPr>
                  </w:pPr>
                  <w:r>
                    <w:rPr>
                      <w:rFonts w:hint="eastAsia" w:eastAsiaTheme="minorEastAsia"/>
                      <w:szCs w:val="21"/>
                    </w:rPr>
                    <w:t>286.1</w:t>
                  </w:r>
                </w:p>
              </w:tc>
              <w:tc>
                <w:tcPr>
                  <w:tcW w:w="460" w:type="pct"/>
                  <w:vAlign w:val="center"/>
                </w:tcPr>
                <w:p w14:paraId="50884539">
                  <w:pPr>
                    <w:jc w:val="center"/>
                    <w:rPr>
                      <w:rFonts w:eastAsiaTheme="minorEastAsia"/>
                      <w:szCs w:val="21"/>
                    </w:rPr>
                  </w:pPr>
                  <w:r>
                    <w:rPr>
                      <w:rFonts w:eastAsiaTheme="minorEastAsia"/>
                      <w:szCs w:val="21"/>
                    </w:rPr>
                    <w:t>2</w:t>
                  </w:r>
                </w:p>
              </w:tc>
              <w:tc>
                <w:tcPr>
                  <w:tcW w:w="556" w:type="pct"/>
                  <w:vAlign w:val="center"/>
                </w:tcPr>
                <w:p w14:paraId="35302A4B">
                  <w:pPr>
                    <w:jc w:val="center"/>
                    <w:rPr>
                      <w:rFonts w:ascii="宋体" w:hAnsi="宋体" w:cs="宋体"/>
                      <w:color w:val="000000"/>
                      <w:sz w:val="22"/>
                      <w:szCs w:val="22"/>
                    </w:rPr>
                  </w:pPr>
                  <w:r>
                    <w:rPr>
                      <w:rFonts w:hint="eastAsia"/>
                      <w:color w:val="000000"/>
                      <w:sz w:val="22"/>
                      <w:szCs w:val="22"/>
                    </w:rPr>
                    <w:t>1.100</w:t>
                  </w:r>
                </w:p>
              </w:tc>
            </w:tr>
            <w:tr w14:paraId="248C9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69" w:type="pct"/>
                  <w:vAlign w:val="center"/>
                </w:tcPr>
                <w:p w14:paraId="09ACF3BE">
                  <w:pPr>
                    <w:pStyle w:val="120"/>
                    <w:spacing w:beforeLines="0"/>
                    <w:rPr>
                      <w:szCs w:val="21"/>
                    </w:rPr>
                  </w:pPr>
                  <w:r>
                    <w:rPr>
                      <w:szCs w:val="21"/>
                    </w:rPr>
                    <w:t>8</w:t>
                  </w:r>
                </w:p>
              </w:tc>
              <w:tc>
                <w:tcPr>
                  <w:tcW w:w="1169" w:type="pct"/>
                  <w:vAlign w:val="center"/>
                </w:tcPr>
                <w:p w14:paraId="058E02D7">
                  <w:pPr>
                    <w:jc w:val="center"/>
                    <w:rPr>
                      <w:szCs w:val="21"/>
                    </w:rPr>
                  </w:pPr>
                  <w:r>
                    <w:rPr>
                      <w:szCs w:val="21"/>
                    </w:rPr>
                    <w:t>结构管、流体管等</w:t>
                  </w:r>
                </w:p>
              </w:tc>
              <w:tc>
                <w:tcPr>
                  <w:tcW w:w="458" w:type="pct"/>
                  <w:vAlign w:val="center"/>
                </w:tcPr>
                <w:p w14:paraId="6CF576F1">
                  <w:pPr>
                    <w:jc w:val="center"/>
                    <w:rPr>
                      <w:rFonts w:eastAsiaTheme="minorEastAsia"/>
                      <w:szCs w:val="21"/>
                    </w:rPr>
                  </w:pPr>
                  <w:r>
                    <w:rPr>
                      <w:rFonts w:hint="eastAsia" w:eastAsiaTheme="minorEastAsia"/>
                      <w:szCs w:val="21"/>
                    </w:rPr>
                    <w:t>14180</w:t>
                  </w:r>
                </w:p>
              </w:tc>
              <w:tc>
                <w:tcPr>
                  <w:tcW w:w="534" w:type="pct"/>
                  <w:vAlign w:val="center"/>
                </w:tcPr>
                <w:p w14:paraId="3E73453F">
                  <w:pPr>
                    <w:jc w:val="center"/>
                    <w:rPr>
                      <w:rFonts w:eastAsiaTheme="minorEastAsia"/>
                      <w:szCs w:val="21"/>
                    </w:rPr>
                  </w:pPr>
                  <w:r>
                    <w:rPr>
                      <w:rFonts w:hint="eastAsia" w:eastAsiaTheme="minorEastAsia"/>
                      <w:szCs w:val="21"/>
                    </w:rPr>
                    <w:t>13000</w:t>
                  </w:r>
                </w:p>
              </w:tc>
              <w:tc>
                <w:tcPr>
                  <w:tcW w:w="550" w:type="pct"/>
                  <w:vAlign w:val="center"/>
                </w:tcPr>
                <w:p w14:paraId="5ED3FDE6">
                  <w:pPr>
                    <w:jc w:val="center"/>
                    <w:rPr>
                      <w:rFonts w:eastAsiaTheme="minorEastAsia"/>
                      <w:szCs w:val="21"/>
                    </w:rPr>
                  </w:pPr>
                  <w:r>
                    <w:rPr>
                      <w:rFonts w:hint="eastAsia" w:eastAsiaTheme="minorEastAsia"/>
                      <w:szCs w:val="21"/>
                    </w:rPr>
                    <w:t>896.4</w:t>
                  </w:r>
                </w:p>
              </w:tc>
              <w:tc>
                <w:tcPr>
                  <w:tcW w:w="445" w:type="pct"/>
                  <w:vAlign w:val="center"/>
                </w:tcPr>
                <w:p w14:paraId="0519BAC9">
                  <w:pPr>
                    <w:jc w:val="center"/>
                    <w:rPr>
                      <w:rFonts w:eastAsiaTheme="minorEastAsia"/>
                      <w:szCs w:val="21"/>
                    </w:rPr>
                  </w:pPr>
                  <w:r>
                    <w:rPr>
                      <w:rFonts w:hint="eastAsia" w:eastAsiaTheme="minorEastAsia"/>
                      <w:szCs w:val="21"/>
                    </w:rPr>
                    <w:t>6.322</w:t>
                  </w:r>
                </w:p>
              </w:tc>
              <w:tc>
                <w:tcPr>
                  <w:tcW w:w="459" w:type="pct"/>
                  <w:vAlign w:val="center"/>
                </w:tcPr>
                <w:p w14:paraId="66C50056">
                  <w:pPr>
                    <w:jc w:val="center"/>
                    <w:rPr>
                      <w:rFonts w:eastAsiaTheme="minorEastAsia"/>
                      <w:szCs w:val="21"/>
                    </w:rPr>
                  </w:pPr>
                  <w:r>
                    <w:rPr>
                      <w:rFonts w:hint="eastAsia" w:eastAsiaTheme="minorEastAsia"/>
                      <w:szCs w:val="21"/>
                    </w:rPr>
                    <w:t>283.6</w:t>
                  </w:r>
                </w:p>
              </w:tc>
              <w:tc>
                <w:tcPr>
                  <w:tcW w:w="460" w:type="pct"/>
                  <w:vAlign w:val="center"/>
                </w:tcPr>
                <w:p w14:paraId="03F8B8DA">
                  <w:pPr>
                    <w:jc w:val="center"/>
                    <w:rPr>
                      <w:rFonts w:eastAsiaTheme="minorEastAsia"/>
                      <w:szCs w:val="21"/>
                    </w:rPr>
                  </w:pPr>
                  <w:r>
                    <w:rPr>
                      <w:rFonts w:eastAsiaTheme="minorEastAsia"/>
                      <w:szCs w:val="21"/>
                    </w:rPr>
                    <w:t>2</w:t>
                  </w:r>
                </w:p>
              </w:tc>
              <w:tc>
                <w:tcPr>
                  <w:tcW w:w="556" w:type="pct"/>
                  <w:vAlign w:val="center"/>
                </w:tcPr>
                <w:p w14:paraId="5502250B">
                  <w:pPr>
                    <w:jc w:val="center"/>
                    <w:rPr>
                      <w:rFonts w:ascii="宋体" w:hAnsi="宋体" w:cs="宋体"/>
                      <w:color w:val="000000"/>
                      <w:sz w:val="22"/>
                      <w:szCs w:val="22"/>
                    </w:rPr>
                  </w:pPr>
                  <w:r>
                    <w:rPr>
                      <w:rFonts w:hint="eastAsia"/>
                      <w:color w:val="000000"/>
                      <w:sz w:val="22"/>
                      <w:szCs w:val="22"/>
                    </w:rPr>
                    <w:t>1.091</w:t>
                  </w:r>
                </w:p>
              </w:tc>
            </w:tr>
            <w:tr w14:paraId="1DCFA5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38" w:type="pct"/>
                  <w:gridSpan w:val="2"/>
                  <w:vAlign w:val="center"/>
                </w:tcPr>
                <w:p w14:paraId="3037CC5F">
                  <w:pPr>
                    <w:pStyle w:val="120"/>
                    <w:spacing w:beforeLines="0"/>
                    <w:rPr>
                      <w:b/>
                      <w:szCs w:val="21"/>
                    </w:rPr>
                  </w:pPr>
                  <w:r>
                    <w:rPr>
                      <w:b/>
                      <w:szCs w:val="21"/>
                    </w:rPr>
                    <w:t>合计</w:t>
                  </w:r>
                </w:p>
              </w:tc>
              <w:tc>
                <w:tcPr>
                  <w:tcW w:w="458" w:type="pct"/>
                  <w:vAlign w:val="center"/>
                </w:tcPr>
                <w:p w14:paraId="2FEB4CE1">
                  <w:pPr>
                    <w:jc w:val="center"/>
                    <w:rPr>
                      <w:rFonts w:eastAsiaTheme="minorEastAsia"/>
                      <w:b/>
                      <w:szCs w:val="21"/>
                    </w:rPr>
                  </w:pPr>
                  <w:r>
                    <w:rPr>
                      <w:rFonts w:hint="eastAsia" w:eastAsiaTheme="minorEastAsia"/>
                      <w:b/>
                      <w:szCs w:val="21"/>
                    </w:rPr>
                    <w:t>308110</w:t>
                  </w:r>
                </w:p>
              </w:tc>
              <w:tc>
                <w:tcPr>
                  <w:tcW w:w="534" w:type="pct"/>
                  <w:vAlign w:val="center"/>
                </w:tcPr>
                <w:p w14:paraId="27646DD6">
                  <w:pPr>
                    <w:jc w:val="center"/>
                    <w:rPr>
                      <w:rFonts w:eastAsiaTheme="minorEastAsia"/>
                      <w:b/>
                      <w:szCs w:val="21"/>
                    </w:rPr>
                  </w:pPr>
                  <w:r>
                    <w:rPr>
                      <w:rFonts w:hint="eastAsia" w:eastAsiaTheme="minorEastAsia"/>
                      <w:b/>
                      <w:szCs w:val="21"/>
                    </w:rPr>
                    <w:t>280000</w:t>
                  </w:r>
                </w:p>
              </w:tc>
              <w:tc>
                <w:tcPr>
                  <w:tcW w:w="550" w:type="pct"/>
                  <w:vAlign w:val="center"/>
                </w:tcPr>
                <w:p w14:paraId="275C4400">
                  <w:pPr>
                    <w:jc w:val="center"/>
                    <w:rPr>
                      <w:rFonts w:eastAsiaTheme="minorEastAsia"/>
                      <w:b/>
                      <w:szCs w:val="21"/>
                    </w:rPr>
                  </w:pPr>
                  <w:r>
                    <w:rPr>
                      <w:rFonts w:hint="eastAsia" w:eastAsiaTheme="minorEastAsia"/>
                      <w:b/>
                      <w:szCs w:val="21"/>
                    </w:rPr>
                    <w:t>21947.8</w:t>
                  </w:r>
                </w:p>
              </w:tc>
              <w:tc>
                <w:tcPr>
                  <w:tcW w:w="445" w:type="pct"/>
                  <w:vAlign w:val="center"/>
                </w:tcPr>
                <w:p w14:paraId="7C10E82E">
                  <w:pPr>
                    <w:jc w:val="center"/>
                    <w:rPr>
                      <w:rFonts w:eastAsiaTheme="minorEastAsia"/>
                      <w:b/>
                      <w:szCs w:val="21"/>
                    </w:rPr>
                  </w:pPr>
                  <w:r>
                    <w:rPr>
                      <w:rFonts w:hint="eastAsia" w:eastAsiaTheme="minorEastAsia"/>
                      <w:b/>
                      <w:szCs w:val="21"/>
                    </w:rPr>
                    <w:t>7.135</w:t>
                  </w:r>
                </w:p>
              </w:tc>
              <w:tc>
                <w:tcPr>
                  <w:tcW w:w="459" w:type="pct"/>
                  <w:vAlign w:val="center"/>
                </w:tcPr>
                <w:p w14:paraId="1EE93A0D">
                  <w:pPr>
                    <w:jc w:val="center"/>
                    <w:rPr>
                      <w:rFonts w:eastAsiaTheme="minorEastAsia"/>
                      <w:b/>
                      <w:szCs w:val="21"/>
                    </w:rPr>
                  </w:pPr>
                  <w:r>
                    <w:rPr>
                      <w:rFonts w:hint="eastAsia" w:eastAsiaTheme="minorEastAsia"/>
                      <w:b/>
                      <w:szCs w:val="21"/>
                    </w:rPr>
                    <w:t>6162.2</w:t>
                  </w:r>
                </w:p>
              </w:tc>
              <w:tc>
                <w:tcPr>
                  <w:tcW w:w="460" w:type="pct"/>
                  <w:vAlign w:val="center"/>
                </w:tcPr>
                <w:p w14:paraId="28C5EEF4">
                  <w:pPr>
                    <w:jc w:val="center"/>
                    <w:rPr>
                      <w:rFonts w:eastAsiaTheme="minorEastAsia"/>
                      <w:b/>
                      <w:szCs w:val="21"/>
                    </w:rPr>
                  </w:pPr>
                  <w:r>
                    <w:rPr>
                      <w:rFonts w:hint="eastAsia" w:eastAsiaTheme="minorEastAsia"/>
                      <w:b/>
                      <w:szCs w:val="21"/>
                    </w:rPr>
                    <w:t>2</w:t>
                  </w:r>
                </w:p>
              </w:tc>
              <w:tc>
                <w:tcPr>
                  <w:tcW w:w="556" w:type="pct"/>
                  <w:vAlign w:val="center"/>
                </w:tcPr>
                <w:p w14:paraId="6A452BBE">
                  <w:pPr>
                    <w:pStyle w:val="120"/>
                    <w:spacing w:beforeLines="0"/>
                    <w:rPr>
                      <w:b/>
                      <w:szCs w:val="21"/>
                    </w:rPr>
                  </w:pPr>
                  <w:r>
                    <w:rPr>
                      <w:rFonts w:hint="eastAsia"/>
                      <w:b/>
                      <w:szCs w:val="21"/>
                    </w:rPr>
                    <w:t>1.100</w:t>
                  </w:r>
                </w:p>
              </w:tc>
            </w:tr>
          </w:tbl>
          <w:p w14:paraId="3C3FA684">
            <w:pPr>
              <w:pStyle w:val="118"/>
              <w:spacing w:line="360" w:lineRule="auto"/>
              <w:ind w:firstLine="480"/>
              <w:rPr>
                <w:rFonts w:eastAsia="宋体" w:cs="Times New Roman"/>
                <w:sz w:val="24"/>
                <w:szCs w:val="24"/>
              </w:rPr>
            </w:pPr>
            <w:r>
              <w:rPr>
                <w:rFonts w:eastAsia="宋体" w:cs="Times New Roman"/>
                <w:sz w:val="24"/>
                <w:szCs w:val="24"/>
              </w:rPr>
              <w:t>项目技改前后热轧生产线主要技术经济指标见表</w:t>
            </w:r>
            <w:r>
              <w:rPr>
                <w:rFonts w:hint="eastAsia" w:eastAsia="宋体" w:cs="Times New Roman"/>
                <w:sz w:val="24"/>
                <w:szCs w:val="24"/>
              </w:rPr>
              <w:t>2-6</w:t>
            </w:r>
            <w:r>
              <w:rPr>
                <w:rFonts w:eastAsia="宋体" w:cs="Times New Roman"/>
                <w:sz w:val="24"/>
                <w:szCs w:val="24"/>
              </w:rPr>
              <w:t>。</w:t>
            </w:r>
          </w:p>
          <w:p w14:paraId="00528616">
            <w:pPr>
              <w:pStyle w:val="2"/>
              <w:spacing w:beforeLines="50"/>
              <w:jc w:val="center"/>
              <w:rPr>
                <w:rFonts w:ascii="Times New Roman"/>
                <w:b/>
                <w:color w:val="auto"/>
                <w:sz w:val="21"/>
              </w:rPr>
            </w:pPr>
            <w:r>
              <w:rPr>
                <w:rFonts w:ascii="Times New Roman"/>
                <w:b/>
                <w:color w:val="auto"/>
                <w:sz w:val="21"/>
              </w:rPr>
              <w:t>表</w:t>
            </w:r>
            <w:r>
              <w:rPr>
                <w:rFonts w:hint="eastAsia" w:ascii="Times New Roman"/>
                <w:b/>
                <w:color w:val="auto"/>
                <w:sz w:val="21"/>
              </w:rPr>
              <w:t>2-6</w:t>
            </w:r>
            <w:r>
              <w:rPr>
                <w:rFonts w:ascii="Times New Roman"/>
                <w:b/>
                <w:color w:val="auto"/>
                <w:sz w:val="21"/>
              </w:rPr>
              <w:t xml:space="preserve">  热轧生产线技改前后主要技术经济指标方案表</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6"/>
              <w:gridCol w:w="2449"/>
              <w:gridCol w:w="1239"/>
              <w:gridCol w:w="1545"/>
              <w:gridCol w:w="1545"/>
              <w:gridCol w:w="1542"/>
            </w:tblGrid>
            <w:tr w14:paraId="7DA114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515" w:type="pct"/>
                  <w:vAlign w:val="center"/>
                </w:tcPr>
                <w:p w14:paraId="653991ED">
                  <w:pPr>
                    <w:pStyle w:val="119"/>
                    <w:widowControl/>
                    <w:spacing w:beforeLines="0" w:afterLines="0" w:line="240" w:lineRule="auto"/>
                    <w:ind w:firstLine="0" w:firstLineChars="0"/>
                    <w:jc w:val="center"/>
                    <w:rPr>
                      <w:b/>
                      <w:bCs/>
                      <w:sz w:val="21"/>
                      <w:szCs w:val="21"/>
                    </w:rPr>
                  </w:pPr>
                  <w:r>
                    <w:rPr>
                      <w:b/>
                      <w:bCs/>
                      <w:sz w:val="21"/>
                      <w:szCs w:val="21"/>
                    </w:rPr>
                    <w:t>序号</w:t>
                  </w:r>
                </w:p>
              </w:tc>
              <w:tc>
                <w:tcPr>
                  <w:tcW w:w="1320" w:type="pct"/>
                  <w:vAlign w:val="center"/>
                </w:tcPr>
                <w:p w14:paraId="5BE968BD">
                  <w:pPr>
                    <w:pStyle w:val="119"/>
                    <w:widowControl/>
                    <w:spacing w:beforeLines="0" w:afterLines="0" w:line="240" w:lineRule="auto"/>
                    <w:ind w:firstLine="0" w:firstLineChars="0"/>
                    <w:jc w:val="center"/>
                    <w:rPr>
                      <w:b/>
                      <w:bCs/>
                      <w:sz w:val="21"/>
                      <w:szCs w:val="21"/>
                    </w:rPr>
                  </w:pPr>
                  <w:r>
                    <w:rPr>
                      <w:b/>
                      <w:bCs/>
                      <w:sz w:val="21"/>
                      <w:szCs w:val="21"/>
                    </w:rPr>
                    <w:t>指标名称</w:t>
                  </w:r>
                </w:p>
              </w:tc>
              <w:tc>
                <w:tcPr>
                  <w:tcW w:w="668" w:type="pct"/>
                  <w:vAlign w:val="center"/>
                </w:tcPr>
                <w:p w14:paraId="155F887F">
                  <w:pPr>
                    <w:pStyle w:val="119"/>
                    <w:widowControl/>
                    <w:spacing w:beforeLines="0" w:afterLines="0" w:line="240" w:lineRule="auto"/>
                    <w:ind w:firstLine="0" w:firstLineChars="0"/>
                    <w:jc w:val="center"/>
                    <w:rPr>
                      <w:b/>
                      <w:bCs/>
                      <w:sz w:val="21"/>
                      <w:szCs w:val="21"/>
                    </w:rPr>
                  </w:pPr>
                  <w:r>
                    <w:rPr>
                      <w:b/>
                      <w:bCs/>
                      <w:sz w:val="21"/>
                      <w:szCs w:val="21"/>
                    </w:rPr>
                    <w:t>单位</w:t>
                  </w:r>
                </w:p>
              </w:tc>
              <w:tc>
                <w:tcPr>
                  <w:tcW w:w="833" w:type="pct"/>
                  <w:vAlign w:val="center"/>
                </w:tcPr>
                <w:p w14:paraId="0991D30B">
                  <w:pPr>
                    <w:pStyle w:val="119"/>
                    <w:widowControl/>
                    <w:spacing w:beforeLines="0" w:afterLines="0" w:line="240" w:lineRule="auto"/>
                    <w:ind w:firstLine="0" w:firstLineChars="0"/>
                    <w:jc w:val="center"/>
                    <w:rPr>
                      <w:b/>
                      <w:bCs/>
                      <w:sz w:val="21"/>
                      <w:szCs w:val="21"/>
                    </w:rPr>
                  </w:pPr>
                  <w:r>
                    <w:rPr>
                      <w:b/>
                      <w:bCs/>
                      <w:sz w:val="21"/>
                      <w:szCs w:val="21"/>
                    </w:rPr>
                    <w:t>技改前数量</w:t>
                  </w:r>
                </w:p>
              </w:tc>
              <w:tc>
                <w:tcPr>
                  <w:tcW w:w="833" w:type="pct"/>
                  <w:vAlign w:val="center"/>
                </w:tcPr>
                <w:p w14:paraId="77FBCC4E">
                  <w:pPr>
                    <w:pStyle w:val="119"/>
                    <w:widowControl/>
                    <w:spacing w:beforeLines="0" w:afterLines="0" w:line="240" w:lineRule="auto"/>
                    <w:ind w:firstLine="0" w:firstLineChars="0"/>
                    <w:jc w:val="center"/>
                    <w:rPr>
                      <w:b/>
                      <w:bCs/>
                      <w:sz w:val="21"/>
                      <w:szCs w:val="21"/>
                    </w:rPr>
                  </w:pPr>
                  <w:r>
                    <w:rPr>
                      <w:b/>
                      <w:bCs/>
                      <w:sz w:val="21"/>
                      <w:szCs w:val="21"/>
                    </w:rPr>
                    <w:t>技改后数量</w:t>
                  </w:r>
                </w:p>
              </w:tc>
              <w:tc>
                <w:tcPr>
                  <w:tcW w:w="831" w:type="pct"/>
                  <w:vAlign w:val="center"/>
                </w:tcPr>
                <w:p w14:paraId="2DC95422">
                  <w:pPr>
                    <w:pStyle w:val="119"/>
                    <w:widowControl/>
                    <w:spacing w:beforeLines="0" w:afterLines="0" w:line="240" w:lineRule="auto"/>
                    <w:ind w:firstLine="0" w:firstLineChars="0"/>
                    <w:jc w:val="center"/>
                    <w:rPr>
                      <w:b/>
                      <w:bCs/>
                      <w:sz w:val="21"/>
                      <w:szCs w:val="21"/>
                    </w:rPr>
                  </w:pPr>
                  <w:r>
                    <w:rPr>
                      <w:b/>
                      <w:bCs/>
                      <w:sz w:val="21"/>
                      <w:szCs w:val="21"/>
                    </w:rPr>
                    <w:t>增减量</w:t>
                  </w:r>
                </w:p>
              </w:tc>
            </w:tr>
            <w:tr w14:paraId="4D59D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5" w:type="pct"/>
                  <w:vAlign w:val="center"/>
                </w:tcPr>
                <w:p w14:paraId="50834B98">
                  <w:pPr>
                    <w:pStyle w:val="119"/>
                    <w:widowControl/>
                    <w:spacing w:beforeLines="0" w:afterLines="0" w:line="240" w:lineRule="auto"/>
                    <w:ind w:firstLine="0" w:firstLineChars="0"/>
                    <w:jc w:val="center"/>
                    <w:rPr>
                      <w:bCs/>
                      <w:sz w:val="21"/>
                      <w:szCs w:val="21"/>
                    </w:rPr>
                  </w:pPr>
                  <w:r>
                    <w:rPr>
                      <w:bCs/>
                      <w:sz w:val="21"/>
                      <w:szCs w:val="21"/>
                    </w:rPr>
                    <w:t>1</w:t>
                  </w:r>
                </w:p>
              </w:tc>
              <w:tc>
                <w:tcPr>
                  <w:tcW w:w="1320" w:type="pct"/>
                  <w:vAlign w:val="center"/>
                </w:tcPr>
                <w:p w14:paraId="4FC4CDD0">
                  <w:pPr>
                    <w:pStyle w:val="119"/>
                    <w:widowControl/>
                    <w:spacing w:beforeLines="0" w:afterLines="0" w:line="240" w:lineRule="auto"/>
                    <w:ind w:firstLine="0" w:firstLineChars="0"/>
                    <w:jc w:val="center"/>
                    <w:rPr>
                      <w:bCs/>
                      <w:sz w:val="21"/>
                      <w:szCs w:val="21"/>
                    </w:rPr>
                  </w:pPr>
                  <w:r>
                    <w:rPr>
                      <w:bCs/>
                      <w:sz w:val="21"/>
                      <w:szCs w:val="21"/>
                    </w:rPr>
                    <w:t>年产量</w:t>
                  </w:r>
                </w:p>
              </w:tc>
              <w:tc>
                <w:tcPr>
                  <w:tcW w:w="668" w:type="pct"/>
                  <w:vAlign w:val="center"/>
                </w:tcPr>
                <w:p w14:paraId="31225FBE">
                  <w:pPr>
                    <w:pStyle w:val="119"/>
                    <w:widowControl/>
                    <w:spacing w:beforeLines="0" w:afterLines="0" w:line="240" w:lineRule="auto"/>
                    <w:ind w:firstLine="0" w:firstLineChars="0"/>
                    <w:jc w:val="center"/>
                    <w:rPr>
                      <w:bCs/>
                      <w:sz w:val="21"/>
                      <w:szCs w:val="21"/>
                    </w:rPr>
                  </w:pPr>
                  <w:r>
                    <w:rPr>
                      <w:bCs/>
                      <w:sz w:val="21"/>
                      <w:szCs w:val="21"/>
                    </w:rPr>
                    <w:t>t</w:t>
                  </w:r>
                </w:p>
              </w:tc>
              <w:tc>
                <w:tcPr>
                  <w:tcW w:w="833" w:type="pct"/>
                  <w:vAlign w:val="center"/>
                </w:tcPr>
                <w:p w14:paraId="5DA2E2EC">
                  <w:pPr>
                    <w:pStyle w:val="119"/>
                    <w:widowControl/>
                    <w:spacing w:beforeLines="0" w:afterLines="0" w:line="240" w:lineRule="auto"/>
                    <w:ind w:firstLine="0" w:firstLineChars="0"/>
                    <w:jc w:val="center"/>
                    <w:rPr>
                      <w:bCs/>
                      <w:sz w:val="21"/>
                      <w:szCs w:val="21"/>
                    </w:rPr>
                  </w:pPr>
                  <w:r>
                    <w:rPr>
                      <w:bCs/>
                      <w:sz w:val="21"/>
                      <w:szCs w:val="21"/>
                    </w:rPr>
                    <w:t>200000</w:t>
                  </w:r>
                </w:p>
              </w:tc>
              <w:tc>
                <w:tcPr>
                  <w:tcW w:w="833" w:type="pct"/>
                  <w:vAlign w:val="center"/>
                </w:tcPr>
                <w:p w14:paraId="34120C57">
                  <w:pPr>
                    <w:pStyle w:val="119"/>
                    <w:widowControl/>
                    <w:spacing w:beforeLines="0" w:afterLines="0" w:line="240" w:lineRule="auto"/>
                    <w:ind w:firstLine="0" w:firstLineChars="0"/>
                    <w:jc w:val="center"/>
                    <w:rPr>
                      <w:bCs/>
                      <w:sz w:val="21"/>
                      <w:szCs w:val="21"/>
                    </w:rPr>
                  </w:pPr>
                  <w:r>
                    <w:rPr>
                      <w:bCs/>
                      <w:sz w:val="21"/>
                      <w:szCs w:val="21"/>
                    </w:rPr>
                    <w:t>2</w:t>
                  </w:r>
                  <w:r>
                    <w:rPr>
                      <w:rFonts w:hint="eastAsia"/>
                      <w:bCs/>
                      <w:sz w:val="21"/>
                      <w:szCs w:val="21"/>
                    </w:rPr>
                    <w:t>8</w:t>
                  </w:r>
                  <w:r>
                    <w:rPr>
                      <w:bCs/>
                      <w:sz w:val="21"/>
                      <w:szCs w:val="21"/>
                    </w:rPr>
                    <w:t>0000</w:t>
                  </w:r>
                </w:p>
              </w:tc>
              <w:tc>
                <w:tcPr>
                  <w:tcW w:w="831" w:type="pct"/>
                  <w:vAlign w:val="center"/>
                </w:tcPr>
                <w:p w14:paraId="7F7F18A7">
                  <w:pPr>
                    <w:pStyle w:val="119"/>
                    <w:widowControl/>
                    <w:spacing w:beforeLines="0" w:afterLines="0" w:line="240" w:lineRule="auto"/>
                    <w:ind w:firstLine="0" w:firstLineChars="0"/>
                    <w:jc w:val="center"/>
                    <w:rPr>
                      <w:bCs/>
                      <w:sz w:val="21"/>
                      <w:szCs w:val="21"/>
                    </w:rPr>
                  </w:pPr>
                  <w:r>
                    <w:rPr>
                      <w:bCs/>
                      <w:sz w:val="21"/>
                      <w:szCs w:val="21"/>
                    </w:rPr>
                    <w:t>+</w:t>
                  </w:r>
                  <w:r>
                    <w:rPr>
                      <w:rFonts w:hint="eastAsia"/>
                      <w:bCs/>
                      <w:sz w:val="21"/>
                      <w:szCs w:val="21"/>
                    </w:rPr>
                    <w:t>80000</w:t>
                  </w:r>
                </w:p>
              </w:tc>
            </w:tr>
            <w:tr w14:paraId="25F122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5" w:type="pct"/>
                  <w:vAlign w:val="center"/>
                </w:tcPr>
                <w:p w14:paraId="20AC3351">
                  <w:pPr>
                    <w:pStyle w:val="119"/>
                    <w:widowControl/>
                    <w:spacing w:beforeLines="0" w:afterLines="0" w:line="240" w:lineRule="auto"/>
                    <w:ind w:firstLine="0" w:firstLineChars="0"/>
                    <w:jc w:val="center"/>
                    <w:rPr>
                      <w:bCs/>
                      <w:sz w:val="21"/>
                      <w:szCs w:val="21"/>
                    </w:rPr>
                  </w:pPr>
                  <w:r>
                    <w:rPr>
                      <w:bCs/>
                      <w:sz w:val="21"/>
                      <w:szCs w:val="21"/>
                    </w:rPr>
                    <w:t>2</w:t>
                  </w:r>
                </w:p>
              </w:tc>
              <w:tc>
                <w:tcPr>
                  <w:tcW w:w="1320" w:type="pct"/>
                  <w:vAlign w:val="center"/>
                </w:tcPr>
                <w:p w14:paraId="63E4AF84">
                  <w:pPr>
                    <w:pStyle w:val="119"/>
                    <w:widowControl/>
                    <w:spacing w:beforeLines="0" w:afterLines="0" w:line="240" w:lineRule="auto"/>
                    <w:ind w:firstLine="0" w:firstLineChars="0"/>
                    <w:jc w:val="center"/>
                    <w:rPr>
                      <w:bCs/>
                      <w:sz w:val="21"/>
                      <w:szCs w:val="21"/>
                    </w:rPr>
                  </w:pPr>
                  <w:r>
                    <w:rPr>
                      <w:bCs/>
                      <w:sz w:val="21"/>
                      <w:szCs w:val="21"/>
                    </w:rPr>
                    <w:t>年需管坯</w:t>
                  </w:r>
                </w:p>
              </w:tc>
              <w:tc>
                <w:tcPr>
                  <w:tcW w:w="668" w:type="pct"/>
                  <w:vAlign w:val="center"/>
                </w:tcPr>
                <w:p w14:paraId="7BA73972">
                  <w:pPr>
                    <w:pStyle w:val="119"/>
                    <w:widowControl/>
                    <w:spacing w:beforeLines="0" w:afterLines="0" w:line="240" w:lineRule="auto"/>
                    <w:ind w:firstLine="0" w:firstLineChars="0"/>
                    <w:jc w:val="center"/>
                    <w:rPr>
                      <w:bCs/>
                      <w:sz w:val="21"/>
                      <w:szCs w:val="21"/>
                    </w:rPr>
                  </w:pPr>
                  <w:r>
                    <w:rPr>
                      <w:bCs/>
                      <w:sz w:val="21"/>
                      <w:szCs w:val="21"/>
                    </w:rPr>
                    <w:t>t</w:t>
                  </w:r>
                </w:p>
              </w:tc>
              <w:tc>
                <w:tcPr>
                  <w:tcW w:w="833" w:type="pct"/>
                  <w:vAlign w:val="center"/>
                </w:tcPr>
                <w:p w14:paraId="7F23CC1E">
                  <w:pPr>
                    <w:pStyle w:val="119"/>
                    <w:widowControl/>
                    <w:spacing w:beforeLines="0" w:afterLines="0" w:line="240" w:lineRule="auto"/>
                    <w:ind w:firstLine="0" w:firstLineChars="0"/>
                    <w:jc w:val="center"/>
                    <w:rPr>
                      <w:bCs/>
                      <w:sz w:val="21"/>
                      <w:szCs w:val="21"/>
                    </w:rPr>
                  </w:pPr>
                  <w:r>
                    <w:rPr>
                      <w:bCs/>
                      <w:sz w:val="21"/>
                      <w:szCs w:val="21"/>
                    </w:rPr>
                    <w:t>224000</w:t>
                  </w:r>
                </w:p>
              </w:tc>
              <w:tc>
                <w:tcPr>
                  <w:tcW w:w="833" w:type="pct"/>
                  <w:vAlign w:val="center"/>
                </w:tcPr>
                <w:p w14:paraId="602D6A20">
                  <w:pPr>
                    <w:pStyle w:val="119"/>
                    <w:widowControl/>
                    <w:spacing w:beforeLines="0" w:afterLines="0" w:line="240" w:lineRule="auto"/>
                    <w:ind w:firstLine="0" w:firstLineChars="0"/>
                    <w:jc w:val="center"/>
                    <w:rPr>
                      <w:bCs/>
                      <w:sz w:val="21"/>
                      <w:szCs w:val="21"/>
                    </w:rPr>
                  </w:pPr>
                  <w:r>
                    <w:rPr>
                      <w:rFonts w:hint="eastAsia"/>
                      <w:bCs/>
                      <w:sz w:val="21"/>
                      <w:szCs w:val="21"/>
                    </w:rPr>
                    <w:t>308110</w:t>
                  </w:r>
                </w:p>
              </w:tc>
              <w:tc>
                <w:tcPr>
                  <w:tcW w:w="831" w:type="pct"/>
                  <w:vAlign w:val="center"/>
                </w:tcPr>
                <w:p w14:paraId="02539863">
                  <w:pPr>
                    <w:pStyle w:val="119"/>
                    <w:widowControl/>
                    <w:spacing w:beforeLines="0" w:afterLines="0" w:line="240" w:lineRule="auto"/>
                    <w:ind w:firstLine="0" w:firstLineChars="0"/>
                    <w:jc w:val="center"/>
                    <w:rPr>
                      <w:bCs/>
                      <w:sz w:val="21"/>
                      <w:szCs w:val="21"/>
                    </w:rPr>
                  </w:pPr>
                  <w:r>
                    <w:rPr>
                      <w:bCs/>
                      <w:sz w:val="21"/>
                      <w:szCs w:val="21"/>
                    </w:rPr>
                    <w:t>+</w:t>
                  </w:r>
                  <w:r>
                    <w:rPr>
                      <w:rFonts w:hint="eastAsia"/>
                      <w:bCs/>
                      <w:sz w:val="21"/>
                      <w:szCs w:val="21"/>
                    </w:rPr>
                    <w:t>84110</w:t>
                  </w:r>
                </w:p>
              </w:tc>
            </w:tr>
            <w:tr w14:paraId="55598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5" w:type="pct"/>
                  <w:vAlign w:val="center"/>
                </w:tcPr>
                <w:p w14:paraId="5084081E">
                  <w:pPr>
                    <w:pStyle w:val="119"/>
                    <w:widowControl/>
                    <w:spacing w:beforeLines="0" w:afterLines="0" w:line="240" w:lineRule="auto"/>
                    <w:ind w:firstLine="0" w:firstLineChars="0"/>
                    <w:jc w:val="center"/>
                    <w:rPr>
                      <w:bCs/>
                      <w:sz w:val="21"/>
                      <w:szCs w:val="21"/>
                    </w:rPr>
                  </w:pPr>
                  <w:r>
                    <w:rPr>
                      <w:rFonts w:hint="eastAsia"/>
                      <w:bCs/>
                      <w:sz w:val="21"/>
                      <w:szCs w:val="21"/>
                    </w:rPr>
                    <w:t>3</w:t>
                  </w:r>
                </w:p>
              </w:tc>
              <w:tc>
                <w:tcPr>
                  <w:tcW w:w="4485" w:type="pct"/>
                  <w:gridSpan w:val="5"/>
                  <w:vAlign w:val="center"/>
                </w:tcPr>
                <w:p w14:paraId="4C53BD34">
                  <w:pPr>
                    <w:pStyle w:val="119"/>
                    <w:widowControl/>
                    <w:spacing w:beforeLines="0" w:afterLines="0" w:line="240" w:lineRule="auto"/>
                    <w:ind w:firstLine="0" w:firstLineChars="0"/>
                    <w:jc w:val="center"/>
                    <w:rPr>
                      <w:bCs/>
                      <w:sz w:val="21"/>
                      <w:szCs w:val="21"/>
                    </w:rPr>
                  </w:pPr>
                  <w:r>
                    <w:rPr>
                      <w:bCs/>
                      <w:sz w:val="21"/>
                      <w:szCs w:val="21"/>
                    </w:rPr>
                    <w:t>每吨产品原辅材料消耗指标</w:t>
                  </w:r>
                </w:p>
              </w:tc>
            </w:tr>
            <w:tr w14:paraId="693BE3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5" w:type="pct"/>
                  <w:vAlign w:val="center"/>
                </w:tcPr>
                <w:p w14:paraId="13F9C2DC">
                  <w:pPr>
                    <w:pStyle w:val="119"/>
                    <w:widowControl/>
                    <w:spacing w:beforeLines="0" w:afterLines="0" w:line="240" w:lineRule="auto"/>
                    <w:ind w:firstLine="0" w:firstLineChars="0"/>
                    <w:jc w:val="center"/>
                    <w:rPr>
                      <w:bCs/>
                      <w:sz w:val="21"/>
                      <w:szCs w:val="21"/>
                    </w:rPr>
                  </w:pPr>
                  <w:r>
                    <w:rPr>
                      <w:rFonts w:hint="eastAsia"/>
                      <w:bCs/>
                      <w:sz w:val="21"/>
                      <w:szCs w:val="21"/>
                    </w:rPr>
                    <w:t>3.1</w:t>
                  </w:r>
                </w:p>
              </w:tc>
              <w:tc>
                <w:tcPr>
                  <w:tcW w:w="1320" w:type="pct"/>
                  <w:vAlign w:val="center"/>
                </w:tcPr>
                <w:p w14:paraId="2CEB3E20">
                  <w:pPr>
                    <w:pStyle w:val="119"/>
                    <w:widowControl/>
                    <w:spacing w:beforeLines="0" w:afterLines="0" w:line="240" w:lineRule="auto"/>
                    <w:ind w:firstLine="0" w:firstLineChars="0"/>
                    <w:jc w:val="center"/>
                    <w:rPr>
                      <w:bCs/>
                      <w:sz w:val="21"/>
                      <w:szCs w:val="21"/>
                    </w:rPr>
                  </w:pPr>
                  <w:r>
                    <w:rPr>
                      <w:bCs/>
                      <w:sz w:val="21"/>
                      <w:szCs w:val="21"/>
                    </w:rPr>
                    <w:t>管坯</w:t>
                  </w:r>
                </w:p>
              </w:tc>
              <w:tc>
                <w:tcPr>
                  <w:tcW w:w="668" w:type="pct"/>
                  <w:vAlign w:val="center"/>
                </w:tcPr>
                <w:p w14:paraId="6132E663">
                  <w:pPr>
                    <w:pStyle w:val="119"/>
                    <w:widowControl/>
                    <w:spacing w:beforeLines="0" w:afterLines="0" w:line="240" w:lineRule="auto"/>
                    <w:ind w:firstLine="0" w:firstLineChars="0"/>
                    <w:jc w:val="center"/>
                    <w:rPr>
                      <w:bCs/>
                      <w:sz w:val="21"/>
                      <w:szCs w:val="21"/>
                    </w:rPr>
                  </w:pPr>
                  <w:r>
                    <w:rPr>
                      <w:bCs/>
                      <w:sz w:val="21"/>
                      <w:szCs w:val="21"/>
                    </w:rPr>
                    <w:t>t</w:t>
                  </w:r>
                </w:p>
              </w:tc>
              <w:tc>
                <w:tcPr>
                  <w:tcW w:w="833" w:type="pct"/>
                  <w:vAlign w:val="center"/>
                </w:tcPr>
                <w:p w14:paraId="13F66D2A">
                  <w:pPr>
                    <w:pStyle w:val="119"/>
                    <w:widowControl/>
                    <w:spacing w:beforeLines="0" w:afterLines="0" w:line="240" w:lineRule="auto"/>
                    <w:ind w:firstLine="0" w:firstLineChars="0"/>
                    <w:jc w:val="center"/>
                    <w:rPr>
                      <w:bCs/>
                      <w:sz w:val="21"/>
                      <w:szCs w:val="21"/>
                    </w:rPr>
                  </w:pPr>
                  <w:r>
                    <w:rPr>
                      <w:bCs/>
                      <w:sz w:val="21"/>
                      <w:szCs w:val="21"/>
                    </w:rPr>
                    <w:t>1.12</w:t>
                  </w:r>
                </w:p>
              </w:tc>
              <w:tc>
                <w:tcPr>
                  <w:tcW w:w="833" w:type="pct"/>
                  <w:vAlign w:val="center"/>
                </w:tcPr>
                <w:p w14:paraId="65253AE2">
                  <w:pPr>
                    <w:pStyle w:val="119"/>
                    <w:widowControl/>
                    <w:spacing w:beforeLines="0" w:afterLines="0" w:line="240" w:lineRule="auto"/>
                    <w:ind w:firstLine="0" w:firstLineChars="0"/>
                    <w:jc w:val="center"/>
                    <w:rPr>
                      <w:bCs/>
                      <w:sz w:val="21"/>
                      <w:szCs w:val="21"/>
                    </w:rPr>
                  </w:pPr>
                  <w:r>
                    <w:rPr>
                      <w:rFonts w:hint="eastAsia"/>
                      <w:bCs/>
                      <w:sz w:val="21"/>
                      <w:szCs w:val="21"/>
                    </w:rPr>
                    <w:t>1.12</w:t>
                  </w:r>
                </w:p>
              </w:tc>
              <w:tc>
                <w:tcPr>
                  <w:tcW w:w="831" w:type="pct"/>
                  <w:vAlign w:val="center"/>
                </w:tcPr>
                <w:p w14:paraId="71353CA4">
                  <w:pPr>
                    <w:pStyle w:val="119"/>
                    <w:widowControl/>
                    <w:spacing w:beforeLines="0" w:afterLines="0" w:line="240" w:lineRule="auto"/>
                    <w:ind w:firstLine="0" w:firstLineChars="0"/>
                    <w:jc w:val="center"/>
                    <w:rPr>
                      <w:bCs/>
                      <w:sz w:val="21"/>
                      <w:szCs w:val="21"/>
                    </w:rPr>
                  </w:pPr>
                  <w:r>
                    <w:rPr>
                      <w:rFonts w:hint="eastAsia"/>
                      <w:bCs/>
                      <w:sz w:val="21"/>
                      <w:szCs w:val="21"/>
                    </w:rPr>
                    <w:t>0</w:t>
                  </w:r>
                </w:p>
              </w:tc>
            </w:tr>
            <w:tr w14:paraId="04FAB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5" w:type="pct"/>
                  <w:vAlign w:val="center"/>
                </w:tcPr>
                <w:p w14:paraId="7FF61907">
                  <w:pPr>
                    <w:pStyle w:val="119"/>
                    <w:widowControl/>
                    <w:spacing w:beforeLines="0" w:afterLines="0" w:line="240" w:lineRule="auto"/>
                    <w:ind w:firstLine="0" w:firstLineChars="0"/>
                    <w:jc w:val="center"/>
                    <w:rPr>
                      <w:bCs/>
                      <w:sz w:val="21"/>
                      <w:szCs w:val="21"/>
                    </w:rPr>
                  </w:pPr>
                  <w:r>
                    <w:rPr>
                      <w:rFonts w:hint="eastAsia"/>
                      <w:bCs/>
                      <w:sz w:val="21"/>
                      <w:szCs w:val="21"/>
                    </w:rPr>
                    <w:t>3.2</w:t>
                  </w:r>
                </w:p>
              </w:tc>
              <w:tc>
                <w:tcPr>
                  <w:tcW w:w="1320" w:type="pct"/>
                  <w:vAlign w:val="center"/>
                </w:tcPr>
                <w:p w14:paraId="6020CA87">
                  <w:pPr>
                    <w:pStyle w:val="119"/>
                    <w:widowControl/>
                    <w:spacing w:beforeLines="0" w:afterLines="0" w:line="240" w:lineRule="auto"/>
                    <w:ind w:firstLine="0" w:firstLineChars="0"/>
                    <w:jc w:val="center"/>
                    <w:rPr>
                      <w:bCs/>
                      <w:sz w:val="21"/>
                      <w:szCs w:val="21"/>
                    </w:rPr>
                  </w:pPr>
                  <w:r>
                    <w:rPr>
                      <w:bCs/>
                      <w:sz w:val="21"/>
                      <w:szCs w:val="21"/>
                    </w:rPr>
                    <w:t>轧辊及工具</w:t>
                  </w:r>
                </w:p>
              </w:tc>
              <w:tc>
                <w:tcPr>
                  <w:tcW w:w="668" w:type="pct"/>
                  <w:vAlign w:val="center"/>
                </w:tcPr>
                <w:p w14:paraId="297C9A75">
                  <w:pPr>
                    <w:pStyle w:val="119"/>
                    <w:widowControl/>
                    <w:spacing w:beforeLines="0" w:afterLines="0" w:line="240" w:lineRule="auto"/>
                    <w:ind w:firstLine="0" w:firstLineChars="0"/>
                    <w:jc w:val="center"/>
                    <w:rPr>
                      <w:bCs/>
                      <w:sz w:val="21"/>
                      <w:szCs w:val="21"/>
                    </w:rPr>
                  </w:pPr>
                  <w:r>
                    <w:rPr>
                      <w:bCs/>
                      <w:sz w:val="21"/>
                      <w:szCs w:val="21"/>
                    </w:rPr>
                    <w:t>kg</w:t>
                  </w:r>
                </w:p>
              </w:tc>
              <w:tc>
                <w:tcPr>
                  <w:tcW w:w="833" w:type="pct"/>
                  <w:vAlign w:val="center"/>
                </w:tcPr>
                <w:p w14:paraId="10AFE229">
                  <w:pPr>
                    <w:pStyle w:val="119"/>
                    <w:widowControl/>
                    <w:spacing w:beforeLines="0" w:afterLines="0" w:line="240" w:lineRule="auto"/>
                    <w:ind w:firstLine="0" w:firstLineChars="0"/>
                    <w:jc w:val="center"/>
                    <w:rPr>
                      <w:bCs/>
                      <w:sz w:val="21"/>
                      <w:szCs w:val="21"/>
                    </w:rPr>
                  </w:pPr>
                  <w:r>
                    <w:rPr>
                      <w:bCs/>
                      <w:sz w:val="21"/>
                      <w:szCs w:val="21"/>
                    </w:rPr>
                    <w:t>2.3</w:t>
                  </w:r>
                </w:p>
              </w:tc>
              <w:tc>
                <w:tcPr>
                  <w:tcW w:w="833" w:type="pct"/>
                  <w:vAlign w:val="center"/>
                </w:tcPr>
                <w:p w14:paraId="27007D1A">
                  <w:pPr>
                    <w:pStyle w:val="119"/>
                    <w:widowControl/>
                    <w:spacing w:beforeLines="0" w:afterLines="0" w:line="240" w:lineRule="auto"/>
                    <w:ind w:firstLine="0" w:firstLineChars="0"/>
                    <w:jc w:val="center"/>
                    <w:rPr>
                      <w:bCs/>
                      <w:sz w:val="21"/>
                      <w:szCs w:val="21"/>
                    </w:rPr>
                  </w:pPr>
                  <w:r>
                    <w:rPr>
                      <w:rFonts w:hint="eastAsia"/>
                      <w:bCs/>
                      <w:sz w:val="21"/>
                      <w:szCs w:val="21"/>
                    </w:rPr>
                    <w:t>2</w:t>
                  </w:r>
                </w:p>
              </w:tc>
              <w:tc>
                <w:tcPr>
                  <w:tcW w:w="831" w:type="pct"/>
                  <w:vAlign w:val="center"/>
                </w:tcPr>
                <w:p w14:paraId="4CD89811">
                  <w:pPr>
                    <w:pStyle w:val="119"/>
                    <w:widowControl/>
                    <w:spacing w:beforeLines="0" w:afterLines="0" w:line="240" w:lineRule="auto"/>
                    <w:ind w:firstLine="0" w:firstLineChars="0"/>
                    <w:jc w:val="center"/>
                    <w:rPr>
                      <w:bCs/>
                      <w:sz w:val="21"/>
                      <w:szCs w:val="21"/>
                    </w:rPr>
                  </w:pPr>
                  <w:r>
                    <w:rPr>
                      <w:rFonts w:hint="eastAsia"/>
                      <w:bCs/>
                      <w:sz w:val="21"/>
                      <w:szCs w:val="21"/>
                    </w:rPr>
                    <w:t>-0.3</w:t>
                  </w:r>
                </w:p>
              </w:tc>
            </w:tr>
            <w:tr w14:paraId="46C736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5" w:type="pct"/>
                  <w:vAlign w:val="center"/>
                </w:tcPr>
                <w:p w14:paraId="796AD5DA">
                  <w:pPr>
                    <w:pStyle w:val="119"/>
                    <w:widowControl/>
                    <w:spacing w:beforeLines="0" w:afterLines="0" w:line="240" w:lineRule="auto"/>
                    <w:ind w:firstLine="0" w:firstLineChars="0"/>
                    <w:jc w:val="center"/>
                    <w:rPr>
                      <w:bCs/>
                      <w:sz w:val="21"/>
                      <w:szCs w:val="21"/>
                    </w:rPr>
                  </w:pPr>
                  <w:r>
                    <w:rPr>
                      <w:rFonts w:hint="eastAsia"/>
                      <w:bCs/>
                      <w:sz w:val="21"/>
                      <w:szCs w:val="21"/>
                    </w:rPr>
                    <w:t>3.3</w:t>
                  </w:r>
                </w:p>
              </w:tc>
              <w:tc>
                <w:tcPr>
                  <w:tcW w:w="1320" w:type="pct"/>
                  <w:vAlign w:val="center"/>
                </w:tcPr>
                <w:p w14:paraId="104D7124">
                  <w:pPr>
                    <w:pStyle w:val="119"/>
                    <w:widowControl/>
                    <w:spacing w:beforeLines="0" w:afterLines="0" w:line="240" w:lineRule="auto"/>
                    <w:ind w:firstLine="0" w:firstLineChars="0"/>
                    <w:jc w:val="center"/>
                    <w:rPr>
                      <w:bCs/>
                      <w:sz w:val="21"/>
                      <w:szCs w:val="21"/>
                    </w:rPr>
                  </w:pPr>
                  <w:r>
                    <w:rPr>
                      <w:bCs/>
                      <w:sz w:val="21"/>
                      <w:szCs w:val="21"/>
                    </w:rPr>
                    <w:t>耐火材料</w:t>
                  </w:r>
                </w:p>
              </w:tc>
              <w:tc>
                <w:tcPr>
                  <w:tcW w:w="668" w:type="pct"/>
                  <w:vAlign w:val="center"/>
                </w:tcPr>
                <w:p w14:paraId="04022D26">
                  <w:pPr>
                    <w:pStyle w:val="119"/>
                    <w:widowControl/>
                    <w:spacing w:beforeLines="0" w:afterLines="0" w:line="240" w:lineRule="auto"/>
                    <w:ind w:firstLine="0" w:firstLineChars="0"/>
                    <w:jc w:val="center"/>
                    <w:rPr>
                      <w:bCs/>
                      <w:sz w:val="21"/>
                      <w:szCs w:val="21"/>
                    </w:rPr>
                  </w:pPr>
                  <w:r>
                    <w:rPr>
                      <w:bCs/>
                      <w:sz w:val="21"/>
                      <w:szCs w:val="21"/>
                    </w:rPr>
                    <w:t>kg</w:t>
                  </w:r>
                </w:p>
              </w:tc>
              <w:tc>
                <w:tcPr>
                  <w:tcW w:w="833" w:type="pct"/>
                  <w:vAlign w:val="center"/>
                </w:tcPr>
                <w:p w14:paraId="4AA89BDA">
                  <w:pPr>
                    <w:pStyle w:val="119"/>
                    <w:widowControl/>
                    <w:spacing w:beforeLines="0" w:afterLines="0" w:line="240" w:lineRule="auto"/>
                    <w:ind w:firstLine="0" w:firstLineChars="0"/>
                    <w:jc w:val="center"/>
                    <w:rPr>
                      <w:bCs/>
                      <w:sz w:val="21"/>
                      <w:szCs w:val="21"/>
                    </w:rPr>
                  </w:pPr>
                  <w:r>
                    <w:rPr>
                      <w:bCs/>
                      <w:sz w:val="21"/>
                      <w:szCs w:val="21"/>
                    </w:rPr>
                    <w:t>0.8</w:t>
                  </w:r>
                </w:p>
              </w:tc>
              <w:tc>
                <w:tcPr>
                  <w:tcW w:w="833" w:type="pct"/>
                  <w:vAlign w:val="center"/>
                </w:tcPr>
                <w:p w14:paraId="091896E3">
                  <w:pPr>
                    <w:pStyle w:val="119"/>
                    <w:widowControl/>
                    <w:spacing w:beforeLines="0" w:afterLines="0" w:line="240" w:lineRule="auto"/>
                    <w:ind w:firstLine="0" w:firstLineChars="0"/>
                    <w:jc w:val="center"/>
                    <w:rPr>
                      <w:bCs/>
                      <w:sz w:val="21"/>
                      <w:szCs w:val="21"/>
                    </w:rPr>
                  </w:pPr>
                  <w:r>
                    <w:rPr>
                      <w:rFonts w:hint="eastAsia"/>
                      <w:bCs/>
                      <w:sz w:val="21"/>
                      <w:szCs w:val="21"/>
                    </w:rPr>
                    <w:t>0.6</w:t>
                  </w:r>
                </w:p>
              </w:tc>
              <w:tc>
                <w:tcPr>
                  <w:tcW w:w="831" w:type="pct"/>
                  <w:vAlign w:val="center"/>
                </w:tcPr>
                <w:p w14:paraId="72758F13">
                  <w:pPr>
                    <w:pStyle w:val="119"/>
                    <w:widowControl/>
                    <w:spacing w:beforeLines="0" w:afterLines="0" w:line="240" w:lineRule="auto"/>
                    <w:ind w:firstLine="0" w:firstLineChars="0"/>
                    <w:jc w:val="center"/>
                    <w:rPr>
                      <w:bCs/>
                      <w:sz w:val="21"/>
                      <w:szCs w:val="21"/>
                    </w:rPr>
                  </w:pPr>
                  <w:r>
                    <w:rPr>
                      <w:rFonts w:hint="eastAsia"/>
                      <w:bCs/>
                      <w:sz w:val="21"/>
                      <w:szCs w:val="21"/>
                    </w:rPr>
                    <w:t>-0.2</w:t>
                  </w:r>
                </w:p>
              </w:tc>
            </w:tr>
            <w:tr w14:paraId="2824F9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5" w:type="pct"/>
                  <w:vAlign w:val="center"/>
                </w:tcPr>
                <w:p w14:paraId="0A6203AE">
                  <w:pPr>
                    <w:pStyle w:val="119"/>
                    <w:widowControl/>
                    <w:spacing w:beforeLines="0" w:afterLines="0" w:line="240" w:lineRule="auto"/>
                    <w:ind w:firstLine="0" w:firstLineChars="0"/>
                    <w:jc w:val="center"/>
                    <w:rPr>
                      <w:bCs/>
                      <w:sz w:val="21"/>
                      <w:szCs w:val="21"/>
                    </w:rPr>
                  </w:pPr>
                  <w:r>
                    <w:rPr>
                      <w:rFonts w:hint="eastAsia"/>
                      <w:bCs/>
                      <w:sz w:val="21"/>
                      <w:szCs w:val="21"/>
                    </w:rPr>
                    <w:t>3.4</w:t>
                  </w:r>
                </w:p>
              </w:tc>
              <w:tc>
                <w:tcPr>
                  <w:tcW w:w="1320" w:type="pct"/>
                  <w:vAlign w:val="center"/>
                </w:tcPr>
                <w:p w14:paraId="0F1F2060">
                  <w:pPr>
                    <w:pStyle w:val="119"/>
                    <w:widowControl/>
                    <w:spacing w:beforeLines="0" w:afterLines="0" w:line="240" w:lineRule="auto"/>
                    <w:ind w:firstLine="0" w:firstLineChars="0"/>
                    <w:jc w:val="center"/>
                    <w:rPr>
                      <w:bCs/>
                      <w:sz w:val="21"/>
                      <w:szCs w:val="21"/>
                    </w:rPr>
                  </w:pPr>
                  <w:r>
                    <w:rPr>
                      <w:bCs/>
                      <w:sz w:val="21"/>
                      <w:szCs w:val="21"/>
                    </w:rPr>
                    <w:t>润滑油</w:t>
                  </w:r>
                </w:p>
              </w:tc>
              <w:tc>
                <w:tcPr>
                  <w:tcW w:w="668" w:type="pct"/>
                  <w:vAlign w:val="center"/>
                </w:tcPr>
                <w:p w14:paraId="3090FF06">
                  <w:pPr>
                    <w:pStyle w:val="119"/>
                    <w:widowControl/>
                    <w:spacing w:beforeLines="0" w:afterLines="0" w:line="240" w:lineRule="auto"/>
                    <w:ind w:firstLine="0" w:firstLineChars="0"/>
                    <w:jc w:val="center"/>
                    <w:rPr>
                      <w:bCs/>
                      <w:sz w:val="21"/>
                      <w:szCs w:val="21"/>
                    </w:rPr>
                  </w:pPr>
                  <w:r>
                    <w:rPr>
                      <w:bCs/>
                      <w:sz w:val="21"/>
                      <w:szCs w:val="21"/>
                    </w:rPr>
                    <w:t>kg</w:t>
                  </w:r>
                </w:p>
              </w:tc>
              <w:tc>
                <w:tcPr>
                  <w:tcW w:w="833" w:type="pct"/>
                  <w:vAlign w:val="center"/>
                </w:tcPr>
                <w:p w14:paraId="082EB789">
                  <w:pPr>
                    <w:pStyle w:val="119"/>
                    <w:widowControl/>
                    <w:spacing w:beforeLines="0" w:afterLines="0" w:line="240" w:lineRule="auto"/>
                    <w:ind w:firstLine="0" w:firstLineChars="0"/>
                    <w:jc w:val="center"/>
                    <w:rPr>
                      <w:bCs/>
                      <w:sz w:val="21"/>
                      <w:szCs w:val="21"/>
                    </w:rPr>
                  </w:pPr>
                  <w:r>
                    <w:rPr>
                      <w:bCs/>
                      <w:sz w:val="21"/>
                      <w:szCs w:val="21"/>
                    </w:rPr>
                    <w:t>0.9</w:t>
                  </w:r>
                </w:p>
              </w:tc>
              <w:tc>
                <w:tcPr>
                  <w:tcW w:w="833" w:type="pct"/>
                  <w:vAlign w:val="center"/>
                </w:tcPr>
                <w:p w14:paraId="3188F5A5">
                  <w:pPr>
                    <w:pStyle w:val="119"/>
                    <w:widowControl/>
                    <w:spacing w:beforeLines="0" w:afterLines="0" w:line="240" w:lineRule="auto"/>
                    <w:ind w:firstLine="0" w:firstLineChars="0"/>
                    <w:jc w:val="center"/>
                    <w:rPr>
                      <w:bCs/>
                      <w:sz w:val="21"/>
                      <w:szCs w:val="21"/>
                    </w:rPr>
                  </w:pPr>
                  <w:r>
                    <w:rPr>
                      <w:rFonts w:hint="eastAsia"/>
                      <w:bCs/>
                      <w:sz w:val="21"/>
                      <w:szCs w:val="21"/>
                    </w:rPr>
                    <w:t>0.8</w:t>
                  </w:r>
                </w:p>
              </w:tc>
              <w:tc>
                <w:tcPr>
                  <w:tcW w:w="831" w:type="pct"/>
                  <w:vAlign w:val="center"/>
                </w:tcPr>
                <w:p w14:paraId="4372B3C1">
                  <w:pPr>
                    <w:pStyle w:val="119"/>
                    <w:widowControl/>
                    <w:spacing w:beforeLines="0" w:afterLines="0" w:line="240" w:lineRule="auto"/>
                    <w:ind w:firstLine="0" w:firstLineChars="0"/>
                    <w:jc w:val="center"/>
                    <w:rPr>
                      <w:bCs/>
                      <w:sz w:val="21"/>
                      <w:szCs w:val="21"/>
                    </w:rPr>
                  </w:pPr>
                  <w:r>
                    <w:rPr>
                      <w:rFonts w:hint="eastAsia"/>
                      <w:bCs/>
                      <w:sz w:val="21"/>
                      <w:szCs w:val="21"/>
                    </w:rPr>
                    <w:t>-0.1</w:t>
                  </w:r>
                </w:p>
              </w:tc>
            </w:tr>
            <w:tr w14:paraId="0B6205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5" w:type="pct"/>
                  <w:vAlign w:val="center"/>
                </w:tcPr>
                <w:p w14:paraId="0F272F97">
                  <w:pPr>
                    <w:pStyle w:val="119"/>
                    <w:widowControl/>
                    <w:spacing w:beforeLines="0" w:afterLines="0" w:line="240" w:lineRule="auto"/>
                    <w:ind w:firstLine="0" w:firstLineChars="0"/>
                    <w:jc w:val="center"/>
                    <w:rPr>
                      <w:bCs/>
                      <w:sz w:val="21"/>
                      <w:szCs w:val="21"/>
                    </w:rPr>
                  </w:pPr>
                  <w:r>
                    <w:rPr>
                      <w:rFonts w:hint="eastAsia"/>
                      <w:bCs/>
                      <w:sz w:val="21"/>
                      <w:szCs w:val="21"/>
                    </w:rPr>
                    <w:t>3.5</w:t>
                  </w:r>
                </w:p>
              </w:tc>
              <w:tc>
                <w:tcPr>
                  <w:tcW w:w="1320" w:type="pct"/>
                  <w:vAlign w:val="center"/>
                </w:tcPr>
                <w:p w14:paraId="18736C12">
                  <w:pPr>
                    <w:pStyle w:val="119"/>
                    <w:widowControl/>
                    <w:spacing w:beforeLines="0" w:afterLines="0" w:line="240" w:lineRule="auto"/>
                    <w:ind w:firstLine="0" w:firstLineChars="0"/>
                    <w:jc w:val="center"/>
                    <w:rPr>
                      <w:bCs/>
                      <w:sz w:val="21"/>
                      <w:szCs w:val="21"/>
                    </w:rPr>
                  </w:pPr>
                  <w:r>
                    <w:rPr>
                      <w:bCs/>
                      <w:sz w:val="21"/>
                      <w:szCs w:val="21"/>
                    </w:rPr>
                    <w:t>氮气</w:t>
                  </w:r>
                </w:p>
              </w:tc>
              <w:tc>
                <w:tcPr>
                  <w:tcW w:w="668" w:type="pct"/>
                  <w:vAlign w:val="center"/>
                </w:tcPr>
                <w:p w14:paraId="5C4F67C0">
                  <w:pPr>
                    <w:pStyle w:val="119"/>
                    <w:widowControl/>
                    <w:spacing w:beforeLines="0" w:afterLines="0" w:line="240" w:lineRule="auto"/>
                    <w:ind w:firstLine="0" w:firstLineChars="0"/>
                    <w:jc w:val="center"/>
                    <w:rPr>
                      <w:bCs/>
                      <w:sz w:val="21"/>
                      <w:szCs w:val="21"/>
                    </w:rPr>
                  </w:pPr>
                  <w:r>
                    <w:rPr>
                      <w:bCs/>
                      <w:sz w:val="21"/>
                      <w:szCs w:val="21"/>
                    </w:rPr>
                    <w:t>m3</w:t>
                  </w:r>
                </w:p>
              </w:tc>
              <w:tc>
                <w:tcPr>
                  <w:tcW w:w="833" w:type="pct"/>
                  <w:vAlign w:val="center"/>
                </w:tcPr>
                <w:p w14:paraId="3D69D692">
                  <w:pPr>
                    <w:pStyle w:val="119"/>
                    <w:widowControl/>
                    <w:spacing w:beforeLines="0" w:afterLines="0" w:line="240" w:lineRule="auto"/>
                    <w:ind w:firstLine="0" w:firstLineChars="0"/>
                    <w:jc w:val="center"/>
                    <w:rPr>
                      <w:bCs/>
                      <w:sz w:val="21"/>
                      <w:szCs w:val="21"/>
                    </w:rPr>
                  </w:pPr>
                  <w:r>
                    <w:rPr>
                      <w:bCs/>
                      <w:sz w:val="21"/>
                      <w:szCs w:val="21"/>
                    </w:rPr>
                    <w:t>1.5</w:t>
                  </w:r>
                </w:p>
              </w:tc>
              <w:tc>
                <w:tcPr>
                  <w:tcW w:w="833" w:type="pct"/>
                  <w:vAlign w:val="center"/>
                </w:tcPr>
                <w:p w14:paraId="153D36B5">
                  <w:pPr>
                    <w:pStyle w:val="119"/>
                    <w:widowControl/>
                    <w:spacing w:beforeLines="0" w:afterLines="0" w:line="240" w:lineRule="auto"/>
                    <w:ind w:firstLine="0" w:firstLineChars="0"/>
                    <w:jc w:val="center"/>
                    <w:rPr>
                      <w:bCs/>
                      <w:sz w:val="21"/>
                      <w:szCs w:val="21"/>
                    </w:rPr>
                  </w:pPr>
                  <w:r>
                    <w:rPr>
                      <w:rFonts w:hint="eastAsia"/>
                      <w:bCs/>
                      <w:sz w:val="21"/>
                      <w:szCs w:val="21"/>
                    </w:rPr>
                    <w:t>1.4</w:t>
                  </w:r>
                </w:p>
              </w:tc>
              <w:tc>
                <w:tcPr>
                  <w:tcW w:w="831" w:type="pct"/>
                  <w:vAlign w:val="center"/>
                </w:tcPr>
                <w:p w14:paraId="355E1864">
                  <w:pPr>
                    <w:pStyle w:val="119"/>
                    <w:widowControl/>
                    <w:spacing w:beforeLines="0" w:afterLines="0" w:line="240" w:lineRule="auto"/>
                    <w:ind w:firstLine="0" w:firstLineChars="0"/>
                    <w:jc w:val="center"/>
                    <w:rPr>
                      <w:bCs/>
                      <w:sz w:val="21"/>
                      <w:szCs w:val="21"/>
                    </w:rPr>
                  </w:pPr>
                  <w:r>
                    <w:rPr>
                      <w:rFonts w:hint="eastAsia"/>
                      <w:bCs/>
                      <w:sz w:val="21"/>
                      <w:szCs w:val="21"/>
                    </w:rPr>
                    <w:t>-0.1</w:t>
                  </w:r>
                </w:p>
              </w:tc>
            </w:tr>
            <w:tr w14:paraId="106469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5" w:type="pct"/>
                  <w:vAlign w:val="center"/>
                </w:tcPr>
                <w:p w14:paraId="57142BD6">
                  <w:pPr>
                    <w:pStyle w:val="119"/>
                    <w:widowControl/>
                    <w:spacing w:beforeLines="0" w:afterLines="0" w:line="240" w:lineRule="auto"/>
                    <w:ind w:firstLine="0" w:firstLineChars="0"/>
                    <w:jc w:val="center"/>
                    <w:rPr>
                      <w:bCs/>
                      <w:sz w:val="21"/>
                      <w:szCs w:val="21"/>
                    </w:rPr>
                  </w:pPr>
                  <w:r>
                    <w:rPr>
                      <w:rFonts w:hint="eastAsia"/>
                      <w:bCs/>
                      <w:sz w:val="21"/>
                      <w:szCs w:val="21"/>
                    </w:rPr>
                    <w:t>3.6</w:t>
                  </w:r>
                </w:p>
              </w:tc>
              <w:tc>
                <w:tcPr>
                  <w:tcW w:w="1320" w:type="pct"/>
                  <w:vAlign w:val="center"/>
                </w:tcPr>
                <w:p w14:paraId="01414B5B">
                  <w:pPr>
                    <w:pStyle w:val="119"/>
                    <w:widowControl/>
                    <w:spacing w:beforeLines="0" w:afterLines="0" w:line="240" w:lineRule="auto"/>
                    <w:ind w:firstLine="0" w:firstLineChars="0"/>
                    <w:jc w:val="center"/>
                    <w:rPr>
                      <w:bCs/>
                      <w:sz w:val="21"/>
                      <w:szCs w:val="21"/>
                    </w:rPr>
                  </w:pPr>
                  <w:r>
                    <w:rPr>
                      <w:bCs/>
                      <w:sz w:val="21"/>
                      <w:szCs w:val="21"/>
                    </w:rPr>
                    <w:t>硼砂</w:t>
                  </w:r>
                </w:p>
              </w:tc>
              <w:tc>
                <w:tcPr>
                  <w:tcW w:w="668" w:type="pct"/>
                  <w:vAlign w:val="center"/>
                </w:tcPr>
                <w:p w14:paraId="1151B0F0">
                  <w:pPr>
                    <w:pStyle w:val="119"/>
                    <w:widowControl/>
                    <w:spacing w:beforeLines="0" w:afterLines="0" w:line="240" w:lineRule="auto"/>
                    <w:ind w:firstLine="0" w:firstLineChars="0"/>
                    <w:jc w:val="center"/>
                    <w:rPr>
                      <w:bCs/>
                      <w:sz w:val="21"/>
                      <w:szCs w:val="21"/>
                    </w:rPr>
                  </w:pPr>
                  <w:r>
                    <w:rPr>
                      <w:bCs/>
                      <w:sz w:val="21"/>
                      <w:szCs w:val="21"/>
                    </w:rPr>
                    <w:t>kg</w:t>
                  </w:r>
                </w:p>
              </w:tc>
              <w:tc>
                <w:tcPr>
                  <w:tcW w:w="833" w:type="pct"/>
                  <w:vAlign w:val="center"/>
                </w:tcPr>
                <w:p w14:paraId="1CDDB6DA">
                  <w:pPr>
                    <w:pStyle w:val="119"/>
                    <w:widowControl/>
                    <w:spacing w:beforeLines="0" w:afterLines="0" w:line="240" w:lineRule="auto"/>
                    <w:ind w:firstLine="0" w:firstLineChars="0"/>
                    <w:jc w:val="center"/>
                    <w:rPr>
                      <w:bCs/>
                      <w:sz w:val="21"/>
                      <w:szCs w:val="21"/>
                    </w:rPr>
                  </w:pPr>
                  <w:r>
                    <w:rPr>
                      <w:bCs/>
                      <w:sz w:val="21"/>
                      <w:szCs w:val="21"/>
                    </w:rPr>
                    <w:t>0.86</w:t>
                  </w:r>
                </w:p>
              </w:tc>
              <w:tc>
                <w:tcPr>
                  <w:tcW w:w="833" w:type="pct"/>
                  <w:vAlign w:val="center"/>
                </w:tcPr>
                <w:p w14:paraId="233A4566">
                  <w:pPr>
                    <w:pStyle w:val="119"/>
                    <w:widowControl/>
                    <w:spacing w:beforeLines="0" w:afterLines="0" w:line="240" w:lineRule="auto"/>
                    <w:ind w:firstLine="0" w:firstLineChars="0"/>
                    <w:jc w:val="center"/>
                    <w:rPr>
                      <w:bCs/>
                      <w:sz w:val="21"/>
                      <w:szCs w:val="21"/>
                    </w:rPr>
                  </w:pPr>
                  <w:r>
                    <w:rPr>
                      <w:rFonts w:hint="eastAsia"/>
                      <w:bCs/>
                      <w:sz w:val="21"/>
                      <w:szCs w:val="21"/>
                    </w:rPr>
                    <w:t>0.74</w:t>
                  </w:r>
                </w:p>
              </w:tc>
              <w:tc>
                <w:tcPr>
                  <w:tcW w:w="831" w:type="pct"/>
                  <w:vAlign w:val="center"/>
                </w:tcPr>
                <w:p w14:paraId="2F5D196F">
                  <w:pPr>
                    <w:pStyle w:val="119"/>
                    <w:widowControl/>
                    <w:spacing w:beforeLines="0" w:afterLines="0" w:line="240" w:lineRule="auto"/>
                    <w:ind w:firstLine="0" w:firstLineChars="0"/>
                    <w:jc w:val="center"/>
                    <w:rPr>
                      <w:bCs/>
                      <w:sz w:val="21"/>
                      <w:szCs w:val="21"/>
                    </w:rPr>
                  </w:pPr>
                  <w:r>
                    <w:rPr>
                      <w:rFonts w:hint="eastAsia"/>
                      <w:bCs/>
                      <w:sz w:val="21"/>
                      <w:szCs w:val="21"/>
                    </w:rPr>
                    <w:t>-0.12</w:t>
                  </w:r>
                </w:p>
              </w:tc>
            </w:tr>
            <w:tr w14:paraId="4CDAB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5" w:type="pct"/>
                  <w:vAlign w:val="center"/>
                </w:tcPr>
                <w:p w14:paraId="7852071F">
                  <w:pPr>
                    <w:pStyle w:val="119"/>
                    <w:widowControl/>
                    <w:spacing w:beforeLines="0" w:afterLines="0" w:line="240" w:lineRule="auto"/>
                    <w:ind w:firstLine="0" w:firstLineChars="0"/>
                    <w:jc w:val="center"/>
                    <w:rPr>
                      <w:bCs/>
                      <w:sz w:val="21"/>
                      <w:szCs w:val="21"/>
                    </w:rPr>
                  </w:pPr>
                  <w:r>
                    <w:rPr>
                      <w:rFonts w:hint="eastAsia"/>
                      <w:bCs/>
                      <w:sz w:val="21"/>
                      <w:szCs w:val="21"/>
                    </w:rPr>
                    <w:t>3.7</w:t>
                  </w:r>
                </w:p>
              </w:tc>
              <w:tc>
                <w:tcPr>
                  <w:tcW w:w="1320" w:type="pct"/>
                  <w:vAlign w:val="center"/>
                </w:tcPr>
                <w:p w14:paraId="01B06669">
                  <w:pPr>
                    <w:pStyle w:val="119"/>
                    <w:widowControl/>
                    <w:spacing w:beforeLines="0" w:afterLines="0" w:line="240" w:lineRule="auto"/>
                    <w:ind w:firstLine="0" w:firstLineChars="0"/>
                    <w:jc w:val="center"/>
                    <w:rPr>
                      <w:bCs/>
                      <w:sz w:val="21"/>
                      <w:szCs w:val="21"/>
                    </w:rPr>
                  </w:pPr>
                  <w:r>
                    <w:rPr>
                      <w:bCs/>
                      <w:sz w:val="21"/>
                      <w:szCs w:val="21"/>
                    </w:rPr>
                    <w:t>芯棒润滑剂（石墨）</w:t>
                  </w:r>
                </w:p>
              </w:tc>
              <w:tc>
                <w:tcPr>
                  <w:tcW w:w="668" w:type="pct"/>
                  <w:vAlign w:val="center"/>
                </w:tcPr>
                <w:p w14:paraId="57B4D839">
                  <w:pPr>
                    <w:pStyle w:val="119"/>
                    <w:widowControl/>
                    <w:spacing w:beforeLines="0" w:afterLines="0" w:line="240" w:lineRule="auto"/>
                    <w:ind w:firstLine="0" w:firstLineChars="0"/>
                    <w:jc w:val="center"/>
                    <w:rPr>
                      <w:bCs/>
                      <w:sz w:val="21"/>
                      <w:szCs w:val="21"/>
                    </w:rPr>
                  </w:pPr>
                  <w:r>
                    <w:rPr>
                      <w:bCs/>
                      <w:sz w:val="21"/>
                      <w:szCs w:val="21"/>
                    </w:rPr>
                    <w:t>kg</w:t>
                  </w:r>
                </w:p>
              </w:tc>
              <w:tc>
                <w:tcPr>
                  <w:tcW w:w="833" w:type="pct"/>
                  <w:vAlign w:val="center"/>
                </w:tcPr>
                <w:p w14:paraId="0EA122F4">
                  <w:pPr>
                    <w:pStyle w:val="119"/>
                    <w:widowControl/>
                    <w:spacing w:beforeLines="0" w:afterLines="0" w:line="240" w:lineRule="auto"/>
                    <w:ind w:firstLine="0" w:firstLineChars="0"/>
                    <w:jc w:val="center"/>
                    <w:rPr>
                      <w:bCs/>
                      <w:sz w:val="21"/>
                      <w:szCs w:val="21"/>
                    </w:rPr>
                  </w:pPr>
                  <w:r>
                    <w:rPr>
                      <w:bCs/>
                      <w:sz w:val="21"/>
                      <w:szCs w:val="21"/>
                    </w:rPr>
                    <w:t>0.84</w:t>
                  </w:r>
                </w:p>
              </w:tc>
              <w:tc>
                <w:tcPr>
                  <w:tcW w:w="833" w:type="pct"/>
                  <w:vAlign w:val="center"/>
                </w:tcPr>
                <w:p w14:paraId="095E8EFF">
                  <w:pPr>
                    <w:pStyle w:val="119"/>
                    <w:widowControl/>
                    <w:spacing w:beforeLines="0" w:afterLines="0" w:line="240" w:lineRule="auto"/>
                    <w:ind w:firstLine="0" w:firstLineChars="0"/>
                    <w:jc w:val="center"/>
                    <w:rPr>
                      <w:bCs/>
                      <w:sz w:val="21"/>
                      <w:szCs w:val="21"/>
                    </w:rPr>
                  </w:pPr>
                  <w:r>
                    <w:rPr>
                      <w:rFonts w:hint="eastAsia"/>
                      <w:bCs/>
                      <w:sz w:val="21"/>
                      <w:szCs w:val="21"/>
                    </w:rPr>
                    <w:t>0.72</w:t>
                  </w:r>
                </w:p>
              </w:tc>
              <w:tc>
                <w:tcPr>
                  <w:tcW w:w="831" w:type="pct"/>
                  <w:vAlign w:val="center"/>
                </w:tcPr>
                <w:p w14:paraId="0284C4FC">
                  <w:pPr>
                    <w:pStyle w:val="119"/>
                    <w:widowControl/>
                    <w:spacing w:beforeLines="0" w:afterLines="0" w:line="240" w:lineRule="auto"/>
                    <w:ind w:firstLine="0" w:firstLineChars="0"/>
                    <w:jc w:val="center"/>
                    <w:rPr>
                      <w:bCs/>
                      <w:sz w:val="21"/>
                      <w:szCs w:val="21"/>
                    </w:rPr>
                  </w:pPr>
                  <w:r>
                    <w:rPr>
                      <w:rFonts w:hint="eastAsia"/>
                      <w:bCs/>
                      <w:sz w:val="21"/>
                      <w:szCs w:val="21"/>
                    </w:rPr>
                    <w:t>-0.120</w:t>
                  </w:r>
                </w:p>
              </w:tc>
            </w:tr>
            <w:tr w14:paraId="42791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5" w:type="pct"/>
                  <w:vAlign w:val="center"/>
                </w:tcPr>
                <w:p w14:paraId="449E2E7A">
                  <w:pPr>
                    <w:pStyle w:val="119"/>
                    <w:widowControl/>
                    <w:spacing w:beforeLines="0" w:afterLines="0" w:line="240" w:lineRule="auto"/>
                    <w:ind w:firstLine="0" w:firstLineChars="0"/>
                    <w:jc w:val="center"/>
                    <w:rPr>
                      <w:bCs/>
                      <w:sz w:val="21"/>
                      <w:szCs w:val="21"/>
                    </w:rPr>
                  </w:pPr>
                  <w:r>
                    <w:rPr>
                      <w:rFonts w:hint="eastAsia"/>
                      <w:bCs/>
                      <w:sz w:val="21"/>
                      <w:szCs w:val="21"/>
                    </w:rPr>
                    <w:t>4</w:t>
                  </w:r>
                </w:p>
              </w:tc>
              <w:tc>
                <w:tcPr>
                  <w:tcW w:w="4485" w:type="pct"/>
                  <w:gridSpan w:val="5"/>
                  <w:vAlign w:val="center"/>
                </w:tcPr>
                <w:p w14:paraId="032F05F5">
                  <w:pPr>
                    <w:pStyle w:val="119"/>
                    <w:widowControl/>
                    <w:spacing w:beforeLines="0" w:afterLines="0" w:line="240" w:lineRule="auto"/>
                    <w:ind w:firstLine="0" w:firstLineChars="0"/>
                    <w:jc w:val="center"/>
                    <w:rPr>
                      <w:bCs/>
                      <w:sz w:val="21"/>
                      <w:szCs w:val="21"/>
                    </w:rPr>
                  </w:pPr>
                  <w:r>
                    <w:rPr>
                      <w:bCs/>
                      <w:sz w:val="21"/>
                      <w:szCs w:val="21"/>
                    </w:rPr>
                    <w:t>每吨产品能源消耗指标</w:t>
                  </w:r>
                </w:p>
              </w:tc>
            </w:tr>
            <w:tr w14:paraId="623E8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5" w:type="pct"/>
                  <w:vAlign w:val="center"/>
                </w:tcPr>
                <w:p w14:paraId="54757234">
                  <w:pPr>
                    <w:pStyle w:val="119"/>
                    <w:widowControl/>
                    <w:spacing w:beforeLines="0" w:afterLines="0" w:line="240" w:lineRule="auto"/>
                    <w:ind w:firstLine="0" w:firstLineChars="0"/>
                    <w:jc w:val="center"/>
                    <w:rPr>
                      <w:bCs/>
                      <w:sz w:val="21"/>
                      <w:szCs w:val="21"/>
                    </w:rPr>
                  </w:pPr>
                  <w:r>
                    <w:rPr>
                      <w:rFonts w:hint="eastAsia"/>
                      <w:bCs/>
                      <w:sz w:val="21"/>
                      <w:szCs w:val="21"/>
                    </w:rPr>
                    <w:t>4.1</w:t>
                  </w:r>
                </w:p>
              </w:tc>
              <w:tc>
                <w:tcPr>
                  <w:tcW w:w="1320" w:type="pct"/>
                  <w:vAlign w:val="center"/>
                </w:tcPr>
                <w:p w14:paraId="2E49589E">
                  <w:pPr>
                    <w:pStyle w:val="119"/>
                    <w:widowControl/>
                    <w:spacing w:beforeLines="0" w:afterLines="0" w:line="240" w:lineRule="auto"/>
                    <w:ind w:firstLine="0" w:firstLineChars="0"/>
                    <w:jc w:val="center"/>
                    <w:rPr>
                      <w:bCs/>
                      <w:sz w:val="21"/>
                      <w:szCs w:val="21"/>
                    </w:rPr>
                  </w:pPr>
                  <w:r>
                    <w:rPr>
                      <w:bCs/>
                      <w:sz w:val="21"/>
                      <w:szCs w:val="21"/>
                    </w:rPr>
                    <w:t>电</w:t>
                  </w:r>
                </w:p>
              </w:tc>
              <w:tc>
                <w:tcPr>
                  <w:tcW w:w="668" w:type="pct"/>
                  <w:vAlign w:val="center"/>
                </w:tcPr>
                <w:p w14:paraId="42CC2235">
                  <w:pPr>
                    <w:pStyle w:val="119"/>
                    <w:widowControl/>
                    <w:spacing w:beforeLines="0" w:afterLines="0" w:line="240" w:lineRule="auto"/>
                    <w:ind w:firstLine="0" w:firstLineChars="0"/>
                    <w:jc w:val="center"/>
                    <w:rPr>
                      <w:bCs/>
                      <w:sz w:val="21"/>
                      <w:szCs w:val="21"/>
                    </w:rPr>
                  </w:pPr>
                  <w:r>
                    <w:rPr>
                      <w:bCs/>
                      <w:sz w:val="21"/>
                      <w:szCs w:val="21"/>
                    </w:rPr>
                    <w:t>kW</w:t>
                  </w:r>
                  <w:r>
                    <w:rPr>
                      <w:rFonts w:hint="eastAsia" w:ascii="宋体" w:hAnsi="宋体"/>
                      <w:kern w:val="0"/>
                    </w:rPr>
                    <w:t>•</w:t>
                  </w:r>
                  <w:r>
                    <w:rPr>
                      <w:rFonts w:hint="eastAsia"/>
                      <w:kern w:val="0"/>
                    </w:rPr>
                    <w:t>h</w:t>
                  </w:r>
                </w:p>
              </w:tc>
              <w:tc>
                <w:tcPr>
                  <w:tcW w:w="833" w:type="pct"/>
                  <w:vAlign w:val="center"/>
                </w:tcPr>
                <w:p w14:paraId="2AD44DB2">
                  <w:pPr>
                    <w:pStyle w:val="119"/>
                    <w:widowControl/>
                    <w:spacing w:beforeLines="0" w:afterLines="0" w:line="240" w:lineRule="auto"/>
                    <w:ind w:firstLine="0" w:firstLineChars="0"/>
                    <w:jc w:val="center"/>
                    <w:rPr>
                      <w:bCs/>
                      <w:sz w:val="21"/>
                      <w:szCs w:val="21"/>
                    </w:rPr>
                  </w:pPr>
                  <w:r>
                    <w:rPr>
                      <w:bCs/>
                      <w:sz w:val="21"/>
                      <w:szCs w:val="21"/>
                    </w:rPr>
                    <w:t>180</w:t>
                  </w:r>
                </w:p>
              </w:tc>
              <w:tc>
                <w:tcPr>
                  <w:tcW w:w="833" w:type="pct"/>
                  <w:vAlign w:val="center"/>
                </w:tcPr>
                <w:p w14:paraId="3351D509">
                  <w:pPr>
                    <w:pStyle w:val="119"/>
                    <w:widowControl/>
                    <w:spacing w:beforeLines="0" w:afterLines="0" w:line="240" w:lineRule="auto"/>
                    <w:ind w:firstLine="0" w:firstLineChars="0"/>
                    <w:jc w:val="center"/>
                    <w:rPr>
                      <w:bCs/>
                      <w:sz w:val="21"/>
                      <w:szCs w:val="21"/>
                    </w:rPr>
                  </w:pPr>
                  <w:r>
                    <w:rPr>
                      <w:rFonts w:hint="eastAsia"/>
                      <w:bCs/>
                      <w:sz w:val="21"/>
                      <w:szCs w:val="21"/>
                    </w:rPr>
                    <w:t>190</w:t>
                  </w:r>
                </w:p>
              </w:tc>
              <w:tc>
                <w:tcPr>
                  <w:tcW w:w="831" w:type="pct"/>
                  <w:vAlign w:val="center"/>
                </w:tcPr>
                <w:p w14:paraId="54BF44DE">
                  <w:pPr>
                    <w:pStyle w:val="119"/>
                    <w:widowControl/>
                    <w:spacing w:beforeLines="0" w:afterLines="0" w:line="240" w:lineRule="auto"/>
                    <w:ind w:firstLine="0" w:firstLineChars="0"/>
                    <w:jc w:val="center"/>
                    <w:rPr>
                      <w:bCs/>
                      <w:sz w:val="21"/>
                      <w:szCs w:val="21"/>
                    </w:rPr>
                  </w:pPr>
                  <w:r>
                    <w:rPr>
                      <w:bCs/>
                      <w:sz w:val="21"/>
                      <w:szCs w:val="21"/>
                    </w:rPr>
                    <w:t>+</w:t>
                  </w:r>
                  <w:r>
                    <w:rPr>
                      <w:rFonts w:hint="eastAsia"/>
                      <w:bCs/>
                      <w:sz w:val="21"/>
                      <w:szCs w:val="21"/>
                    </w:rPr>
                    <w:t>10</w:t>
                  </w:r>
                </w:p>
              </w:tc>
            </w:tr>
            <w:tr w14:paraId="6DBC1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5" w:type="pct"/>
                  <w:vAlign w:val="center"/>
                </w:tcPr>
                <w:p w14:paraId="5A1CC6FF">
                  <w:pPr>
                    <w:pStyle w:val="119"/>
                    <w:widowControl/>
                    <w:spacing w:beforeLines="0" w:afterLines="0" w:line="240" w:lineRule="auto"/>
                    <w:ind w:firstLine="0" w:firstLineChars="0"/>
                    <w:jc w:val="center"/>
                    <w:rPr>
                      <w:bCs/>
                      <w:sz w:val="21"/>
                      <w:szCs w:val="21"/>
                    </w:rPr>
                  </w:pPr>
                  <w:r>
                    <w:rPr>
                      <w:rFonts w:hint="eastAsia"/>
                      <w:bCs/>
                      <w:sz w:val="21"/>
                      <w:szCs w:val="21"/>
                    </w:rPr>
                    <w:t>4.2</w:t>
                  </w:r>
                </w:p>
              </w:tc>
              <w:tc>
                <w:tcPr>
                  <w:tcW w:w="1320" w:type="pct"/>
                  <w:vAlign w:val="center"/>
                </w:tcPr>
                <w:p w14:paraId="232238BB">
                  <w:pPr>
                    <w:pStyle w:val="119"/>
                    <w:widowControl/>
                    <w:spacing w:beforeLines="0" w:afterLines="0" w:line="240" w:lineRule="auto"/>
                    <w:ind w:firstLine="0" w:firstLineChars="0"/>
                    <w:jc w:val="center"/>
                    <w:rPr>
                      <w:bCs/>
                      <w:sz w:val="21"/>
                      <w:szCs w:val="21"/>
                    </w:rPr>
                  </w:pPr>
                  <w:r>
                    <w:rPr>
                      <w:bCs/>
                      <w:sz w:val="21"/>
                      <w:szCs w:val="21"/>
                    </w:rPr>
                    <w:t>压缩空气</w:t>
                  </w:r>
                </w:p>
              </w:tc>
              <w:tc>
                <w:tcPr>
                  <w:tcW w:w="668" w:type="pct"/>
                  <w:vAlign w:val="center"/>
                </w:tcPr>
                <w:p w14:paraId="5FFFE39A">
                  <w:pPr>
                    <w:pStyle w:val="119"/>
                    <w:widowControl/>
                    <w:spacing w:beforeLines="0" w:afterLines="0" w:line="240" w:lineRule="auto"/>
                    <w:ind w:firstLine="0" w:firstLineChars="0"/>
                    <w:jc w:val="center"/>
                    <w:rPr>
                      <w:bCs/>
                      <w:sz w:val="21"/>
                      <w:szCs w:val="21"/>
                    </w:rPr>
                  </w:pPr>
                  <w:r>
                    <w:rPr>
                      <w:bCs/>
                      <w:sz w:val="21"/>
                      <w:szCs w:val="21"/>
                    </w:rPr>
                    <w:t>m</w:t>
                  </w:r>
                  <w:r>
                    <w:rPr>
                      <w:bCs/>
                      <w:sz w:val="21"/>
                      <w:szCs w:val="21"/>
                      <w:vertAlign w:val="superscript"/>
                    </w:rPr>
                    <w:t>3</w:t>
                  </w:r>
                </w:p>
              </w:tc>
              <w:tc>
                <w:tcPr>
                  <w:tcW w:w="833" w:type="pct"/>
                  <w:vAlign w:val="center"/>
                </w:tcPr>
                <w:p w14:paraId="3E73A107">
                  <w:pPr>
                    <w:pStyle w:val="119"/>
                    <w:widowControl/>
                    <w:spacing w:beforeLines="0" w:afterLines="0" w:line="240" w:lineRule="auto"/>
                    <w:ind w:firstLine="0" w:firstLineChars="0"/>
                    <w:jc w:val="center"/>
                    <w:rPr>
                      <w:bCs/>
                      <w:sz w:val="21"/>
                      <w:szCs w:val="21"/>
                    </w:rPr>
                  </w:pPr>
                  <w:r>
                    <w:rPr>
                      <w:bCs/>
                      <w:sz w:val="21"/>
                      <w:szCs w:val="21"/>
                    </w:rPr>
                    <w:t>84</w:t>
                  </w:r>
                </w:p>
              </w:tc>
              <w:tc>
                <w:tcPr>
                  <w:tcW w:w="833" w:type="pct"/>
                  <w:vAlign w:val="center"/>
                </w:tcPr>
                <w:p w14:paraId="3DF73F5F">
                  <w:pPr>
                    <w:pStyle w:val="119"/>
                    <w:widowControl/>
                    <w:spacing w:beforeLines="0" w:afterLines="0" w:line="240" w:lineRule="auto"/>
                    <w:ind w:firstLine="0" w:firstLineChars="0"/>
                    <w:jc w:val="center"/>
                    <w:rPr>
                      <w:bCs/>
                      <w:sz w:val="21"/>
                      <w:szCs w:val="21"/>
                    </w:rPr>
                  </w:pPr>
                  <w:r>
                    <w:rPr>
                      <w:rFonts w:hint="eastAsia"/>
                      <w:bCs/>
                      <w:sz w:val="21"/>
                      <w:szCs w:val="21"/>
                    </w:rPr>
                    <w:t>84</w:t>
                  </w:r>
                </w:p>
              </w:tc>
              <w:tc>
                <w:tcPr>
                  <w:tcW w:w="831" w:type="pct"/>
                  <w:vAlign w:val="center"/>
                </w:tcPr>
                <w:p w14:paraId="4A010045">
                  <w:pPr>
                    <w:pStyle w:val="119"/>
                    <w:widowControl/>
                    <w:spacing w:beforeLines="0" w:afterLines="0" w:line="240" w:lineRule="auto"/>
                    <w:ind w:firstLine="0" w:firstLineChars="0"/>
                    <w:jc w:val="center"/>
                    <w:rPr>
                      <w:bCs/>
                      <w:sz w:val="21"/>
                      <w:szCs w:val="21"/>
                    </w:rPr>
                  </w:pPr>
                  <w:r>
                    <w:rPr>
                      <w:rFonts w:hint="eastAsia"/>
                      <w:bCs/>
                      <w:sz w:val="21"/>
                      <w:szCs w:val="21"/>
                    </w:rPr>
                    <w:t>0</w:t>
                  </w:r>
                </w:p>
              </w:tc>
            </w:tr>
            <w:tr w14:paraId="0CDF2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5" w:type="pct"/>
                  <w:vAlign w:val="center"/>
                </w:tcPr>
                <w:p w14:paraId="0C674DAD">
                  <w:pPr>
                    <w:pStyle w:val="119"/>
                    <w:widowControl/>
                    <w:spacing w:beforeLines="0" w:afterLines="0" w:line="240" w:lineRule="auto"/>
                    <w:ind w:firstLine="0" w:firstLineChars="0"/>
                    <w:jc w:val="center"/>
                    <w:rPr>
                      <w:bCs/>
                      <w:sz w:val="21"/>
                      <w:szCs w:val="21"/>
                    </w:rPr>
                  </w:pPr>
                  <w:r>
                    <w:rPr>
                      <w:rFonts w:hint="eastAsia"/>
                      <w:bCs/>
                      <w:sz w:val="21"/>
                      <w:szCs w:val="21"/>
                    </w:rPr>
                    <w:t>4.3</w:t>
                  </w:r>
                </w:p>
              </w:tc>
              <w:tc>
                <w:tcPr>
                  <w:tcW w:w="1320" w:type="pct"/>
                  <w:vAlign w:val="center"/>
                </w:tcPr>
                <w:p w14:paraId="1DDED891">
                  <w:pPr>
                    <w:pStyle w:val="119"/>
                    <w:widowControl/>
                    <w:spacing w:beforeLines="0" w:afterLines="0" w:line="240" w:lineRule="auto"/>
                    <w:ind w:firstLine="0" w:firstLineChars="0"/>
                    <w:jc w:val="center"/>
                    <w:rPr>
                      <w:bCs/>
                      <w:sz w:val="21"/>
                      <w:szCs w:val="21"/>
                    </w:rPr>
                  </w:pPr>
                  <w:r>
                    <w:rPr>
                      <w:bCs/>
                      <w:sz w:val="21"/>
                      <w:szCs w:val="21"/>
                    </w:rPr>
                    <w:t>燃料</w:t>
                  </w:r>
                </w:p>
              </w:tc>
              <w:tc>
                <w:tcPr>
                  <w:tcW w:w="668" w:type="pct"/>
                  <w:vAlign w:val="center"/>
                </w:tcPr>
                <w:p w14:paraId="6D1DFAE0">
                  <w:pPr>
                    <w:pStyle w:val="119"/>
                    <w:widowControl/>
                    <w:spacing w:beforeLines="0" w:afterLines="0" w:line="240" w:lineRule="auto"/>
                    <w:ind w:firstLine="0" w:firstLineChars="0"/>
                    <w:jc w:val="center"/>
                    <w:rPr>
                      <w:bCs/>
                      <w:sz w:val="21"/>
                      <w:szCs w:val="21"/>
                    </w:rPr>
                  </w:pPr>
                  <w:r>
                    <w:rPr>
                      <w:bCs/>
                      <w:sz w:val="21"/>
                      <w:szCs w:val="21"/>
                    </w:rPr>
                    <w:t>GJ</w:t>
                  </w:r>
                </w:p>
              </w:tc>
              <w:tc>
                <w:tcPr>
                  <w:tcW w:w="833" w:type="pct"/>
                  <w:vAlign w:val="center"/>
                </w:tcPr>
                <w:p w14:paraId="14D45C70">
                  <w:pPr>
                    <w:pStyle w:val="119"/>
                    <w:widowControl/>
                    <w:spacing w:beforeLines="0" w:afterLines="0" w:line="240" w:lineRule="auto"/>
                    <w:ind w:firstLine="0" w:firstLineChars="0"/>
                    <w:jc w:val="center"/>
                    <w:rPr>
                      <w:bCs/>
                      <w:sz w:val="21"/>
                      <w:szCs w:val="21"/>
                    </w:rPr>
                  </w:pPr>
                  <w:r>
                    <w:rPr>
                      <w:bCs/>
                      <w:sz w:val="21"/>
                      <w:szCs w:val="21"/>
                    </w:rPr>
                    <w:t>3.7</w:t>
                  </w:r>
                </w:p>
              </w:tc>
              <w:tc>
                <w:tcPr>
                  <w:tcW w:w="833" w:type="pct"/>
                  <w:vAlign w:val="center"/>
                </w:tcPr>
                <w:p w14:paraId="1989EE9B">
                  <w:pPr>
                    <w:pStyle w:val="119"/>
                    <w:widowControl/>
                    <w:spacing w:beforeLines="0" w:afterLines="0" w:line="240" w:lineRule="auto"/>
                    <w:ind w:firstLine="0" w:firstLineChars="0"/>
                    <w:jc w:val="center"/>
                    <w:rPr>
                      <w:bCs/>
                      <w:sz w:val="21"/>
                      <w:szCs w:val="21"/>
                    </w:rPr>
                  </w:pPr>
                  <w:r>
                    <w:rPr>
                      <w:rFonts w:hint="eastAsia"/>
                      <w:bCs/>
                      <w:sz w:val="21"/>
                      <w:szCs w:val="21"/>
                    </w:rPr>
                    <w:t>3.44</w:t>
                  </w:r>
                </w:p>
              </w:tc>
              <w:tc>
                <w:tcPr>
                  <w:tcW w:w="831" w:type="pct"/>
                  <w:vAlign w:val="center"/>
                </w:tcPr>
                <w:p w14:paraId="1ADD8672">
                  <w:pPr>
                    <w:pStyle w:val="119"/>
                    <w:widowControl/>
                    <w:spacing w:beforeLines="0" w:afterLines="0" w:line="240" w:lineRule="auto"/>
                    <w:ind w:firstLine="0" w:firstLineChars="0"/>
                    <w:jc w:val="center"/>
                    <w:rPr>
                      <w:bCs/>
                      <w:sz w:val="21"/>
                      <w:szCs w:val="21"/>
                    </w:rPr>
                  </w:pPr>
                  <w:r>
                    <w:rPr>
                      <w:rFonts w:hint="eastAsia"/>
                      <w:bCs/>
                      <w:sz w:val="21"/>
                      <w:szCs w:val="21"/>
                    </w:rPr>
                    <w:t>-0.26</w:t>
                  </w:r>
                </w:p>
              </w:tc>
            </w:tr>
          </w:tbl>
          <w:p w14:paraId="6585029C">
            <w:pPr>
              <w:adjustRightInd w:val="0"/>
              <w:snapToGrid w:val="0"/>
              <w:spacing w:line="360" w:lineRule="auto"/>
              <w:ind w:firstLine="482" w:firstLineChars="200"/>
              <w:rPr>
                <w:b/>
                <w:bCs/>
                <w:sz w:val="24"/>
              </w:rPr>
            </w:pPr>
            <w:r>
              <w:rPr>
                <w:rFonts w:hint="eastAsia"/>
                <w:b/>
                <w:bCs/>
                <w:sz w:val="24"/>
              </w:rPr>
              <w:t>4、主要原辅材料</w:t>
            </w:r>
          </w:p>
          <w:p w14:paraId="14E58475">
            <w:pPr>
              <w:widowControl/>
              <w:spacing w:line="360" w:lineRule="auto"/>
              <w:ind w:firstLine="480" w:firstLineChars="200"/>
            </w:pPr>
            <w:r>
              <w:rPr>
                <w:sz w:val="24"/>
              </w:rPr>
              <w:t>项目技改前后原辅材料及能源消耗情况见表</w:t>
            </w:r>
            <w:r>
              <w:rPr>
                <w:rFonts w:hint="eastAsia"/>
                <w:sz w:val="24"/>
              </w:rPr>
              <w:t>2-7。</w:t>
            </w:r>
          </w:p>
          <w:p w14:paraId="5CA710AD">
            <w:pPr>
              <w:pStyle w:val="2"/>
              <w:spacing w:beforeLines="50"/>
              <w:jc w:val="center"/>
              <w:rPr>
                <w:rFonts w:ascii="Times New Roman"/>
                <w:b/>
                <w:color w:val="auto"/>
                <w:sz w:val="21"/>
              </w:rPr>
            </w:pPr>
            <w:r>
              <w:rPr>
                <w:rFonts w:ascii="Times New Roman"/>
                <w:b/>
                <w:color w:val="auto"/>
                <w:sz w:val="21"/>
              </w:rPr>
              <w:t>表</w:t>
            </w:r>
            <w:r>
              <w:rPr>
                <w:rFonts w:hint="eastAsia" w:ascii="Times New Roman"/>
                <w:b/>
                <w:color w:val="auto"/>
                <w:sz w:val="21"/>
              </w:rPr>
              <w:t xml:space="preserve">2-7 </w:t>
            </w:r>
            <w:r>
              <w:rPr>
                <w:rFonts w:ascii="Times New Roman"/>
                <w:b/>
                <w:color w:val="auto"/>
                <w:sz w:val="21"/>
              </w:rPr>
              <w:t xml:space="preserve"> 项目技改前后原辅材料及能源消耗量</w:t>
            </w:r>
          </w:p>
          <w:tbl>
            <w:tblPr>
              <w:tblStyle w:val="3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893"/>
              <w:gridCol w:w="1856"/>
              <w:gridCol w:w="1855"/>
              <w:gridCol w:w="1855"/>
            </w:tblGrid>
            <w:tr w14:paraId="4E923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vAlign w:val="center"/>
                </w:tcPr>
                <w:p w14:paraId="238C568C">
                  <w:pPr>
                    <w:widowControl/>
                    <w:jc w:val="center"/>
                    <w:rPr>
                      <w:b/>
                      <w:kern w:val="0"/>
                    </w:rPr>
                  </w:pPr>
                  <w:r>
                    <w:rPr>
                      <w:b/>
                      <w:kern w:val="0"/>
                    </w:rPr>
                    <w:t>类型</w:t>
                  </w:r>
                </w:p>
              </w:tc>
              <w:tc>
                <w:tcPr>
                  <w:tcW w:w="1559" w:type="pct"/>
                  <w:vAlign w:val="center"/>
                </w:tcPr>
                <w:p w14:paraId="6EA4D43A">
                  <w:pPr>
                    <w:widowControl/>
                    <w:jc w:val="center"/>
                    <w:rPr>
                      <w:b/>
                      <w:kern w:val="0"/>
                    </w:rPr>
                  </w:pPr>
                  <w:r>
                    <w:rPr>
                      <w:b/>
                      <w:kern w:val="0"/>
                    </w:rPr>
                    <w:t>产品名称</w:t>
                  </w:r>
                </w:p>
              </w:tc>
              <w:tc>
                <w:tcPr>
                  <w:tcW w:w="1000" w:type="pct"/>
                  <w:vAlign w:val="center"/>
                </w:tcPr>
                <w:p w14:paraId="1D4D285A">
                  <w:pPr>
                    <w:widowControl/>
                    <w:jc w:val="center"/>
                    <w:rPr>
                      <w:b/>
                      <w:kern w:val="0"/>
                    </w:rPr>
                  </w:pPr>
                  <w:r>
                    <w:rPr>
                      <w:b/>
                      <w:kern w:val="0"/>
                    </w:rPr>
                    <w:t>技改前</w:t>
                  </w:r>
                </w:p>
              </w:tc>
              <w:tc>
                <w:tcPr>
                  <w:tcW w:w="1000" w:type="pct"/>
                  <w:vAlign w:val="center"/>
                </w:tcPr>
                <w:p w14:paraId="7B3581BF">
                  <w:pPr>
                    <w:widowControl/>
                    <w:jc w:val="center"/>
                    <w:rPr>
                      <w:b/>
                      <w:kern w:val="0"/>
                    </w:rPr>
                  </w:pPr>
                  <w:r>
                    <w:rPr>
                      <w:b/>
                      <w:kern w:val="0"/>
                    </w:rPr>
                    <w:t>技改后</w:t>
                  </w:r>
                </w:p>
              </w:tc>
              <w:tc>
                <w:tcPr>
                  <w:tcW w:w="1000" w:type="pct"/>
                  <w:vAlign w:val="center"/>
                </w:tcPr>
                <w:p w14:paraId="4033D4CB">
                  <w:pPr>
                    <w:widowControl/>
                    <w:jc w:val="center"/>
                    <w:rPr>
                      <w:b/>
                      <w:kern w:val="0"/>
                    </w:rPr>
                  </w:pPr>
                  <w:r>
                    <w:rPr>
                      <w:b/>
                      <w:kern w:val="0"/>
                    </w:rPr>
                    <w:t>增减量</w:t>
                  </w:r>
                </w:p>
              </w:tc>
            </w:tr>
            <w:tr w14:paraId="36BBD8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vMerge w:val="restart"/>
                  <w:vAlign w:val="center"/>
                </w:tcPr>
                <w:p w14:paraId="4D3C80BB">
                  <w:pPr>
                    <w:pStyle w:val="119"/>
                    <w:widowControl/>
                    <w:spacing w:beforeLines="0" w:afterLines="0" w:line="240" w:lineRule="auto"/>
                    <w:ind w:firstLine="0" w:firstLineChars="0"/>
                    <w:jc w:val="center"/>
                    <w:rPr>
                      <w:bCs/>
                      <w:sz w:val="21"/>
                      <w:szCs w:val="21"/>
                    </w:rPr>
                  </w:pPr>
                  <w:r>
                    <w:rPr>
                      <w:bCs/>
                      <w:sz w:val="21"/>
                      <w:szCs w:val="21"/>
                    </w:rPr>
                    <w:t>原辅材料</w:t>
                  </w:r>
                </w:p>
              </w:tc>
              <w:tc>
                <w:tcPr>
                  <w:tcW w:w="1559" w:type="pct"/>
                  <w:vAlign w:val="center"/>
                </w:tcPr>
                <w:p w14:paraId="126A9719">
                  <w:pPr>
                    <w:pStyle w:val="119"/>
                    <w:widowControl/>
                    <w:spacing w:beforeLines="0" w:afterLines="0" w:line="240" w:lineRule="auto"/>
                    <w:ind w:firstLine="0" w:firstLineChars="0"/>
                    <w:jc w:val="center"/>
                    <w:rPr>
                      <w:bCs/>
                      <w:sz w:val="21"/>
                      <w:szCs w:val="21"/>
                    </w:rPr>
                  </w:pPr>
                  <w:r>
                    <w:rPr>
                      <w:bCs/>
                      <w:sz w:val="21"/>
                      <w:szCs w:val="21"/>
                    </w:rPr>
                    <w:t>管坯</w:t>
                  </w:r>
                </w:p>
              </w:tc>
              <w:tc>
                <w:tcPr>
                  <w:tcW w:w="1000" w:type="pct"/>
                  <w:vAlign w:val="center"/>
                </w:tcPr>
                <w:p w14:paraId="30D7A53A">
                  <w:pPr>
                    <w:widowControl/>
                    <w:jc w:val="center"/>
                    <w:rPr>
                      <w:kern w:val="0"/>
                    </w:rPr>
                  </w:pPr>
                  <w:r>
                    <w:rPr>
                      <w:rFonts w:hint="eastAsia"/>
                      <w:kern w:val="0"/>
                    </w:rPr>
                    <w:t>224000t/a</w:t>
                  </w:r>
                </w:p>
              </w:tc>
              <w:tc>
                <w:tcPr>
                  <w:tcW w:w="1000" w:type="pct"/>
                  <w:vAlign w:val="center"/>
                </w:tcPr>
                <w:p w14:paraId="3B5F6B7B">
                  <w:pPr>
                    <w:widowControl/>
                    <w:jc w:val="center"/>
                    <w:rPr>
                      <w:kern w:val="0"/>
                      <w:szCs w:val="21"/>
                    </w:rPr>
                  </w:pPr>
                  <w:r>
                    <w:rPr>
                      <w:rFonts w:hint="eastAsia"/>
                      <w:kern w:val="0"/>
                      <w:szCs w:val="21"/>
                    </w:rPr>
                    <w:t>313600</w:t>
                  </w:r>
                  <w:r>
                    <w:rPr>
                      <w:rFonts w:hint="eastAsia"/>
                      <w:kern w:val="0"/>
                    </w:rPr>
                    <w:t>t/a</w:t>
                  </w:r>
                </w:p>
              </w:tc>
              <w:tc>
                <w:tcPr>
                  <w:tcW w:w="1000" w:type="pct"/>
                  <w:vAlign w:val="center"/>
                </w:tcPr>
                <w:p w14:paraId="7549B55D">
                  <w:pPr>
                    <w:widowControl/>
                    <w:jc w:val="center"/>
                    <w:rPr>
                      <w:kern w:val="0"/>
                      <w:szCs w:val="21"/>
                    </w:rPr>
                  </w:pPr>
                  <w:r>
                    <w:rPr>
                      <w:rFonts w:hint="eastAsia"/>
                      <w:kern w:val="0"/>
                      <w:szCs w:val="21"/>
                    </w:rPr>
                    <w:t>+89600</w:t>
                  </w:r>
                  <w:r>
                    <w:rPr>
                      <w:rFonts w:hint="eastAsia"/>
                      <w:kern w:val="0"/>
                    </w:rPr>
                    <w:t>t/a</w:t>
                  </w:r>
                </w:p>
              </w:tc>
            </w:tr>
            <w:tr w14:paraId="6A236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vMerge w:val="continue"/>
                  <w:vAlign w:val="center"/>
                </w:tcPr>
                <w:p w14:paraId="62D947F8">
                  <w:pPr>
                    <w:pStyle w:val="119"/>
                    <w:widowControl/>
                    <w:spacing w:beforeLines="0" w:afterLines="0" w:line="240" w:lineRule="auto"/>
                    <w:ind w:firstLine="0" w:firstLineChars="0"/>
                    <w:jc w:val="center"/>
                    <w:rPr>
                      <w:bCs/>
                      <w:sz w:val="21"/>
                      <w:szCs w:val="21"/>
                    </w:rPr>
                  </w:pPr>
                </w:p>
              </w:tc>
              <w:tc>
                <w:tcPr>
                  <w:tcW w:w="1559" w:type="pct"/>
                  <w:vAlign w:val="center"/>
                </w:tcPr>
                <w:p w14:paraId="5AFD0EEF">
                  <w:pPr>
                    <w:pStyle w:val="119"/>
                    <w:widowControl/>
                    <w:spacing w:beforeLines="0" w:afterLines="0" w:line="240" w:lineRule="auto"/>
                    <w:ind w:firstLine="0" w:firstLineChars="0"/>
                    <w:jc w:val="center"/>
                    <w:rPr>
                      <w:bCs/>
                      <w:sz w:val="21"/>
                      <w:szCs w:val="21"/>
                    </w:rPr>
                  </w:pPr>
                  <w:r>
                    <w:rPr>
                      <w:bCs/>
                      <w:sz w:val="21"/>
                      <w:szCs w:val="21"/>
                    </w:rPr>
                    <w:t>轧辊及工具</w:t>
                  </w:r>
                </w:p>
              </w:tc>
              <w:tc>
                <w:tcPr>
                  <w:tcW w:w="1000" w:type="pct"/>
                  <w:vAlign w:val="center"/>
                </w:tcPr>
                <w:p w14:paraId="05512254">
                  <w:pPr>
                    <w:widowControl/>
                    <w:jc w:val="center"/>
                    <w:rPr>
                      <w:kern w:val="0"/>
                    </w:rPr>
                  </w:pPr>
                  <w:r>
                    <w:rPr>
                      <w:rFonts w:hint="eastAsia"/>
                      <w:kern w:val="0"/>
                    </w:rPr>
                    <w:t>460t/a</w:t>
                  </w:r>
                </w:p>
              </w:tc>
              <w:tc>
                <w:tcPr>
                  <w:tcW w:w="1000" w:type="pct"/>
                  <w:vAlign w:val="center"/>
                </w:tcPr>
                <w:p w14:paraId="24956D5C">
                  <w:pPr>
                    <w:widowControl/>
                    <w:jc w:val="center"/>
                    <w:rPr>
                      <w:kern w:val="0"/>
                      <w:szCs w:val="21"/>
                    </w:rPr>
                  </w:pPr>
                  <w:r>
                    <w:rPr>
                      <w:rFonts w:hint="eastAsia"/>
                      <w:kern w:val="0"/>
                      <w:szCs w:val="21"/>
                    </w:rPr>
                    <w:t>552</w:t>
                  </w:r>
                  <w:r>
                    <w:rPr>
                      <w:kern w:val="0"/>
                      <w:szCs w:val="21"/>
                    </w:rPr>
                    <w:t>t/a</w:t>
                  </w:r>
                </w:p>
              </w:tc>
              <w:tc>
                <w:tcPr>
                  <w:tcW w:w="1000" w:type="pct"/>
                  <w:vAlign w:val="center"/>
                </w:tcPr>
                <w:p w14:paraId="0B0D1509">
                  <w:pPr>
                    <w:widowControl/>
                    <w:jc w:val="center"/>
                    <w:rPr>
                      <w:kern w:val="0"/>
                      <w:szCs w:val="21"/>
                    </w:rPr>
                  </w:pPr>
                  <w:r>
                    <w:rPr>
                      <w:rFonts w:hint="eastAsia"/>
                      <w:kern w:val="0"/>
                      <w:szCs w:val="21"/>
                    </w:rPr>
                    <w:t>+92</w:t>
                  </w:r>
                  <w:r>
                    <w:rPr>
                      <w:kern w:val="0"/>
                      <w:szCs w:val="21"/>
                    </w:rPr>
                    <w:t>t/a</w:t>
                  </w:r>
                </w:p>
              </w:tc>
            </w:tr>
            <w:tr w14:paraId="2B87ED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vMerge w:val="continue"/>
                  <w:vAlign w:val="center"/>
                </w:tcPr>
                <w:p w14:paraId="778E4AB5">
                  <w:pPr>
                    <w:pStyle w:val="119"/>
                    <w:widowControl/>
                    <w:spacing w:beforeLines="0" w:afterLines="0" w:line="240" w:lineRule="auto"/>
                    <w:ind w:firstLine="0" w:firstLineChars="0"/>
                    <w:jc w:val="center"/>
                    <w:rPr>
                      <w:bCs/>
                      <w:sz w:val="21"/>
                      <w:szCs w:val="21"/>
                    </w:rPr>
                  </w:pPr>
                </w:p>
              </w:tc>
              <w:tc>
                <w:tcPr>
                  <w:tcW w:w="1559" w:type="pct"/>
                  <w:vAlign w:val="center"/>
                </w:tcPr>
                <w:p w14:paraId="5A1010B1">
                  <w:pPr>
                    <w:pStyle w:val="119"/>
                    <w:widowControl/>
                    <w:spacing w:beforeLines="0" w:afterLines="0" w:line="240" w:lineRule="auto"/>
                    <w:ind w:firstLine="0" w:firstLineChars="0"/>
                    <w:jc w:val="center"/>
                    <w:rPr>
                      <w:bCs/>
                      <w:sz w:val="21"/>
                      <w:szCs w:val="21"/>
                    </w:rPr>
                  </w:pPr>
                  <w:r>
                    <w:rPr>
                      <w:bCs/>
                      <w:sz w:val="21"/>
                      <w:szCs w:val="21"/>
                    </w:rPr>
                    <w:t>耐火材料</w:t>
                  </w:r>
                </w:p>
              </w:tc>
              <w:tc>
                <w:tcPr>
                  <w:tcW w:w="1000" w:type="pct"/>
                  <w:vAlign w:val="center"/>
                </w:tcPr>
                <w:p w14:paraId="13FD3F5B">
                  <w:pPr>
                    <w:widowControl/>
                    <w:jc w:val="center"/>
                    <w:rPr>
                      <w:kern w:val="0"/>
                    </w:rPr>
                  </w:pPr>
                  <w:r>
                    <w:rPr>
                      <w:rFonts w:hint="eastAsia"/>
                      <w:kern w:val="0"/>
                    </w:rPr>
                    <w:t>160t/a</w:t>
                  </w:r>
                </w:p>
              </w:tc>
              <w:tc>
                <w:tcPr>
                  <w:tcW w:w="1000" w:type="pct"/>
                  <w:vAlign w:val="center"/>
                </w:tcPr>
                <w:p w14:paraId="5095156F">
                  <w:pPr>
                    <w:widowControl/>
                    <w:jc w:val="center"/>
                    <w:rPr>
                      <w:kern w:val="0"/>
                      <w:szCs w:val="21"/>
                    </w:rPr>
                  </w:pPr>
                  <w:r>
                    <w:rPr>
                      <w:rFonts w:hint="eastAsia"/>
                      <w:kern w:val="0"/>
                      <w:szCs w:val="21"/>
                    </w:rPr>
                    <w:t>192</w:t>
                  </w:r>
                  <w:r>
                    <w:rPr>
                      <w:kern w:val="0"/>
                      <w:szCs w:val="21"/>
                    </w:rPr>
                    <w:t>t/a</w:t>
                  </w:r>
                </w:p>
              </w:tc>
              <w:tc>
                <w:tcPr>
                  <w:tcW w:w="1000" w:type="pct"/>
                  <w:vAlign w:val="center"/>
                </w:tcPr>
                <w:p w14:paraId="5E8ECA1E">
                  <w:pPr>
                    <w:widowControl/>
                    <w:jc w:val="center"/>
                    <w:rPr>
                      <w:kern w:val="0"/>
                      <w:szCs w:val="21"/>
                    </w:rPr>
                  </w:pPr>
                  <w:r>
                    <w:rPr>
                      <w:rFonts w:hint="eastAsia"/>
                      <w:kern w:val="0"/>
                      <w:szCs w:val="21"/>
                    </w:rPr>
                    <w:t>+32</w:t>
                  </w:r>
                  <w:r>
                    <w:rPr>
                      <w:kern w:val="0"/>
                      <w:szCs w:val="21"/>
                    </w:rPr>
                    <w:t>t/a</w:t>
                  </w:r>
                </w:p>
              </w:tc>
            </w:tr>
            <w:tr w14:paraId="466516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vMerge w:val="continue"/>
                  <w:vAlign w:val="center"/>
                </w:tcPr>
                <w:p w14:paraId="29BDA690">
                  <w:pPr>
                    <w:pStyle w:val="119"/>
                    <w:widowControl/>
                    <w:spacing w:beforeLines="0" w:afterLines="0" w:line="240" w:lineRule="auto"/>
                    <w:ind w:firstLine="0" w:firstLineChars="0"/>
                    <w:jc w:val="center"/>
                    <w:rPr>
                      <w:bCs/>
                      <w:sz w:val="21"/>
                      <w:szCs w:val="21"/>
                    </w:rPr>
                  </w:pPr>
                </w:p>
              </w:tc>
              <w:tc>
                <w:tcPr>
                  <w:tcW w:w="1559" w:type="pct"/>
                  <w:vAlign w:val="center"/>
                </w:tcPr>
                <w:p w14:paraId="5A50F23B">
                  <w:pPr>
                    <w:pStyle w:val="119"/>
                    <w:widowControl/>
                    <w:spacing w:beforeLines="0" w:afterLines="0" w:line="240" w:lineRule="auto"/>
                    <w:ind w:firstLine="0" w:firstLineChars="0"/>
                    <w:jc w:val="center"/>
                    <w:rPr>
                      <w:bCs/>
                      <w:sz w:val="21"/>
                      <w:szCs w:val="21"/>
                    </w:rPr>
                  </w:pPr>
                  <w:r>
                    <w:rPr>
                      <w:bCs/>
                      <w:sz w:val="21"/>
                      <w:szCs w:val="21"/>
                    </w:rPr>
                    <w:t>润滑油</w:t>
                  </w:r>
                </w:p>
              </w:tc>
              <w:tc>
                <w:tcPr>
                  <w:tcW w:w="1000" w:type="pct"/>
                  <w:vAlign w:val="center"/>
                </w:tcPr>
                <w:p w14:paraId="1616DFF6">
                  <w:pPr>
                    <w:widowControl/>
                    <w:jc w:val="center"/>
                    <w:rPr>
                      <w:kern w:val="0"/>
                    </w:rPr>
                  </w:pPr>
                  <w:r>
                    <w:rPr>
                      <w:rFonts w:hint="eastAsia"/>
                      <w:kern w:val="0"/>
                    </w:rPr>
                    <w:t>180t/a</w:t>
                  </w:r>
                </w:p>
              </w:tc>
              <w:tc>
                <w:tcPr>
                  <w:tcW w:w="1000" w:type="pct"/>
                  <w:vAlign w:val="center"/>
                </w:tcPr>
                <w:p w14:paraId="247A245E">
                  <w:pPr>
                    <w:widowControl/>
                    <w:jc w:val="center"/>
                    <w:rPr>
                      <w:kern w:val="0"/>
                      <w:szCs w:val="21"/>
                    </w:rPr>
                  </w:pPr>
                  <w:r>
                    <w:rPr>
                      <w:rFonts w:hint="eastAsia"/>
                      <w:kern w:val="0"/>
                      <w:szCs w:val="21"/>
                    </w:rPr>
                    <w:t>216</w:t>
                  </w:r>
                  <w:r>
                    <w:rPr>
                      <w:kern w:val="0"/>
                      <w:szCs w:val="21"/>
                    </w:rPr>
                    <w:t>t/a</w:t>
                  </w:r>
                </w:p>
              </w:tc>
              <w:tc>
                <w:tcPr>
                  <w:tcW w:w="1000" w:type="pct"/>
                  <w:vAlign w:val="center"/>
                </w:tcPr>
                <w:p w14:paraId="35DBFE47">
                  <w:pPr>
                    <w:widowControl/>
                    <w:jc w:val="center"/>
                    <w:rPr>
                      <w:kern w:val="0"/>
                      <w:szCs w:val="21"/>
                    </w:rPr>
                  </w:pPr>
                  <w:r>
                    <w:rPr>
                      <w:rFonts w:hint="eastAsia"/>
                      <w:kern w:val="0"/>
                      <w:szCs w:val="21"/>
                    </w:rPr>
                    <w:t>+36</w:t>
                  </w:r>
                  <w:r>
                    <w:rPr>
                      <w:kern w:val="0"/>
                      <w:szCs w:val="21"/>
                    </w:rPr>
                    <w:t>t/a</w:t>
                  </w:r>
                </w:p>
              </w:tc>
            </w:tr>
            <w:tr w14:paraId="3C589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vMerge w:val="continue"/>
                  <w:vAlign w:val="center"/>
                </w:tcPr>
                <w:p w14:paraId="37FD0C14">
                  <w:pPr>
                    <w:pStyle w:val="119"/>
                    <w:widowControl/>
                    <w:spacing w:beforeLines="0" w:afterLines="0" w:line="240" w:lineRule="auto"/>
                    <w:ind w:firstLine="0" w:firstLineChars="0"/>
                    <w:jc w:val="center"/>
                    <w:rPr>
                      <w:bCs/>
                      <w:sz w:val="21"/>
                      <w:szCs w:val="21"/>
                    </w:rPr>
                  </w:pPr>
                </w:p>
              </w:tc>
              <w:tc>
                <w:tcPr>
                  <w:tcW w:w="1559" w:type="pct"/>
                  <w:vAlign w:val="center"/>
                </w:tcPr>
                <w:p w14:paraId="4B09CC3F">
                  <w:pPr>
                    <w:pStyle w:val="119"/>
                    <w:widowControl/>
                    <w:spacing w:beforeLines="0" w:afterLines="0" w:line="240" w:lineRule="auto"/>
                    <w:ind w:firstLine="0" w:firstLineChars="0"/>
                    <w:jc w:val="center"/>
                    <w:rPr>
                      <w:bCs/>
                      <w:sz w:val="21"/>
                      <w:szCs w:val="21"/>
                    </w:rPr>
                  </w:pPr>
                  <w:r>
                    <w:rPr>
                      <w:bCs/>
                      <w:sz w:val="21"/>
                      <w:szCs w:val="21"/>
                    </w:rPr>
                    <w:t>氮气</w:t>
                  </w:r>
                </w:p>
              </w:tc>
              <w:tc>
                <w:tcPr>
                  <w:tcW w:w="1000" w:type="pct"/>
                  <w:vAlign w:val="center"/>
                </w:tcPr>
                <w:p w14:paraId="208BB0D8">
                  <w:pPr>
                    <w:widowControl/>
                    <w:jc w:val="center"/>
                    <w:rPr>
                      <w:kern w:val="0"/>
                    </w:rPr>
                  </w:pPr>
                  <w:r>
                    <w:rPr>
                      <w:rFonts w:hint="eastAsia"/>
                      <w:kern w:val="0"/>
                    </w:rPr>
                    <w:t>366000m</w:t>
                  </w:r>
                  <w:r>
                    <w:rPr>
                      <w:rFonts w:hint="eastAsia"/>
                      <w:kern w:val="0"/>
                      <w:vertAlign w:val="superscript"/>
                    </w:rPr>
                    <w:t>3</w:t>
                  </w:r>
                  <w:r>
                    <w:rPr>
                      <w:rFonts w:hint="eastAsia"/>
                      <w:kern w:val="0"/>
                    </w:rPr>
                    <w:t>/a</w:t>
                  </w:r>
                </w:p>
              </w:tc>
              <w:tc>
                <w:tcPr>
                  <w:tcW w:w="1000" w:type="pct"/>
                  <w:vAlign w:val="center"/>
                </w:tcPr>
                <w:p w14:paraId="54077489">
                  <w:pPr>
                    <w:widowControl/>
                    <w:jc w:val="center"/>
                    <w:rPr>
                      <w:kern w:val="0"/>
                      <w:szCs w:val="21"/>
                    </w:rPr>
                  </w:pPr>
                  <w:r>
                    <w:rPr>
                      <w:rFonts w:hint="eastAsia"/>
                      <w:kern w:val="0"/>
                      <w:szCs w:val="21"/>
                    </w:rPr>
                    <w:t>439200</w:t>
                  </w:r>
                  <w:r>
                    <w:rPr>
                      <w:kern w:val="0"/>
                      <w:szCs w:val="21"/>
                    </w:rPr>
                    <w:t>m</w:t>
                  </w:r>
                  <w:r>
                    <w:rPr>
                      <w:kern w:val="0"/>
                      <w:szCs w:val="21"/>
                      <w:vertAlign w:val="superscript"/>
                    </w:rPr>
                    <w:t>3</w:t>
                  </w:r>
                  <w:r>
                    <w:rPr>
                      <w:kern w:val="0"/>
                      <w:szCs w:val="21"/>
                    </w:rPr>
                    <w:t>/a</w:t>
                  </w:r>
                </w:p>
              </w:tc>
              <w:tc>
                <w:tcPr>
                  <w:tcW w:w="1000" w:type="pct"/>
                  <w:vAlign w:val="center"/>
                </w:tcPr>
                <w:p w14:paraId="3FD7C872">
                  <w:pPr>
                    <w:widowControl/>
                    <w:jc w:val="center"/>
                    <w:rPr>
                      <w:kern w:val="0"/>
                      <w:szCs w:val="21"/>
                    </w:rPr>
                  </w:pPr>
                  <w:r>
                    <w:rPr>
                      <w:rFonts w:hint="eastAsia"/>
                      <w:kern w:val="0"/>
                      <w:szCs w:val="21"/>
                    </w:rPr>
                    <w:t>+73200</w:t>
                  </w:r>
                  <w:r>
                    <w:rPr>
                      <w:kern w:val="0"/>
                      <w:szCs w:val="21"/>
                    </w:rPr>
                    <w:t>m</w:t>
                  </w:r>
                  <w:r>
                    <w:rPr>
                      <w:kern w:val="0"/>
                      <w:szCs w:val="21"/>
                      <w:vertAlign w:val="superscript"/>
                    </w:rPr>
                    <w:t>3</w:t>
                  </w:r>
                  <w:r>
                    <w:rPr>
                      <w:kern w:val="0"/>
                      <w:szCs w:val="21"/>
                    </w:rPr>
                    <w:t>/a</w:t>
                  </w:r>
                </w:p>
              </w:tc>
            </w:tr>
            <w:tr w14:paraId="1CC2FF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vMerge w:val="continue"/>
                  <w:vAlign w:val="center"/>
                </w:tcPr>
                <w:p w14:paraId="0E33BA1C">
                  <w:pPr>
                    <w:pStyle w:val="119"/>
                    <w:widowControl/>
                    <w:spacing w:beforeLines="0" w:afterLines="0" w:line="240" w:lineRule="auto"/>
                    <w:ind w:firstLine="0" w:firstLineChars="0"/>
                    <w:jc w:val="center"/>
                    <w:rPr>
                      <w:bCs/>
                      <w:sz w:val="21"/>
                      <w:szCs w:val="21"/>
                    </w:rPr>
                  </w:pPr>
                </w:p>
              </w:tc>
              <w:tc>
                <w:tcPr>
                  <w:tcW w:w="1559" w:type="pct"/>
                  <w:vAlign w:val="center"/>
                </w:tcPr>
                <w:p w14:paraId="1293D049">
                  <w:pPr>
                    <w:pStyle w:val="119"/>
                    <w:widowControl/>
                    <w:spacing w:beforeLines="0" w:afterLines="0" w:line="240" w:lineRule="auto"/>
                    <w:ind w:firstLine="0" w:firstLineChars="0"/>
                    <w:jc w:val="center"/>
                    <w:rPr>
                      <w:bCs/>
                      <w:sz w:val="21"/>
                      <w:szCs w:val="21"/>
                    </w:rPr>
                  </w:pPr>
                  <w:r>
                    <w:rPr>
                      <w:bCs/>
                      <w:sz w:val="21"/>
                      <w:szCs w:val="21"/>
                    </w:rPr>
                    <w:t>硼砂</w:t>
                  </w:r>
                </w:p>
              </w:tc>
              <w:tc>
                <w:tcPr>
                  <w:tcW w:w="1000" w:type="pct"/>
                  <w:vAlign w:val="center"/>
                </w:tcPr>
                <w:p w14:paraId="189224C8">
                  <w:pPr>
                    <w:widowControl/>
                    <w:jc w:val="center"/>
                    <w:rPr>
                      <w:kern w:val="0"/>
                    </w:rPr>
                  </w:pPr>
                  <w:r>
                    <w:rPr>
                      <w:rFonts w:hint="eastAsia"/>
                      <w:kern w:val="0"/>
                    </w:rPr>
                    <w:t>172t/a</w:t>
                  </w:r>
                </w:p>
              </w:tc>
              <w:tc>
                <w:tcPr>
                  <w:tcW w:w="1000" w:type="pct"/>
                  <w:vAlign w:val="center"/>
                </w:tcPr>
                <w:p w14:paraId="01D6FC62">
                  <w:pPr>
                    <w:widowControl/>
                    <w:jc w:val="center"/>
                    <w:rPr>
                      <w:kern w:val="0"/>
                      <w:szCs w:val="21"/>
                    </w:rPr>
                  </w:pPr>
                  <w:r>
                    <w:rPr>
                      <w:rFonts w:hint="eastAsia"/>
                      <w:kern w:val="0"/>
                      <w:szCs w:val="21"/>
                    </w:rPr>
                    <w:t>206</w:t>
                  </w:r>
                  <w:r>
                    <w:rPr>
                      <w:kern w:val="0"/>
                      <w:szCs w:val="21"/>
                    </w:rPr>
                    <w:t>t/a</w:t>
                  </w:r>
                </w:p>
              </w:tc>
              <w:tc>
                <w:tcPr>
                  <w:tcW w:w="1000" w:type="pct"/>
                  <w:vAlign w:val="center"/>
                </w:tcPr>
                <w:p w14:paraId="6F4EA317">
                  <w:pPr>
                    <w:widowControl/>
                    <w:jc w:val="center"/>
                    <w:rPr>
                      <w:kern w:val="0"/>
                      <w:szCs w:val="21"/>
                    </w:rPr>
                  </w:pPr>
                  <w:r>
                    <w:rPr>
                      <w:rFonts w:hint="eastAsia"/>
                      <w:kern w:val="0"/>
                      <w:szCs w:val="21"/>
                    </w:rPr>
                    <w:t>+34</w:t>
                  </w:r>
                  <w:r>
                    <w:rPr>
                      <w:kern w:val="0"/>
                      <w:szCs w:val="21"/>
                    </w:rPr>
                    <w:t>t/a</w:t>
                  </w:r>
                </w:p>
              </w:tc>
            </w:tr>
            <w:tr w14:paraId="199CC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vMerge w:val="continue"/>
                  <w:vAlign w:val="center"/>
                </w:tcPr>
                <w:p w14:paraId="0A93A31C">
                  <w:pPr>
                    <w:pStyle w:val="119"/>
                    <w:widowControl/>
                    <w:spacing w:beforeLines="0" w:afterLines="0" w:line="240" w:lineRule="auto"/>
                    <w:ind w:firstLine="0" w:firstLineChars="0"/>
                    <w:jc w:val="center"/>
                    <w:rPr>
                      <w:bCs/>
                      <w:sz w:val="21"/>
                      <w:szCs w:val="21"/>
                    </w:rPr>
                  </w:pPr>
                </w:p>
              </w:tc>
              <w:tc>
                <w:tcPr>
                  <w:tcW w:w="1559" w:type="pct"/>
                  <w:vAlign w:val="center"/>
                </w:tcPr>
                <w:p w14:paraId="5B8F9051">
                  <w:pPr>
                    <w:pStyle w:val="119"/>
                    <w:widowControl/>
                    <w:spacing w:beforeLines="0" w:afterLines="0" w:line="240" w:lineRule="auto"/>
                    <w:ind w:firstLine="0" w:firstLineChars="0"/>
                    <w:jc w:val="center"/>
                    <w:rPr>
                      <w:bCs/>
                      <w:sz w:val="21"/>
                      <w:szCs w:val="21"/>
                    </w:rPr>
                  </w:pPr>
                  <w:r>
                    <w:rPr>
                      <w:bCs/>
                      <w:sz w:val="21"/>
                      <w:szCs w:val="21"/>
                    </w:rPr>
                    <w:t>芯棒润滑剂（石墨）</w:t>
                  </w:r>
                </w:p>
              </w:tc>
              <w:tc>
                <w:tcPr>
                  <w:tcW w:w="1000" w:type="pct"/>
                  <w:vAlign w:val="center"/>
                </w:tcPr>
                <w:p w14:paraId="241F2A5A">
                  <w:pPr>
                    <w:widowControl/>
                    <w:jc w:val="center"/>
                    <w:rPr>
                      <w:kern w:val="0"/>
                    </w:rPr>
                  </w:pPr>
                  <w:r>
                    <w:rPr>
                      <w:rFonts w:hint="eastAsia"/>
                      <w:kern w:val="0"/>
                    </w:rPr>
                    <w:t>168 t/a</w:t>
                  </w:r>
                </w:p>
              </w:tc>
              <w:tc>
                <w:tcPr>
                  <w:tcW w:w="1000" w:type="pct"/>
                  <w:vAlign w:val="center"/>
                </w:tcPr>
                <w:p w14:paraId="357FDB89">
                  <w:pPr>
                    <w:widowControl/>
                    <w:jc w:val="center"/>
                    <w:rPr>
                      <w:kern w:val="0"/>
                      <w:szCs w:val="21"/>
                    </w:rPr>
                  </w:pPr>
                  <w:r>
                    <w:rPr>
                      <w:rFonts w:hint="eastAsia"/>
                      <w:kern w:val="0"/>
                      <w:szCs w:val="21"/>
                    </w:rPr>
                    <w:t>202</w:t>
                  </w:r>
                  <w:r>
                    <w:rPr>
                      <w:kern w:val="0"/>
                      <w:szCs w:val="21"/>
                    </w:rPr>
                    <w:t>t/a</w:t>
                  </w:r>
                </w:p>
              </w:tc>
              <w:tc>
                <w:tcPr>
                  <w:tcW w:w="1000" w:type="pct"/>
                  <w:vAlign w:val="center"/>
                </w:tcPr>
                <w:p w14:paraId="71C368AF">
                  <w:pPr>
                    <w:widowControl/>
                    <w:jc w:val="center"/>
                    <w:rPr>
                      <w:kern w:val="0"/>
                      <w:szCs w:val="21"/>
                    </w:rPr>
                  </w:pPr>
                  <w:r>
                    <w:rPr>
                      <w:rFonts w:hint="eastAsia"/>
                      <w:kern w:val="0"/>
                      <w:szCs w:val="21"/>
                    </w:rPr>
                    <w:t>+34</w:t>
                  </w:r>
                  <w:r>
                    <w:rPr>
                      <w:kern w:val="0"/>
                      <w:szCs w:val="21"/>
                    </w:rPr>
                    <w:t>t/a</w:t>
                  </w:r>
                </w:p>
              </w:tc>
            </w:tr>
            <w:tr w14:paraId="58E0F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vMerge w:val="restart"/>
                  <w:vAlign w:val="center"/>
                </w:tcPr>
                <w:p w14:paraId="7C39124B">
                  <w:pPr>
                    <w:pStyle w:val="119"/>
                    <w:widowControl/>
                    <w:spacing w:beforeLines="0" w:afterLines="0" w:line="240" w:lineRule="auto"/>
                    <w:ind w:firstLine="0" w:firstLineChars="0"/>
                    <w:jc w:val="center"/>
                    <w:rPr>
                      <w:bCs/>
                      <w:sz w:val="21"/>
                      <w:szCs w:val="21"/>
                    </w:rPr>
                  </w:pPr>
                  <w:r>
                    <w:rPr>
                      <w:bCs/>
                      <w:sz w:val="21"/>
                      <w:szCs w:val="21"/>
                    </w:rPr>
                    <w:t>能源消耗</w:t>
                  </w:r>
                </w:p>
              </w:tc>
              <w:tc>
                <w:tcPr>
                  <w:tcW w:w="1559" w:type="pct"/>
                  <w:vAlign w:val="center"/>
                </w:tcPr>
                <w:p w14:paraId="65FFF8B3">
                  <w:pPr>
                    <w:pStyle w:val="119"/>
                    <w:widowControl/>
                    <w:spacing w:beforeLines="0" w:afterLines="0" w:line="240" w:lineRule="auto"/>
                    <w:ind w:firstLine="0" w:firstLineChars="0"/>
                    <w:jc w:val="center"/>
                    <w:rPr>
                      <w:bCs/>
                      <w:sz w:val="21"/>
                      <w:szCs w:val="21"/>
                    </w:rPr>
                  </w:pPr>
                  <w:r>
                    <w:rPr>
                      <w:bCs/>
                      <w:sz w:val="21"/>
                      <w:szCs w:val="21"/>
                    </w:rPr>
                    <w:t>压缩空气</w:t>
                  </w:r>
                </w:p>
              </w:tc>
              <w:tc>
                <w:tcPr>
                  <w:tcW w:w="1000" w:type="pct"/>
                  <w:vAlign w:val="center"/>
                </w:tcPr>
                <w:p w14:paraId="47CE5299">
                  <w:pPr>
                    <w:widowControl/>
                    <w:jc w:val="center"/>
                    <w:rPr>
                      <w:kern w:val="0"/>
                    </w:rPr>
                  </w:pPr>
                  <w:r>
                    <w:rPr>
                      <w:rFonts w:hint="eastAsia"/>
                      <w:kern w:val="0"/>
                    </w:rPr>
                    <w:t>2060.16万</w:t>
                  </w:r>
                  <w:r>
                    <w:rPr>
                      <w:bCs/>
                      <w:szCs w:val="21"/>
                    </w:rPr>
                    <w:t>m</w:t>
                  </w:r>
                  <w:r>
                    <w:rPr>
                      <w:bCs/>
                      <w:szCs w:val="21"/>
                      <w:vertAlign w:val="superscript"/>
                    </w:rPr>
                    <w:t>3</w:t>
                  </w:r>
                </w:p>
              </w:tc>
              <w:tc>
                <w:tcPr>
                  <w:tcW w:w="1000" w:type="pct"/>
                  <w:vAlign w:val="center"/>
                </w:tcPr>
                <w:p w14:paraId="585C903C">
                  <w:pPr>
                    <w:widowControl/>
                    <w:jc w:val="center"/>
                    <w:rPr>
                      <w:kern w:val="0"/>
                      <w:szCs w:val="21"/>
                    </w:rPr>
                  </w:pPr>
                  <w:r>
                    <w:rPr>
                      <w:rFonts w:hint="eastAsia"/>
                      <w:kern w:val="0"/>
                      <w:szCs w:val="21"/>
                    </w:rPr>
                    <w:t>2352</w:t>
                  </w:r>
                  <w:r>
                    <w:rPr>
                      <w:kern w:val="0"/>
                      <w:szCs w:val="21"/>
                    </w:rPr>
                    <w:t>万</w:t>
                  </w:r>
                  <w:r>
                    <w:rPr>
                      <w:bCs/>
                      <w:szCs w:val="21"/>
                    </w:rPr>
                    <w:t>m</w:t>
                  </w:r>
                  <w:r>
                    <w:rPr>
                      <w:bCs/>
                      <w:szCs w:val="21"/>
                      <w:vertAlign w:val="superscript"/>
                    </w:rPr>
                    <w:t>3</w:t>
                  </w:r>
                </w:p>
              </w:tc>
              <w:tc>
                <w:tcPr>
                  <w:tcW w:w="1000" w:type="pct"/>
                  <w:vAlign w:val="center"/>
                </w:tcPr>
                <w:p w14:paraId="11EDAEEA">
                  <w:pPr>
                    <w:widowControl/>
                    <w:jc w:val="center"/>
                    <w:rPr>
                      <w:kern w:val="0"/>
                      <w:szCs w:val="21"/>
                    </w:rPr>
                  </w:pPr>
                  <w:r>
                    <w:rPr>
                      <w:rFonts w:hint="eastAsia"/>
                      <w:kern w:val="0"/>
                      <w:szCs w:val="21"/>
                    </w:rPr>
                    <w:t>+252</w:t>
                  </w:r>
                  <w:r>
                    <w:rPr>
                      <w:kern w:val="0"/>
                      <w:szCs w:val="21"/>
                    </w:rPr>
                    <w:t>万</w:t>
                  </w:r>
                  <w:r>
                    <w:rPr>
                      <w:bCs/>
                      <w:szCs w:val="21"/>
                    </w:rPr>
                    <w:t>m</w:t>
                  </w:r>
                  <w:r>
                    <w:rPr>
                      <w:bCs/>
                      <w:szCs w:val="21"/>
                      <w:vertAlign w:val="superscript"/>
                    </w:rPr>
                    <w:t>3</w:t>
                  </w:r>
                </w:p>
              </w:tc>
            </w:tr>
            <w:tr w14:paraId="4D4EBF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vMerge w:val="continue"/>
                  <w:vAlign w:val="center"/>
                </w:tcPr>
                <w:p w14:paraId="13F926AC">
                  <w:pPr>
                    <w:pStyle w:val="119"/>
                    <w:widowControl/>
                    <w:spacing w:beforeLines="0" w:afterLines="0" w:line="240" w:lineRule="auto"/>
                    <w:ind w:firstLine="0" w:firstLineChars="0"/>
                    <w:jc w:val="center"/>
                    <w:rPr>
                      <w:bCs/>
                      <w:sz w:val="21"/>
                      <w:szCs w:val="21"/>
                    </w:rPr>
                  </w:pPr>
                </w:p>
              </w:tc>
              <w:tc>
                <w:tcPr>
                  <w:tcW w:w="1559" w:type="pct"/>
                  <w:vAlign w:val="center"/>
                </w:tcPr>
                <w:p w14:paraId="6312EDF0">
                  <w:pPr>
                    <w:pStyle w:val="119"/>
                    <w:widowControl/>
                    <w:spacing w:beforeLines="0" w:afterLines="0" w:line="240" w:lineRule="auto"/>
                    <w:ind w:firstLine="0" w:firstLineChars="0"/>
                    <w:jc w:val="center"/>
                    <w:rPr>
                      <w:bCs/>
                      <w:sz w:val="21"/>
                      <w:szCs w:val="21"/>
                    </w:rPr>
                  </w:pPr>
                  <w:r>
                    <w:rPr>
                      <w:bCs/>
                      <w:sz w:val="21"/>
                      <w:szCs w:val="21"/>
                    </w:rPr>
                    <w:t>混合煤气</w:t>
                  </w:r>
                </w:p>
              </w:tc>
              <w:tc>
                <w:tcPr>
                  <w:tcW w:w="1000" w:type="pct"/>
                  <w:vAlign w:val="center"/>
                </w:tcPr>
                <w:p w14:paraId="21E55B7C">
                  <w:pPr>
                    <w:widowControl/>
                    <w:jc w:val="center"/>
                    <w:rPr>
                      <w:kern w:val="0"/>
                    </w:rPr>
                  </w:pPr>
                  <w:r>
                    <w:rPr>
                      <w:kern w:val="0"/>
                    </w:rPr>
                    <w:t>740000GJ</w:t>
                  </w:r>
                </w:p>
              </w:tc>
              <w:tc>
                <w:tcPr>
                  <w:tcW w:w="1000" w:type="pct"/>
                  <w:vAlign w:val="center"/>
                </w:tcPr>
                <w:p w14:paraId="33BAB755">
                  <w:pPr>
                    <w:widowControl/>
                    <w:jc w:val="center"/>
                    <w:rPr>
                      <w:kern w:val="0"/>
                      <w:szCs w:val="21"/>
                    </w:rPr>
                  </w:pPr>
                  <w:r>
                    <w:rPr>
                      <w:rFonts w:hint="eastAsia"/>
                      <w:kern w:val="0"/>
                      <w:szCs w:val="21"/>
                    </w:rPr>
                    <w:t>0</w:t>
                  </w:r>
                </w:p>
              </w:tc>
              <w:tc>
                <w:tcPr>
                  <w:tcW w:w="1000" w:type="pct"/>
                  <w:vAlign w:val="center"/>
                </w:tcPr>
                <w:p w14:paraId="58D9667B">
                  <w:pPr>
                    <w:widowControl/>
                    <w:jc w:val="center"/>
                    <w:rPr>
                      <w:kern w:val="0"/>
                      <w:szCs w:val="21"/>
                    </w:rPr>
                  </w:pPr>
                  <w:r>
                    <w:rPr>
                      <w:rFonts w:hint="eastAsia"/>
                      <w:kern w:val="0"/>
                      <w:szCs w:val="21"/>
                    </w:rPr>
                    <w:t>-</w:t>
                  </w:r>
                  <w:r>
                    <w:rPr>
                      <w:kern w:val="0"/>
                      <w:szCs w:val="21"/>
                    </w:rPr>
                    <w:t>740000GJ</w:t>
                  </w:r>
                </w:p>
              </w:tc>
            </w:tr>
            <w:tr w14:paraId="40196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vMerge w:val="continue"/>
                  <w:vAlign w:val="center"/>
                </w:tcPr>
                <w:p w14:paraId="7A927340">
                  <w:pPr>
                    <w:pStyle w:val="119"/>
                    <w:widowControl/>
                    <w:spacing w:beforeLines="0" w:afterLines="0" w:line="240" w:lineRule="auto"/>
                    <w:ind w:firstLine="0" w:firstLineChars="0"/>
                    <w:jc w:val="center"/>
                    <w:rPr>
                      <w:bCs/>
                      <w:sz w:val="21"/>
                      <w:szCs w:val="21"/>
                    </w:rPr>
                  </w:pPr>
                </w:p>
              </w:tc>
              <w:tc>
                <w:tcPr>
                  <w:tcW w:w="1559" w:type="pct"/>
                  <w:vAlign w:val="center"/>
                </w:tcPr>
                <w:p w14:paraId="66BCBEC4">
                  <w:pPr>
                    <w:pStyle w:val="119"/>
                    <w:widowControl/>
                    <w:spacing w:beforeLines="0" w:afterLines="0" w:line="240" w:lineRule="auto"/>
                    <w:ind w:firstLine="0" w:firstLineChars="0"/>
                    <w:jc w:val="center"/>
                    <w:rPr>
                      <w:bCs/>
                      <w:sz w:val="21"/>
                      <w:szCs w:val="21"/>
                    </w:rPr>
                  </w:pPr>
                  <w:r>
                    <w:rPr>
                      <w:bCs/>
                      <w:sz w:val="21"/>
                      <w:szCs w:val="21"/>
                    </w:rPr>
                    <w:t>天然气</w:t>
                  </w:r>
                </w:p>
              </w:tc>
              <w:tc>
                <w:tcPr>
                  <w:tcW w:w="1000" w:type="pct"/>
                  <w:vAlign w:val="center"/>
                </w:tcPr>
                <w:p w14:paraId="0E14BF13">
                  <w:pPr>
                    <w:widowControl/>
                    <w:jc w:val="center"/>
                    <w:rPr>
                      <w:kern w:val="0"/>
                    </w:rPr>
                  </w:pPr>
                  <w:r>
                    <w:rPr>
                      <w:rFonts w:hint="eastAsia"/>
                      <w:kern w:val="0"/>
                    </w:rPr>
                    <w:t>0</w:t>
                  </w:r>
                </w:p>
              </w:tc>
              <w:tc>
                <w:tcPr>
                  <w:tcW w:w="1000" w:type="pct"/>
                  <w:vAlign w:val="center"/>
                </w:tcPr>
                <w:p w14:paraId="736B4F13">
                  <w:pPr>
                    <w:widowControl/>
                    <w:jc w:val="center"/>
                    <w:rPr>
                      <w:kern w:val="0"/>
                      <w:szCs w:val="21"/>
                    </w:rPr>
                  </w:pPr>
                  <w:r>
                    <w:rPr>
                      <w:rFonts w:hint="eastAsia"/>
                      <w:kern w:val="0"/>
                      <w:szCs w:val="21"/>
                    </w:rPr>
                    <w:t>2609.96</w:t>
                  </w:r>
                  <w:r>
                    <w:rPr>
                      <w:kern w:val="0"/>
                      <w:szCs w:val="21"/>
                    </w:rPr>
                    <w:t>万Nm</w:t>
                  </w:r>
                  <w:r>
                    <w:rPr>
                      <w:kern w:val="0"/>
                      <w:szCs w:val="21"/>
                      <w:vertAlign w:val="superscript"/>
                    </w:rPr>
                    <w:t>3</w:t>
                  </w:r>
                  <w:r>
                    <w:rPr>
                      <w:kern w:val="0"/>
                      <w:szCs w:val="21"/>
                    </w:rPr>
                    <w:t>/a</w:t>
                  </w:r>
                </w:p>
              </w:tc>
              <w:tc>
                <w:tcPr>
                  <w:tcW w:w="1000" w:type="pct"/>
                  <w:vAlign w:val="center"/>
                </w:tcPr>
                <w:p w14:paraId="6E4F1489">
                  <w:pPr>
                    <w:widowControl/>
                    <w:jc w:val="center"/>
                    <w:rPr>
                      <w:kern w:val="0"/>
                      <w:szCs w:val="21"/>
                    </w:rPr>
                  </w:pPr>
                  <w:r>
                    <w:rPr>
                      <w:kern w:val="0"/>
                      <w:szCs w:val="21"/>
                    </w:rPr>
                    <w:t>+</w:t>
                  </w:r>
                  <w:r>
                    <w:rPr>
                      <w:rFonts w:hint="eastAsia"/>
                      <w:kern w:val="0"/>
                      <w:szCs w:val="21"/>
                    </w:rPr>
                    <w:t>2609.96</w:t>
                  </w:r>
                  <w:r>
                    <w:rPr>
                      <w:kern w:val="0"/>
                      <w:szCs w:val="21"/>
                    </w:rPr>
                    <w:t>万Nm</w:t>
                  </w:r>
                  <w:r>
                    <w:rPr>
                      <w:kern w:val="0"/>
                      <w:szCs w:val="21"/>
                      <w:vertAlign w:val="superscript"/>
                    </w:rPr>
                    <w:t>3</w:t>
                  </w:r>
                  <w:r>
                    <w:rPr>
                      <w:kern w:val="0"/>
                      <w:szCs w:val="21"/>
                    </w:rPr>
                    <w:t>/a</w:t>
                  </w:r>
                </w:p>
              </w:tc>
            </w:tr>
            <w:tr w14:paraId="029CFA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40" w:type="pct"/>
                  <w:vMerge w:val="continue"/>
                  <w:vAlign w:val="center"/>
                </w:tcPr>
                <w:p w14:paraId="5F94BC6C">
                  <w:pPr>
                    <w:pStyle w:val="119"/>
                    <w:widowControl/>
                    <w:spacing w:beforeLines="0" w:afterLines="0" w:line="240" w:lineRule="auto"/>
                    <w:ind w:firstLine="0" w:firstLineChars="0"/>
                    <w:jc w:val="center"/>
                    <w:rPr>
                      <w:bCs/>
                      <w:sz w:val="21"/>
                      <w:szCs w:val="21"/>
                    </w:rPr>
                  </w:pPr>
                </w:p>
              </w:tc>
              <w:tc>
                <w:tcPr>
                  <w:tcW w:w="1559" w:type="pct"/>
                  <w:vAlign w:val="center"/>
                </w:tcPr>
                <w:p w14:paraId="4327E9F8">
                  <w:pPr>
                    <w:pStyle w:val="119"/>
                    <w:widowControl/>
                    <w:spacing w:beforeLines="0" w:afterLines="0" w:line="240" w:lineRule="auto"/>
                    <w:ind w:firstLine="0" w:firstLineChars="0"/>
                    <w:jc w:val="center"/>
                    <w:rPr>
                      <w:bCs/>
                      <w:sz w:val="21"/>
                      <w:szCs w:val="21"/>
                    </w:rPr>
                  </w:pPr>
                  <w:r>
                    <w:rPr>
                      <w:bCs/>
                      <w:sz w:val="21"/>
                      <w:szCs w:val="21"/>
                    </w:rPr>
                    <w:t>电</w:t>
                  </w:r>
                </w:p>
              </w:tc>
              <w:tc>
                <w:tcPr>
                  <w:tcW w:w="1000" w:type="pct"/>
                  <w:vAlign w:val="center"/>
                </w:tcPr>
                <w:p w14:paraId="6A3A35AE">
                  <w:pPr>
                    <w:widowControl/>
                    <w:jc w:val="center"/>
                    <w:rPr>
                      <w:kern w:val="0"/>
                    </w:rPr>
                  </w:pPr>
                  <w:r>
                    <w:rPr>
                      <w:rFonts w:hint="eastAsia"/>
                      <w:kern w:val="0"/>
                    </w:rPr>
                    <w:t>3600万kw</w:t>
                  </w:r>
                  <w:r>
                    <w:rPr>
                      <w:rFonts w:hint="eastAsia" w:ascii="宋体" w:hAnsi="宋体"/>
                      <w:kern w:val="0"/>
                    </w:rPr>
                    <w:t>•</w:t>
                  </w:r>
                  <w:r>
                    <w:rPr>
                      <w:rFonts w:hint="eastAsia"/>
                      <w:kern w:val="0"/>
                    </w:rPr>
                    <w:t>h</w:t>
                  </w:r>
                </w:p>
              </w:tc>
              <w:tc>
                <w:tcPr>
                  <w:tcW w:w="1000" w:type="pct"/>
                  <w:vAlign w:val="center"/>
                </w:tcPr>
                <w:p w14:paraId="5143BCE6">
                  <w:pPr>
                    <w:widowControl/>
                    <w:jc w:val="center"/>
                    <w:rPr>
                      <w:kern w:val="0"/>
                      <w:szCs w:val="21"/>
                    </w:rPr>
                  </w:pPr>
                  <w:r>
                    <w:rPr>
                      <w:rFonts w:hint="eastAsia"/>
                      <w:kern w:val="0"/>
                      <w:szCs w:val="21"/>
                    </w:rPr>
                    <w:t>5320</w:t>
                  </w:r>
                  <w:r>
                    <w:rPr>
                      <w:kern w:val="0"/>
                      <w:szCs w:val="21"/>
                    </w:rPr>
                    <w:t>万kw•h</w:t>
                  </w:r>
                </w:p>
              </w:tc>
              <w:tc>
                <w:tcPr>
                  <w:tcW w:w="1000" w:type="pct"/>
                  <w:vAlign w:val="center"/>
                </w:tcPr>
                <w:p w14:paraId="5617735C">
                  <w:pPr>
                    <w:widowControl/>
                    <w:jc w:val="center"/>
                    <w:rPr>
                      <w:kern w:val="0"/>
                      <w:szCs w:val="21"/>
                    </w:rPr>
                  </w:pPr>
                  <w:r>
                    <w:rPr>
                      <w:rFonts w:hint="eastAsia"/>
                      <w:kern w:val="0"/>
                      <w:szCs w:val="21"/>
                    </w:rPr>
                    <w:t>+1720</w:t>
                  </w:r>
                  <w:r>
                    <w:rPr>
                      <w:kern w:val="0"/>
                      <w:szCs w:val="21"/>
                    </w:rPr>
                    <w:t>万kw•h</w:t>
                  </w:r>
                </w:p>
              </w:tc>
            </w:tr>
          </w:tbl>
          <w:p w14:paraId="223830A4">
            <w:pPr>
              <w:pStyle w:val="2"/>
              <w:spacing w:beforeLines="50"/>
              <w:jc w:val="center"/>
              <w:rPr>
                <w:rFonts w:ascii="Times New Roman"/>
                <w:b/>
                <w:color w:val="auto"/>
                <w:sz w:val="21"/>
              </w:rPr>
            </w:pPr>
            <w:r>
              <w:rPr>
                <w:rFonts w:ascii="Times New Roman"/>
                <w:b/>
                <w:color w:val="auto"/>
                <w:sz w:val="21"/>
              </w:rPr>
              <w:t>表</w:t>
            </w:r>
            <w:r>
              <w:rPr>
                <w:rFonts w:hint="eastAsia" w:ascii="Times New Roman"/>
                <w:b/>
                <w:color w:val="auto"/>
                <w:sz w:val="21"/>
              </w:rPr>
              <w:t xml:space="preserve">2-8 </w:t>
            </w:r>
            <w:r>
              <w:rPr>
                <w:rFonts w:ascii="Times New Roman"/>
                <w:b/>
                <w:color w:val="auto"/>
                <w:sz w:val="21"/>
              </w:rPr>
              <w:t xml:space="preserve"> 原辅材料理化性质一览表</w:t>
            </w:r>
          </w:p>
          <w:tbl>
            <w:tblPr>
              <w:tblStyle w:val="32"/>
              <w:tblW w:w="939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4716"/>
              <w:gridCol w:w="1843"/>
              <w:gridCol w:w="2006"/>
            </w:tblGrid>
            <w:tr w14:paraId="62F04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28" w:type="dxa"/>
                  <w:vAlign w:val="center"/>
                </w:tcPr>
                <w:p w14:paraId="15D82437">
                  <w:pPr>
                    <w:pStyle w:val="2"/>
                    <w:jc w:val="center"/>
                    <w:rPr>
                      <w:rFonts w:ascii="Times New Roman"/>
                      <w:b/>
                      <w:color w:val="auto"/>
                      <w:sz w:val="21"/>
                    </w:rPr>
                  </w:pPr>
                  <w:r>
                    <w:rPr>
                      <w:rFonts w:ascii="Times New Roman"/>
                      <w:b/>
                      <w:color w:val="auto"/>
                      <w:sz w:val="21"/>
                    </w:rPr>
                    <w:t>名称</w:t>
                  </w:r>
                </w:p>
              </w:tc>
              <w:tc>
                <w:tcPr>
                  <w:tcW w:w="4716" w:type="dxa"/>
                  <w:vAlign w:val="center"/>
                </w:tcPr>
                <w:p w14:paraId="0449F4EB">
                  <w:pPr>
                    <w:pStyle w:val="2"/>
                    <w:jc w:val="center"/>
                    <w:rPr>
                      <w:rFonts w:ascii="Times New Roman"/>
                      <w:b/>
                      <w:color w:val="auto"/>
                      <w:sz w:val="21"/>
                    </w:rPr>
                  </w:pPr>
                  <w:r>
                    <w:rPr>
                      <w:rFonts w:ascii="Times New Roman"/>
                      <w:b/>
                      <w:color w:val="auto"/>
                      <w:sz w:val="21"/>
                    </w:rPr>
                    <w:t>理化性质</w:t>
                  </w:r>
                </w:p>
              </w:tc>
              <w:tc>
                <w:tcPr>
                  <w:tcW w:w="1843" w:type="dxa"/>
                  <w:vAlign w:val="center"/>
                </w:tcPr>
                <w:p w14:paraId="59508453">
                  <w:pPr>
                    <w:pStyle w:val="2"/>
                    <w:jc w:val="center"/>
                    <w:rPr>
                      <w:rFonts w:ascii="Times New Roman"/>
                      <w:b/>
                      <w:color w:val="auto"/>
                      <w:sz w:val="21"/>
                    </w:rPr>
                  </w:pPr>
                  <w:r>
                    <w:rPr>
                      <w:rFonts w:hint="eastAsia" w:ascii="Times New Roman"/>
                      <w:b/>
                      <w:color w:val="auto"/>
                      <w:sz w:val="21"/>
                    </w:rPr>
                    <w:t>燃烧爆炸性</w:t>
                  </w:r>
                </w:p>
              </w:tc>
              <w:tc>
                <w:tcPr>
                  <w:tcW w:w="2006" w:type="dxa"/>
                  <w:vAlign w:val="center"/>
                </w:tcPr>
                <w:p w14:paraId="2612DF07">
                  <w:pPr>
                    <w:pStyle w:val="2"/>
                    <w:jc w:val="center"/>
                    <w:rPr>
                      <w:rFonts w:ascii="Times New Roman"/>
                      <w:b/>
                      <w:color w:val="auto"/>
                      <w:sz w:val="21"/>
                    </w:rPr>
                  </w:pPr>
                  <w:r>
                    <w:rPr>
                      <w:rFonts w:hint="eastAsia" w:ascii="Times New Roman"/>
                      <w:b/>
                      <w:color w:val="auto"/>
                      <w:sz w:val="21"/>
                    </w:rPr>
                    <w:t>毒性毒理</w:t>
                  </w:r>
                </w:p>
              </w:tc>
            </w:tr>
            <w:tr w14:paraId="305B5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28" w:type="dxa"/>
                  <w:vAlign w:val="center"/>
                </w:tcPr>
                <w:p w14:paraId="6312EE2F">
                  <w:pPr>
                    <w:pStyle w:val="2"/>
                    <w:jc w:val="center"/>
                    <w:rPr>
                      <w:rFonts w:ascii="Times New Roman"/>
                      <w:color w:val="auto"/>
                      <w:sz w:val="21"/>
                    </w:rPr>
                  </w:pPr>
                  <w:r>
                    <w:rPr>
                      <w:rFonts w:hint="eastAsia" w:ascii="Times New Roman"/>
                      <w:color w:val="auto"/>
                      <w:sz w:val="21"/>
                    </w:rPr>
                    <w:t>硼砂</w:t>
                  </w:r>
                </w:p>
              </w:tc>
              <w:tc>
                <w:tcPr>
                  <w:tcW w:w="4716" w:type="dxa"/>
                  <w:vAlign w:val="center"/>
                </w:tcPr>
                <w:p w14:paraId="1817F40D">
                  <w:pPr>
                    <w:pStyle w:val="2"/>
                    <w:jc w:val="center"/>
                    <w:rPr>
                      <w:sz w:val="21"/>
                      <w:szCs w:val="21"/>
                    </w:rPr>
                  </w:pPr>
                  <w:r>
                    <w:rPr>
                      <w:rFonts w:hint="eastAsia"/>
                      <w:sz w:val="21"/>
                      <w:szCs w:val="21"/>
                    </w:rPr>
                    <w:t>分子式：</w:t>
                  </w:r>
                  <w:r>
                    <w:rPr>
                      <w:rFonts w:ascii="Times New Roman"/>
                      <w:sz w:val="21"/>
                      <w:szCs w:val="21"/>
                    </w:rPr>
                    <w:t>Na</w:t>
                  </w:r>
                  <w:r>
                    <w:rPr>
                      <w:rFonts w:ascii="Times New Roman"/>
                      <w:sz w:val="14"/>
                      <w:szCs w:val="14"/>
                    </w:rPr>
                    <w:t>2</w:t>
                  </w:r>
                  <w:r>
                    <w:rPr>
                      <w:rFonts w:ascii="Times New Roman"/>
                      <w:sz w:val="21"/>
                      <w:szCs w:val="21"/>
                    </w:rPr>
                    <w:t>B</w:t>
                  </w:r>
                  <w:r>
                    <w:rPr>
                      <w:rFonts w:ascii="Times New Roman"/>
                      <w:sz w:val="14"/>
                      <w:szCs w:val="14"/>
                    </w:rPr>
                    <w:t>4</w:t>
                  </w:r>
                  <w:r>
                    <w:rPr>
                      <w:rFonts w:ascii="Times New Roman"/>
                      <w:sz w:val="21"/>
                      <w:szCs w:val="21"/>
                    </w:rPr>
                    <w:t>O</w:t>
                  </w:r>
                  <w:r>
                    <w:rPr>
                      <w:rFonts w:ascii="Times New Roman"/>
                      <w:sz w:val="14"/>
                      <w:szCs w:val="14"/>
                    </w:rPr>
                    <w:t>7</w:t>
                  </w:r>
                  <w:r>
                    <w:rPr>
                      <w:rFonts w:ascii="Times New Roman"/>
                      <w:sz w:val="21"/>
                      <w:szCs w:val="21"/>
                    </w:rPr>
                    <w:t>·10H</w:t>
                  </w:r>
                  <w:r>
                    <w:rPr>
                      <w:rFonts w:ascii="Times New Roman"/>
                      <w:sz w:val="14"/>
                      <w:szCs w:val="14"/>
                    </w:rPr>
                    <w:t>2</w:t>
                  </w:r>
                  <w:r>
                    <w:rPr>
                      <w:rFonts w:ascii="Times New Roman"/>
                      <w:sz w:val="21"/>
                      <w:szCs w:val="21"/>
                    </w:rPr>
                    <w:t>O</w:t>
                  </w:r>
                  <w:r>
                    <w:rPr>
                      <w:rFonts w:hint="eastAsia"/>
                      <w:sz w:val="21"/>
                      <w:szCs w:val="21"/>
                    </w:rPr>
                    <w:t>，</w:t>
                  </w:r>
                  <w:r>
                    <w:rPr>
                      <w:rFonts w:ascii="Times New Roman"/>
                      <w:sz w:val="21"/>
                      <w:szCs w:val="21"/>
                    </w:rPr>
                    <w:t>CAS No</w:t>
                  </w:r>
                  <w:r>
                    <w:rPr>
                      <w:rFonts w:hint="eastAsia" w:ascii="Times New Roman"/>
                      <w:sz w:val="21"/>
                      <w:szCs w:val="21"/>
                    </w:rPr>
                    <w:t>.：</w:t>
                  </w:r>
                  <w:r>
                    <w:rPr>
                      <w:rFonts w:ascii="Times New Roman"/>
                      <w:sz w:val="21"/>
                      <w:szCs w:val="21"/>
                    </w:rPr>
                    <w:t>1303-96-4</w:t>
                  </w:r>
                  <w:r>
                    <w:rPr>
                      <w:rFonts w:hint="eastAsia"/>
                      <w:sz w:val="21"/>
                      <w:szCs w:val="21"/>
                    </w:rPr>
                    <w:t>，分子量：</w:t>
                  </w:r>
                  <w:r>
                    <w:rPr>
                      <w:rFonts w:ascii="Times New Roman"/>
                      <w:sz w:val="21"/>
                      <w:szCs w:val="21"/>
                    </w:rPr>
                    <w:t>291.3</w:t>
                  </w:r>
                  <w:r>
                    <w:rPr>
                      <w:rFonts w:hint="eastAsia"/>
                      <w:sz w:val="21"/>
                      <w:szCs w:val="21"/>
                    </w:rPr>
                    <w:t>，熔点：</w:t>
                  </w:r>
                  <w:r>
                    <w:rPr>
                      <w:rFonts w:ascii="Times New Roman"/>
                      <w:sz w:val="21"/>
                      <w:szCs w:val="21"/>
                    </w:rPr>
                    <w:t>880</w:t>
                  </w:r>
                  <w:r>
                    <w:rPr>
                      <w:rFonts w:hint="eastAsia"/>
                      <w:sz w:val="21"/>
                      <w:szCs w:val="21"/>
                    </w:rPr>
                    <w:t>℃，沸点：</w:t>
                  </w:r>
                  <w:r>
                    <w:rPr>
                      <w:rFonts w:ascii="Times New Roman"/>
                      <w:sz w:val="21"/>
                      <w:szCs w:val="21"/>
                    </w:rPr>
                    <w:t>1575</w:t>
                  </w:r>
                  <w:r>
                    <w:rPr>
                      <w:rFonts w:hint="eastAsia"/>
                      <w:sz w:val="21"/>
                      <w:szCs w:val="21"/>
                    </w:rPr>
                    <w:t>℃</w:t>
                  </w:r>
                  <w:r>
                    <w:rPr>
                      <w:rFonts w:ascii="Times New Roman"/>
                      <w:sz w:val="21"/>
                      <w:szCs w:val="21"/>
                    </w:rPr>
                    <w:t>(2.0kPa)</w:t>
                  </w:r>
                  <w:r>
                    <w:rPr>
                      <w:rFonts w:hint="eastAsia"/>
                      <w:sz w:val="21"/>
                      <w:szCs w:val="21"/>
                    </w:rPr>
                    <w:t>，闪点</w:t>
                  </w:r>
                  <w:r>
                    <w:rPr>
                      <w:rFonts w:ascii="Times New Roman"/>
                      <w:sz w:val="21"/>
                      <w:szCs w:val="21"/>
                    </w:rPr>
                    <w:t>:119</w:t>
                  </w:r>
                  <w:r>
                    <w:rPr>
                      <w:rFonts w:hint="eastAsia"/>
                      <w:sz w:val="21"/>
                      <w:szCs w:val="21"/>
                    </w:rPr>
                    <w:t>℃，相对密度：</w:t>
                  </w:r>
                  <w:r>
                    <w:rPr>
                      <w:rFonts w:ascii="Times New Roman"/>
                      <w:sz w:val="21"/>
                      <w:szCs w:val="21"/>
                    </w:rPr>
                    <w:t>1.69~1.72</w:t>
                  </w:r>
                  <w:r>
                    <w:rPr>
                      <w:rFonts w:hint="eastAsia"/>
                      <w:sz w:val="21"/>
                      <w:szCs w:val="21"/>
                    </w:rPr>
                    <w:t>，常温下为无色半透明晶体或白色结晶粉末，易溶于水和甘油中，微溶于酒精，水溶液呈强碱性。</w:t>
                  </w:r>
                </w:p>
              </w:tc>
              <w:tc>
                <w:tcPr>
                  <w:tcW w:w="1843" w:type="dxa"/>
                  <w:vAlign w:val="center"/>
                </w:tcPr>
                <w:p w14:paraId="72454896">
                  <w:pPr>
                    <w:pStyle w:val="2"/>
                    <w:jc w:val="center"/>
                    <w:rPr>
                      <w:sz w:val="21"/>
                      <w:szCs w:val="21"/>
                    </w:rPr>
                  </w:pPr>
                  <w:r>
                    <w:rPr>
                      <w:rFonts w:hint="eastAsia"/>
                      <w:sz w:val="21"/>
                      <w:szCs w:val="21"/>
                    </w:rPr>
                    <w:t>不易燃，可作为灭火介质使用，燃烧产生有毒硼化物和氧化钠气体</w:t>
                  </w:r>
                  <w:r>
                    <w:rPr>
                      <w:sz w:val="21"/>
                      <w:szCs w:val="21"/>
                    </w:rPr>
                    <w:t xml:space="preserve"> </w:t>
                  </w:r>
                </w:p>
              </w:tc>
              <w:tc>
                <w:tcPr>
                  <w:tcW w:w="2006" w:type="dxa"/>
                  <w:vAlign w:val="center"/>
                </w:tcPr>
                <w:p w14:paraId="4909A43E">
                  <w:pPr>
                    <w:pStyle w:val="2"/>
                    <w:jc w:val="center"/>
                    <w:rPr>
                      <w:rFonts w:ascii="Times New Roman"/>
                      <w:sz w:val="21"/>
                      <w:szCs w:val="21"/>
                    </w:rPr>
                  </w:pPr>
                  <w:r>
                    <w:rPr>
                      <w:rFonts w:hint="eastAsia"/>
                      <w:sz w:val="21"/>
                      <w:szCs w:val="21"/>
                    </w:rPr>
                    <w:t>半数致死量</w:t>
                  </w:r>
                  <w:r>
                    <w:rPr>
                      <w:rFonts w:ascii="Times New Roman"/>
                      <w:sz w:val="21"/>
                      <w:szCs w:val="21"/>
                    </w:rPr>
                    <w:t>(</w:t>
                  </w:r>
                  <w:r>
                    <w:rPr>
                      <w:rFonts w:hint="eastAsia"/>
                      <w:sz w:val="21"/>
                      <w:szCs w:val="21"/>
                    </w:rPr>
                    <w:t>大鼠，经口</w:t>
                  </w:r>
                  <w:r>
                    <w:rPr>
                      <w:rFonts w:ascii="Times New Roman"/>
                      <w:sz w:val="21"/>
                      <w:szCs w:val="21"/>
                    </w:rPr>
                    <w:t xml:space="preserve">) 2660mg/kg </w:t>
                  </w:r>
                </w:p>
              </w:tc>
            </w:tr>
            <w:tr w14:paraId="1B5CC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28" w:type="dxa"/>
                  <w:vAlign w:val="center"/>
                </w:tcPr>
                <w:p w14:paraId="47226F2C">
                  <w:pPr>
                    <w:pStyle w:val="2"/>
                    <w:jc w:val="center"/>
                    <w:rPr>
                      <w:rFonts w:ascii="Times New Roman"/>
                      <w:color w:val="auto"/>
                      <w:sz w:val="21"/>
                    </w:rPr>
                  </w:pPr>
                  <w:r>
                    <w:rPr>
                      <w:rFonts w:ascii="Times New Roman"/>
                      <w:color w:val="auto"/>
                      <w:sz w:val="21"/>
                    </w:rPr>
                    <w:t>石墨</w:t>
                  </w:r>
                </w:p>
              </w:tc>
              <w:tc>
                <w:tcPr>
                  <w:tcW w:w="4716" w:type="dxa"/>
                  <w:vAlign w:val="center"/>
                </w:tcPr>
                <w:p w14:paraId="4B005C04">
                  <w:pPr>
                    <w:pStyle w:val="2"/>
                    <w:jc w:val="center"/>
                    <w:rPr>
                      <w:sz w:val="21"/>
                      <w:szCs w:val="21"/>
                    </w:rPr>
                  </w:pPr>
                  <w:r>
                    <w:rPr>
                      <w:rFonts w:hint="eastAsia"/>
                      <w:sz w:val="21"/>
                      <w:szCs w:val="21"/>
                    </w:rPr>
                    <w:t>分子式：</w:t>
                  </w:r>
                  <w:r>
                    <w:rPr>
                      <w:rFonts w:ascii="Times New Roman"/>
                      <w:sz w:val="21"/>
                      <w:szCs w:val="21"/>
                    </w:rPr>
                    <w:t>C</w:t>
                  </w:r>
                  <w:r>
                    <w:rPr>
                      <w:rFonts w:ascii="Times New Roman"/>
                      <w:sz w:val="14"/>
                      <w:szCs w:val="14"/>
                    </w:rPr>
                    <w:t>24</w:t>
                  </w:r>
                  <w:r>
                    <w:rPr>
                      <w:rFonts w:ascii="Times New Roman"/>
                      <w:sz w:val="21"/>
                      <w:szCs w:val="21"/>
                    </w:rPr>
                    <w:t>X</w:t>
                  </w:r>
                  <w:r>
                    <w:rPr>
                      <w:rFonts w:ascii="Times New Roman"/>
                      <w:sz w:val="14"/>
                      <w:szCs w:val="14"/>
                    </w:rPr>
                    <w:t>12</w:t>
                  </w:r>
                  <w:r>
                    <w:rPr>
                      <w:rFonts w:hint="eastAsia"/>
                      <w:sz w:val="21"/>
                      <w:szCs w:val="21"/>
                    </w:rPr>
                    <w:t>，</w:t>
                  </w:r>
                  <w:r>
                    <w:rPr>
                      <w:rFonts w:ascii="Times New Roman"/>
                      <w:sz w:val="21"/>
                      <w:szCs w:val="21"/>
                    </w:rPr>
                    <w:t>CAS No.：7782-42-5</w:t>
                  </w:r>
                  <w:r>
                    <w:rPr>
                      <w:rFonts w:hint="eastAsia"/>
                      <w:sz w:val="21"/>
                      <w:szCs w:val="21"/>
                    </w:rPr>
                    <w:t>，分子量：</w:t>
                  </w:r>
                  <w:r>
                    <w:rPr>
                      <w:rFonts w:ascii="Times New Roman"/>
                      <w:sz w:val="21"/>
                      <w:szCs w:val="21"/>
                    </w:rPr>
                    <w:t>288.26</w:t>
                  </w:r>
                  <w:r>
                    <w:rPr>
                      <w:rFonts w:hint="eastAsia"/>
                      <w:sz w:val="21"/>
                      <w:szCs w:val="21"/>
                    </w:rPr>
                    <w:t>，熔点：</w:t>
                  </w:r>
                  <w:r>
                    <w:rPr>
                      <w:rFonts w:ascii="Times New Roman"/>
                      <w:sz w:val="21"/>
                      <w:szCs w:val="21"/>
                    </w:rPr>
                    <w:t>3652</w:t>
                  </w:r>
                  <w:r>
                    <w:rPr>
                      <w:rFonts w:hint="eastAsia"/>
                      <w:sz w:val="21"/>
                      <w:szCs w:val="21"/>
                    </w:rPr>
                    <w:t>℃，沸点</w:t>
                  </w:r>
                  <w:r>
                    <w:rPr>
                      <w:rFonts w:ascii="Times New Roman"/>
                      <w:sz w:val="21"/>
                      <w:szCs w:val="21"/>
                    </w:rPr>
                    <w:t>:4827</w:t>
                  </w:r>
                  <w:r>
                    <w:rPr>
                      <w:rFonts w:hint="eastAsia"/>
                      <w:sz w:val="21"/>
                      <w:szCs w:val="21"/>
                    </w:rPr>
                    <w:t>℃（</w:t>
                  </w:r>
                  <w:r>
                    <w:rPr>
                      <w:rFonts w:ascii="Times New Roman"/>
                      <w:sz w:val="21"/>
                      <w:szCs w:val="21"/>
                    </w:rPr>
                    <w:t>2.0kPa</w:t>
                  </w:r>
                  <w:r>
                    <w:rPr>
                      <w:rFonts w:hint="eastAsia"/>
                      <w:sz w:val="21"/>
                      <w:szCs w:val="21"/>
                    </w:rPr>
                    <w:t>），相对密度：</w:t>
                  </w:r>
                  <w:r>
                    <w:rPr>
                      <w:rFonts w:ascii="Times New Roman"/>
                      <w:sz w:val="21"/>
                      <w:szCs w:val="21"/>
                    </w:rPr>
                    <w:t>2.25</w:t>
                  </w:r>
                  <w:r>
                    <w:rPr>
                      <w:rFonts w:hint="eastAsia"/>
                      <w:sz w:val="21"/>
                      <w:szCs w:val="21"/>
                    </w:rPr>
                    <w:t>，石墨是元素碳的一种同素异形体，每个碳原子的周边连结着另外三个碳原子（排列方式呈蜂巢式的多个六边形）以共价键结合，构成共价分子。具有耐高温性、导电、导热性、润滑性、化学稳定性等。</w:t>
                  </w:r>
                  <w:r>
                    <w:rPr>
                      <w:sz w:val="21"/>
                      <w:szCs w:val="21"/>
                    </w:rPr>
                    <w:t xml:space="preserve"> </w:t>
                  </w:r>
                </w:p>
              </w:tc>
              <w:tc>
                <w:tcPr>
                  <w:tcW w:w="1843" w:type="dxa"/>
                  <w:vAlign w:val="center"/>
                </w:tcPr>
                <w:p w14:paraId="74F5E30E">
                  <w:pPr>
                    <w:pStyle w:val="2"/>
                    <w:jc w:val="center"/>
                    <w:rPr>
                      <w:rFonts w:ascii="Times New Roman"/>
                      <w:color w:val="auto"/>
                      <w:sz w:val="21"/>
                    </w:rPr>
                  </w:pPr>
                  <w:r>
                    <w:rPr>
                      <w:rFonts w:ascii="Times New Roman"/>
                      <w:color w:val="auto"/>
                      <w:sz w:val="21"/>
                    </w:rPr>
                    <w:t>不易燃</w:t>
                  </w:r>
                </w:p>
              </w:tc>
              <w:tc>
                <w:tcPr>
                  <w:tcW w:w="2006" w:type="dxa"/>
                  <w:vAlign w:val="center"/>
                </w:tcPr>
                <w:p w14:paraId="1C53C654">
                  <w:pPr>
                    <w:pStyle w:val="2"/>
                    <w:jc w:val="center"/>
                    <w:rPr>
                      <w:rFonts w:ascii="Times New Roman"/>
                      <w:color w:val="auto"/>
                      <w:sz w:val="21"/>
                    </w:rPr>
                  </w:pPr>
                  <w:r>
                    <w:rPr>
                      <w:rFonts w:ascii="Times New Roman"/>
                      <w:color w:val="auto"/>
                      <w:sz w:val="21"/>
                    </w:rPr>
                    <w:t>无资料</w:t>
                  </w:r>
                </w:p>
              </w:tc>
            </w:tr>
            <w:tr w14:paraId="254B9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28" w:type="dxa"/>
                  <w:vAlign w:val="center"/>
                </w:tcPr>
                <w:p w14:paraId="05C6F56C">
                  <w:pPr>
                    <w:pStyle w:val="2"/>
                    <w:jc w:val="center"/>
                    <w:rPr>
                      <w:rFonts w:ascii="Times New Roman"/>
                      <w:color w:val="auto"/>
                      <w:sz w:val="21"/>
                    </w:rPr>
                  </w:pPr>
                  <w:r>
                    <w:rPr>
                      <w:bCs/>
                      <w:sz w:val="21"/>
                      <w:szCs w:val="21"/>
                    </w:rPr>
                    <w:t>润滑油</w:t>
                  </w:r>
                </w:p>
              </w:tc>
              <w:tc>
                <w:tcPr>
                  <w:tcW w:w="4716" w:type="dxa"/>
                  <w:vAlign w:val="center"/>
                </w:tcPr>
                <w:p w14:paraId="25F5BFEE">
                  <w:pPr>
                    <w:pStyle w:val="2"/>
                    <w:jc w:val="center"/>
                    <w:rPr>
                      <w:sz w:val="21"/>
                      <w:szCs w:val="21"/>
                    </w:rPr>
                  </w:pPr>
                  <w:r>
                    <w:rPr>
                      <w:sz w:val="21"/>
                      <w:szCs w:val="21"/>
                    </w:rPr>
                    <w:t>用在各种类型汽车、机械设备上以减少摩擦，保护机械及加工件的液体或半固体润滑剂，主要起润滑、辅助冷却、</w:t>
                  </w:r>
                  <w:r>
                    <w:fldChar w:fldCharType="begin"/>
                  </w:r>
                  <w:r>
                    <w:instrText xml:space="preserve"> HYPERLINK "https://baike.baidu.com/item/%E9%98%B2%E9%94%88/4591680" \t "_blank" </w:instrText>
                  </w:r>
                  <w:r>
                    <w:fldChar w:fldCharType="separate"/>
                  </w:r>
                  <w:r>
                    <w:t>防锈</w:t>
                  </w:r>
                  <w:r>
                    <w:fldChar w:fldCharType="end"/>
                  </w:r>
                  <w:r>
                    <w:rPr>
                      <w:sz w:val="21"/>
                      <w:szCs w:val="21"/>
                    </w:rPr>
                    <w:t>、清洁、</w:t>
                  </w:r>
                  <w:r>
                    <w:fldChar w:fldCharType="begin"/>
                  </w:r>
                  <w:r>
                    <w:instrText xml:space="preserve"> HYPERLINK "https://baike.baidu.com/item/%E5%AF%86%E5%B0%81/7558996" \t "_blank" </w:instrText>
                  </w:r>
                  <w:r>
                    <w:fldChar w:fldCharType="separate"/>
                  </w:r>
                  <w:r>
                    <w:t>密封</w:t>
                  </w:r>
                  <w:r>
                    <w:fldChar w:fldCharType="end"/>
                  </w:r>
                  <w:r>
                    <w:rPr>
                      <w:sz w:val="21"/>
                      <w:szCs w:val="21"/>
                    </w:rPr>
                    <w:t>和缓冲等作用。</w:t>
                  </w:r>
                  <w:r>
                    <w:rPr>
                      <w:bCs/>
                      <w:sz w:val="21"/>
                      <w:szCs w:val="21"/>
                    </w:rPr>
                    <w:t>润滑油</w:t>
                  </w:r>
                  <w:r>
                    <w:rPr>
                      <w:sz w:val="21"/>
                      <w:szCs w:val="21"/>
                    </w:rPr>
                    <w:t>是一种技术密集型产品，是复杂的碳氢化合物的混合物，而其真正使用性能又是复杂的物理或化学变化过程的综合效应。润滑油一般由基础油和添加剂两部分组成。基础油是润滑油的主要成分，决定着润滑油的基本性质，添加剂则可弥补和改善基础油性能方面的不足，赋予某些新的性能，是润滑油的重要组成部分。</w:t>
                  </w:r>
                </w:p>
              </w:tc>
              <w:tc>
                <w:tcPr>
                  <w:tcW w:w="1843" w:type="dxa"/>
                  <w:vAlign w:val="center"/>
                </w:tcPr>
                <w:p w14:paraId="414D0E49">
                  <w:pPr>
                    <w:pStyle w:val="2"/>
                    <w:jc w:val="center"/>
                    <w:rPr>
                      <w:sz w:val="21"/>
                      <w:szCs w:val="21"/>
                    </w:rPr>
                  </w:pPr>
                  <w:r>
                    <w:rPr>
                      <w:sz w:val="21"/>
                      <w:szCs w:val="21"/>
                    </w:rPr>
                    <w:t>可燃</w:t>
                  </w:r>
                </w:p>
              </w:tc>
              <w:tc>
                <w:tcPr>
                  <w:tcW w:w="2006" w:type="dxa"/>
                  <w:vAlign w:val="center"/>
                </w:tcPr>
                <w:p w14:paraId="1398BC07">
                  <w:pPr>
                    <w:pStyle w:val="2"/>
                    <w:jc w:val="center"/>
                    <w:rPr>
                      <w:sz w:val="21"/>
                      <w:szCs w:val="21"/>
                    </w:rPr>
                  </w:pPr>
                  <w:r>
                    <w:rPr>
                      <w:rFonts w:hint="eastAsia"/>
                      <w:sz w:val="21"/>
                      <w:szCs w:val="21"/>
                    </w:rPr>
                    <w:t>无资料</w:t>
                  </w:r>
                </w:p>
              </w:tc>
            </w:tr>
            <w:tr w14:paraId="120018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28" w:type="dxa"/>
                  <w:vAlign w:val="center"/>
                </w:tcPr>
                <w:p w14:paraId="491FE857">
                  <w:pPr>
                    <w:pStyle w:val="2"/>
                    <w:jc w:val="center"/>
                    <w:rPr>
                      <w:rFonts w:ascii="Times New Roman"/>
                      <w:color w:val="auto"/>
                      <w:sz w:val="21"/>
                    </w:rPr>
                  </w:pPr>
                  <w:r>
                    <w:rPr>
                      <w:rFonts w:ascii="Times New Roman"/>
                      <w:color w:val="auto"/>
                      <w:sz w:val="21"/>
                    </w:rPr>
                    <w:t>氮气</w:t>
                  </w:r>
                </w:p>
              </w:tc>
              <w:tc>
                <w:tcPr>
                  <w:tcW w:w="4716" w:type="dxa"/>
                  <w:vAlign w:val="center"/>
                </w:tcPr>
                <w:p w14:paraId="0D20A921">
                  <w:pPr>
                    <w:pStyle w:val="2"/>
                    <w:jc w:val="center"/>
                    <w:rPr>
                      <w:sz w:val="21"/>
                      <w:szCs w:val="21"/>
                    </w:rPr>
                  </w:pPr>
                  <w:r>
                    <w:rPr>
                      <w:rFonts w:ascii="Times New Roman" w:cs="Times New Roman"/>
                      <w:sz w:val="21"/>
                      <w:szCs w:val="21"/>
                    </w:rPr>
                    <w:t>外观与性状：无色无臭气体；熔点：-209.8℃； 沸点：-195.6℃；相对密度（空气=</w:t>
                  </w:r>
                  <w:r>
                    <w:rPr>
                      <w:rFonts w:hint="eastAsia" w:ascii="Times New Roman" w:cs="Times New Roman"/>
                      <w:sz w:val="21"/>
                      <w:szCs w:val="21"/>
                    </w:rPr>
                    <w:t>1</w:t>
                  </w:r>
                  <w:r>
                    <w:rPr>
                      <w:rFonts w:ascii="Times New Roman" w:cs="Times New Roman"/>
                      <w:sz w:val="21"/>
                      <w:szCs w:val="21"/>
                    </w:rPr>
                    <w:t>）0.97，相对密度（水=</w:t>
                  </w:r>
                  <w:r>
                    <w:rPr>
                      <w:rFonts w:hint="eastAsia" w:ascii="Times New Roman" w:cs="Times New Roman"/>
                      <w:sz w:val="21"/>
                      <w:szCs w:val="21"/>
                    </w:rPr>
                    <w:t>1</w:t>
                  </w:r>
                  <w:r>
                    <w:rPr>
                      <w:rFonts w:ascii="Times New Roman" w:cs="Times New Roman"/>
                      <w:sz w:val="21"/>
                      <w:szCs w:val="21"/>
                    </w:rPr>
                    <w:t>）0.81（-196℃）；蒸汽压：1026.42kPa（-173°C）；溶解性：微溶于水、乙醇</w:t>
                  </w:r>
                </w:p>
              </w:tc>
              <w:tc>
                <w:tcPr>
                  <w:tcW w:w="1843" w:type="dxa"/>
                  <w:vAlign w:val="center"/>
                </w:tcPr>
                <w:p w14:paraId="75EB2F9B">
                  <w:pPr>
                    <w:pStyle w:val="2"/>
                    <w:jc w:val="center"/>
                    <w:rPr>
                      <w:sz w:val="21"/>
                      <w:szCs w:val="21"/>
                    </w:rPr>
                  </w:pPr>
                  <w:r>
                    <w:rPr>
                      <w:sz w:val="21"/>
                      <w:szCs w:val="21"/>
                    </w:rPr>
                    <w:t>若遇高温，容器内压增大，有开裂和爆炸的危险</w:t>
                  </w:r>
                </w:p>
              </w:tc>
              <w:tc>
                <w:tcPr>
                  <w:tcW w:w="2006" w:type="dxa"/>
                  <w:vAlign w:val="center"/>
                </w:tcPr>
                <w:p w14:paraId="3BBF2C96">
                  <w:pPr>
                    <w:pStyle w:val="2"/>
                    <w:jc w:val="center"/>
                    <w:rPr>
                      <w:sz w:val="21"/>
                      <w:szCs w:val="21"/>
                    </w:rPr>
                  </w:pPr>
                  <w:r>
                    <w:rPr>
                      <w:rFonts w:hint="eastAsia"/>
                      <w:sz w:val="21"/>
                      <w:szCs w:val="21"/>
                    </w:rPr>
                    <w:t>无资料</w:t>
                  </w:r>
                </w:p>
              </w:tc>
            </w:tr>
            <w:tr w14:paraId="115DB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28" w:type="dxa"/>
                  <w:vAlign w:val="center"/>
                </w:tcPr>
                <w:p w14:paraId="3A38B5A3">
                  <w:pPr>
                    <w:pStyle w:val="2"/>
                    <w:jc w:val="center"/>
                    <w:rPr>
                      <w:rFonts w:ascii="Times New Roman"/>
                      <w:color w:val="auto"/>
                      <w:sz w:val="21"/>
                    </w:rPr>
                  </w:pPr>
                  <w:r>
                    <w:rPr>
                      <w:rFonts w:ascii="Times New Roman"/>
                      <w:color w:val="auto"/>
                      <w:sz w:val="21"/>
                    </w:rPr>
                    <w:t>天然气</w:t>
                  </w:r>
                </w:p>
              </w:tc>
              <w:tc>
                <w:tcPr>
                  <w:tcW w:w="4716" w:type="dxa"/>
                  <w:vAlign w:val="center"/>
                </w:tcPr>
                <w:p w14:paraId="68D705AA">
                  <w:pPr>
                    <w:pStyle w:val="2"/>
                    <w:jc w:val="center"/>
                    <w:rPr>
                      <w:rFonts w:ascii="Times New Roman" w:cs="Times New Roman"/>
                      <w:sz w:val="21"/>
                      <w:szCs w:val="21"/>
                    </w:rPr>
                  </w:pPr>
                  <w:r>
                    <w:rPr>
                      <w:rFonts w:ascii="Times New Roman" w:cs="Times New Roman"/>
                      <w:sz w:val="21"/>
                      <w:szCs w:val="21"/>
                    </w:rPr>
                    <w:t>无色、无味，比重约0.65，比空气轻，主要成分烷烃，其中甲烷占绝大多数，约占87%，另有少量的乙烷、丙烷和丁烷，此外一般有硫化氢、二氧化碳、氮和水气和少量一氧化碳及微量的稀有气体，如氦和氩等。天然气不溶于水，密度为0.7174kg/Nm</w:t>
                  </w:r>
                  <w:r>
                    <w:rPr>
                      <w:rFonts w:ascii="Times New Roman" w:cs="Times New Roman"/>
                      <w:sz w:val="21"/>
                      <w:szCs w:val="21"/>
                      <w:vertAlign w:val="superscript"/>
                    </w:rPr>
                    <w:t>3</w:t>
                  </w:r>
                  <w:r>
                    <w:rPr>
                      <w:rFonts w:ascii="Times New Roman" w:cs="Times New Roman"/>
                      <w:sz w:val="21"/>
                      <w:szCs w:val="21"/>
                    </w:rPr>
                    <w:t>，相对密度（水）为约0.45（液化），燃点为650℃，爆炸极限（V%）为4.9-15</w:t>
                  </w:r>
                </w:p>
              </w:tc>
              <w:tc>
                <w:tcPr>
                  <w:tcW w:w="1843" w:type="dxa"/>
                  <w:vAlign w:val="center"/>
                </w:tcPr>
                <w:p w14:paraId="3A902632">
                  <w:pPr>
                    <w:pStyle w:val="2"/>
                    <w:jc w:val="center"/>
                    <w:rPr>
                      <w:sz w:val="21"/>
                      <w:szCs w:val="21"/>
                    </w:rPr>
                  </w:pPr>
                  <w:r>
                    <w:rPr>
                      <w:rFonts w:hint="eastAsia"/>
                      <w:sz w:val="21"/>
                      <w:szCs w:val="21"/>
                    </w:rPr>
                    <w:t>极易燃</w:t>
                  </w:r>
                </w:p>
              </w:tc>
              <w:tc>
                <w:tcPr>
                  <w:tcW w:w="2006" w:type="dxa"/>
                  <w:vAlign w:val="center"/>
                </w:tcPr>
                <w:p w14:paraId="417AC653">
                  <w:pPr>
                    <w:pStyle w:val="2"/>
                    <w:jc w:val="center"/>
                    <w:rPr>
                      <w:sz w:val="21"/>
                      <w:szCs w:val="21"/>
                    </w:rPr>
                  </w:pPr>
                  <w:r>
                    <w:rPr>
                      <w:rFonts w:hint="eastAsia"/>
                      <w:sz w:val="21"/>
                      <w:szCs w:val="21"/>
                    </w:rPr>
                    <w:t>无资料</w:t>
                  </w:r>
                </w:p>
              </w:tc>
            </w:tr>
          </w:tbl>
          <w:p w14:paraId="70BF2BE3">
            <w:pPr>
              <w:adjustRightInd w:val="0"/>
              <w:snapToGrid w:val="0"/>
              <w:spacing w:line="360" w:lineRule="auto"/>
              <w:ind w:firstLine="482" w:firstLineChars="200"/>
              <w:rPr>
                <w:b/>
                <w:bCs/>
                <w:sz w:val="24"/>
              </w:rPr>
            </w:pPr>
            <w:r>
              <w:rPr>
                <w:rFonts w:hint="eastAsia"/>
                <w:b/>
                <w:bCs/>
                <w:sz w:val="24"/>
              </w:rPr>
              <w:t>5、</w:t>
            </w:r>
            <w:r>
              <w:rPr>
                <w:b/>
                <w:bCs/>
                <w:sz w:val="24"/>
              </w:rPr>
              <w:t>主要</w:t>
            </w:r>
            <w:r>
              <w:rPr>
                <w:rFonts w:hint="eastAsia"/>
                <w:b/>
                <w:bCs/>
                <w:sz w:val="24"/>
              </w:rPr>
              <w:t>生产</w:t>
            </w:r>
            <w:r>
              <w:rPr>
                <w:b/>
                <w:bCs/>
                <w:sz w:val="24"/>
              </w:rPr>
              <w:t>设备</w:t>
            </w:r>
          </w:p>
          <w:p w14:paraId="1CD488C1">
            <w:pPr>
              <w:widowControl/>
              <w:spacing w:line="360" w:lineRule="auto"/>
              <w:ind w:firstLine="480" w:firstLineChars="200"/>
              <w:rPr>
                <w:sz w:val="24"/>
              </w:rPr>
            </w:pPr>
            <w:r>
              <w:rPr>
                <w:sz w:val="24"/>
              </w:rPr>
              <w:t>项目技改前后</w:t>
            </w:r>
            <w:r>
              <w:rPr>
                <w:rFonts w:hint="eastAsia"/>
                <w:sz w:val="24"/>
              </w:rPr>
              <w:t>主要</w:t>
            </w:r>
            <w:r>
              <w:rPr>
                <w:sz w:val="24"/>
              </w:rPr>
              <w:t>生产设备情况见表</w:t>
            </w:r>
            <w:r>
              <w:rPr>
                <w:rFonts w:hint="eastAsia"/>
                <w:sz w:val="24"/>
              </w:rPr>
              <w:t>2-9。</w:t>
            </w:r>
          </w:p>
          <w:p w14:paraId="7836C478">
            <w:pPr>
              <w:pStyle w:val="2"/>
              <w:spacing w:beforeLines="50"/>
              <w:jc w:val="center"/>
              <w:rPr>
                <w:rFonts w:ascii="Times New Roman"/>
                <w:b/>
                <w:color w:val="auto"/>
                <w:sz w:val="21"/>
              </w:rPr>
            </w:pPr>
            <w:r>
              <w:rPr>
                <w:rFonts w:ascii="Times New Roman"/>
                <w:b/>
                <w:color w:val="auto"/>
                <w:sz w:val="21"/>
              </w:rPr>
              <w:t>表</w:t>
            </w:r>
            <w:r>
              <w:rPr>
                <w:rFonts w:hint="eastAsia" w:ascii="Times New Roman"/>
                <w:b/>
                <w:color w:val="auto"/>
                <w:sz w:val="21"/>
              </w:rPr>
              <w:t>2-9</w:t>
            </w:r>
            <w:r>
              <w:rPr>
                <w:rFonts w:ascii="Times New Roman"/>
                <w:b/>
                <w:color w:val="auto"/>
                <w:sz w:val="21"/>
              </w:rPr>
              <w:t xml:space="preserve">  项目技改前后</w:t>
            </w:r>
            <w:r>
              <w:rPr>
                <w:rFonts w:hint="eastAsia" w:ascii="Times New Roman"/>
                <w:b/>
                <w:color w:val="auto"/>
                <w:sz w:val="21"/>
              </w:rPr>
              <w:t>主要</w:t>
            </w:r>
            <w:r>
              <w:rPr>
                <w:rFonts w:ascii="Times New Roman"/>
                <w:b/>
                <w:color w:val="auto"/>
                <w:sz w:val="21"/>
              </w:rPr>
              <w:t>生产设备情况</w:t>
            </w:r>
          </w:p>
          <w:tbl>
            <w:tblPr>
              <w:tblStyle w:val="31"/>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584"/>
              <w:gridCol w:w="2976"/>
              <w:gridCol w:w="1035"/>
              <w:gridCol w:w="950"/>
              <w:gridCol w:w="1009"/>
              <w:gridCol w:w="2722"/>
            </w:tblGrid>
            <w:tr w14:paraId="74326B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tblHeader/>
                <w:jc w:val="center"/>
              </w:trPr>
              <w:tc>
                <w:tcPr>
                  <w:tcW w:w="315" w:type="pct"/>
                  <w:vAlign w:val="center"/>
                </w:tcPr>
                <w:p w14:paraId="5BBEDC22">
                  <w:pPr>
                    <w:pStyle w:val="119"/>
                    <w:widowControl/>
                    <w:spacing w:beforeLines="0" w:afterLines="0" w:line="240" w:lineRule="auto"/>
                    <w:ind w:firstLine="0" w:firstLineChars="0"/>
                    <w:jc w:val="center"/>
                    <w:rPr>
                      <w:b/>
                      <w:bCs/>
                      <w:sz w:val="21"/>
                      <w:szCs w:val="21"/>
                    </w:rPr>
                  </w:pPr>
                  <w:r>
                    <w:rPr>
                      <w:b/>
                      <w:bCs/>
                      <w:sz w:val="21"/>
                      <w:szCs w:val="21"/>
                    </w:rPr>
                    <w:t>序号</w:t>
                  </w:r>
                </w:p>
              </w:tc>
              <w:tc>
                <w:tcPr>
                  <w:tcW w:w="1604" w:type="pct"/>
                  <w:vAlign w:val="center"/>
                </w:tcPr>
                <w:p w14:paraId="18C76D88">
                  <w:pPr>
                    <w:pStyle w:val="119"/>
                    <w:widowControl/>
                    <w:spacing w:beforeLines="0" w:afterLines="0" w:line="240" w:lineRule="auto"/>
                    <w:ind w:firstLine="0" w:firstLineChars="0"/>
                    <w:jc w:val="center"/>
                    <w:rPr>
                      <w:b/>
                      <w:bCs/>
                      <w:sz w:val="21"/>
                      <w:szCs w:val="21"/>
                    </w:rPr>
                  </w:pPr>
                  <w:r>
                    <w:rPr>
                      <w:b/>
                      <w:bCs/>
                      <w:sz w:val="21"/>
                      <w:szCs w:val="21"/>
                    </w:rPr>
                    <w:t>设备名称</w:t>
                  </w:r>
                </w:p>
              </w:tc>
              <w:tc>
                <w:tcPr>
                  <w:tcW w:w="558" w:type="pct"/>
                  <w:vAlign w:val="center"/>
                </w:tcPr>
                <w:p w14:paraId="2DD673FB">
                  <w:pPr>
                    <w:pStyle w:val="119"/>
                    <w:widowControl/>
                    <w:spacing w:beforeLines="0" w:afterLines="0" w:line="240" w:lineRule="auto"/>
                    <w:ind w:firstLine="0" w:firstLineChars="0"/>
                    <w:jc w:val="center"/>
                    <w:rPr>
                      <w:b/>
                      <w:bCs/>
                      <w:sz w:val="21"/>
                      <w:szCs w:val="21"/>
                    </w:rPr>
                  </w:pPr>
                  <w:r>
                    <w:rPr>
                      <w:b/>
                      <w:bCs/>
                      <w:sz w:val="21"/>
                      <w:szCs w:val="21"/>
                    </w:rPr>
                    <w:t>技改前</w:t>
                  </w:r>
                </w:p>
              </w:tc>
              <w:tc>
                <w:tcPr>
                  <w:tcW w:w="512" w:type="pct"/>
                  <w:vAlign w:val="center"/>
                </w:tcPr>
                <w:p w14:paraId="6D10FE2E">
                  <w:pPr>
                    <w:pStyle w:val="119"/>
                    <w:widowControl/>
                    <w:spacing w:beforeLines="0" w:afterLines="0" w:line="240" w:lineRule="auto"/>
                    <w:ind w:firstLine="0" w:firstLineChars="0"/>
                    <w:jc w:val="center"/>
                    <w:rPr>
                      <w:b/>
                      <w:bCs/>
                      <w:sz w:val="21"/>
                      <w:szCs w:val="21"/>
                    </w:rPr>
                  </w:pPr>
                  <w:r>
                    <w:rPr>
                      <w:b/>
                      <w:bCs/>
                      <w:sz w:val="21"/>
                      <w:szCs w:val="21"/>
                    </w:rPr>
                    <w:t>技改后</w:t>
                  </w:r>
                </w:p>
              </w:tc>
              <w:tc>
                <w:tcPr>
                  <w:tcW w:w="544" w:type="pct"/>
                  <w:vAlign w:val="center"/>
                </w:tcPr>
                <w:p w14:paraId="05F87290">
                  <w:pPr>
                    <w:pStyle w:val="119"/>
                    <w:widowControl/>
                    <w:spacing w:beforeLines="0" w:afterLines="0" w:line="240" w:lineRule="auto"/>
                    <w:ind w:firstLine="0" w:firstLineChars="0"/>
                    <w:jc w:val="center"/>
                    <w:rPr>
                      <w:b/>
                      <w:bCs/>
                      <w:sz w:val="21"/>
                      <w:szCs w:val="21"/>
                    </w:rPr>
                  </w:pPr>
                  <w:r>
                    <w:rPr>
                      <w:b/>
                      <w:bCs/>
                      <w:sz w:val="21"/>
                      <w:szCs w:val="21"/>
                    </w:rPr>
                    <w:t>增减量</w:t>
                  </w:r>
                </w:p>
              </w:tc>
              <w:tc>
                <w:tcPr>
                  <w:tcW w:w="1467" w:type="pct"/>
                  <w:vAlign w:val="center"/>
                </w:tcPr>
                <w:p w14:paraId="69257665">
                  <w:pPr>
                    <w:pStyle w:val="119"/>
                    <w:widowControl/>
                    <w:spacing w:beforeLines="0" w:afterLines="0" w:line="240" w:lineRule="auto"/>
                    <w:ind w:firstLine="0" w:firstLineChars="0"/>
                    <w:jc w:val="center"/>
                    <w:rPr>
                      <w:b/>
                      <w:bCs/>
                      <w:sz w:val="21"/>
                      <w:szCs w:val="21"/>
                    </w:rPr>
                  </w:pPr>
                  <w:r>
                    <w:rPr>
                      <w:b/>
                      <w:bCs/>
                      <w:sz w:val="21"/>
                      <w:szCs w:val="21"/>
                    </w:rPr>
                    <w:t>备注</w:t>
                  </w:r>
                </w:p>
              </w:tc>
            </w:tr>
            <w:tr w14:paraId="73E70A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315" w:type="pct"/>
                  <w:vAlign w:val="center"/>
                </w:tcPr>
                <w:p w14:paraId="02F79571">
                  <w:pPr>
                    <w:pStyle w:val="119"/>
                    <w:widowControl/>
                    <w:spacing w:beforeLines="0" w:afterLines="0" w:line="240" w:lineRule="auto"/>
                    <w:ind w:firstLine="0" w:firstLineChars="0"/>
                    <w:jc w:val="center"/>
                    <w:rPr>
                      <w:bCs/>
                      <w:sz w:val="21"/>
                      <w:szCs w:val="21"/>
                    </w:rPr>
                  </w:pPr>
                  <w:r>
                    <w:rPr>
                      <w:bCs/>
                      <w:sz w:val="21"/>
                      <w:szCs w:val="21"/>
                    </w:rPr>
                    <w:t>1</w:t>
                  </w:r>
                </w:p>
              </w:tc>
              <w:tc>
                <w:tcPr>
                  <w:tcW w:w="1604" w:type="pct"/>
                  <w:vAlign w:val="center"/>
                </w:tcPr>
                <w:p w14:paraId="5A6AB547">
                  <w:pPr>
                    <w:pStyle w:val="119"/>
                    <w:widowControl/>
                    <w:spacing w:beforeLines="0" w:afterLines="0" w:line="240" w:lineRule="auto"/>
                    <w:ind w:firstLine="0" w:firstLineChars="0"/>
                    <w:jc w:val="center"/>
                    <w:rPr>
                      <w:bCs/>
                      <w:sz w:val="21"/>
                      <w:szCs w:val="21"/>
                    </w:rPr>
                  </w:pPr>
                  <w:r>
                    <w:rPr>
                      <w:bCs/>
                      <w:sz w:val="21"/>
                      <w:szCs w:val="21"/>
                    </w:rPr>
                    <w:t>环形加热炉</w:t>
                  </w:r>
                </w:p>
              </w:tc>
              <w:tc>
                <w:tcPr>
                  <w:tcW w:w="558" w:type="pct"/>
                  <w:vAlign w:val="center"/>
                </w:tcPr>
                <w:p w14:paraId="1D267052">
                  <w:pPr>
                    <w:pStyle w:val="119"/>
                    <w:widowControl/>
                    <w:spacing w:beforeLines="0" w:afterLines="0" w:line="240" w:lineRule="auto"/>
                    <w:ind w:firstLine="0" w:firstLineChars="0"/>
                    <w:jc w:val="center"/>
                    <w:rPr>
                      <w:bCs/>
                      <w:sz w:val="21"/>
                      <w:szCs w:val="21"/>
                    </w:rPr>
                  </w:pPr>
                  <w:r>
                    <w:rPr>
                      <w:bCs/>
                      <w:sz w:val="21"/>
                      <w:szCs w:val="21"/>
                    </w:rPr>
                    <w:t>1座</w:t>
                  </w:r>
                </w:p>
              </w:tc>
              <w:tc>
                <w:tcPr>
                  <w:tcW w:w="512" w:type="pct"/>
                  <w:vAlign w:val="center"/>
                </w:tcPr>
                <w:p w14:paraId="69907C97">
                  <w:pPr>
                    <w:pStyle w:val="119"/>
                    <w:widowControl/>
                    <w:spacing w:beforeLines="0" w:afterLines="0" w:line="240" w:lineRule="auto"/>
                    <w:ind w:firstLine="0" w:firstLineChars="0"/>
                    <w:jc w:val="center"/>
                    <w:rPr>
                      <w:bCs/>
                      <w:sz w:val="21"/>
                      <w:szCs w:val="21"/>
                    </w:rPr>
                  </w:pPr>
                  <w:r>
                    <w:rPr>
                      <w:bCs/>
                      <w:sz w:val="21"/>
                      <w:szCs w:val="21"/>
                    </w:rPr>
                    <w:t>1座</w:t>
                  </w:r>
                </w:p>
              </w:tc>
              <w:tc>
                <w:tcPr>
                  <w:tcW w:w="544" w:type="pct"/>
                  <w:vAlign w:val="center"/>
                </w:tcPr>
                <w:p w14:paraId="1E3C04CB">
                  <w:pPr>
                    <w:pStyle w:val="119"/>
                    <w:widowControl/>
                    <w:spacing w:beforeLines="0" w:afterLines="0" w:line="240" w:lineRule="auto"/>
                    <w:ind w:firstLine="0" w:firstLineChars="0"/>
                    <w:jc w:val="center"/>
                    <w:rPr>
                      <w:bCs/>
                      <w:sz w:val="21"/>
                      <w:szCs w:val="21"/>
                    </w:rPr>
                  </w:pPr>
                  <w:r>
                    <w:rPr>
                      <w:rFonts w:hint="eastAsia"/>
                      <w:bCs/>
                      <w:sz w:val="21"/>
                      <w:szCs w:val="21"/>
                    </w:rPr>
                    <w:t>0</w:t>
                  </w:r>
                </w:p>
              </w:tc>
              <w:tc>
                <w:tcPr>
                  <w:tcW w:w="1467" w:type="pct"/>
                  <w:vAlign w:val="center"/>
                </w:tcPr>
                <w:p w14:paraId="3AA484AE">
                  <w:pPr>
                    <w:pStyle w:val="119"/>
                    <w:widowControl/>
                    <w:spacing w:beforeLines="0" w:afterLines="0" w:line="240" w:lineRule="auto"/>
                    <w:ind w:firstLine="0" w:firstLineChars="0"/>
                    <w:jc w:val="center"/>
                    <w:rPr>
                      <w:bCs/>
                      <w:sz w:val="21"/>
                      <w:szCs w:val="21"/>
                    </w:rPr>
                  </w:pPr>
                  <w:r>
                    <w:rPr>
                      <w:bCs/>
                      <w:sz w:val="21"/>
                      <w:szCs w:val="21"/>
                    </w:rPr>
                    <w:t>利旧</w:t>
                  </w:r>
                </w:p>
              </w:tc>
            </w:tr>
            <w:tr w14:paraId="2DB0366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315" w:type="pct"/>
                  <w:vAlign w:val="center"/>
                </w:tcPr>
                <w:p w14:paraId="67DAD032">
                  <w:pPr>
                    <w:pStyle w:val="119"/>
                    <w:widowControl/>
                    <w:spacing w:beforeLines="0" w:afterLines="0" w:line="240" w:lineRule="auto"/>
                    <w:ind w:firstLine="0" w:firstLineChars="0"/>
                    <w:jc w:val="center"/>
                    <w:rPr>
                      <w:bCs/>
                      <w:sz w:val="21"/>
                      <w:szCs w:val="21"/>
                    </w:rPr>
                  </w:pPr>
                  <w:r>
                    <w:rPr>
                      <w:bCs/>
                      <w:sz w:val="21"/>
                      <w:szCs w:val="21"/>
                    </w:rPr>
                    <w:t>2</w:t>
                  </w:r>
                </w:p>
              </w:tc>
              <w:tc>
                <w:tcPr>
                  <w:tcW w:w="1604" w:type="pct"/>
                  <w:vAlign w:val="center"/>
                </w:tcPr>
                <w:p w14:paraId="43C9E7FE">
                  <w:pPr>
                    <w:pStyle w:val="119"/>
                    <w:widowControl/>
                    <w:spacing w:beforeLines="0" w:afterLines="0" w:line="240" w:lineRule="auto"/>
                    <w:ind w:firstLine="0" w:firstLineChars="0"/>
                    <w:jc w:val="center"/>
                    <w:rPr>
                      <w:bCs/>
                      <w:sz w:val="21"/>
                      <w:szCs w:val="21"/>
                    </w:rPr>
                  </w:pPr>
                  <w:r>
                    <w:rPr>
                      <w:bCs/>
                      <w:sz w:val="21"/>
                      <w:szCs w:val="21"/>
                    </w:rPr>
                    <w:t>锥形辊穿孔机</w:t>
                  </w:r>
                </w:p>
              </w:tc>
              <w:tc>
                <w:tcPr>
                  <w:tcW w:w="558" w:type="pct"/>
                  <w:vAlign w:val="center"/>
                </w:tcPr>
                <w:p w14:paraId="1E4FCF32">
                  <w:pPr>
                    <w:pStyle w:val="119"/>
                    <w:widowControl/>
                    <w:spacing w:beforeLines="0" w:afterLines="0" w:line="240" w:lineRule="auto"/>
                    <w:ind w:firstLine="0" w:firstLineChars="0"/>
                    <w:jc w:val="center"/>
                    <w:rPr>
                      <w:bCs/>
                      <w:sz w:val="21"/>
                      <w:szCs w:val="21"/>
                    </w:rPr>
                  </w:pPr>
                  <w:r>
                    <w:rPr>
                      <w:rFonts w:hint="eastAsia"/>
                      <w:bCs/>
                      <w:sz w:val="21"/>
                      <w:szCs w:val="21"/>
                    </w:rPr>
                    <w:t>1套</w:t>
                  </w:r>
                </w:p>
              </w:tc>
              <w:tc>
                <w:tcPr>
                  <w:tcW w:w="512" w:type="pct"/>
                  <w:vAlign w:val="center"/>
                </w:tcPr>
                <w:p w14:paraId="472E7028">
                  <w:pPr>
                    <w:pStyle w:val="119"/>
                    <w:widowControl/>
                    <w:spacing w:beforeLines="0" w:afterLines="0" w:line="240" w:lineRule="auto"/>
                    <w:ind w:firstLine="0" w:firstLineChars="0"/>
                    <w:jc w:val="center"/>
                    <w:rPr>
                      <w:bCs/>
                      <w:sz w:val="21"/>
                      <w:szCs w:val="21"/>
                    </w:rPr>
                  </w:pPr>
                  <w:r>
                    <w:rPr>
                      <w:rFonts w:hint="eastAsia"/>
                      <w:bCs/>
                      <w:sz w:val="21"/>
                      <w:szCs w:val="21"/>
                    </w:rPr>
                    <w:t>1套</w:t>
                  </w:r>
                </w:p>
              </w:tc>
              <w:tc>
                <w:tcPr>
                  <w:tcW w:w="544" w:type="pct"/>
                  <w:vAlign w:val="center"/>
                </w:tcPr>
                <w:p w14:paraId="7DDC444A">
                  <w:pPr>
                    <w:pStyle w:val="119"/>
                    <w:widowControl/>
                    <w:spacing w:beforeLines="0" w:afterLines="0" w:line="240" w:lineRule="auto"/>
                    <w:ind w:firstLine="0" w:firstLineChars="0"/>
                    <w:jc w:val="center"/>
                    <w:rPr>
                      <w:bCs/>
                      <w:sz w:val="21"/>
                      <w:szCs w:val="21"/>
                    </w:rPr>
                  </w:pPr>
                  <w:r>
                    <w:rPr>
                      <w:rFonts w:hint="eastAsia"/>
                      <w:bCs/>
                      <w:sz w:val="21"/>
                      <w:szCs w:val="21"/>
                    </w:rPr>
                    <w:t>0</w:t>
                  </w:r>
                </w:p>
              </w:tc>
              <w:tc>
                <w:tcPr>
                  <w:tcW w:w="1467" w:type="pct"/>
                  <w:vAlign w:val="center"/>
                </w:tcPr>
                <w:p w14:paraId="2FE3F07E">
                  <w:pPr>
                    <w:pStyle w:val="119"/>
                    <w:widowControl/>
                    <w:spacing w:beforeLines="0" w:afterLines="0" w:line="240" w:lineRule="auto"/>
                    <w:ind w:firstLine="0" w:firstLineChars="0"/>
                    <w:jc w:val="center"/>
                    <w:rPr>
                      <w:bCs/>
                      <w:sz w:val="21"/>
                      <w:szCs w:val="21"/>
                    </w:rPr>
                  </w:pPr>
                  <w:r>
                    <w:rPr>
                      <w:bCs/>
                      <w:sz w:val="21"/>
                      <w:szCs w:val="21"/>
                    </w:rPr>
                    <w:t>利旧</w:t>
                  </w:r>
                </w:p>
              </w:tc>
            </w:tr>
            <w:tr w14:paraId="10CAC9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315" w:type="pct"/>
                  <w:vAlign w:val="center"/>
                </w:tcPr>
                <w:p w14:paraId="3F622439">
                  <w:pPr>
                    <w:pStyle w:val="119"/>
                    <w:widowControl/>
                    <w:spacing w:beforeLines="0" w:afterLines="0" w:line="240" w:lineRule="auto"/>
                    <w:ind w:firstLine="0" w:firstLineChars="0"/>
                    <w:jc w:val="center"/>
                    <w:rPr>
                      <w:bCs/>
                      <w:sz w:val="21"/>
                      <w:szCs w:val="21"/>
                    </w:rPr>
                  </w:pPr>
                  <w:r>
                    <w:rPr>
                      <w:bCs/>
                      <w:sz w:val="21"/>
                      <w:szCs w:val="21"/>
                    </w:rPr>
                    <w:t>3</w:t>
                  </w:r>
                </w:p>
              </w:tc>
              <w:tc>
                <w:tcPr>
                  <w:tcW w:w="1604" w:type="pct"/>
                  <w:vAlign w:val="center"/>
                </w:tcPr>
                <w:p w14:paraId="61377E5E">
                  <w:pPr>
                    <w:pStyle w:val="119"/>
                    <w:widowControl/>
                    <w:spacing w:beforeLines="0" w:afterLines="0" w:line="240" w:lineRule="auto"/>
                    <w:ind w:firstLine="0" w:firstLineChars="0"/>
                    <w:jc w:val="center"/>
                    <w:rPr>
                      <w:bCs/>
                      <w:sz w:val="21"/>
                      <w:szCs w:val="21"/>
                    </w:rPr>
                  </w:pPr>
                  <w:r>
                    <w:rPr>
                      <w:bCs/>
                      <w:sz w:val="21"/>
                      <w:szCs w:val="21"/>
                    </w:rPr>
                    <w:t>吹氮喷硼砂装置</w:t>
                  </w:r>
                </w:p>
              </w:tc>
              <w:tc>
                <w:tcPr>
                  <w:tcW w:w="558" w:type="pct"/>
                  <w:vAlign w:val="center"/>
                </w:tcPr>
                <w:p w14:paraId="295710B3">
                  <w:pPr>
                    <w:pStyle w:val="119"/>
                    <w:widowControl/>
                    <w:spacing w:beforeLines="0" w:afterLines="0" w:line="240" w:lineRule="auto"/>
                    <w:ind w:firstLine="0" w:firstLineChars="0"/>
                    <w:jc w:val="center"/>
                    <w:rPr>
                      <w:bCs/>
                      <w:sz w:val="21"/>
                      <w:szCs w:val="21"/>
                    </w:rPr>
                  </w:pPr>
                  <w:r>
                    <w:rPr>
                      <w:rFonts w:hint="eastAsia"/>
                      <w:bCs/>
                      <w:sz w:val="21"/>
                      <w:szCs w:val="21"/>
                    </w:rPr>
                    <w:t>1套</w:t>
                  </w:r>
                </w:p>
              </w:tc>
              <w:tc>
                <w:tcPr>
                  <w:tcW w:w="512" w:type="pct"/>
                  <w:vAlign w:val="center"/>
                </w:tcPr>
                <w:p w14:paraId="62965C75">
                  <w:pPr>
                    <w:pStyle w:val="119"/>
                    <w:widowControl/>
                    <w:spacing w:beforeLines="0" w:afterLines="0" w:line="240" w:lineRule="auto"/>
                    <w:ind w:firstLine="0" w:firstLineChars="0"/>
                    <w:jc w:val="center"/>
                    <w:rPr>
                      <w:bCs/>
                      <w:sz w:val="21"/>
                      <w:szCs w:val="21"/>
                    </w:rPr>
                  </w:pPr>
                  <w:r>
                    <w:rPr>
                      <w:rFonts w:hint="eastAsia"/>
                      <w:bCs/>
                      <w:sz w:val="21"/>
                      <w:szCs w:val="21"/>
                    </w:rPr>
                    <w:t>1套</w:t>
                  </w:r>
                </w:p>
              </w:tc>
              <w:tc>
                <w:tcPr>
                  <w:tcW w:w="544" w:type="pct"/>
                  <w:vAlign w:val="center"/>
                </w:tcPr>
                <w:p w14:paraId="6E4852DB">
                  <w:pPr>
                    <w:pStyle w:val="119"/>
                    <w:widowControl/>
                    <w:spacing w:beforeLines="0" w:afterLines="0" w:line="240" w:lineRule="auto"/>
                    <w:ind w:firstLine="0" w:firstLineChars="0"/>
                    <w:jc w:val="center"/>
                    <w:rPr>
                      <w:bCs/>
                      <w:sz w:val="21"/>
                      <w:szCs w:val="21"/>
                    </w:rPr>
                  </w:pPr>
                  <w:r>
                    <w:rPr>
                      <w:rFonts w:hint="eastAsia"/>
                      <w:bCs/>
                      <w:sz w:val="21"/>
                      <w:szCs w:val="21"/>
                    </w:rPr>
                    <w:t>0</w:t>
                  </w:r>
                </w:p>
              </w:tc>
              <w:tc>
                <w:tcPr>
                  <w:tcW w:w="1467" w:type="pct"/>
                  <w:vAlign w:val="center"/>
                </w:tcPr>
                <w:p w14:paraId="0A76E93C">
                  <w:pPr>
                    <w:pStyle w:val="119"/>
                    <w:widowControl/>
                    <w:spacing w:beforeLines="0" w:afterLines="0" w:line="240" w:lineRule="auto"/>
                    <w:ind w:firstLine="0" w:firstLineChars="0"/>
                    <w:jc w:val="center"/>
                    <w:rPr>
                      <w:bCs/>
                      <w:sz w:val="21"/>
                      <w:szCs w:val="21"/>
                    </w:rPr>
                  </w:pPr>
                  <w:r>
                    <w:rPr>
                      <w:bCs/>
                      <w:sz w:val="21"/>
                      <w:szCs w:val="21"/>
                    </w:rPr>
                    <w:t>利旧</w:t>
                  </w:r>
                </w:p>
              </w:tc>
            </w:tr>
            <w:tr w14:paraId="79D6FC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315" w:type="pct"/>
                  <w:vAlign w:val="center"/>
                </w:tcPr>
                <w:p w14:paraId="7D8A8609">
                  <w:pPr>
                    <w:pStyle w:val="119"/>
                    <w:widowControl/>
                    <w:spacing w:beforeLines="0" w:afterLines="0" w:line="240" w:lineRule="auto"/>
                    <w:ind w:firstLine="0" w:firstLineChars="0"/>
                    <w:jc w:val="center"/>
                    <w:rPr>
                      <w:bCs/>
                      <w:sz w:val="21"/>
                      <w:szCs w:val="21"/>
                    </w:rPr>
                  </w:pPr>
                  <w:r>
                    <w:rPr>
                      <w:bCs/>
                      <w:sz w:val="21"/>
                      <w:szCs w:val="21"/>
                    </w:rPr>
                    <w:t>4</w:t>
                  </w:r>
                </w:p>
              </w:tc>
              <w:tc>
                <w:tcPr>
                  <w:tcW w:w="1604" w:type="pct"/>
                  <w:vAlign w:val="center"/>
                </w:tcPr>
                <w:p w14:paraId="4B2225BB">
                  <w:pPr>
                    <w:pStyle w:val="119"/>
                    <w:widowControl/>
                    <w:spacing w:beforeLines="0" w:afterLines="0" w:line="240" w:lineRule="auto"/>
                    <w:ind w:firstLine="0" w:firstLineChars="0"/>
                    <w:jc w:val="center"/>
                    <w:rPr>
                      <w:bCs/>
                      <w:sz w:val="21"/>
                      <w:szCs w:val="21"/>
                    </w:rPr>
                  </w:pPr>
                  <w:r>
                    <w:rPr>
                      <w:bCs/>
                      <w:sz w:val="21"/>
                      <w:szCs w:val="21"/>
                    </w:rPr>
                    <w:t>穿孔后横移装置</w:t>
                  </w:r>
                </w:p>
              </w:tc>
              <w:tc>
                <w:tcPr>
                  <w:tcW w:w="558" w:type="pct"/>
                  <w:vAlign w:val="center"/>
                </w:tcPr>
                <w:p w14:paraId="3935A100">
                  <w:pPr>
                    <w:pStyle w:val="119"/>
                    <w:widowControl/>
                    <w:spacing w:beforeLines="0" w:afterLines="0" w:line="240" w:lineRule="auto"/>
                    <w:ind w:firstLine="0" w:firstLineChars="0"/>
                    <w:jc w:val="center"/>
                    <w:rPr>
                      <w:bCs/>
                      <w:sz w:val="21"/>
                      <w:szCs w:val="21"/>
                    </w:rPr>
                  </w:pPr>
                  <w:r>
                    <w:rPr>
                      <w:rFonts w:hint="eastAsia"/>
                      <w:bCs/>
                      <w:sz w:val="21"/>
                      <w:szCs w:val="21"/>
                    </w:rPr>
                    <w:t>1套</w:t>
                  </w:r>
                </w:p>
              </w:tc>
              <w:tc>
                <w:tcPr>
                  <w:tcW w:w="512" w:type="pct"/>
                  <w:vAlign w:val="center"/>
                </w:tcPr>
                <w:p w14:paraId="1F681DF0">
                  <w:pPr>
                    <w:pStyle w:val="119"/>
                    <w:widowControl/>
                    <w:spacing w:beforeLines="0" w:afterLines="0" w:line="240" w:lineRule="auto"/>
                    <w:ind w:firstLine="0" w:firstLineChars="0"/>
                    <w:jc w:val="center"/>
                    <w:rPr>
                      <w:bCs/>
                      <w:sz w:val="21"/>
                      <w:szCs w:val="21"/>
                    </w:rPr>
                  </w:pPr>
                  <w:r>
                    <w:rPr>
                      <w:rFonts w:hint="eastAsia"/>
                      <w:bCs/>
                      <w:sz w:val="21"/>
                      <w:szCs w:val="21"/>
                    </w:rPr>
                    <w:t>1套</w:t>
                  </w:r>
                </w:p>
              </w:tc>
              <w:tc>
                <w:tcPr>
                  <w:tcW w:w="544" w:type="pct"/>
                  <w:vAlign w:val="center"/>
                </w:tcPr>
                <w:p w14:paraId="641B2910">
                  <w:pPr>
                    <w:pStyle w:val="119"/>
                    <w:widowControl/>
                    <w:spacing w:beforeLines="0" w:afterLines="0" w:line="240" w:lineRule="auto"/>
                    <w:ind w:firstLine="0" w:firstLineChars="0"/>
                    <w:jc w:val="center"/>
                    <w:rPr>
                      <w:bCs/>
                      <w:sz w:val="21"/>
                      <w:szCs w:val="21"/>
                    </w:rPr>
                  </w:pPr>
                  <w:r>
                    <w:rPr>
                      <w:rFonts w:hint="eastAsia"/>
                      <w:bCs/>
                      <w:sz w:val="21"/>
                      <w:szCs w:val="21"/>
                    </w:rPr>
                    <w:t>0</w:t>
                  </w:r>
                </w:p>
              </w:tc>
              <w:tc>
                <w:tcPr>
                  <w:tcW w:w="1467" w:type="pct"/>
                  <w:vAlign w:val="center"/>
                </w:tcPr>
                <w:p w14:paraId="3BAD414C">
                  <w:pPr>
                    <w:pStyle w:val="119"/>
                    <w:widowControl/>
                    <w:spacing w:beforeLines="0" w:afterLines="0" w:line="240" w:lineRule="auto"/>
                    <w:ind w:firstLine="0" w:firstLineChars="0"/>
                    <w:jc w:val="center"/>
                    <w:rPr>
                      <w:bCs/>
                      <w:sz w:val="21"/>
                      <w:szCs w:val="21"/>
                    </w:rPr>
                  </w:pPr>
                  <w:r>
                    <w:rPr>
                      <w:bCs/>
                      <w:sz w:val="21"/>
                      <w:szCs w:val="21"/>
                    </w:rPr>
                    <w:t>利旧</w:t>
                  </w:r>
                </w:p>
              </w:tc>
            </w:tr>
            <w:tr w14:paraId="454A0F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315" w:type="pct"/>
                  <w:vAlign w:val="center"/>
                </w:tcPr>
                <w:p w14:paraId="5C3D878D">
                  <w:pPr>
                    <w:pStyle w:val="119"/>
                    <w:widowControl/>
                    <w:spacing w:beforeLines="0" w:afterLines="0" w:line="240" w:lineRule="auto"/>
                    <w:ind w:firstLine="0" w:firstLineChars="0"/>
                    <w:jc w:val="center"/>
                    <w:rPr>
                      <w:bCs/>
                      <w:sz w:val="21"/>
                      <w:szCs w:val="21"/>
                    </w:rPr>
                  </w:pPr>
                  <w:r>
                    <w:rPr>
                      <w:bCs/>
                      <w:sz w:val="21"/>
                      <w:szCs w:val="21"/>
                    </w:rPr>
                    <w:t>5</w:t>
                  </w:r>
                </w:p>
              </w:tc>
              <w:tc>
                <w:tcPr>
                  <w:tcW w:w="1604" w:type="pct"/>
                  <w:vAlign w:val="center"/>
                </w:tcPr>
                <w:p w14:paraId="7DE9CFBD">
                  <w:pPr>
                    <w:pStyle w:val="119"/>
                    <w:widowControl/>
                    <w:spacing w:beforeLines="0" w:afterLines="0" w:line="240" w:lineRule="auto"/>
                    <w:ind w:firstLine="0" w:firstLineChars="0"/>
                    <w:jc w:val="center"/>
                    <w:rPr>
                      <w:bCs/>
                      <w:sz w:val="21"/>
                      <w:szCs w:val="21"/>
                    </w:rPr>
                  </w:pPr>
                  <w:r>
                    <w:rPr>
                      <w:bCs/>
                      <w:sz w:val="21"/>
                      <w:szCs w:val="21"/>
                    </w:rPr>
                    <w:t>连轧管机前高压水除鳞装置</w:t>
                  </w:r>
                </w:p>
              </w:tc>
              <w:tc>
                <w:tcPr>
                  <w:tcW w:w="558" w:type="pct"/>
                  <w:vAlign w:val="center"/>
                </w:tcPr>
                <w:p w14:paraId="75A39789">
                  <w:pPr>
                    <w:pStyle w:val="119"/>
                    <w:widowControl/>
                    <w:spacing w:beforeLines="0" w:afterLines="0" w:line="240" w:lineRule="auto"/>
                    <w:ind w:firstLine="0" w:firstLineChars="0"/>
                    <w:jc w:val="center"/>
                    <w:rPr>
                      <w:bCs/>
                      <w:sz w:val="21"/>
                      <w:szCs w:val="21"/>
                    </w:rPr>
                  </w:pPr>
                  <w:r>
                    <w:rPr>
                      <w:bCs/>
                      <w:sz w:val="21"/>
                      <w:szCs w:val="21"/>
                    </w:rPr>
                    <w:t>1套</w:t>
                  </w:r>
                </w:p>
              </w:tc>
              <w:tc>
                <w:tcPr>
                  <w:tcW w:w="512" w:type="pct"/>
                  <w:vAlign w:val="center"/>
                </w:tcPr>
                <w:p w14:paraId="1260F9A4">
                  <w:pPr>
                    <w:pStyle w:val="119"/>
                    <w:widowControl/>
                    <w:spacing w:beforeLines="0" w:afterLines="0" w:line="240" w:lineRule="auto"/>
                    <w:ind w:firstLine="0" w:firstLineChars="0"/>
                    <w:jc w:val="center"/>
                    <w:rPr>
                      <w:bCs/>
                      <w:sz w:val="21"/>
                      <w:szCs w:val="21"/>
                    </w:rPr>
                  </w:pPr>
                  <w:r>
                    <w:rPr>
                      <w:bCs/>
                      <w:sz w:val="21"/>
                      <w:szCs w:val="21"/>
                    </w:rPr>
                    <w:t>1套</w:t>
                  </w:r>
                </w:p>
              </w:tc>
              <w:tc>
                <w:tcPr>
                  <w:tcW w:w="544" w:type="pct"/>
                  <w:vAlign w:val="center"/>
                </w:tcPr>
                <w:p w14:paraId="58827BD7">
                  <w:pPr>
                    <w:pStyle w:val="119"/>
                    <w:widowControl/>
                    <w:spacing w:beforeLines="0" w:afterLines="0" w:line="240" w:lineRule="auto"/>
                    <w:ind w:firstLine="0" w:firstLineChars="0"/>
                    <w:jc w:val="center"/>
                    <w:rPr>
                      <w:bCs/>
                      <w:sz w:val="21"/>
                      <w:szCs w:val="21"/>
                    </w:rPr>
                  </w:pPr>
                  <w:r>
                    <w:rPr>
                      <w:rFonts w:hint="eastAsia"/>
                      <w:bCs/>
                      <w:sz w:val="21"/>
                      <w:szCs w:val="21"/>
                    </w:rPr>
                    <w:t>0</w:t>
                  </w:r>
                </w:p>
              </w:tc>
              <w:tc>
                <w:tcPr>
                  <w:tcW w:w="1467" w:type="pct"/>
                  <w:vAlign w:val="center"/>
                </w:tcPr>
                <w:p w14:paraId="66DB4985">
                  <w:pPr>
                    <w:pStyle w:val="119"/>
                    <w:widowControl/>
                    <w:spacing w:beforeLines="0" w:afterLines="0" w:line="240" w:lineRule="auto"/>
                    <w:ind w:firstLine="0" w:firstLineChars="0"/>
                    <w:jc w:val="center"/>
                    <w:rPr>
                      <w:bCs/>
                      <w:sz w:val="21"/>
                      <w:szCs w:val="21"/>
                    </w:rPr>
                  </w:pPr>
                  <w:r>
                    <w:rPr>
                      <w:bCs/>
                      <w:sz w:val="21"/>
                      <w:szCs w:val="21"/>
                    </w:rPr>
                    <w:t>利旧</w:t>
                  </w:r>
                </w:p>
              </w:tc>
            </w:tr>
            <w:tr w14:paraId="493DC25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315" w:type="pct"/>
                  <w:vAlign w:val="center"/>
                </w:tcPr>
                <w:p w14:paraId="63EFBBCC">
                  <w:pPr>
                    <w:pStyle w:val="119"/>
                    <w:widowControl/>
                    <w:spacing w:beforeLines="0" w:afterLines="0" w:line="240" w:lineRule="auto"/>
                    <w:ind w:firstLine="0" w:firstLineChars="0"/>
                    <w:jc w:val="center"/>
                    <w:rPr>
                      <w:bCs/>
                      <w:sz w:val="21"/>
                      <w:szCs w:val="21"/>
                    </w:rPr>
                  </w:pPr>
                  <w:r>
                    <w:rPr>
                      <w:bCs/>
                      <w:sz w:val="21"/>
                      <w:szCs w:val="21"/>
                    </w:rPr>
                    <w:t>6</w:t>
                  </w:r>
                </w:p>
              </w:tc>
              <w:tc>
                <w:tcPr>
                  <w:tcW w:w="1604" w:type="pct"/>
                  <w:vAlign w:val="center"/>
                </w:tcPr>
                <w:p w14:paraId="5446477D">
                  <w:pPr>
                    <w:pStyle w:val="119"/>
                    <w:widowControl/>
                    <w:spacing w:beforeLines="0" w:afterLines="0" w:line="240" w:lineRule="auto"/>
                    <w:ind w:firstLine="0" w:firstLineChars="0"/>
                    <w:jc w:val="center"/>
                    <w:rPr>
                      <w:bCs/>
                      <w:sz w:val="21"/>
                      <w:szCs w:val="21"/>
                    </w:rPr>
                  </w:pPr>
                  <w:r>
                    <w:rPr>
                      <w:bCs/>
                      <w:sz w:val="21"/>
                      <w:szCs w:val="21"/>
                    </w:rPr>
                    <w:t>连轧管机</w:t>
                  </w:r>
                </w:p>
              </w:tc>
              <w:tc>
                <w:tcPr>
                  <w:tcW w:w="558" w:type="pct"/>
                  <w:vAlign w:val="center"/>
                </w:tcPr>
                <w:p w14:paraId="7214D91B">
                  <w:pPr>
                    <w:pStyle w:val="119"/>
                    <w:widowControl/>
                    <w:spacing w:beforeLines="0" w:afterLines="0" w:line="240" w:lineRule="auto"/>
                    <w:ind w:firstLine="0" w:firstLineChars="0"/>
                    <w:jc w:val="center"/>
                    <w:rPr>
                      <w:bCs/>
                      <w:sz w:val="21"/>
                      <w:szCs w:val="21"/>
                    </w:rPr>
                  </w:pPr>
                  <w:r>
                    <w:rPr>
                      <w:rFonts w:hint="eastAsia"/>
                      <w:bCs/>
                      <w:sz w:val="21"/>
                      <w:szCs w:val="21"/>
                    </w:rPr>
                    <w:t>1套</w:t>
                  </w:r>
                </w:p>
              </w:tc>
              <w:tc>
                <w:tcPr>
                  <w:tcW w:w="512" w:type="pct"/>
                  <w:vAlign w:val="center"/>
                </w:tcPr>
                <w:p w14:paraId="78A79CE3">
                  <w:pPr>
                    <w:pStyle w:val="119"/>
                    <w:widowControl/>
                    <w:spacing w:beforeLines="0" w:afterLines="0" w:line="240" w:lineRule="auto"/>
                    <w:ind w:firstLine="0" w:firstLineChars="0"/>
                    <w:jc w:val="center"/>
                    <w:rPr>
                      <w:bCs/>
                      <w:sz w:val="21"/>
                      <w:szCs w:val="21"/>
                    </w:rPr>
                  </w:pPr>
                  <w:r>
                    <w:rPr>
                      <w:rFonts w:hint="eastAsia"/>
                      <w:bCs/>
                      <w:sz w:val="21"/>
                      <w:szCs w:val="21"/>
                    </w:rPr>
                    <w:t>1套</w:t>
                  </w:r>
                </w:p>
              </w:tc>
              <w:tc>
                <w:tcPr>
                  <w:tcW w:w="544" w:type="pct"/>
                  <w:vAlign w:val="center"/>
                </w:tcPr>
                <w:p w14:paraId="5AC5DA10">
                  <w:pPr>
                    <w:pStyle w:val="119"/>
                    <w:widowControl/>
                    <w:spacing w:beforeLines="0" w:afterLines="0" w:line="240" w:lineRule="auto"/>
                    <w:ind w:firstLine="0" w:firstLineChars="0"/>
                    <w:jc w:val="center"/>
                    <w:rPr>
                      <w:bCs/>
                      <w:sz w:val="21"/>
                      <w:szCs w:val="21"/>
                    </w:rPr>
                  </w:pPr>
                  <w:r>
                    <w:rPr>
                      <w:rFonts w:hint="eastAsia"/>
                      <w:bCs/>
                      <w:sz w:val="21"/>
                      <w:szCs w:val="21"/>
                    </w:rPr>
                    <w:t>0</w:t>
                  </w:r>
                </w:p>
              </w:tc>
              <w:tc>
                <w:tcPr>
                  <w:tcW w:w="1467" w:type="pct"/>
                  <w:vAlign w:val="center"/>
                </w:tcPr>
                <w:p w14:paraId="4BFDC330">
                  <w:pPr>
                    <w:pStyle w:val="119"/>
                    <w:widowControl/>
                    <w:spacing w:beforeLines="0" w:afterLines="0" w:line="240" w:lineRule="auto"/>
                    <w:ind w:firstLine="0" w:firstLineChars="0"/>
                    <w:jc w:val="center"/>
                    <w:rPr>
                      <w:bCs/>
                      <w:sz w:val="21"/>
                      <w:szCs w:val="21"/>
                    </w:rPr>
                  </w:pPr>
                  <w:r>
                    <w:rPr>
                      <w:bCs/>
                      <w:sz w:val="21"/>
                      <w:szCs w:val="21"/>
                    </w:rPr>
                    <w:t>利旧</w:t>
                  </w:r>
                </w:p>
              </w:tc>
            </w:tr>
            <w:tr w14:paraId="419DE8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315" w:type="pct"/>
                  <w:vAlign w:val="center"/>
                </w:tcPr>
                <w:p w14:paraId="2BAE2EF3">
                  <w:pPr>
                    <w:pStyle w:val="119"/>
                    <w:widowControl/>
                    <w:spacing w:beforeLines="0" w:afterLines="0" w:line="240" w:lineRule="auto"/>
                    <w:ind w:firstLine="0" w:firstLineChars="0"/>
                    <w:jc w:val="center"/>
                    <w:rPr>
                      <w:bCs/>
                      <w:sz w:val="21"/>
                      <w:szCs w:val="21"/>
                    </w:rPr>
                  </w:pPr>
                  <w:r>
                    <w:rPr>
                      <w:bCs/>
                      <w:sz w:val="21"/>
                      <w:szCs w:val="21"/>
                    </w:rPr>
                    <w:t>7</w:t>
                  </w:r>
                </w:p>
              </w:tc>
              <w:tc>
                <w:tcPr>
                  <w:tcW w:w="1604" w:type="pct"/>
                  <w:vAlign w:val="center"/>
                </w:tcPr>
                <w:p w14:paraId="479C026B">
                  <w:pPr>
                    <w:pStyle w:val="119"/>
                    <w:widowControl/>
                    <w:spacing w:beforeLines="0" w:afterLines="0" w:line="240" w:lineRule="auto"/>
                    <w:ind w:firstLine="0" w:firstLineChars="0"/>
                    <w:jc w:val="center"/>
                    <w:rPr>
                      <w:bCs/>
                      <w:sz w:val="21"/>
                      <w:szCs w:val="21"/>
                    </w:rPr>
                  </w:pPr>
                  <w:r>
                    <w:rPr>
                      <w:bCs/>
                      <w:sz w:val="21"/>
                      <w:szCs w:val="21"/>
                    </w:rPr>
                    <w:t>连轧前芯棒辅助系统</w:t>
                  </w:r>
                </w:p>
              </w:tc>
              <w:tc>
                <w:tcPr>
                  <w:tcW w:w="558" w:type="pct"/>
                  <w:vAlign w:val="center"/>
                </w:tcPr>
                <w:p w14:paraId="6298A71B">
                  <w:pPr>
                    <w:pStyle w:val="119"/>
                    <w:widowControl/>
                    <w:spacing w:beforeLines="0" w:afterLines="0" w:line="240" w:lineRule="auto"/>
                    <w:ind w:firstLine="0" w:firstLineChars="0"/>
                    <w:jc w:val="center"/>
                    <w:rPr>
                      <w:bCs/>
                      <w:sz w:val="21"/>
                      <w:szCs w:val="21"/>
                    </w:rPr>
                  </w:pPr>
                  <w:r>
                    <w:rPr>
                      <w:rFonts w:hint="eastAsia"/>
                      <w:bCs/>
                      <w:sz w:val="21"/>
                      <w:szCs w:val="21"/>
                    </w:rPr>
                    <w:t>1套</w:t>
                  </w:r>
                </w:p>
              </w:tc>
              <w:tc>
                <w:tcPr>
                  <w:tcW w:w="512" w:type="pct"/>
                  <w:vAlign w:val="center"/>
                </w:tcPr>
                <w:p w14:paraId="093B5164">
                  <w:pPr>
                    <w:pStyle w:val="119"/>
                    <w:widowControl/>
                    <w:spacing w:beforeLines="0" w:afterLines="0" w:line="240" w:lineRule="auto"/>
                    <w:ind w:firstLine="0" w:firstLineChars="0"/>
                    <w:jc w:val="center"/>
                    <w:rPr>
                      <w:bCs/>
                      <w:sz w:val="21"/>
                      <w:szCs w:val="21"/>
                    </w:rPr>
                  </w:pPr>
                  <w:r>
                    <w:rPr>
                      <w:rFonts w:hint="eastAsia"/>
                      <w:bCs/>
                      <w:sz w:val="21"/>
                      <w:szCs w:val="21"/>
                    </w:rPr>
                    <w:t>1套</w:t>
                  </w:r>
                </w:p>
              </w:tc>
              <w:tc>
                <w:tcPr>
                  <w:tcW w:w="544" w:type="pct"/>
                  <w:vAlign w:val="center"/>
                </w:tcPr>
                <w:p w14:paraId="4F2E1C7D">
                  <w:pPr>
                    <w:pStyle w:val="119"/>
                    <w:widowControl/>
                    <w:spacing w:beforeLines="0" w:afterLines="0" w:line="240" w:lineRule="auto"/>
                    <w:ind w:firstLine="0" w:firstLineChars="0"/>
                    <w:jc w:val="center"/>
                    <w:rPr>
                      <w:bCs/>
                      <w:sz w:val="21"/>
                      <w:szCs w:val="21"/>
                    </w:rPr>
                  </w:pPr>
                  <w:r>
                    <w:rPr>
                      <w:rFonts w:hint="eastAsia"/>
                      <w:bCs/>
                      <w:sz w:val="21"/>
                      <w:szCs w:val="21"/>
                    </w:rPr>
                    <w:t>0</w:t>
                  </w:r>
                </w:p>
              </w:tc>
              <w:tc>
                <w:tcPr>
                  <w:tcW w:w="1467" w:type="pct"/>
                  <w:vAlign w:val="center"/>
                </w:tcPr>
                <w:p w14:paraId="25F62A99">
                  <w:pPr>
                    <w:pStyle w:val="119"/>
                    <w:widowControl/>
                    <w:spacing w:beforeLines="0" w:afterLines="0" w:line="240" w:lineRule="auto"/>
                    <w:ind w:firstLine="0" w:firstLineChars="0"/>
                    <w:jc w:val="center"/>
                    <w:rPr>
                      <w:bCs/>
                      <w:sz w:val="21"/>
                      <w:szCs w:val="21"/>
                    </w:rPr>
                  </w:pPr>
                  <w:r>
                    <w:rPr>
                      <w:bCs/>
                      <w:sz w:val="21"/>
                      <w:szCs w:val="21"/>
                    </w:rPr>
                    <w:t>利旧</w:t>
                  </w:r>
                </w:p>
              </w:tc>
            </w:tr>
            <w:tr w14:paraId="55C29B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315" w:type="pct"/>
                  <w:vAlign w:val="center"/>
                </w:tcPr>
                <w:p w14:paraId="33A4E98F">
                  <w:pPr>
                    <w:pStyle w:val="119"/>
                    <w:widowControl/>
                    <w:spacing w:beforeLines="0" w:afterLines="0" w:line="240" w:lineRule="auto"/>
                    <w:ind w:firstLine="0" w:firstLineChars="0"/>
                    <w:jc w:val="center"/>
                    <w:rPr>
                      <w:bCs/>
                      <w:sz w:val="21"/>
                      <w:szCs w:val="21"/>
                    </w:rPr>
                  </w:pPr>
                  <w:r>
                    <w:rPr>
                      <w:bCs/>
                      <w:sz w:val="21"/>
                      <w:szCs w:val="21"/>
                    </w:rPr>
                    <w:t>8</w:t>
                  </w:r>
                </w:p>
              </w:tc>
              <w:tc>
                <w:tcPr>
                  <w:tcW w:w="1604" w:type="pct"/>
                  <w:vAlign w:val="center"/>
                </w:tcPr>
                <w:p w14:paraId="03CDDB9C">
                  <w:pPr>
                    <w:pStyle w:val="119"/>
                    <w:widowControl/>
                    <w:spacing w:beforeLines="0" w:afterLines="0" w:line="240" w:lineRule="auto"/>
                    <w:ind w:firstLine="0" w:firstLineChars="0"/>
                    <w:jc w:val="center"/>
                    <w:rPr>
                      <w:bCs/>
                      <w:sz w:val="21"/>
                      <w:szCs w:val="21"/>
                    </w:rPr>
                  </w:pPr>
                  <w:r>
                    <w:rPr>
                      <w:bCs/>
                      <w:sz w:val="21"/>
                      <w:szCs w:val="21"/>
                    </w:rPr>
                    <w:t>芯棒预热炉</w:t>
                  </w:r>
                </w:p>
              </w:tc>
              <w:tc>
                <w:tcPr>
                  <w:tcW w:w="558" w:type="pct"/>
                  <w:vAlign w:val="center"/>
                </w:tcPr>
                <w:p w14:paraId="0AEB3335">
                  <w:pPr>
                    <w:pStyle w:val="119"/>
                    <w:widowControl/>
                    <w:spacing w:beforeLines="0" w:afterLines="0" w:line="240" w:lineRule="auto"/>
                    <w:ind w:firstLine="0" w:firstLineChars="0"/>
                    <w:jc w:val="center"/>
                    <w:rPr>
                      <w:bCs/>
                      <w:sz w:val="21"/>
                      <w:szCs w:val="21"/>
                    </w:rPr>
                  </w:pPr>
                  <w:r>
                    <w:rPr>
                      <w:bCs/>
                      <w:sz w:val="21"/>
                      <w:szCs w:val="21"/>
                    </w:rPr>
                    <w:t>1座</w:t>
                  </w:r>
                </w:p>
              </w:tc>
              <w:tc>
                <w:tcPr>
                  <w:tcW w:w="512" w:type="pct"/>
                  <w:vAlign w:val="center"/>
                </w:tcPr>
                <w:p w14:paraId="1380F1EA">
                  <w:pPr>
                    <w:pStyle w:val="119"/>
                    <w:widowControl/>
                    <w:spacing w:beforeLines="0" w:afterLines="0" w:line="240" w:lineRule="auto"/>
                    <w:ind w:firstLine="0" w:firstLineChars="0"/>
                    <w:jc w:val="center"/>
                    <w:rPr>
                      <w:bCs/>
                      <w:sz w:val="21"/>
                      <w:szCs w:val="21"/>
                    </w:rPr>
                  </w:pPr>
                  <w:r>
                    <w:rPr>
                      <w:bCs/>
                      <w:sz w:val="21"/>
                      <w:szCs w:val="21"/>
                    </w:rPr>
                    <w:t>1座</w:t>
                  </w:r>
                </w:p>
              </w:tc>
              <w:tc>
                <w:tcPr>
                  <w:tcW w:w="544" w:type="pct"/>
                  <w:vAlign w:val="center"/>
                </w:tcPr>
                <w:p w14:paraId="57F1382E">
                  <w:pPr>
                    <w:pStyle w:val="119"/>
                    <w:widowControl/>
                    <w:spacing w:beforeLines="0" w:afterLines="0" w:line="240" w:lineRule="auto"/>
                    <w:ind w:firstLine="0" w:firstLineChars="0"/>
                    <w:jc w:val="center"/>
                    <w:rPr>
                      <w:bCs/>
                      <w:sz w:val="21"/>
                      <w:szCs w:val="21"/>
                    </w:rPr>
                  </w:pPr>
                  <w:r>
                    <w:rPr>
                      <w:rFonts w:hint="eastAsia"/>
                      <w:bCs/>
                      <w:sz w:val="21"/>
                      <w:szCs w:val="21"/>
                    </w:rPr>
                    <w:t>0</w:t>
                  </w:r>
                </w:p>
              </w:tc>
              <w:tc>
                <w:tcPr>
                  <w:tcW w:w="1467" w:type="pct"/>
                  <w:vAlign w:val="center"/>
                </w:tcPr>
                <w:p w14:paraId="2899DE99">
                  <w:pPr>
                    <w:pStyle w:val="119"/>
                    <w:widowControl/>
                    <w:spacing w:beforeLines="0" w:afterLines="0" w:line="240" w:lineRule="auto"/>
                    <w:ind w:firstLine="0" w:firstLineChars="0"/>
                    <w:jc w:val="center"/>
                    <w:rPr>
                      <w:bCs/>
                      <w:sz w:val="21"/>
                      <w:szCs w:val="21"/>
                    </w:rPr>
                  </w:pPr>
                  <w:r>
                    <w:rPr>
                      <w:bCs/>
                      <w:sz w:val="21"/>
                      <w:szCs w:val="21"/>
                    </w:rPr>
                    <w:t>利旧</w:t>
                  </w:r>
                </w:p>
              </w:tc>
            </w:tr>
            <w:tr w14:paraId="040C95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315" w:type="pct"/>
                  <w:vAlign w:val="center"/>
                </w:tcPr>
                <w:p w14:paraId="59474E1D">
                  <w:pPr>
                    <w:pStyle w:val="119"/>
                    <w:widowControl/>
                    <w:spacing w:beforeLines="0" w:afterLines="0" w:line="240" w:lineRule="auto"/>
                    <w:ind w:firstLine="0" w:firstLineChars="0"/>
                    <w:jc w:val="center"/>
                    <w:rPr>
                      <w:bCs/>
                      <w:sz w:val="21"/>
                      <w:szCs w:val="21"/>
                    </w:rPr>
                  </w:pPr>
                  <w:r>
                    <w:rPr>
                      <w:bCs/>
                      <w:sz w:val="21"/>
                      <w:szCs w:val="21"/>
                    </w:rPr>
                    <w:t>9</w:t>
                  </w:r>
                </w:p>
              </w:tc>
              <w:tc>
                <w:tcPr>
                  <w:tcW w:w="1604" w:type="pct"/>
                  <w:vAlign w:val="center"/>
                </w:tcPr>
                <w:p w14:paraId="5D7A154E">
                  <w:pPr>
                    <w:pStyle w:val="119"/>
                    <w:widowControl/>
                    <w:spacing w:beforeLines="0" w:afterLines="0" w:line="240" w:lineRule="auto"/>
                    <w:ind w:firstLine="0" w:firstLineChars="0"/>
                    <w:jc w:val="center"/>
                    <w:rPr>
                      <w:bCs/>
                      <w:sz w:val="21"/>
                      <w:szCs w:val="21"/>
                    </w:rPr>
                  </w:pPr>
                  <w:r>
                    <w:rPr>
                      <w:bCs/>
                      <w:sz w:val="21"/>
                      <w:szCs w:val="21"/>
                    </w:rPr>
                    <w:t>3机架单机架传动的三辊脱管机</w:t>
                  </w:r>
                </w:p>
              </w:tc>
              <w:tc>
                <w:tcPr>
                  <w:tcW w:w="558" w:type="pct"/>
                  <w:vAlign w:val="center"/>
                </w:tcPr>
                <w:p w14:paraId="0993EFA6">
                  <w:pPr>
                    <w:pStyle w:val="119"/>
                    <w:widowControl/>
                    <w:spacing w:beforeLines="0" w:afterLines="0" w:line="240" w:lineRule="auto"/>
                    <w:ind w:firstLine="0" w:firstLineChars="0"/>
                    <w:jc w:val="center"/>
                    <w:rPr>
                      <w:bCs/>
                      <w:sz w:val="21"/>
                      <w:szCs w:val="21"/>
                    </w:rPr>
                  </w:pPr>
                  <w:r>
                    <w:rPr>
                      <w:bCs/>
                      <w:sz w:val="21"/>
                      <w:szCs w:val="21"/>
                    </w:rPr>
                    <w:t>1套</w:t>
                  </w:r>
                </w:p>
              </w:tc>
              <w:tc>
                <w:tcPr>
                  <w:tcW w:w="512" w:type="pct"/>
                  <w:vAlign w:val="center"/>
                </w:tcPr>
                <w:p w14:paraId="50FAFC66">
                  <w:pPr>
                    <w:pStyle w:val="119"/>
                    <w:widowControl/>
                    <w:spacing w:beforeLines="0" w:afterLines="0" w:line="240" w:lineRule="auto"/>
                    <w:ind w:firstLine="0" w:firstLineChars="0"/>
                    <w:jc w:val="center"/>
                    <w:rPr>
                      <w:bCs/>
                      <w:sz w:val="21"/>
                      <w:szCs w:val="21"/>
                    </w:rPr>
                  </w:pPr>
                  <w:r>
                    <w:rPr>
                      <w:bCs/>
                      <w:sz w:val="21"/>
                      <w:szCs w:val="21"/>
                    </w:rPr>
                    <w:t>1套</w:t>
                  </w:r>
                </w:p>
              </w:tc>
              <w:tc>
                <w:tcPr>
                  <w:tcW w:w="544" w:type="pct"/>
                  <w:vAlign w:val="center"/>
                </w:tcPr>
                <w:p w14:paraId="1CDBD5AD">
                  <w:pPr>
                    <w:pStyle w:val="119"/>
                    <w:widowControl/>
                    <w:spacing w:beforeLines="0" w:afterLines="0" w:line="240" w:lineRule="auto"/>
                    <w:ind w:firstLine="0" w:firstLineChars="0"/>
                    <w:jc w:val="center"/>
                    <w:rPr>
                      <w:bCs/>
                      <w:sz w:val="21"/>
                      <w:szCs w:val="21"/>
                    </w:rPr>
                  </w:pPr>
                  <w:r>
                    <w:rPr>
                      <w:rFonts w:hint="eastAsia"/>
                      <w:bCs/>
                      <w:sz w:val="21"/>
                      <w:szCs w:val="21"/>
                    </w:rPr>
                    <w:t>0</w:t>
                  </w:r>
                </w:p>
              </w:tc>
              <w:tc>
                <w:tcPr>
                  <w:tcW w:w="1467" w:type="pct"/>
                  <w:vAlign w:val="center"/>
                </w:tcPr>
                <w:p w14:paraId="6E9A0933">
                  <w:pPr>
                    <w:pStyle w:val="119"/>
                    <w:widowControl/>
                    <w:spacing w:beforeLines="0" w:afterLines="0" w:line="240" w:lineRule="auto"/>
                    <w:ind w:firstLine="0" w:firstLineChars="0"/>
                    <w:jc w:val="center"/>
                    <w:rPr>
                      <w:bCs/>
                      <w:sz w:val="21"/>
                      <w:szCs w:val="21"/>
                    </w:rPr>
                  </w:pPr>
                  <w:r>
                    <w:rPr>
                      <w:bCs/>
                      <w:sz w:val="21"/>
                      <w:szCs w:val="21"/>
                    </w:rPr>
                    <w:t>利旧</w:t>
                  </w:r>
                </w:p>
              </w:tc>
            </w:tr>
            <w:tr w14:paraId="2E134E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315" w:type="pct"/>
                  <w:vAlign w:val="center"/>
                </w:tcPr>
                <w:p w14:paraId="4170CFA6">
                  <w:pPr>
                    <w:pStyle w:val="119"/>
                    <w:widowControl/>
                    <w:spacing w:beforeLines="0" w:afterLines="0" w:line="240" w:lineRule="auto"/>
                    <w:ind w:firstLine="0" w:firstLineChars="0"/>
                    <w:jc w:val="center"/>
                    <w:rPr>
                      <w:bCs/>
                      <w:sz w:val="21"/>
                      <w:szCs w:val="21"/>
                    </w:rPr>
                  </w:pPr>
                  <w:r>
                    <w:rPr>
                      <w:bCs/>
                      <w:sz w:val="21"/>
                      <w:szCs w:val="21"/>
                    </w:rPr>
                    <w:t>10</w:t>
                  </w:r>
                </w:p>
              </w:tc>
              <w:tc>
                <w:tcPr>
                  <w:tcW w:w="1604" w:type="pct"/>
                  <w:vAlign w:val="center"/>
                </w:tcPr>
                <w:p w14:paraId="4AF7B88E">
                  <w:pPr>
                    <w:pStyle w:val="119"/>
                    <w:widowControl/>
                    <w:spacing w:beforeLines="0" w:afterLines="0" w:line="240" w:lineRule="auto"/>
                    <w:ind w:firstLine="0" w:firstLineChars="0"/>
                    <w:jc w:val="center"/>
                    <w:rPr>
                      <w:bCs/>
                      <w:sz w:val="21"/>
                      <w:szCs w:val="21"/>
                    </w:rPr>
                  </w:pPr>
                  <w:r>
                    <w:rPr>
                      <w:bCs/>
                      <w:sz w:val="21"/>
                      <w:szCs w:val="21"/>
                    </w:rPr>
                    <w:t>脱管</w:t>
                  </w:r>
                  <w:r>
                    <w:rPr>
                      <w:rFonts w:hint="eastAsia"/>
                      <w:bCs/>
                      <w:sz w:val="21"/>
                      <w:szCs w:val="21"/>
                      <w:lang w:eastAsia="zh-CN"/>
                    </w:rPr>
                    <w:t>后</w:t>
                  </w:r>
                  <w:r>
                    <w:rPr>
                      <w:sz w:val="21"/>
                      <w:szCs w:val="21"/>
                    </w:rPr>
                    <w:t>运输辊道</w:t>
                  </w:r>
                </w:p>
              </w:tc>
              <w:tc>
                <w:tcPr>
                  <w:tcW w:w="558" w:type="pct"/>
                  <w:vAlign w:val="center"/>
                </w:tcPr>
                <w:p w14:paraId="69A20D8B">
                  <w:pPr>
                    <w:pStyle w:val="119"/>
                    <w:widowControl/>
                    <w:spacing w:beforeLines="0" w:afterLines="0" w:line="240" w:lineRule="auto"/>
                    <w:ind w:firstLine="0" w:firstLineChars="0"/>
                    <w:jc w:val="center"/>
                    <w:rPr>
                      <w:bCs/>
                      <w:sz w:val="21"/>
                      <w:szCs w:val="21"/>
                    </w:rPr>
                  </w:pPr>
                  <w:r>
                    <w:rPr>
                      <w:bCs/>
                      <w:sz w:val="21"/>
                      <w:szCs w:val="21"/>
                    </w:rPr>
                    <w:t>1套</w:t>
                  </w:r>
                </w:p>
              </w:tc>
              <w:tc>
                <w:tcPr>
                  <w:tcW w:w="512" w:type="pct"/>
                  <w:vAlign w:val="center"/>
                </w:tcPr>
                <w:p w14:paraId="2ED05E41">
                  <w:pPr>
                    <w:pStyle w:val="119"/>
                    <w:widowControl/>
                    <w:spacing w:beforeLines="0" w:afterLines="0" w:line="240" w:lineRule="auto"/>
                    <w:ind w:firstLine="0" w:firstLineChars="0"/>
                    <w:jc w:val="center"/>
                    <w:rPr>
                      <w:bCs/>
                      <w:sz w:val="21"/>
                      <w:szCs w:val="21"/>
                    </w:rPr>
                  </w:pPr>
                  <w:r>
                    <w:rPr>
                      <w:bCs/>
                      <w:sz w:val="21"/>
                      <w:szCs w:val="21"/>
                    </w:rPr>
                    <w:t>1套</w:t>
                  </w:r>
                </w:p>
              </w:tc>
              <w:tc>
                <w:tcPr>
                  <w:tcW w:w="544" w:type="pct"/>
                  <w:vAlign w:val="center"/>
                </w:tcPr>
                <w:p w14:paraId="6A2C72A3">
                  <w:pPr>
                    <w:pStyle w:val="119"/>
                    <w:widowControl/>
                    <w:spacing w:beforeLines="0" w:afterLines="0" w:line="240" w:lineRule="auto"/>
                    <w:ind w:firstLine="0" w:firstLineChars="0"/>
                    <w:jc w:val="center"/>
                    <w:rPr>
                      <w:bCs/>
                      <w:sz w:val="21"/>
                      <w:szCs w:val="21"/>
                    </w:rPr>
                  </w:pPr>
                  <w:r>
                    <w:rPr>
                      <w:rFonts w:hint="eastAsia"/>
                      <w:bCs/>
                      <w:sz w:val="21"/>
                      <w:szCs w:val="21"/>
                    </w:rPr>
                    <w:t>0</w:t>
                  </w:r>
                </w:p>
              </w:tc>
              <w:tc>
                <w:tcPr>
                  <w:tcW w:w="1467" w:type="pct"/>
                  <w:vAlign w:val="center"/>
                </w:tcPr>
                <w:p w14:paraId="3140A7F8">
                  <w:pPr>
                    <w:pStyle w:val="119"/>
                    <w:widowControl/>
                    <w:spacing w:beforeLines="0" w:afterLines="0" w:line="240" w:lineRule="auto"/>
                    <w:ind w:firstLine="0" w:firstLineChars="0"/>
                    <w:jc w:val="center"/>
                    <w:rPr>
                      <w:bCs/>
                      <w:sz w:val="21"/>
                      <w:szCs w:val="21"/>
                    </w:rPr>
                  </w:pPr>
                  <w:r>
                    <w:rPr>
                      <w:sz w:val="21"/>
                      <w:szCs w:val="21"/>
                    </w:rPr>
                    <w:t>增加4个惰辊，利旧</w:t>
                  </w:r>
                </w:p>
              </w:tc>
            </w:tr>
            <w:tr w14:paraId="67E434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315" w:type="pct"/>
                  <w:vAlign w:val="center"/>
                </w:tcPr>
                <w:p w14:paraId="55A240F7">
                  <w:pPr>
                    <w:pStyle w:val="119"/>
                    <w:widowControl/>
                    <w:spacing w:beforeLines="0" w:afterLines="0" w:line="240" w:lineRule="auto"/>
                    <w:ind w:firstLine="0" w:firstLineChars="0"/>
                    <w:jc w:val="center"/>
                    <w:rPr>
                      <w:bCs/>
                      <w:sz w:val="21"/>
                      <w:szCs w:val="21"/>
                    </w:rPr>
                  </w:pPr>
                  <w:r>
                    <w:rPr>
                      <w:bCs/>
                      <w:sz w:val="21"/>
                      <w:szCs w:val="21"/>
                    </w:rPr>
                    <w:t>11</w:t>
                  </w:r>
                </w:p>
              </w:tc>
              <w:tc>
                <w:tcPr>
                  <w:tcW w:w="1604" w:type="pct"/>
                  <w:vAlign w:val="center"/>
                </w:tcPr>
                <w:p w14:paraId="56F1D7CE">
                  <w:pPr>
                    <w:pStyle w:val="119"/>
                    <w:widowControl/>
                    <w:spacing w:beforeLines="0" w:afterLines="0" w:line="240" w:lineRule="auto"/>
                    <w:ind w:firstLine="0" w:firstLineChars="0"/>
                    <w:jc w:val="center"/>
                    <w:rPr>
                      <w:bCs/>
                      <w:sz w:val="21"/>
                      <w:szCs w:val="21"/>
                    </w:rPr>
                  </w:pPr>
                  <w:r>
                    <w:rPr>
                      <w:sz w:val="21"/>
                      <w:szCs w:val="21"/>
                    </w:rPr>
                    <w:t>荒管移送装置</w:t>
                  </w:r>
                </w:p>
              </w:tc>
              <w:tc>
                <w:tcPr>
                  <w:tcW w:w="558" w:type="pct"/>
                  <w:vAlign w:val="center"/>
                </w:tcPr>
                <w:p w14:paraId="47BF6E27">
                  <w:pPr>
                    <w:widowControl/>
                    <w:jc w:val="center"/>
                    <w:rPr>
                      <w:szCs w:val="21"/>
                    </w:rPr>
                  </w:pPr>
                  <w:r>
                    <w:rPr>
                      <w:rFonts w:hint="eastAsia"/>
                      <w:szCs w:val="21"/>
                    </w:rPr>
                    <w:t>0</w:t>
                  </w:r>
                  <w:r>
                    <w:rPr>
                      <w:szCs w:val="21"/>
                    </w:rPr>
                    <w:t>套</w:t>
                  </w:r>
                </w:p>
              </w:tc>
              <w:tc>
                <w:tcPr>
                  <w:tcW w:w="512" w:type="pct"/>
                  <w:vAlign w:val="center"/>
                </w:tcPr>
                <w:p w14:paraId="4B4F5A1E">
                  <w:pPr>
                    <w:widowControl/>
                    <w:jc w:val="center"/>
                    <w:rPr>
                      <w:szCs w:val="21"/>
                    </w:rPr>
                  </w:pPr>
                  <w:r>
                    <w:rPr>
                      <w:rFonts w:hint="eastAsia"/>
                      <w:szCs w:val="21"/>
                    </w:rPr>
                    <w:t>1</w:t>
                  </w:r>
                  <w:r>
                    <w:rPr>
                      <w:szCs w:val="21"/>
                    </w:rPr>
                    <w:t>套</w:t>
                  </w:r>
                </w:p>
              </w:tc>
              <w:tc>
                <w:tcPr>
                  <w:tcW w:w="544" w:type="pct"/>
                  <w:vAlign w:val="center"/>
                </w:tcPr>
                <w:p w14:paraId="16F966F2">
                  <w:pPr>
                    <w:widowControl/>
                    <w:jc w:val="center"/>
                    <w:rPr>
                      <w:szCs w:val="21"/>
                    </w:rPr>
                  </w:pPr>
                  <w:r>
                    <w:rPr>
                      <w:rFonts w:hint="eastAsia"/>
                      <w:szCs w:val="21"/>
                    </w:rPr>
                    <w:t>+1</w:t>
                  </w:r>
                </w:p>
              </w:tc>
              <w:tc>
                <w:tcPr>
                  <w:tcW w:w="1467" w:type="pct"/>
                  <w:vAlign w:val="center"/>
                </w:tcPr>
                <w:p w14:paraId="259696AE">
                  <w:pPr>
                    <w:widowControl/>
                    <w:jc w:val="center"/>
                    <w:rPr>
                      <w:szCs w:val="21"/>
                    </w:rPr>
                  </w:pPr>
                  <w:r>
                    <w:rPr>
                      <w:szCs w:val="21"/>
                    </w:rPr>
                    <w:t>新增</w:t>
                  </w:r>
                </w:p>
              </w:tc>
            </w:tr>
            <w:tr w14:paraId="3E97367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315" w:type="pct"/>
                  <w:vAlign w:val="center"/>
                </w:tcPr>
                <w:p w14:paraId="622FE29A">
                  <w:pPr>
                    <w:pStyle w:val="119"/>
                    <w:widowControl/>
                    <w:spacing w:beforeLines="0" w:afterLines="0" w:line="240" w:lineRule="auto"/>
                    <w:ind w:firstLine="0" w:firstLineChars="0"/>
                    <w:jc w:val="center"/>
                    <w:rPr>
                      <w:bCs/>
                      <w:sz w:val="21"/>
                      <w:szCs w:val="21"/>
                    </w:rPr>
                  </w:pPr>
                  <w:r>
                    <w:rPr>
                      <w:bCs/>
                      <w:sz w:val="21"/>
                      <w:szCs w:val="21"/>
                    </w:rPr>
                    <w:t>12</w:t>
                  </w:r>
                </w:p>
              </w:tc>
              <w:tc>
                <w:tcPr>
                  <w:tcW w:w="1604" w:type="pct"/>
                  <w:vAlign w:val="center"/>
                </w:tcPr>
                <w:p w14:paraId="58DE511D">
                  <w:pPr>
                    <w:pStyle w:val="119"/>
                    <w:widowControl/>
                    <w:spacing w:beforeLines="0" w:afterLines="0" w:line="240" w:lineRule="auto"/>
                    <w:ind w:firstLine="0" w:firstLineChars="0"/>
                    <w:jc w:val="center"/>
                    <w:rPr>
                      <w:bCs/>
                      <w:sz w:val="21"/>
                      <w:szCs w:val="21"/>
                    </w:rPr>
                  </w:pPr>
                  <w:r>
                    <w:rPr>
                      <w:bCs/>
                      <w:sz w:val="21"/>
                      <w:szCs w:val="21"/>
                    </w:rPr>
                    <w:t>步进式再加热炉</w:t>
                  </w:r>
                </w:p>
              </w:tc>
              <w:tc>
                <w:tcPr>
                  <w:tcW w:w="558" w:type="pct"/>
                  <w:vAlign w:val="center"/>
                </w:tcPr>
                <w:p w14:paraId="6506D2E0">
                  <w:pPr>
                    <w:pStyle w:val="119"/>
                    <w:widowControl/>
                    <w:spacing w:beforeLines="0" w:afterLines="0" w:line="240" w:lineRule="auto"/>
                    <w:ind w:firstLine="0" w:firstLineChars="0"/>
                    <w:jc w:val="center"/>
                    <w:rPr>
                      <w:bCs/>
                      <w:sz w:val="21"/>
                      <w:szCs w:val="21"/>
                    </w:rPr>
                  </w:pPr>
                  <w:r>
                    <w:rPr>
                      <w:bCs/>
                      <w:sz w:val="21"/>
                      <w:szCs w:val="21"/>
                    </w:rPr>
                    <w:t>1座</w:t>
                  </w:r>
                </w:p>
              </w:tc>
              <w:tc>
                <w:tcPr>
                  <w:tcW w:w="512" w:type="pct"/>
                  <w:vAlign w:val="center"/>
                </w:tcPr>
                <w:p w14:paraId="18ADF69F">
                  <w:pPr>
                    <w:pStyle w:val="119"/>
                    <w:widowControl/>
                    <w:spacing w:beforeLines="0" w:afterLines="0" w:line="240" w:lineRule="auto"/>
                    <w:ind w:firstLine="0" w:firstLineChars="0"/>
                    <w:jc w:val="center"/>
                    <w:rPr>
                      <w:bCs/>
                      <w:sz w:val="21"/>
                      <w:szCs w:val="21"/>
                    </w:rPr>
                  </w:pPr>
                  <w:r>
                    <w:rPr>
                      <w:bCs/>
                      <w:sz w:val="21"/>
                      <w:szCs w:val="21"/>
                    </w:rPr>
                    <w:t>1座</w:t>
                  </w:r>
                </w:p>
              </w:tc>
              <w:tc>
                <w:tcPr>
                  <w:tcW w:w="544" w:type="pct"/>
                  <w:vAlign w:val="center"/>
                </w:tcPr>
                <w:p w14:paraId="131BBDB6">
                  <w:pPr>
                    <w:pStyle w:val="119"/>
                    <w:widowControl/>
                    <w:spacing w:beforeLines="0" w:afterLines="0" w:line="240" w:lineRule="auto"/>
                    <w:ind w:firstLine="0" w:firstLineChars="0"/>
                    <w:jc w:val="center"/>
                    <w:rPr>
                      <w:bCs/>
                      <w:sz w:val="21"/>
                      <w:szCs w:val="21"/>
                    </w:rPr>
                  </w:pPr>
                  <w:r>
                    <w:rPr>
                      <w:rFonts w:hint="eastAsia"/>
                      <w:bCs/>
                      <w:sz w:val="21"/>
                      <w:szCs w:val="21"/>
                    </w:rPr>
                    <w:t>0</w:t>
                  </w:r>
                </w:p>
              </w:tc>
              <w:tc>
                <w:tcPr>
                  <w:tcW w:w="1467" w:type="pct"/>
                  <w:vAlign w:val="center"/>
                </w:tcPr>
                <w:p w14:paraId="77EB0FAC">
                  <w:pPr>
                    <w:pStyle w:val="119"/>
                    <w:widowControl/>
                    <w:spacing w:beforeLines="0" w:afterLines="0" w:line="240" w:lineRule="auto"/>
                    <w:ind w:firstLine="0" w:firstLineChars="0"/>
                    <w:jc w:val="center"/>
                    <w:rPr>
                      <w:bCs/>
                      <w:sz w:val="21"/>
                      <w:szCs w:val="21"/>
                    </w:rPr>
                  </w:pPr>
                  <w:r>
                    <w:rPr>
                      <w:bCs/>
                      <w:sz w:val="21"/>
                      <w:szCs w:val="21"/>
                    </w:rPr>
                    <w:t>利旧</w:t>
                  </w:r>
                </w:p>
              </w:tc>
            </w:tr>
            <w:tr w14:paraId="0F25B5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315" w:type="pct"/>
                  <w:vAlign w:val="center"/>
                </w:tcPr>
                <w:p w14:paraId="0792E1C3">
                  <w:pPr>
                    <w:pStyle w:val="119"/>
                    <w:widowControl/>
                    <w:spacing w:beforeLines="0" w:afterLines="0" w:line="240" w:lineRule="auto"/>
                    <w:ind w:firstLine="0" w:firstLineChars="0"/>
                    <w:jc w:val="center"/>
                    <w:rPr>
                      <w:bCs/>
                      <w:sz w:val="21"/>
                      <w:szCs w:val="21"/>
                    </w:rPr>
                  </w:pPr>
                  <w:r>
                    <w:rPr>
                      <w:bCs/>
                      <w:sz w:val="21"/>
                      <w:szCs w:val="21"/>
                    </w:rPr>
                    <w:t>13</w:t>
                  </w:r>
                </w:p>
              </w:tc>
              <w:tc>
                <w:tcPr>
                  <w:tcW w:w="1604" w:type="pct"/>
                  <w:vAlign w:val="center"/>
                </w:tcPr>
                <w:p w14:paraId="2BCDA9E5">
                  <w:pPr>
                    <w:pStyle w:val="119"/>
                    <w:widowControl/>
                    <w:spacing w:beforeLines="0" w:afterLines="0" w:line="240" w:lineRule="auto"/>
                    <w:ind w:firstLine="0" w:firstLineChars="0"/>
                    <w:jc w:val="center"/>
                    <w:rPr>
                      <w:bCs/>
                      <w:sz w:val="21"/>
                      <w:szCs w:val="21"/>
                    </w:rPr>
                  </w:pPr>
                  <w:r>
                    <w:rPr>
                      <w:bCs/>
                      <w:sz w:val="21"/>
                      <w:szCs w:val="21"/>
                    </w:rPr>
                    <w:t>张减机前高压水除鳞装置</w:t>
                  </w:r>
                </w:p>
              </w:tc>
              <w:tc>
                <w:tcPr>
                  <w:tcW w:w="558" w:type="pct"/>
                  <w:vAlign w:val="center"/>
                </w:tcPr>
                <w:p w14:paraId="0E792D28">
                  <w:pPr>
                    <w:pStyle w:val="119"/>
                    <w:widowControl/>
                    <w:spacing w:beforeLines="0" w:afterLines="0" w:line="240" w:lineRule="auto"/>
                    <w:ind w:firstLine="0" w:firstLineChars="0"/>
                    <w:jc w:val="center"/>
                    <w:rPr>
                      <w:bCs/>
                      <w:sz w:val="21"/>
                      <w:szCs w:val="21"/>
                    </w:rPr>
                  </w:pPr>
                  <w:r>
                    <w:rPr>
                      <w:rFonts w:hint="eastAsia"/>
                      <w:bCs/>
                      <w:sz w:val="21"/>
                      <w:szCs w:val="21"/>
                    </w:rPr>
                    <w:t>1套</w:t>
                  </w:r>
                </w:p>
              </w:tc>
              <w:tc>
                <w:tcPr>
                  <w:tcW w:w="512" w:type="pct"/>
                  <w:vAlign w:val="center"/>
                </w:tcPr>
                <w:p w14:paraId="062B68DB">
                  <w:pPr>
                    <w:pStyle w:val="119"/>
                    <w:widowControl/>
                    <w:spacing w:beforeLines="0" w:afterLines="0" w:line="240" w:lineRule="auto"/>
                    <w:ind w:firstLine="0" w:firstLineChars="0"/>
                    <w:jc w:val="center"/>
                    <w:rPr>
                      <w:bCs/>
                      <w:sz w:val="21"/>
                      <w:szCs w:val="21"/>
                    </w:rPr>
                  </w:pPr>
                  <w:r>
                    <w:rPr>
                      <w:rFonts w:hint="eastAsia"/>
                      <w:bCs/>
                      <w:sz w:val="21"/>
                      <w:szCs w:val="21"/>
                    </w:rPr>
                    <w:t>1套</w:t>
                  </w:r>
                </w:p>
              </w:tc>
              <w:tc>
                <w:tcPr>
                  <w:tcW w:w="544" w:type="pct"/>
                  <w:vAlign w:val="center"/>
                </w:tcPr>
                <w:p w14:paraId="23127211">
                  <w:pPr>
                    <w:pStyle w:val="119"/>
                    <w:widowControl/>
                    <w:spacing w:beforeLines="0" w:afterLines="0" w:line="240" w:lineRule="auto"/>
                    <w:ind w:firstLine="0" w:firstLineChars="0"/>
                    <w:jc w:val="center"/>
                    <w:rPr>
                      <w:bCs/>
                      <w:sz w:val="21"/>
                      <w:szCs w:val="21"/>
                    </w:rPr>
                  </w:pPr>
                  <w:r>
                    <w:rPr>
                      <w:rFonts w:hint="eastAsia"/>
                      <w:bCs/>
                      <w:sz w:val="21"/>
                      <w:szCs w:val="21"/>
                    </w:rPr>
                    <w:t>0</w:t>
                  </w:r>
                </w:p>
              </w:tc>
              <w:tc>
                <w:tcPr>
                  <w:tcW w:w="1467" w:type="pct"/>
                  <w:vAlign w:val="center"/>
                </w:tcPr>
                <w:p w14:paraId="3D1F9DE1">
                  <w:pPr>
                    <w:pStyle w:val="119"/>
                    <w:widowControl/>
                    <w:spacing w:beforeLines="0" w:afterLines="0" w:line="240" w:lineRule="auto"/>
                    <w:ind w:firstLine="0" w:firstLineChars="0"/>
                    <w:jc w:val="center"/>
                    <w:rPr>
                      <w:bCs/>
                      <w:sz w:val="21"/>
                      <w:szCs w:val="21"/>
                    </w:rPr>
                  </w:pPr>
                  <w:r>
                    <w:rPr>
                      <w:bCs/>
                      <w:sz w:val="21"/>
                      <w:szCs w:val="21"/>
                    </w:rPr>
                    <w:t>利旧</w:t>
                  </w:r>
                </w:p>
              </w:tc>
            </w:tr>
            <w:tr w14:paraId="6AFF69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315" w:type="pct"/>
                  <w:vAlign w:val="center"/>
                </w:tcPr>
                <w:p w14:paraId="2A55CE3F">
                  <w:pPr>
                    <w:pStyle w:val="119"/>
                    <w:widowControl/>
                    <w:spacing w:beforeLines="0" w:afterLines="0" w:line="240" w:lineRule="auto"/>
                    <w:ind w:firstLine="0" w:firstLineChars="0"/>
                    <w:jc w:val="center"/>
                    <w:rPr>
                      <w:bCs/>
                      <w:sz w:val="21"/>
                      <w:szCs w:val="21"/>
                    </w:rPr>
                  </w:pPr>
                  <w:r>
                    <w:rPr>
                      <w:rFonts w:hint="eastAsia"/>
                      <w:bCs/>
                      <w:sz w:val="21"/>
                      <w:szCs w:val="21"/>
                    </w:rPr>
                    <w:t>14</w:t>
                  </w:r>
                </w:p>
              </w:tc>
              <w:tc>
                <w:tcPr>
                  <w:tcW w:w="1604" w:type="pct"/>
                  <w:vAlign w:val="center"/>
                </w:tcPr>
                <w:p w14:paraId="71584D84">
                  <w:pPr>
                    <w:pStyle w:val="119"/>
                    <w:widowControl/>
                    <w:spacing w:beforeLines="0" w:afterLines="0" w:line="240" w:lineRule="auto"/>
                    <w:ind w:firstLine="0" w:firstLineChars="0"/>
                    <w:jc w:val="center"/>
                    <w:rPr>
                      <w:bCs/>
                      <w:sz w:val="21"/>
                      <w:szCs w:val="21"/>
                    </w:rPr>
                  </w:pPr>
                  <w:r>
                    <w:rPr>
                      <w:sz w:val="21"/>
                      <w:szCs w:val="21"/>
                    </w:rPr>
                    <w:t>张减前辊道</w:t>
                  </w:r>
                </w:p>
              </w:tc>
              <w:tc>
                <w:tcPr>
                  <w:tcW w:w="558" w:type="pct"/>
                  <w:vAlign w:val="center"/>
                </w:tcPr>
                <w:p w14:paraId="7D53C363">
                  <w:pPr>
                    <w:widowControl/>
                    <w:jc w:val="center"/>
                    <w:rPr>
                      <w:szCs w:val="21"/>
                    </w:rPr>
                  </w:pPr>
                  <w:r>
                    <w:rPr>
                      <w:rFonts w:hint="eastAsia"/>
                      <w:szCs w:val="21"/>
                    </w:rPr>
                    <w:t>0</w:t>
                  </w:r>
                  <w:r>
                    <w:rPr>
                      <w:szCs w:val="21"/>
                    </w:rPr>
                    <w:t>套</w:t>
                  </w:r>
                </w:p>
              </w:tc>
              <w:tc>
                <w:tcPr>
                  <w:tcW w:w="512" w:type="pct"/>
                  <w:vAlign w:val="center"/>
                </w:tcPr>
                <w:p w14:paraId="438A342C">
                  <w:pPr>
                    <w:widowControl/>
                    <w:jc w:val="center"/>
                    <w:rPr>
                      <w:szCs w:val="21"/>
                    </w:rPr>
                  </w:pPr>
                  <w:r>
                    <w:rPr>
                      <w:rFonts w:hint="eastAsia"/>
                      <w:szCs w:val="21"/>
                    </w:rPr>
                    <w:t>1</w:t>
                  </w:r>
                  <w:r>
                    <w:rPr>
                      <w:szCs w:val="21"/>
                    </w:rPr>
                    <w:t>套</w:t>
                  </w:r>
                </w:p>
              </w:tc>
              <w:tc>
                <w:tcPr>
                  <w:tcW w:w="544" w:type="pct"/>
                  <w:vAlign w:val="center"/>
                </w:tcPr>
                <w:p w14:paraId="42CA1089">
                  <w:pPr>
                    <w:widowControl/>
                    <w:jc w:val="center"/>
                    <w:rPr>
                      <w:szCs w:val="21"/>
                    </w:rPr>
                  </w:pPr>
                  <w:r>
                    <w:rPr>
                      <w:rFonts w:hint="eastAsia"/>
                      <w:szCs w:val="21"/>
                    </w:rPr>
                    <w:t>+1</w:t>
                  </w:r>
                </w:p>
              </w:tc>
              <w:tc>
                <w:tcPr>
                  <w:tcW w:w="1467" w:type="pct"/>
                  <w:vAlign w:val="center"/>
                </w:tcPr>
                <w:p w14:paraId="199C7F35">
                  <w:pPr>
                    <w:widowControl/>
                    <w:jc w:val="center"/>
                    <w:rPr>
                      <w:szCs w:val="21"/>
                    </w:rPr>
                  </w:pPr>
                  <w:r>
                    <w:rPr>
                      <w:szCs w:val="21"/>
                    </w:rPr>
                    <w:t>新增</w:t>
                  </w:r>
                </w:p>
              </w:tc>
            </w:tr>
            <w:tr w14:paraId="119FBD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97" w:hRule="atLeast"/>
                <w:jc w:val="center"/>
              </w:trPr>
              <w:tc>
                <w:tcPr>
                  <w:tcW w:w="315" w:type="pct"/>
                  <w:vAlign w:val="center"/>
                </w:tcPr>
                <w:p w14:paraId="0BEFC2F0">
                  <w:pPr>
                    <w:pStyle w:val="119"/>
                    <w:widowControl/>
                    <w:spacing w:beforeLines="0" w:afterLines="0" w:line="240" w:lineRule="auto"/>
                    <w:ind w:firstLine="0" w:firstLineChars="0"/>
                    <w:jc w:val="center"/>
                    <w:rPr>
                      <w:bCs/>
                      <w:sz w:val="21"/>
                      <w:szCs w:val="21"/>
                    </w:rPr>
                  </w:pPr>
                  <w:r>
                    <w:rPr>
                      <w:rFonts w:hint="eastAsia"/>
                      <w:bCs/>
                      <w:sz w:val="21"/>
                      <w:szCs w:val="21"/>
                    </w:rPr>
                    <w:t>15</w:t>
                  </w:r>
                </w:p>
              </w:tc>
              <w:tc>
                <w:tcPr>
                  <w:tcW w:w="1604" w:type="pct"/>
                  <w:vAlign w:val="center"/>
                </w:tcPr>
                <w:p w14:paraId="196774F5">
                  <w:pPr>
                    <w:pStyle w:val="119"/>
                    <w:widowControl/>
                    <w:spacing w:beforeLines="0" w:afterLines="0" w:line="240" w:lineRule="auto"/>
                    <w:ind w:firstLine="0" w:firstLineChars="0"/>
                    <w:jc w:val="center"/>
                    <w:rPr>
                      <w:bCs/>
                      <w:sz w:val="21"/>
                      <w:szCs w:val="21"/>
                    </w:rPr>
                  </w:pPr>
                  <w:r>
                    <w:rPr>
                      <w:bCs/>
                      <w:sz w:val="21"/>
                      <w:szCs w:val="21"/>
                    </w:rPr>
                    <w:t>张减机</w:t>
                  </w:r>
                </w:p>
              </w:tc>
              <w:tc>
                <w:tcPr>
                  <w:tcW w:w="558" w:type="pct"/>
                  <w:vAlign w:val="center"/>
                </w:tcPr>
                <w:p w14:paraId="168C8897">
                  <w:pPr>
                    <w:pStyle w:val="119"/>
                    <w:widowControl/>
                    <w:spacing w:beforeLines="0" w:afterLines="0" w:line="240" w:lineRule="auto"/>
                    <w:ind w:firstLine="0" w:firstLineChars="0"/>
                    <w:jc w:val="center"/>
                    <w:rPr>
                      <w:bCs/>
                      <w:sz w:val="21"/>
                      <w:szCs w:val="21"/>
                    </w:rPr>
                  </w:pPr>
                  <w:r>
                    <w:rPr>
                      <w:rFonts w:hint="eastAsia"/>
                      <w:bCs/>
                      <w:sz w:val="21"/>
                      <w:szCs w:val="21"/>
                    </w:rPr>
                    <w:t>1套</w:t>
                  </w:r>
                </w:p>
              </w:tc>
              <w:tc>
                <w:tcPr>
                  <w:tcW w:w="512" w:type="pct"/>
                  <w:vAlign w:val="center"/>
                </w:tcPr>
                <w:p w14:paraId="386CEA8E">
                  <w:pPr>
                    <w:pStyle w:val="119"/>
                    <w:widowControl/>
                    <w:spacing w:beforeLines="0" w:afterLines="0" w:line="240" w:lineRule="auto"/>
                    <w:ind w:firstLine="0" w:firstLineChars="0"/>
                    <w:jc w:val="center"/>
                    <w:rPr>
                      <w:bCs/>
                      <w:sz w:val="21"/>
                      <w:szCs w:val="21"/>
                    </w:rPr>
                  </w:pPr>
                  <w:r>
                    <w:rPr>
                      <w:rFonts w:hint="eastAsia"/>
                      <w:bCs/>
                      <w:sz w:val="21"/>
                      <w:szCs w:val="21"/>
                    </w:rPr>
                    <w:t>1套</w:t>
                  </w:r>
                </w:p>
              </w:tc>
              <w:tc>
                <w:tcPr>
                  <w:tcW w:w="544" w:type="pct"/>
                  <w:vAlign w:val="center"/>
                </w:tcPr>
                <w:p w14:paraId="4DBC2B49">
                  <w:pPr>
                    <w:pStyle w:val="119"/>
                    <w:widowControl/>
                    <w:spacing w:beforeLines="0" w:afterLines="0" w:line="240" w:lineRule="auto"/>
                    <w:ind w:firstLine="0" w:firstLineChars="0"/>
                    <w:jc w:val="center"/>
                    <w:rPr>
                      <w:bCs/>
                      <w:sz w:val="21"/>
                      <w:szCs w:val="21"/>
                    </w:rPr>
                  </w:pPr>
                  <w:r>
                    <w:rPr>
                      <w:rFonts w:hint="eastAsia"/>
                      <w:bCs/>
                      <w:sz w:val="21"/>
                      <w:szCs w:val="21"/>
                    </w:rPr>
                    <w:t>0</w:t>
                  </w:r>
                </w:p>
              </w:tc>
              <w:tc>
                <w:tcPr>
                  <w:tcW w:w="1467" w:type="pct"/>
                  <w:vAlign w:val="center"/>
                </w:tcPr>
                <w:p w14:paraId="1935EF32">
                  <w:pPr>
                    <w:pStyle w:val="119"/>
                    <w:widowControl/>
                    <w:spacing w:beforeLines="0" w:afterLines="0" w:line="240" w:lineRule="auto"/>
                    <w:ind w:firstLine="0" w:firstLineChars="0"/>
                    <w:jc w:val="center"/>
                    <w:rPr>
                      <w:bCs/>
                      <w:sz w:val="21"/>
                      <w:szCs w:val="21"/>
                    </w:rPr>
                  </w:pPr>
                  <w:r>
                    <w:rPr>
                      <w:rFonts w:hint="eastAsia"/>
                      <w:bCs/>
                      <w:sz w:val="21"/>
                      <w:szCs w:val="21"/>
                    </w:rPr>
                    <w:t>新增28机架单机架传动张力减径机，替代原有的24机架集中差速传动张力减径机（机架利旧）</w:t>
                  </w:r>
                </w:p>
              </w:tc>
            </w:tr>
            <w:tr w14:paraId="66CD2E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315" w:type="pct"/>
                  <w:vAlign w:val="center"/>
                </w:tcPr>
                <w:p w14:paraId="24F0F26E">
                  <w:pPr>
                    <w:pStyle w:val="119"/>
                    <w:widowControl/>
                    <w:spacing w:beforeLines="0" w:afterLines="0" w:line="240" w:lineRule="auto"/>
                    <w:ind w:firstLine="0" w:firstLineChars="0"/>
                    <w:jc w:val="center"/>
                    <w:rPr>
                      <w:bCs/>
                      <w:sz w:val="21"/>
                      <w:szCs w:val="21"/>
                    </w:rPr>
                  </w:pPr>
                  <w:r>
                    <w:rPr>
                      <w:rFonts w:hint="eastAsia"/>
                      <w:bCs/>
                      <w:sz w:val="21"/>
                      <w:szCs w:val="21"/>
                    </w:rPr>
                    <w:t>16</w:t>
                  </w:r>
                </w:p>
              </w:tc>
              <w:tc>
                <w:tcPr>
                  <w:tcW w:w="1604" w:type="pct"/>
                  <w:vAlign w:val="center"/>
                </w:tcPr>
                <w:p w14:paraId="0FF0B87D">
                  <w:pPr>
                    <w:pStyle w:val="119"/>
                    <w:widowControl/>
                    <w:spacing w:beforeLines="0" w:afterLines="0" w:line="240" w:lineRule="auto"/>
                    <w:ind w:firstLine="0" w:firstLineChars="0"/>
                    <w:jc w:val="center"/>
                    <w:rPr>
                      <w:bCs/>
                      <w:sz w:val="21"/>
                      <w:szCs w:val="21"/>
                    </w:rPr>
                  </w:pPr>
                  <w:r>
                    <w:rPr>
                      <w:sz w:val="21"/>
                      <w:szCs w:val="21"/>
                    </w:rPr>
                    <w:t>张减后辊道</w:t>
                  </w:r>
                </w:p>
              </w:tc>
              <w:tc>
                <w:tcPr>
                  <w:tcW w:w="558" w:type="pct"/>
                  <w:vAlign w:val="center"/>
                </w:tcPr>
                <w:p w14:paraId="62B88C57">
                  <w:pPr>
                    <w:widowControl/>
                    <w:jc w:val="center"/>
                    <w:rPr>
                      <w:szCs w:val="21"/>
                    </w:rPr>
                  </w:pPr>
                  <w:r>
                    <w:rPr>
                      <w:rFonts w:hint="eastAsia"/>
                      <w:szCs w:val="21"/>
                    </w:rPr>
                    <w:t>0</w:t>
                  </w:r>
                  <w:r>
                    <w:rPr>
                      <w:szCs w:val="21"/>
                    </w:rPr>
                    <w:t>套</w:t>
                  </w:r>
                </w:p>
              </w:tc>
              <w:tc>
                <w:tcPr>
                  <w:tcW w:w="512" w:type="pct"/>
                  <w:vAlign w:val="center"/>
                </w:tcPr>
                <w:p w14:paraId="663100E0">
                  <w:pPr>
                    <w:widowControl/>
                    <w:jc w:val="center"/>
                    <w:rPr>
                      <w:szCs w:val="21"/>
                    </w:rPr>
                  </w:pPr>
                  <w:r>
                    <w:rPr>
                      <w:rFonts w:hint="eastAsia"/>
                      <w:szCs w:val="21"/>
                    </w:rPr>
                    <w:t>1</w:t>
                  </w:r>
                  <w:r>
                    <w:rPr>
                      <w:szCs w:val="21"/>
                    </w:rPr>
                    <w:t>套</w:t>
                  </w:r>
                </w:p>
              </w:tc>
              <w:tc>
                <w:tcPr>
                  <w:tcW w:w="544" w:type="pct"/>
                  <w:vAlign w:val="center"/>
                </w:tcPr>
                <w:p w14:paraId="26FCB1D8">
                  <w:pPr>
                    <w:widowControl/>
                    <w:jc w:val="center"/>
                    <w:rPr>
                      <w:szCs w:val="21"/>
                    </w:rPr>
                  </w:pPr>
                  <w:r>
                    <w:rPr>
                      <w:rFonts w:hint="eastAsia"/>
                      <w:szCs w:val="21"/>
                    </w:rPr>
                    <w:t>+1</w:t>
                  </w:r>
                </w:p>
              </w:tc>
              <w:tc>
                <w:tcPr>
                  <w:tcW w:w="1467" w:type="pct"/>
                  <w:vAlign w:val="center"/>
                </w:tcPr>
                <w:p w14:paraId="2070BA8D">
                  <w:pPr>
                    <w:widowControl/>
                    <w:jc w:val="center"/>
                    <w:rPr>
                      <w:szCs w:val="21"/>
                    </w:rPr>
                  </w:pPr>
                  <w:r>
                    <w:rPr>
                      <w:szCs w:val="21"/>
                    </w:rPr>
                    <w:t>新增</w:t>
                  </w:r>
                </w:p>
              </w:tc>
            </w:tr>
            <w:tr w14:paraId="5C0A0D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315" w:type="pct"/>
                  <w:vAlign w:val="center"/>
                </w:tcPr>
                <w:p w14:paraId="61F7BE02">
                  <w:pPr>
                    <w:pStyle w:val="119"/>
                    <w:widowControl/>
                    <w:spacing w:beforeLines="0" w:afterLines="0" w:line="240" w:lineRule="auto"/>
                    <w:ind w:firstLine="0" w:firstLineChars="0"/>
                    <w:jc w:val="center"/>
                    <w:rPr>
                      <w:bCs/>
                      <w:sz w:val="21"/>
                      <w:szCs w:val="21"/>
                    </w:rPr>
                  </w:pPr>
                  <w:r>
                    <w:rPr>
                      <w:rFonts w:hint="eastAsia"/>
                      <w:bCs/>
                      <w:sz w:val="21"/>
                      <w:szCs w:val="21"/>
                    </w:rPr>
                    <w:t>17</w:t>
                  </w:r>
                </w:p>
              </w:tc>
              <w:tc>
                <w:tcPr>
                  <w:tcW w:w="1604" w:type="pct"/>
                  <w:vAlign w:val="center"/>
                </w:tcPr>
                <w:p w14:paraId="40C2AB78">
                  <w:pPr>
                    <w:pStyle w:val="119"/>
                    <w:widowControl/>
                    <w:spacing w:beforeLines="0" w:afterLines="0" w:line="240" w:lineRule="auto"/>
                    <w:ind w:firstLine="0" w:firstLineChars="0"/>
                    <w:jc w:val="center"/>
                    <w:rPr>
                      <w:bCs/>
                      <w:sz w:val="21"/>
                      <w:szCs w:val="21"/>
                    </w:rPr>
                  </w:pPr>
                  <w:r>
                    <w:rPr>
                      <w:bCs/>
                      <w:sz w:val="21"/>
                      <w:szCs w:val="21"/>
                    </w:rPr>
                    <w:t>张减机</w:t>
                  </w:r>
                  <w:r>
                    <w:rPr>
                      <w:sz w:val="21"/>
                      <w:szCs w:val="21"/>
                    </w:rPr>
                    <w:t>液压站</w:t>
                  </w:r>
                </w:p>
              </w:tc>
              <w:tc>
                <w:tcPr>
                  <w:tcW w:w="558" w:type="pct"/>
                  <w:vAlign w:val="center"/>
                </w:tcPr>
                <w:p w14:paraId="27B08A76">
                  <w:pPr>
                    <w:pStyle w:val="119"/>
                    <w:widowControl/>
                    <w:spacing w:beforeLines="0" w:afterLines="0" w:line="240" w:lineRule="auto"/>
                    <w:ind w:firstLine="0" w:firstLineChars="0"/>
                    <w:jc w:val="center"/>
                    <w:rPr>
                      <w:bCs/>
                      <w:sz w:val="21"/>
                      <w:szCs w:val="21"/>
                    </w:rPr>
                  </w:pPr>
                  <w:r>
                    <w:rPr>
                      <w:rFonts w:hint="eastAsia"/>
                      <w:bCs/>
                      <w:sz w:val="21"/>
                      <w:szCs w:val="21"/>
                    </w:rPr>
                    <w:t>1套</w:t>
                  </w:r>
                </w:p>
              </w:tc>
              <w:tc>
                <w:tcPr>
                  <w:tcW w:w="512" w:type="pct"/>
                  <w:vAlign w:val="center"/>
                </w:tcPr>
                <w:p w14:paraId="101ECDAF">
                  <w:pPr>
                    <w:pStyle w:val="119"/>
                    <w:widowControl/>
                    <w:spacing w:beforeLines="0" w:afterLines="0" w:line="240" w:lineRule="auto"/>
                    <w:ind w:firstLine="0" w:firstLineChars="0"/>
                    <w:jc w:val="center"/>
                    <w:rPr>
                      <w:bCs/>
                      <w:sz w:val="21"/>
                      <w:szCs w:val="21"/>
                    </w:rPr>
                  </w:pPr>
                  <w:r>
                    <w:rPr>
                      <w:rFonts w:hint="eastAsia"/>
                      <w:bCs/>
                      <w:sz w:val="21"/>
                      <w:szCs w:val="21"/>
                    </w:rPr>
                    <w:t>1套</w:t>
                  </w:r>
                </w:p>
              </w:tc>
              <w:tc>
                <w:tcPr>
                  <w:tcW w:w="544" w:type="pct"/>
                  <w:vAlign w:val="center"/>
                </w:tcPr>
                <w:p w14:paraId="3288B447">
                  <w:pPr>
                    <w:pStyle w:val="119"/>
                    <w:widowControl/>
                    <w:spacing w:beforeLines="0" w:afterLines="0" w:line="240" w:lineRule="auto"/>
                    <w:ind w:firstLine="0" w:firstLineChars="0"/>
                    <w:jc w:val="center"/>
                    <w:rPr>
                      <w:bCs/>
                      <w:sz w:val="21"/>
                      <w:szCs w:val="21"/>
                    </w:rPr>
                  </w:pPr>
                  <w:r>
                    <w:rPr>
                      <w:rFonts w:hint="eastAsia"/>
                      <w:bCs/>
                      <w:sz w:val="21"/>
                      <w:szCs w:val="21"/>
                    </w:rPr>
                    <w:t>0</w:t>
                  </w:r>
                </w:p>
              </w:tc>
              <w:tc>
                <w:tcPr>
                  <w:tcW w:w="1467" w:type="pct"/>
                  <w:vAlign w:val="center"/>
                </w:tcPr>
                <w:p w14:paraId="69E12296">
                  <w:pPr>
                    <w:pStyle w:val="119"/>
                    <w:widowControl/>
                    <w:spacing w:beforeLines="0" w:afterLines="0" w:line="240" w:lineRule="auto"/>
                    <w:ind w:firstLine="0" w:firstLineChars="0"/>
                    <w:jc w:val="center"/>
                    <w:rPr>
                      <w:bCs/>
                      <w:sz w:val="21"/>
                      <w:szCs w:val="21"/>
                    </w:rPr>
                  </w:pPr>
                  <w:r>
                    <w:rPr>
                      <w:bCs/>
                      <w:sz w:val="21"/>
                      <w:szCs w:val="21"/>
                    </w:rPr>
                    <w:t>利旧</w:t>
                  </w:r>
                </w:p>
              </w:tc>
            </w:tr>
            <w:tr w14:paraId="212EB3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315" w:type="pct"/>
                  <w:vAlign w:val="center"/>
                </w:tcPr>
                <w:p w14:paraId="13A8552C">
                  <w:pPr>
                    <w:pStyle w:val="119"/>
                    <w:widowControl/>
                    <w:spacing w:beforeLines="0" w:afterLines="0" w:line="240" w:lineRule="auto"/>
                    <w:ind w:firstLine="0" w:firstLineChars="0"/>
                    <w:jc w:val="center"/>
                    <w:rPr>
                      <w:bCs/>
                      <w:sz w:val="21"/>
                      <w:szCs w:val="21"/>
                    </w:rPr>
                  </w:pPr>
                  <w:r>
                    <w:rPr>
                      <w:rFonts w:hint="eastAsia"/>
                      <w:bCs/>
                      <w:sz w:val="21"/>
                      <w:szCs w:val="21"/>
                    </w:rPr>
                    <w:t>18</w:t>
                  </w:r>
                </w:p>
              </w:tc>
              <w:tc>
                <w:tcPr>
                  <w:tcW w:w="1604" w:type="pct"/>
                  <w:vAlign w:val="center"/>
                </w:tcPr>
                <w:p w14:paraId="03049ED9">
                  <w:pPr>
                    <w:widowControl/>
                    <w:jc w:val="center"/>
                    <w:rPr>
                      <w:szCs w:val="21"/>
                    </w:rPr>
                  </w:pPr>
                  <w:r>
                    <w:rPr>
                      <w:szCs w:val="21"/>
                    </w:rPr>
                    <w:t>张减机润滑站</w:t>
                  </w:r>
                </w:p>
              </w:tc>
              <w:tc>
                <w:tcPr>
                  <w:tcW w:w="558" w:type="pct"/>
                  <w:vAlign w:val="center"/>
                </w:tcPr>
                <w:p w14:paraId="73DD1E6E">
                  <w:pPr>
                    <w:pStyle w:val="119"/>
                    <w:widowControl/>
                    <w:spacing w:beforeLines="0" w:afterLines="0" w:line="240" w:lineRule="auto"/>
                    <w:ind w:firstLine="0" w:firstLineChars="0"/>
                    <w:jc w:val="center"/>
                    <w:rPr>
                      <w:bCs/>
                      <w:sz w:val="21"/>
                      <w:szCs w:val="21"/>
                    </w:rPr>
                  </w:pPr>
                  <w:r>
                    <w:rPr>
                      <w:rFonts w:hint="eastAsia"/>
                      <w:bCs/>
                      <w:sz w:val="21"/>
                      <w:szCs w:val="21"/>
                    </w:rPr>
                    <w:t>1套</w:t>
                  </w:r>
                </w:p>
              </w:tc>
              <w:tc>
                <w:tcPr>
                  <w:tcW w:w="512" w:type="pct"/>
                  <w:vAlign w:val="center"/>
                </w:tcPr>
                <w:p w14:paraId="0BB0A8B1">
                  <w:pPr>
                    <w:pStyle w:val="119"/>
                    <w:widowControl/>
                    <w:spacing w:beforeLines="0" w:afterLines="0" w:line="240" w:lineRule="auto"/>
                    <w:ind w:firstLine="0" w:firstLineChars="0"/>
                    <w:jc w:val="center"/>
                    <w:rPr>
                      <w:bCs/>
                      <w:sz w:val="21"/>
                      <w:szCs w:val="21"/>
                    </w:rPr>
                  </w:pPr>
                  <w:r>
                    <w:rPr>
                      <w:rFonts w:hint="eastAsia"/>
                      <w:bCs/>
                      <w:sz w:val="21"/>
                      <w:szCs w:val="21"/>
                    </w:rPr>
                    <w:t>1套</w:t>
                  </w:r>
                </w:p>
              </w:tc>
              <w:tc>
                <w:tcPr>
                  <w:tcW w:w="544" w:type="pct"/>
                  <w:vAlign w:val="center"/>
                </w:tcPr>
                <w:p w14:paraId="135B6D53">
                  <w:pPr>
                    <w:pStyle w:val="119"/>
                    <w:widowControl/>
                    <w:spacing w:beforeLines="0" w:afterLines="0" w:line="240" w:lineRule="auto"/>
                    <w:ind w:firstLine="0" w:firstLineChars="0"/>
                    <w:jc w:val="center"/>
                    <w:rPr>
                      <w:bCs/>
                      <w:sz w:val="21"/>
                      <w:szCs w:val="21"/>
                    </w:rPr>
                  </w:pPr>
                  <w:r>
                    <w:rPr>
                      <w:rFonts w:hint="eastAsia"/>
                      <w:bCs/>
                      <w:sz w:val="21"/>
                      <w:szCs w:val="21"/>
                    </w:rPr>
                    <w:t>0</w:t>
                  </w:r>
                </w:p>
              </w:tc>
              <w:tc>
                <w:tcPr>
                  <w:tcW w:w="1467" w:type="pct"/>
                  <w:vAlign w:val="center"/>
                </w:tcPr>
                <w:p w14:paraId="5854C2A1">
                  <w:pPr>
                    <w:pStyle w:val="119"/>
                    <w:widowControl/>
                    <w:spacing w:beforeLines="0" w:afterLines="0" w:line="240" w:lineRule="auto"/>
                    <w:ind w:firstLine="0" w:firstLineChars="0"/>
                    <w:jc w:val="center"/>
                    <w:rPr>
                      <w:bCs/>
                      <w:sz w:val="21"/>
                      <w:szCs w:val="21"/>
                    </w:rPr>
                  </w:pPr>
                  <w:r>
                    <w:rPr>
                      <w:bCs/>
                      <w:sz w:val="21"/>
                      <w:szCs w:val="21"/>
                    </w:rPr>
                    <w:t>利旧</w:t>
                  </w:r>
                </w:p>
              </w:tc>
            </w:tr>
            <w:tr w14:paraId="66F96A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315" w:type="pct"/>
                  <w:vAlign w:val="center"/>
                </w:tcPr>
                <w:p w14:paraId="0D3FA428">
                  <w:pPr>
                    <w:pStyle w:val="119"/>
                    <w:widowControl/>
                    <w:spacing w:beforeLines="0" w:afterLines="0" w:line="240" w:lineRule="auto"/>
                    <w:ind w:firstLine="0" w:firstLineChars="0"/>
                    <w:jc w:val="center"/>
                    <w:rPr>
                      <w:bCs/>
                      <w:sz w:val="21"/>
                      <w:szCs w:val="21"/>
                    </w:rPr>
                  </w:pPr>
                  <w:r>
                    <w:rPr>
                      <w:rFonts w:hint="eastAsia"/>
                      <w:bCs/>
                      <w:sz w:val="21"/>
                      <w:szCs w:val="21"/>
                    </w:rPr>
                    <w:t>19</w:t>
                  </w:r>
                </w:p>
              </w:tc>
              <w:tc>
                <w:tcPr>
                  <w:tcW w:w="1604" w:type="pct"/>
                  <w:vAlign w:val="center"/>
                </w:tcPr>
                <w:p w14:paraId="69CA9DA5">
                  <w:pPr>
                    <w:pStyle w:val="119"/>
                    <w:widowControl/>
                    <w:spacing w:beforeLines="0" w:afterLines="0" w:line="240" w:lineRule="auto"/>
                    <w:ind w:firstLine="0" w:firstLineChars="0"/>
                    <w:jc w:val="center"/>
                    <w:rPr>
                      <w:bCs/>
                      <w:sz w:val="21"/>
                      <w:szCs w:val="21"/>
                    </w:rPr>
                  </w:pPr>
                  <w:r>
                    <w:rPr>
                      <w:sz w:val="21"/>
                      <w:szCs w:val="21"/>
                    </w:rPr>
                    <w:t>冷床入口辊道及上料装置</w:t>
                  </w:r>
                </w:p>
              </w:tc>
              <w:tc>
                <w:tcPr>
                  <w:tcW w:w="558" w:type="pct"/>
                  <w:vAlign w:val="center"/>
                </w:tcPr>
                <w:p w14:paraId="42FD4A81">
                  <w:pPr>
                    <w:pStyle w:val="119"/>
                    <w:widowControl/>
                    <w:spacing w:beforeLines="0" w:afterLines="0" w:line="240" w:lineRule="auto"/>
                    <w:ind w:firstLine="0" w:firstLineChars="0"/>
                    <w:jc w:val="center"/>
                    <w:rPr>
                      <w:bCs/>
                      <w:sz w:val="21"/>
                      <w:szCs w:val="21"/>
                    </w:rPr>
                  </w:pPr>
                  <w:r>
                    <w:rPr>
                      <w:bCs/>
                      <w:sz w:val="21"/>
                      <w:szCs w:val="21"/>
                    </w:rPr>
                    <w:t>1套</w:t>
                  </w:r>
                </w:p>
              </w:tc>
              <w:tc>
                <w:tcPr>
                  <w:tcW w:w="512" w:type="pct"/>
                  <w:vAlign w:val="center"/>
                </w:tcPr>
                <w:p w14:paraId="23977E1E">
                  <w:pPr>
                    <w:pStyle w:val="119"/>
                    <w:widowControl/>
                    <w:spacing w:beforeLines="0" w:afterLines="0" w:line="240" w:lineRule="auto"/>
                    <w:ind w:firstLine="0" w:firstLineChars="0"/>
                    <w:jc w:val="center"/>
                    <w:rPr>
                      <w:bCs/>
                      <w:sz w:val="21"/>
                      <w:szCs w:val="21"/>
                    </w:rPr>
                  </w:pPr>
                  <w:r>
                    <w:rPr>
                      <w:bCs/>
                      <w:sz w:val="21"/>
                      <w:szCs w:val="21"/>
                    </w:rPr>
                    <w:t>1套</w:t>
                  </w:r>
                </w:p>
              </w:tc>
              <w:tc>
                <w:tcPr>
                  <w:tcW w:w="544" w:type="pct"/>
                  <w:vAlign w:val="center"/>
                </w:tcPr>
                <w:p w14:paraId="0A662BF9">
                  <w:pPr>
                    <w:pStyle w:val="119"/>
                    <w:widowControl/>
                    <w:spacing w:beforeLines="0" w:afterLines="0" w:line="240" w:lineRule="auto"/>
                    <w:ind w:firstLine="0" w:firstLineChars="0"/>
                    <w:jc w:val="center"/>
                    <w:rPr>
                      <w:bCs/>
                      <w:sz w:val="21"/>
                      <w:szCs w:val="21"/>
                    </w:rPr>
                  </w:pPr>
                  <w:r>
                    <w:rPr>
                      <w:rFonts w:hint="eastAsia"/>
                      <w:bCs/>
                      <w:sz w:val="21"/>
                      <w:szCs w:val="21"/>
                    </w:rPr>
                    <w:t>0</w:t>
                  </w:r>
                </w:p>
              </w:tc>
              <w:tc>
                <w:tcPr>
                  <w:tcW w:w="1467" w:type="pct"/>
                  <w:vAlign w:val="center"/>
                </w:tcPr>
                <w:p w14:paraId="34E6DF7C">
                  <w:pPr>
                    <w:widowControl/>
                    <w:jc w:val="center"/>
                    <w:rPr>
                      <w:szCs w:val="21"/>
                    </w:rPr>
                  </w:pPr>
                  <w:r>
                    <w:rPr>
                      <w:szCs w:val="21"/>
                    </w:rPr>
                    <w:t>设备更新，电气部分利旧</w:t>
                  </w:r>
                </w:p>
              </w:tc>
            </w:tr>
            <w:tr w14:paraId="2139FA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315" w:type="pct"/>
                  <w:vAlign w:val="center"/>
                </w:tcPr>
                <w:p w14:paraId="77AA57E8">
                  <w:pPr>
                    <w:pStyle w:val="119"/>
                    <w:widowControl/>
                    <w:spacing w:beforeLines="0" w:afterLines="0" w:line="240" w:lineRule="auto"/>
                    <w:ind w:firstLine="0" w:firstLineChars="0"/>
                    <w:jc w:val="center"/>
                    <w:rPr>
                      <w:bCs/>
                      <w:sz w:val="21"/>
                      <w:szCs w:val="21"/>
                    </w:rPr>
                  </w:pPr>
                  <w:r>
                    <w:rPr>
                      <w:rFonts w:hint="eastAsia"/>
                      <w:bCs/>
                      <w:sz w:val="21"/>
                      <w:szCs w:val="21"/>
                    </w:rPr>
                    <w:t>20</w:t>
                  </w:r>
                </w:p>
              </w:tc>
              <w:tc>
                <w:tcPr>
                  <w:tcW w:w="1604" w:type="pct"/>
                  <w:vAlign w:val="center"/>
                </w:tcPr>
                <w:p w14:paraId="607EC71C">
                  <w:pPr>
                    <w:pStyle w:val="119"/>
                    <w:widowControl/>
                    <w:spacing w:beforeLines="0" w:afterLines="0" w:line="240" w:lineRule="auto"/>
                    <w:ind w:firstLine="0" w:firstLineChars="0"/>
                    <w:jc w:val="center"/>
                    <w:rPr>
                      <w:bCs/>
                      <w:sz w:val="21"/>
                      <w:szCs w:val="21"/>
                    </w:rPr>
                  </w:pPr>
                  <w:r>
                    <w:rPr>
                      <w:sz w:val="21"/>
                      <w:szCs w:val="21"/>
                    </w:rPr>
                    <w:t>冷床本体、下料装置及出口辊道</w:t>
                  </w:r>
                </w:p>
              </w:tc>
              <w:tc>
                <w:tcPr>
                  <w:tcW w:w="558" w:type="pct"/>
                  <w:vAlign w:val="center"/>
                </w:tcPr>
                <w:p w14:paraId="6C0811CB">
                  <w:pPr>
                    <w:pStyle w:val="119"/>
                    <w:widowControl/>
                    <w:spacing w:beforeLines="0" w:afterLines="0" w:line="240" w:lineRule="auto"/>
                    <w:ind w:firstLine="0" w:firstLineChars="0"/>
                    <w:jc w:val="center"/>
                    <w:rPr>
                      <w:bCs/>
                      <w:sz w:val="21"/>
                      <w:szCs w:val="21"/>
                    </w:rPr>
                  </w:pPr>
                  <w:r>
                    <w:rPr>
                      <w:bCs/>
                      <w:sz w:val="21"/>
                      <w:szCs w:val="21"/>
                    </w:rPr>
                    <w:t>1套</w:t>
                  </w:r>
                </w:p>
              </w:tc>
              <w:tc>
                <w:tcPr>
                  <w:tcW w:w="512" w:type="pct"/>
                  <w:vAlign w:val="center"/>
                </w:tcPr>
                <w:p w14:paraId="30B5F71C">
                  <w:pPr>
                    <w:pStyle w:val="119"/>
                    <w:widowControl/>
                    <w:spacing w:beforeLines="0" w:afterLines="0" w:line="240" w:lineRule="auto"/>
                    <w:ind w:firstLine="0" w:firstLineChars="0"/>
                    <w:jc w:val="center"/>
                    <w:rPr>
                      <w:bCs/>
                      <w:sz w:val="21"/>
                      <w:szCs w:val="21"/>
                    </w:rPr>
                  </w:pPr>
                  <w:r>
                    <w:rPr>
                      <w:bCs/>
                      <w:sz w:val="21"/>
                      <w:szCs w:val="21"/>
                    </w:rPr>
                    <w:t>1套</w:t>
                  </w:r>
                </w:p>
              </w:tc>
              <w:tc>
                <w:tcPr>
                  <w:tcW w:w="544" w:type="pct"/>
                  <w:vAlign w:val="center"/>
                </w:tcPr>
                <w:p w14:paraId="73CB42E8">
                  <w:pPr>
                    <w:pStyle w:val="119"/>
                    <w:widowControl/>
                    <w:spacing w:beforeLines="0" w:afterLines="0" w:line="240" w:lineRule="auto"/>
                    <w:ind w:firstLine="0" w:firstLineChars="0"/>
                    <w:jc w:val="center"/>
                    <w:rPr>
                      <w:bCs/>
                      <w:sz w:val="21"/>
                      <w:szCs w:val="21"/>
                    </w:rPr>
                  </w:pPr>
                  <w:r>
                    <w:rPr>
                      <w:rFonts w:hint="eastAsia"/>
                      <w:bCs/>
                      <w:sz w:val="21"/>
                      <w:szCs w:val="21"/>
                    </w:rPr>
                    <w:t>0</w:t>
                  </w:r>
                </w:p>
              </w:tc>
              <w:tc>
                <w:tcPr>
                  <w:tcW w:w="1467" w:type="pct"/>
                  <w:vAlign w:val="center"/>
                </w:tcPr>
                <w:p w14:paraId="32EF2423">
                  <w:pPr>
                    <w:widowControl/>
                    <w:jc w:val="center"/>
                    <w:rPr>
                      <w:szCs w:val="21"/>
                    </w:rPr>
                  </w:pPr>
                  <w:r>
                    <w:rPr>
                      <w:szCs w:val="21"/>
                    </w:rPr>
                    <w:t>利旧，滚轮等运动部件部分修配改</w:t>
                  </w:r>
                </w:p>
              </w:tc>
            </w:tr>
            <w:tr w14:paraId="33D88E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315" w:type="pct"/>
                  <w:vAlign w:val="center"/>
                </w:tcPr>
                <w:p w14:paraId="5977AB10">
                  <w:pPr>
                    <w:pStyle w:val="119"/>
                    <w:widowControl/>
                    <w:spacing w:beforeLines="0" w:afterLines="0" w:line="240" w:lineRule="auto"/>
                    <w:ind w:firstLine="0" w:firstLineChars="0"/>
                    <w:jc w:val="center"/>
                    <w:rPr>
                      <w:bCs/>
                      <w:sz w:val="21"/>
                      <w:szCs w:val="21"/>
                    </w:rPr>
                  </w:pPr>
                  <w:r>
                    <w:rPr>
                      <w:rFonts w:hint="eastAsia"/>
                      <w:bCs/>
                      <w:sz w:val="21"/>
                      <w:szCs w:val="21"/>
                    </w:rPr>
                    <w:t>21</w:t>
                  </w:r>
                </w:p>
              </w:tc>
              <w:tc>
                <w:tcPr>
                  <w:tcW w:w="1604" w:type="pct"/>
                  <w:vAlign w:val="center"/>
                </w:tcPr>
                <w:p w14:paraId="78F97E73">
                  <w:pPr>
                    <w:pStyle w:val="119"/>
                    <w:widowControl/>
                    <w:spacing w:beforeLines="0" w:afterLines="0" w:line="240" w:lineRule="auto"/>
                    <w:ind w:firstLine="0" w:firstLineChars="0"/>
                    <w:jc w:val="center"/>
                    <w:rPr>
                      <w:bCs/>
                      <w:sz w:val="21"/>
                      <w:szCs w:val="21"/>
                    </w:rPr>
                  </w:pPr>
                  <w:r>
                    <w:rPr>
                      <w:sz w:val="21"/>
                      <w:szCs w:val="21"/>
                    </w:rPr>
                    <w:t>冷床液压站</w:t>
                  </w:r>
                </w:p>
              </w:tc>
              <w:tc>
                <w:tcPr>
                  <w:tcW w:w="558" w:type="pct"/>
                  <w:vAlign w:val="center"/>
                </w:tcPr>
                <w:p w14:paraId="7245BDA3">
                  <w:pPr>
                    <w:pStyle w:val="119"/>
                    <w:widowControl/>
                    <w:spacing w:beforeLines="0" w:afterLines="0" w:line="240" w:lineRule="auto"/>
                    <w:ind w:firstLine="0" w:firstLineChars="0"/>
                    <w:jc w:val="center"/>
                    <w:rPr>
                      <w:bCs/>
                      <w:sz w:val="21"/>
                      <w:szCs w:val="21"/>
                    </w:rPr>
                  </w:pPr>
                  <w:r>
                    <w:rPr>
                      <w:rFonts w:hint="eastAsia"/>
                      <w:bCs/>
                      <w:sz w:val="21"/>
                      <w:szCs w:val="21"/>
                    </w:rPr>
                    <w:t>1套</w:t>
                  </w:r>
                </w:p>
              </w:tc>
              <w:tc>
                <w:tcPr>
                  <w:tcW w:w="512" w:type="pct"/>
                  <w:vAlign w:val="center"/>
                </w:tcPr>
                <w:p w14:paraId="06E4B3EA">
                  <w:pPr>
                    <w:pStyle w:val="119"/>
                    <w:widowControl/>
                    <w:spacing w:beforeLines="0" w:afterLines="0" w:line="240" w:lineRule="auto"/>
                    <w:ind w:firstLine="0" w:firstLineChars="0"/>
                    <w:jc w:val="center"/>
                    <w:rPr>
                      <w:bCs/>
                      <w:sz w:val="21"/>
                      <w:szCs w:val="21"/>
                    </w:rPr>
                  </w:pPr>
                  <w:r>
                    <w:rPr>
                      <w:rFonts w:hint="eastAsia"/>
                      <w:bCs/>
                      <w:sz w:val="21"/>
                      <w:szCs w:val="21"/>
                    </w:rPr>
                    <w:t>1套</w:t>
                  </w:r>
                </w:p>
              </w:tc>
              <w:tc>
                <w:tcPr>
                  <w:tcW w:w="544" w:type="pct"/>
                  <w:vAlign w:val="center"/>
                </w:tcPr>
                <w:p w14:paraId="7162392F">
                  <w:pPr>
                    <w:pStyle w:val="119"/>
                    <w:widowControl/>
                    <w:spacing w:beforeLines="0" w:afterLines="0" w:line="240" w:lineRule="auto"/>
                    <w:ind w:firstLine="0" w:firstLineChars="0"/>
                    <w:jc w:val="center"/>
                    <w:rPr>
                      <w:bCs/>
                      <w:sz w:val="21"/>
                      <w:szCs w:val="21"/>
                    </w:rPr>
                  </w:pPr>
                  <w:r>
                    <w:rPr>
                      <w:rFonts w:hint="eastAsia"/>
                      <w:bCs/>
                      <w:sz w:val="21"/>
                      <w:szCs w:val="21"/>
                    </w:rPr>
                    <w:t>0</w:t>
                  </w:r>
                </w:p>
              </w:tc>
              <w:tc>
                <w:tcPr>
                  <w:tcW w:w="1467" w:type="pct"/>
                  <w:vAlign w:val="center"/>
                </w:tcPr>
                <w:p w14:paraId="4919F40A">
                  <w:pPr>
                    <w:pStyle w:val="119"/>
                    <w:widowControl/>
                    <w:spacing w:beforeLines="0" w:afterLines="0" w:line="240" w:lineRule="auto"/>
                    <w:ind w:firstLine="0" w:firstLineChars="0"/>
                    <w:jc w:val="center"/>
                    <w:rPr>
                      <w:bCs/>
                      <w:sz w:val="21"/>
                      <w:szCs w:val="21"/>
                    </w:rPr>
                  </w:pPr>
                  <w:r>
                    <w:rPr>
                      <w:bCs/>
                      <w:sz w:val="21"/>
                      <w:szCs w:val="21"/>
                    </w:rPr>
                    <w:t>利旧</w:t>
                  </w:r>
                </w:p>
              </w:tc>
            </w:tr>
            <w:tr w14:paraId="7EE546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315" w:type="pct"/>
                  <w:vAlign w:val="center"/>
                </w:tcPr>
                <w:p w14:paraId="02AD7615">
                  <w:pPr>
                    <w:pStyle w:val="119"/>
                    <w:widowControl/>
                    <w:spacing w:beforeLines="0" w:afterLines="0" w:line="240" w:lineRule="auto"/>
                    <w:ind w:firstLine="0" w:firstLineChars="0"/>
                    <w:jc w:val="center"/>
                    <w:rPr>
                      <w:bCs/>
                      <w:sz w:val="21"/>
                      <w:szCs w:val="21"/>
                    </w:rPr>
                  </w:pPr>
                  <w:r>
                    <w:rPr>
                      <w:rFonts w:hint="eastAsia"/>
                      <w:bCs/>
                      <w:sz w:val="21"/>
                      <w:szCs w:val="21"/>
                    </w:rPr>
                    <w:t>22</w:t>
                  </w:r>
                </w:p>
              </w:tc>
              <w:tc>
                <w:tcPr>
                  <w:tcW w:w="1604" w:type="pct"/>
                  <w:vAlign w:val="center"/>
                </w:tcPr>
                <w:p w14:paraId="0F2AE685">
                  <w:pPr>
                    <w:widowControl/>
                    <w:jc w:val="center"/>
                    <w:rPr>
                      <w:szCs w:val="21"/>
                    </w:rPr>
                  </w:pPr>
                  <w:r>
                    <w:rPr>
                      <w:szCs w:val="21"/>
                    </w:rPr>
                    <w:t>1#锯切线辊道</w:t>
                  </w:r>
                </w:p>
              </w:tc>
              <w:tc>
                <w:tcPr>
                  <w:tcW w:w="558" w:type="pct"/>
                  <w:vAlign w:val="center"/>
                </w:tcPr>
                <w:p w14:paraId="015B54F9">
                  <w:pPr>
                    <w:widowControl/>
                    <w:jc w:val="center"/>
                    <w:rPr>
                      <w:szCs w:val="21"/>
                    </w:rPr>
                  </w:pPr>
                  <w:r>
                    <w:rPr>
                      <w:rFonts w:hint="eastAsia"/>
                      <w:szCs w:val="21"/>
                    </w:rPr>
                    <w:t>0</w:t>
                  </w:r>
                  <w:r>
                    <w:rPr>
                      <w:szCs w:val="21"/>
                    </w:rPr>
                    <w:t>套</w:t>
                  </w:r>
                </w:p>
              </w:tc>
              <w:tc>
                <w:tcPr>
                  <w:tcW w:w="512" w:type="pct"/>
                  <w:vAlign w:val="center"/>
                </w:tcPr>
                <w:p w14:paraId="795D3845">
                  <w:pPr>
                    <w:widowControl/>
                    <w:jc w:val="center"/>
                    <w:rPr>
                      <w:szCs w:val="21"/>
                    </w:rPr>
                  </w:pPr>
                  <w:r>
                    <w:rPr>
                      <w:rFonts w:hint="eastAsia"/>
                      <w:szCs w:val="21"/>
                    </w:rPr>
                    <w:t>1</w:t>
                  </w:r>
                  <w:r>
                    <w:rPr>
                      <w:szCs w:val="21"/>
                    </w:rPr>
                    <w:t>套</w:t>
                  </w:r>
                </w:p>
              </w:tc>
              <w:tc>
                <w:tcPr>
                  <w:tcW w:w="544" w:type="pct"/>
                  <w:vAlign w:val="center"/>
                </w:tcPr>
                <w:p w14:paraId="44F77F25">
                  <w:pPr>
                    <w:widowControl/>
                    <w:jc w:val="center"/>
                    <w:rPr>
                      <w:szCs w:val="21"/>
                    </w:rPr>
                  </w:pPr>
                  <w:r>
                    <w:rPr>
                      <w:rFonts w:hint="eastAsia"/>
                      <w:szCs w:val="21"/>
                    </w:rPr>
                    <w:t>+1</w:t>
                  </w:r>
                </w:p>
              </w:tc>
              <w:tc>
                <w:tcPr>
                  <w:tcW w:w="1467" w:type="pct"/>
                  <w:vAlign w:val="center"/>
                </w:tcPr>
                <w:p w14:paraId="2D0126D9">
                  <w:pPr>
                    <w:widowControl/>
                    <w:jc w:val="center"/>
                    <w:rPr>
                      <w:szCs w:val="21"/>
                    </w:rPr>
                  </w:pPr>
                  <w:r>
                    <w:rPr>
                      <w:szCs w:val="21"/>
                    </w:rPr>
                    <w:t>新增</w:t>
                  </w:r>
                </w:p>
              </w:tc>
            </w:tr>
            <w:tr w14:paraId="0DF58D13">
              <w:tblPrEx>
                <w:tblCellMar>
                  <w:top w:w="0" w:type="dxa"/>
                  <w:left w:w="28" w:type="dxa"/>
                  <w:bottom w:w="0" w:type="dxa"/>
                  <w:right w:w="28" w:type="dxa"/>
                </w:tblCellMar>
              </w:tblPrEx>
              <w:trPr>
                <w:trHeight w:val="397" w:hRule="atLeast"/>
                <w:jc w:val="center"/>
              </w:trPr>
              <w:tc>
                <w:tcPr>
                  <w:tcW w:w="315" w:type="pct"/>
                  <w:vAlign w:val="center"/>
                </w:tcPr>
                <w:p w14:paraId="08615A6E">
                  <w:pPr>
                    <w:pStyle w:val="119"/>
                    <w:widowControl/>
                    <w:spacing w:beforeLines="0" w:afterLines="0" w:line="240" w:lineRule="auto"/>
                    <w:ind w:firstLine="0" w:firstLineChars="0"/>
                    <w:jc w:val="center"/>
                    <w:rPr>
                      <w:bCs/>
                      <w:sz w:val="21"/>
                      <w:szCs w:val="21"/>
                    </w:rPr>
                  </w:pPr>
                  <w:r>
                    <w:rPr>
                      <w:rFonts w:hint="eastAsia"/>
                      <w:bCs/>
                      <w:sz w:val="21"/>
                      <w:szCs w:val="21"/>
                    </w:rPr>
                    <w:t>23</w:t>
                  </w:r>
                </w:p>
              </w:tc>
              <w:tc>
                <w:tcPr>
                  <w:tcW w:w="1604" w:type="pct"/>
                  <w:vAlign w:val="center"/>
                </w:tcPr>
                <w:p w14:paraId="5C917E41">
                  <w:pPr>
                    <w:widowControl/>
                    <w:jc w:val="center"/>
                    <w:rPr>
                      <w:szCs w:val="21"/>
                    </w:rPr>
                  </w:pPr>
                  <w:r>
                    <w:rPr>
                      <w:szCs w:val="21"/>
                    </w:rPr>
                    <w:t>2#锯切线辊道</w:t>
                  </w:r>
                </w:p>
              </w:tc>
              <w:tc>
                <w:tcPr>
                  <w:tcW w:w="558" w:type="pct"/>
                  <w:vAlign w:val="center"/>
                </w:tcPr>
                <w:p w14:paraId="3A8FB926">
                  <w:pPr>
                    <w:widowControl/>
                    <w:jc w:val="center"/>
                    <w:rPr>
                      <w:szCs w:val="21"/>
                    </w:rPr>
                  </w:pPr>
                  <w:r>
                    <w:rPr>
                      <w:rFonts w:hint="eastAsia"/>
                      <w:szCs w:val="21"/>
                    </w:rPr>
                    <w:t>0</w:t>
                  </w:r>
                  <w:r>
                    <w:rPr>
                      <w:szCs w:val="21"/>
                    </w:rPr>
                    <w:t>套</w:t>
                  </w:r>
                </w:p>
              </w:tc>
              <w:tc>
                <w:tcPr>
                  <w:tcW w:w="512" w:type="pct"/>
                  <w:vAlign w:val="center"/>
                </w:tcPr>
                <w:p w14:paraId="76ADE2C0">
                  <w:pPr>
                    <w:widowControl/>
                    <w:jc w:val="center"/>
                    <w:rPr>
                      <w:szCs w:val="21"/>
                    </w:rPr>
                  </w:pPr>
                  <w:r>
                    <w:rPr>
                      <w:rFonts w:hint="eastAsia"/>
                      <w:szCs w:val="21"/>
                    </w:rPr>
                    <w:t>1</w:t>
                  </w:r>
                  <w:r>
                    <w:rPr>
                      <w:szCs w:val="21"/>
                    </w:rPr>
                    <w:t>套</w:t>
                  </w:r>
                </w:p>
              </w:tc>
              <w:tc>
                <w:tcPr>
                  <w:tcW w:w="544" w:type="pct"/>
                  <w:vAlign w:val="center"/>
                </w:tcPr>
                <w:p w14:paraId="3809CC14">
                  <w:pPr>
                    <w:widowControl/>
                    <w:jc w:val="center"/>
                    <w:rPr>
                      <w:szCs w:val="21"/>
                    </w:rPr>
                  </w:pPr>
                  <w:r>
                    <w:rPr>
                      <w:rFonts w:hint="eastAsia"/>
                      <w:szCs w:val="21"/>
                    </w:rPr>
                    <w:t>+1</w:t>
                  </w:r>
                </w:p>
              </w:tc>
              <w:tc>
                <w:tcPr>
                  <w:tcW w:w="1467" w:type="pct"/>
                  <w:vAlign w:val="center"/>
                </w:tcPr>
                <w:p w14:paraId="105F3AFE">
                  <w:pPr>
                    <w:widowControl/>
                    <w:jc w:val="center"/>
                    <w:rPr>
                      <w:szCs w:val="21"/>
                    </w:rPr>
                  </w:pPr>
                  <w:r>
                    <w:rPr>
                      <w:szCs w:val="21"/>
                    </w:rPr>
                    <w:t>新增</w:t>
                  </w:r>
                </w:p>
              </w:tc>
            </w:tr>
            <w:tr w14:paraId="453820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315" w:type="pct"/>
                  <w:vAlign w:val="center"/>
                </w:tcPr>
                <w:p w14:paraId="60BFBBDE">
                  <w:pPr>
                    <w:pStyle w:val="119"/>
                    <w:widowControl/>
                    <w:spacing w:beforeLines="0" w:afterLines="0" w:line="240" w:lineRule="auto"/>
                    <w:ind w:firstLine="0" w:firstLineChars="0"/>
                    <w:jc w:val="center"/>
                    <w:rPr>
                      <w:bCs/>
                      <w:sz w:val="21"/>
                      <w:szCs w:val="21"/>
                    </w:rPr>
                  </w:pPr>
                  <w:r>
                    <w:rPr>
                      <w:rFonts w:hint="eastAsia"/>
                      <w:bCs/>
                      <w:sz w:val="21"/>
                      <w:szCs w:val="21"/>
                    </w:rPr>
                    <w:t>24</w:t>
                  </w:r>
                </w:p>
              </w:tc>
              <w:tc>
                <w:tcPr>
                  <w:tcW w:w="1604" w:type="pct"/>
                  <w:vAlign w:val="center"/>
                </w:tcPr>
                <w:p w14:paraId="6CDD6CBF">
                  <w:pPr>
                    <w:pStyle w:val="119"/>
                    <w:widowControl/>
                    <w:spacing w:beforeLines="0" w:afterLines="0" w:line="240" w:lineRule="auto"/>
                    <w:ind w:firstLine="0" w:firstLineChars="0"/>
                    <w:jc w:val="center"/>
                    <w:rPr>
                      <w:bCs/>
                      <w:sz w:val="21"/>
                      <w:szCs w:val="21"/>
                    </w:rPr>
                  </w:pPr>
                  <w:r>
                    <w:rPr>
                      <w:rFonts w:hint="eastAsia"/>
                      <w:bCs/>
                      <w:sz w:val="21"/>
                      <w:szCs w:val="21"/>
                    </w:rPr>
                    <w:t>管排锯及辅机</w:t>
                  </w:r>
                </w:p>
              </w:tc>
              <w:tc>
                <w:tcPr>
                  <w:tcW w:w="558" w:type="pct"/>
                  <w:vAlign w:val="center"/>
                </w:tcPr>
                <w:p w14:paraId="0993827C">
                  <w:pPr>
                    <w:pStyle w:val="119"/>
                    <w:widowControl/>
                    <w:spacing w:beforeLines="0" w:afterLines="0" w:line="240" w:lineRule="auto"/>
                    <w:ind w:firstLine="0" w:firstLineChars="0"/>
                    <w:jc w:val="center"/>
                    <w:rPr>
                      <w:bCs/>
                      <w:sz w:val="21"/>
                      <w:szCs w:val="21"/>
                    </w:rPr>
                  </w:pPr>
                  <w:r>
                    <w:rPr>
                      <w:rFonts w:hint="eastAsia"/>
                      <w:bCs/>
                      <w:sz w:val="21"/>
                      <w:szCs w:val="21"/>
                    </w:rPr>
                    <w:t>3台</w:t>
                  </w:r>
                </w:p>
              </w:tc>
              <w:tc>
                <w:tcPr>
                  <w:tcW w:w="512" w:type="pct"/>
                  <w:vAlign w:val="center"/>
                </w:tcPr>
                <w:p w14:paraId="712855CC">
                  <w:pPr>
                    <w:pStyle w:val="119"/>
                    <w:widowControl/>
                    <w:spacing w:beforeLines="0" w:afterLines="0" w:line="240" w:lineRule="auto"/>
                    <w:ind w:firstLine="0" w:firstLineChars="0"/>
                    <w:jc w:val="center"/>
                    <w:rPr>
                      <w:bCs/>
                      <w:sz w:val="21"/>
                      <w:szCs w:val="21"/>
                    </w:rPr>
                  </w:pPr>
                  <w:r>
                    <w:rPr>
                      <w:rFonts w:hint="eastAsia"/>
                      <w:bCs/>
                      <w:sz w:val="21"/>
                      <w:szCs w:val="21"/>
                    </w:rPr>
                    <w:t>3台</w:t>
                  </w:r>
                </w:p>
              </w:tc>
              <w:tc>
                <w:tcPr>
                  <w:tcW w:w="544" w:type="pct"/>
                  <w:vAlign w:val="center"/>
                </w:tcPr>
                <w:p w14:paraId="234AAFEF">
                  <w:pPr>
                    <w:pStyle w:val="119"/>
                    <w:widowControl/>
                    <w:spacing w:beforeLines="0" w:afterLines="0" w:line="240" w:lineRule="auto"/>
                    <w:ind w:firstLine="0" w:firstLineChars="0"/>
                    <w:jc w:val="center"/>
                    <w:rPr>
                      <w:bCs/>
                      <w:sz w:val="21"/>
                      <w:szCs w:val="21"/>
                    </w:rPr>
                  </w:pPr>
                  <w:r>
                    <w:rPr>
                      <w:rFonts w:hint="eastAsia"/>
                      <w:bCs/>
                      <w:sz w:val="21"/>
                      <w:szCs w:val="21"/>
                    </w:rPr>
                    <w:t>0</w:t>
                  </w:r>
                </w:p>
              </w:tc>
              <w:tc>
                <w:tcPr>
                  <w:tcW w:w="1467" w:type="pct"/>
                  <w:vAlign w:val="center"/>
                </w:tcPr>
                <w:p w14:paraId="25F21BB5">
                  <w:pPr>
                    <w:pStyle w:val="119"/>
                    <w:widowControl/>
                    <w:spacing w:beforeLines="0" w:afterLines="0" w:line="240" w:lineRule="auto"/>
                    <w:ind w:firstLine="0" w:firstLineChars="0"/>
                    <w:jc w:val="center"/>
                    <w:rPr>
                      <w:bCs/>
                      <w:sz w:val="21"/>
                      <w:szCs w:val="21"/>
                    </w:rPr>
                  </w:pPr>
                  <w:r>
                    <w:rPr>
                      <w:sz w:val="21"/>
                      <w:szCs w:val="21"/>
                    </w:rPr>
                    <w:t>管排锯新增</w:t>
                  </w:r>
                  <w:r>
                    <w:rPr>
                      <w:rFonts w:hint="eastAsia"/>
                      <w:sz w:val="21"/>
                      <w:szCs w:val="21"/>
                    </w:rPr>
                    <w:t>1套、另2套利旧；辅机新增</w:t>
                  </w:r>
                </w:p>
              </w:tc>
            </w:tr>
            <w:tr w14:paraId="3D3B3C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315" w:type="pct"/>
                  <w:vAlign w:val="center"/>
                </w:tcPr>
                <w:p w14:paraId="04E258DB">
                  <w:pPr>
                    <w:pStyle w:val="119"/>
                    <w:widowControl/>
                    <w:spacing w:beforeLines="0" w:afterLines="0" w:line="240" w:lineRule="auto"/>
                    <w:ind w:firstLine="0" w:firstLineChars="0"/>
                    <w:jc w:val="center"/>
                    <w:rPr>
                      <w:bCs/>
                      <w:sz w:val="21"/>
                      <w:szCs w:val="21"/>
                    </w:rPr>
                  </w:pPr>
                  <w:r>
                    <w:rPr>
                      <w:rFonts w:hint="eastAsia"/>
                      <w:bCs/>
                      <w:sz w:val="21"/>
                      <w:szCs w:val="21"/>
                    </w:rPr>
                    <w:t>25</w:t>
                  </w:r>
                </w:p>
              </w:tc>
              <w:tc>
                <w:tcPr>
                  <w:tcW w:w="1604" w:type="pct"/>
                  <w:vAlign w:val="center"/>
                </w:tcPr>
                <w:p w14:paraId="53F466FF">
                  <w:pPr>
                    <w:widowControl/>
                    <w:jc w:val="center"/>
                    <w:rPr>
                      <w:szCs w:val="21"/>
                    </w:rPr>
                  </w:pPr>
                  <w:r>
                    <w:rPr>
                      <w:szCs w:val="21"/>
                    </w:rPr>
                    <w:t>1#锯切线后横移装置</w:t>
                  </w:r>
                </w:p>
              </w:tc>
              <w:tc>
                <w:tcPr>
                  <w:tcW w:w="558" w:type="pct"/>
                  <w:vAlign w:val="center"/>
                </w:tcPr>
                <w:p w14:paraId="558FD7A8">
                  <w:pPr>
                    <w:widowControl/>
                    <w:jc w:val="center"/>
                    <w:rPr>
                      <w:szCs w:val="21"/>
                    </w:rPr>
                  </w:pPr>
                  <w:r>
                    <w:rPr>
                      <w:rFonts w:hint="eastAsia"/>
                      <w:szCs w:val="21"/>
                    </w:rPr>
                    <w:t>0</w:t>
                  </w:r>
                  <w:r>
                    <w:rPr>
                      <w:szCs w:val="21"/>
                    </w:rPr>
                    <w:t>套</w:t>
                  </w:r>
                </w:p>
              </w:tc>
              <w:tc>
                <w:tcPr>
                  <w:tcW w:w="512" w:type="pct"/>
                  <w:vAlign w:val="center"/>
                </w:tcPr>
                <w:p w14:paraId="2AF5CF8F">
                  <w:pPr>
                    <w:widowControl/>
                    <w:jc w:val="center"/>
                    <w:rPr>
                      <w:szCs w:val="21"/>
                    </w:rPr>
                  </w:pPr>
                  <w:r>
                    <w:rPr>
                      <w:rFonts w:hint="eastAsia"/>
                      <w:szCs w:val="21"/>
                    </w:rPr>
                    <w:t>1</w:t>
                  </w:r>
                  <w:r>
                    <w:rPr>
                      <w:szCs w:val="21"/>
                    </w:rPr>
                    <w:t>套</w:t>
                  </w:r>
                </w:p>
              </w:tc>
              <w:tc>
                <w:tcPr>
                  <w:tcW w:w="544" w:type="pct"/>
                  <w:vAlign w:val="center"/>
                </w:tcPr>
                <w:p w14:paraId="31E55BA3">
                  <w:pPr>
                    <w:widowControl/>
                    <w:jc w:val="center"/>
                    <w:rPr>
                      <w:szCs w:val="21"/>
                    </w:rPr>
                  </w:pPr>
                  <w:r>
                    <w:rPr>
                      <w:rFonts w:hint="eastAsia"/>
                      <w:szCs w:val="21"/>
                    </w:rPr>
                    <w:t>+1</w:t>
                  </w:r>
                </w:p>
              </w:tc>
              <w:tc>
                <w:tcPr>
                  <w:tcW w:w="1467" w:type="pct"/>
                  <w:vAlign w:val="center"/>
                </w:tcPr>
                <w:p w14:paraId="6DD66508">
                  <w:pPr>
                    <w:widowControl/>
                    <w:jc w:val="center"/>
                    <w:rPr>
                      <w:szCs w:val="21"/>
                    </w:rPr>
                  </w:pPr>
                  <w:r>
                    <w:rPr>
                      <w:szCs w:val="21"/>
                    </w:rPr>
                    <w:t>新增</w:t>
                  </w:r>
                </w:p>
              </w:tc>
            </w:tr>
            <w:tr w14:paraId="7ECF71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315" w:type="pct"/>
                  <w:vAlign w:val="center"/>
                </w:tcPr>
                <w:p w14:paraId="159E1A1E">
                  <w:pPr>
                    <w:pStyle w:val="119"/>
                    <w:widowControl/>
                    <w:spacing w:beforeLines="0" w:afterLines="0" w:line="240" w:lineRule="auto"/>
                    <w:ind w:firstLine="0" w:firstLineChars="0"/>
                    <w:jc w:val="center"/>
                    <w:rPr>
                      <w:bCs/>
                      <w:sz w:val="21"/>
                      <w:szCs w:val="21"/>
                    </w:rPr>
                  </w:pPr>
                  <w:r>
                    <w:rPr>
                      <w:rFonts w:hint="eastAsia"/>
                      <w:bCs/>
                      <w:sz w:val="21"/>
                      <w:szCs w:val="21"/>
                    </w:rPr>
                    <w:t>26</w:t>
                  </w:r>
                </w:p>
              </w:tc>
              <w:tc>
                <w:tcPr>
                  <w:tcW w:w="1604" w:type="pct"/>
                  <w:vAlign w:val="center"/>
                </w:tcPr>
                <w:p w14:paraId="6072322D">
                  <w:pPr>
                    <w:widowControl/>
                    <w:jc w:val="center"/>
                    <w:rPr>
                      <w:szCs w:val="21"/>
                    </w:rPr>
                  </w:pPr>
                  <w:r>
                    <w:rPr>
                      <w:szCs w:val="21"/>
                    </w:rPr>
                    <w:t>2#锯切线后横移装置</w:t>
                  </w:r>
                </w:p>
              </w:tc>
              <w:tc>
                <w:tcPr>
                  <w:tcW w:w="558" w:type="pct"/>
                  <w:vAlign w:val="center"/>
                </w:tcPr>
                <w:p w14:paraId="532AC050">
                  <w:pPr>
                    <w:widowControl/>
                    <w:jc w:val="center"/>
                    <w:rPr>
                      <w:szCs w:val="21"/>
                    </w:rPr>
                  </w:pPr>
                  <w:r>
                    <w:rPr>
                      <w:rFonts w:hint="eastAsia"/>
                      <w:szCs w:val="21"/>
                    </w:rPr>
                    <w:t>0</w:t>
                  </w:r>
                  <w:r>
                    <w:rPr>
                      <w:szCs w:val="21"/>
                    </w:rPr>
                    <w:t>套</w:t>
                  </w:r>
                </w:p>
              </w:tc>
              <w:tc>
                <w:tcPr>
                  <w:tcW w:w="512" w:type="pct"/>
                  <w:vAlign w:val="center"/>
                </w:tcPr>
                <w:p w14:paraId="1147BE6D">
                  <w:pPr>
                    <w:widowControl/>
                    <w:jc w:val="center"/>
                    <w:rPr>
                      <w:szCs w:val="21"/>
                    </w:rPr>
                  </w:pPr>
                  <w:r>
                    <w:rPr>
                      <w:rFonts w:hint="eastAsia"/>
                      <w:szCs w:val="21"/>
                    </w:rPr>
                    <w:t>1</w:t>
                  </w:r>
                  <w:r>
                    <w:rPr>
                      <w:szCs w:val="21"/>
                    </w:rPr>
                    <w:t>套</w:t>
                  </w:r>
                </w:p>
              </w:tc>
              <w:tc>
                <w:tcPr>
                  <w:tcW w:w="544" w:type="pct"/>
                  <w:vAlign w:val="center"/>
                </w:tcPr>
                <w:p w14:paraId="4C3ED990">
                  <w:pPr>
                    <w:widowControl/>
                    <w:jc w:val="center"/>
                    <w:rPr>
                      <w:szCs w:val="21"/>
                    </w:rPr>
                  </w:pPr>
                  <w:r>
                    <w:rPr>
                      <w:rFonts w:hint="eastAsia"/>
                      <w:szCs w:val="21"/>
                    </w:rPr>
                    <w:t>+1</w:t>
                  </w:r>
                </w:p>
              </w:tc>
              <w:tc>
                <w:tcPr>
                  <w:tcW w:w="1467" w:type="pct"/>
                  <w:vAlign w:val="center"/>
                </w:tcPr>
                <w:p w14:paraId="4D80C6B4">
                  <w:pPr>
                    <w:widowControl/>
                    <w:jc w:val="center"/>
                    <w:rPr>
                      <w:szCs w:val="21"/>
                    </w:rPr>
                  </w:pPr>
                  <w:r>
                    <w:rPr>
                      <w:szCs w:val="21"/>
                    </w:rPr>
                    <w:t>新增</w:t>
                  </w:r>
                </w:p>
              </w:tc>
            </w:tr>
            <w:tr w14:paraId="6110B2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315" w:type="pct"/>
                  <w:vAlign w:val="center"/>
                </w:tcPr>
                <w:p w14:paraId="7B6F4344">
                  <w:pPr>
                    <w:pStyle w:val="119"/>
                    <w:widowControl/>
                    <w:spacing w:beforeLines="0" w:afterLines="0" w:line="240" w:lineRule="auto"/>
                    <w:ind w:firstLine="0" w:firstLineChars="0"/>
                    <w:jc w:val="center"/>
                    <w:rPr>
                      <w:bCs/>
                      <w:sz w:val="21"/>
                      <w:szCs w:val="21"/>
                    </w:rPr>
                  </w:pPr>
                  <w:r>
                    <w:rPr>
                      <w:rFonts w:hint="eastAsia"/>
                      <w:bCs/>
                      <w:sz w:val="21"/>
                      <w:szCs w:val="21"/>
                    </w:rPr>
                    <w:t>27</w:t>
                  </w:r>
                </w:p>
              </w:tc>
              <w:tc>
                <w:tcPr>
                  <w:tcW w:w="1604" w:type="pct"/>
                  <w:vAlign w:val="center"/>
                </w:tcPr>
                <w:p w14:paraId="2B69F002">
                  <w:pPr>
                    <w:widowControl/>
                    <w:jc w:val="center"/>
                    <w:rPr>
                      <w:szCs w:val="21"/>
                    </w:rPr>
                  </w:pPr>
                  <w:r>
                    <w:rPr>
                      <w:szCs w:val="21"/>
                    </w:rPr>
                    <w:t>锯切线后横移装置液压控制阀台</w:t>
                  </w:r>
                </w:p>
              </w:tc>
              <w:tc>
                <w:tcPr>
                  <w:tcW w:w="558" w:type="pct"/>
                  <w:vAlign w:val="center"/>
                </w:tcPr>
                <w:p w14:paraId="7660D456">
                  <w:pPr>
                    <w:widowControl/>
                    <w:jc w:val="center"/>
                    <w:rPr>
                      <w:szCs w:val="21"/>
                    </w:rPr>
                  </w:pPr>
                  <w:r>
                    <w:rPr>
                      <w:rFonts w:hint="eastAsia"/>
                      <w:szCs w:val="21"/>
                    </w:rPr>
                    <w:t>0</w:t>
                  </w:r>
                  <w:r>
                    <w:rPr>
                      <w:szCs w:val="21"/>
                    </w:rPr>
                    <w:t>套</w:t>
                  </w:r>
                </w:p>
              </w:tc>
              <w:tc>
                <w:tcPr>
                  <w:tcW w:w="512" w:type="pct"/>
                  <w:vAlign w:val="center"/>
                </w:tcPr>
                <w:p w14:paraId="758F696D">
                  <w:pPr>
                    <w:widowControl/>
                    <w:jc w:val="center"/>
                    <w:rPr>
                      <w:szCs w:val="21"/>
                    </w:rPr>
                  </w:pPr>
                  <w:r>
                    <w:rPr>
                      <w:rFonts w:hint="eastAsia"/>
                      <w:szCs w:val="21"/>
                    </w:rPr>
                    <w:t>1</w:t>
                  </w:r>
                  <w:r>
                    <w:rPr>
                      <w:szCs w:val="21"/>
                    </w:rPr>
                    <w:t>套</w:t>
                  </w:r>
                </w:p>
              </w:tc>
              <w:tc>
                <w:tcPr>
                  <w:tcW w:w="544" w:type="pct"/>
                  <w:vAlign w:val="center"/>
                </w:tcPr>
                <w:p w14:paraId="0945DED9">
                  <w:pPr>
                    <w:widowControl/>
                    <w:jc w:val="center"/>
                    <w:rPr>
                      <w:szCs w:val="21"/>
                    </w:rPr>
                  </w:pPr>
                  <w:r>
                    <w:rPr>
                      <w:rFonts w:hint="eastAsia"/>
                      <w:szCs w:val="21"/>
                    </w:rPr>
                    <w:t>+1</w:t>
                  </w:r>
                </w:p>
              </w:tc>
              <w:tc>
                <w:tcPr>
                  <w:tcW w:w="1467" w:type="pct"/>
                  <w:vAlign w:val="center"/>
                </w:tcPr>
                <w:p w14:paraId="01389C10">
                  <w:pPr>
                    <w:pStyle w:val="119"/>
                    <w:widowControl/>
                    <w:spacing w:beforeLines="0" w:afterLines="0" w:line="240" w:lineRule="auto"/>
                    <w:ind w:firstLine="0" w:firstLineChars="0"/>
                    <w:jc w:val="center"/>
                    <w:rPr>
                      <w:bCs/>
                      <w:sz w:val="21"/>
                      <w:szCs w:val="21"/>
                    </w:rPr>
                  </w:pPr>
                  <w:r>
                    <w:rPr>
                      <w:sz w:val="21"/>
                      <w:szCs w:val="21"/>
                    </w:rPr>
                    <w:t>新增</w:t>
                  </w:r>
                </w:p>
              </w:tc>
            </w:tr>
            <w:tr w14:paraId="1E7C3A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315" w:type="pct"/>
                  <w:vAlign w:val="center"/>
                </w:tcPr>
                <w:p w14:paraId="4A1FF0AE">
                  <w:pPr>
                    <w:pStyle w:val="119"/>
                    <w:widowControl/>
                    <w:spacing w:beforeLines="0" w:afterLines="0" w:line="240" w:lineRule="auto"/>
                    <w:ind w:firstLine="0" w:firstLineChars="0"/>
                    <w:jc w:val="center"/>
                    <w:rPr>
                      <w:bCs/>
                      <w:sz w:val="21"/>
                      <w:szCs w:val="21"/>
                    </w:rPr>
                  </w:pPr>
                  <w:r>
                    <w:rPr>
                      <w:rFonts w:hint="eastAsia"/>
                      <w:bCs/>
                      <w:sz w:val="21"/>
                      <w:szCs w:val="21"/>
                    </w:rPr>
                    <w:t>28</w:t>
                  </w:r>
                </w:p>
              </w:tc>
              <w:tc>
                <w:tcPr>
                  <w:tcW w:w="1604" w:type="pct"/>
                  <w:vAlign w:val="center"/>
                </w:tcPr>
                <w:p w14:paraId="75664242">
                  <w:pPr>
                    <w:widowControl/>
                    <w:jc w:val="center"/>
                    <w:rPr>
                      <w:szCs w:val="21"/>
                    </w:rPr>
                  </w:pPr>
                  <w:r>
                    <w:rPr>
                      <w:szCs w:val="21"/>
                    </w:rPr>
                    <w:t>液压配管</w:t>
                  </w:r>
                </w:p>
              </w:tc>
              <w:tc>
                <w:tcPr>
                  <w:tcW w:w="558" w:type="pct"/>
                  <w:vAlign w:val="center"/>
                </w:tcPr>
                <w:p w14:paraId="7CC8CA34">
                  <w:pPr>
                    <w:widowControl/>
                    <w:jc w:val="center"/>
                    <w:rPr>
                      <w:szCs w:val="21"/>
                    </w:rPr>
                  </w:pPr>
                  <w:r>
                    <w:rPr>
                      <w:rFonts w:hint="eastAsia"/>
                      <w:szCs w:val="21"/>
                    </w:rPr>
                    <w:t>0</w:t>
                  </w:r>
                  <w:r>
                    <w:rPr>
                      <w:szCs w:val="21"/>
                    </w:rPr>
                    <w:t>套</w:t>
                  </w:r>
                </w:p>
              </w:tc>
              <w:tc>
                <w:tcPr>
                  <w:tcW w:w="512" w:type="pct"/>
                  <w:vAlign w:val="center"/>
                </w:tcPr>
                <w:p w14:paraId="1E386B15">
                  <w:pPr>
                    <w:widowControl/>
                    <w:jc w:val="center"/>
                    <w:rPr>
                      <w:szCs w:val="21"/>
                    </w:rPr>
                  </w:pPr>
                  <w:r>
                    <w:rPr>
                      <w:rFonts w:hint="eastAsia"/>
                      <w:szCs w:val="21"/>
                    </w:rPr>
                    <w:t>1</w:t>
                  </w:r>
                  <w:r>
                    <w:rPr>
                      <w:szCs w:val="21"/>
                    </w:rPr>
                    <w:t>套</w:t>
                  </w:r>
                </w:p>
              </w:tc>
              <w:tc>
                <w:tcPr>
                  <w:tcW w:w="544" w:type="pct"/>
                  <w:vAlign w:val="center"/>
                </w:tcPr>
                <w:p w14:paraId="3852F0FD">
                  <w:pPr>
                    <w:widowControl/>
                    <w:jc w:val="center"/>
                    <w:rPr>
                      <w:szCs w:val="21"/>
                    </w:rPr>
                  </w:pPr>
                  <w:r>
                    <w:rPr>
                      <w:rFonts w:hint="eastAsia"/>
                      <w:szCs w:val="21"/>
                    </w:rPr>
                    <w:t>+1</w:t>
                  </w:r>
                </w:p>
              </w:tc>
              <w:tc>
                <w:tcPr>
                  <w:tcW w:w="1467" w:type="pct"/>
                  <w:vAlign w:val="center"/>
                </w:tcPr>
                <w:p w14:paraId="775FDBAE">
                  <w:pPr>
                    <w:pStyle w:val="119"/>
                    <w:widowControl/>
                    <w:spacing w:beforeLines="0" w:afterLines="0" w:line="240" w:lineRule="auto"/>
                    <w:ind w:firstLine="0" w:firstLineChars="0"/>
                    <w:jc w:val="center"/>
                    <w:rPr>
                      <w:bCs/>
                      <w:sz w:val="21"/>
                      <w:szCs w:val="21"/>
                    </w:rPr>
                  </w:pPr>
                  <w:r>
                    <w:rPr>
                      <w:sz w:val="21"/>
                      <w:szCs w:val="21"/>
                    </w:rPr>
                    <w:t>新增</w:t>
                  </w:r>
                </w:p>
              </w:tc>
            </w:tr>
            <w:tr w14:paraId="100AFB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315" w:type="pct"/>
                  <w:vAlign w:val="center"/>
                </w:tcPr>
                <w:p w14:paraId="1A8F9ECB">
                  <w:pPr>
                    <w:pStyle w:val="119"/>
                    <w:widowControl/>
                    <w:spacing w:beforeLines="0" w:afterLines="0" w:line="240" w:lineRule="auto"/>
                    <w:ind w:firstLine="0" w:firstLineChars="0"/>
                    <w:jc w:val="center"/>
                    <w:rPr>
                      <w:bCs/>
                      <w:sz w:val="21"/>
                      <w:szCs w:val="21"/>
                    </w:rPr>
                  </w:pPr>
                  <w:r>
                    <w:rPr>
                      <w:rFonts w:hint="eastAsia"/>
                      <w:bCs/>
                      <w:sz w:val="21"/>
                      <w:szCs w:val="21"/>
                    </w:rPr>
                    <w:t>29</w:t>
                  </w:r>
                </w:p>
              </w:tc>
              <w:tc>
                <w:tcPr>
                  <w:tcW w:w="1604" w:type="pct"/>
                  <w:vAlign w:val="center"/>
                </w:tcPr>
                <w:p w14:paraId="1E8701C9">
                  <w:pPr>
                    <w:widowControl/>
                    <w:jc w:val="center"/>
                    <w:rPr>
                      <w:szCs w:val="21"/>
                    </w:rPr>
                  </w:pPr>
                  <w:r>
                    <w:rPr>
                      <w:szCs w:val="21"/>
                    </w:rPr>
                    <w:t>干油配管</w:t>
                  </w:r>
                </w:p>
              </w:tc>
              <w:tc>
                <w:tcPr>
                  <w:tcW w:w="558" w:type="pct"/>
                  <w:vAlign w:val="center"/>
                </w:tcPr>
                <w:p w14:paraId="790F73A0">
                  <w:pPr>
                    <w:widowControl/>
                    <w:jc w:val="center"/>
                    <w:rPr>
                      <w:szCs w:val="21"/>
                    </w:rPr>
                  </w:pPr>
                  <w:r>
                    <w:rPr>
                      <w:rFonts w:hint="eastAsia"/>
                      <w:szCs w:val="21"/>
                    </w:rPr>
                    <w:t>0</w:t>
                  </w:r>
                  <w:r>
                    <w:rPr>
                      <w:szCs w:val="21"/>
                    </w:rPr>
                    <w:t>套</w:t>
                  </w:r>
                </w:p>
              </w:tc>
              <w:tc>
                <w:tcPr>
                  <w:tcW w:w="512" w:type="pct"/>
                  <w:vAlign w:val="center"/>
                </w:tcPr>
                <w:p w14:paraId="34EA375B">
                  <w:pPr>
                    <w:widowControl/>
                    <w:jc w:val="center"/>
                    <w:rPr>
                      <w:szCs w:val="21"/>
                    </w:rPr>
                  </w:pPr>
                  <w:r>
                    <w:rPr>
                      <w:rFonts w:hint="eastAsia"/>
                      <w:szCs w:val="21"/>
                    </w:rPr>
                    <w:t>1</w:t>
                  </w:r>
                  <w:r>
                    <w:rPr>
                      <w:szCs w:val="21"/>
                    </w:rPr>
                    <w:t>套</w:t>
                  </w:r>
                </w:p>
              </w:tc>
              <w:tc>
                <w:tcPr>
                  <w:tcW w:w="544" w:type="pct"/>
                  <w:vAlign w:val="center"/>
                </w:tcPr>
                <w:p w14:paraId="204E767D">
                  <w:pPr>
                    <w:widowControl/>
                    <w:jc w:val="center"/>
                    <w:rPr>
                      <w:szCs w:val="21"/>
                    </w:rPr>
                  </w:pPr>
                  <w:r>
                    <w:rPr>
                      <w:rFonts w:hint="eastAsia"/>
                      <w:szCs w:val="21"/>
                    </w:rPr>
                    <w:t>+1</w:t>
                  </w:r>
                </w:p>
              </w:tc>
              <w:tc>
                <w:tcPr>
                  <w:tcW w:w="1467" w:type="pct"/>
                  <w:vAlign w:val="center"/>
                </w:tcPr>
                <w:p w14:paraId="1CD71BCC">
                  <w:pPr>
                    <w:pStyle w:val="119"/>
                    <w:widowControl/>
                    <w:spacing w:beforeLines="0" w:afterLines="0" w:line="240" w:lineRule="auto"/>
                    <w:ind w:firstLine="0" w:firstLineChars="0"/>
                    <w:jc w:val="center"/>
                    <w:rPr>
                      <w:bCs/>
                      <w:sz w:val="21"/>
                      <w:szCs w:val="21"/>
                    </w:rPr>
                  </w:pPr>
                  <w:r>
                    <w:rPr>
                      <w:sz w:val="21"/>
                      <w:szCs w:val="21"/>
                    </w:rPr>
                    <w:t>新增</w:t>
                  </w:r>
                </w:p>
              </w:tc>
            </w:tr>
            <w:tr w14:paraId="797BB7E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315" w:type="pct"/>
                  <w:vAlign w:val="center"/>
                </w:tcPr>
                <w:p w14:paraId="3B624CF6">
                  <w:pPr>
                    <w:pStyle w:val="119"/>
                    <w:widowControl/>
                    <w:spacing w:beforeLines="0" w:afterLines="0" w:line="240" w:lineRule="auto"/>
                    <w:ind w:firstLine="0" w:firstLineChars="0"/>
                    <w:jc w:val="center"/>
                    <w:rPr>
                      <w:bCs/>
                      <w:sz w:val="21"/>
                      <w:szCs w:val="21"/>
                    </w:rPr>
                  </w:pPr>
                  <w:r>
                    <w:rPr>
                      <w:rFonts w:hint="eastAsia"/>
                      <w:bCs/>
                      <w:sz w:val="21"/>
                      <w:szCs w:val="21"/>
                    </w:rPr>
                    <w:t>30</w:t>
                  </w:r>
                </w:p>
              </w:tc>
              <w:tc>
                <w:tcPr>
                  <w:tcW w:w="1604" w:type="pct"/>
                  <w:vAlign w:val="center"/>
                </w:tcPr>
                <w:p w14:paraId="4D1B2398">
                  <w:pPr>
                    <w:pStyle w:val="119"/>
                    <w:widowControl/>
                    <w:spacing w:beforeLines="0" w:afterLines="0" w:line="240" w:lineRule="auto"/>
                    <w:ind w:firstLine="0" w:firstLineChars="0"/>
                    <w:jc w:val="center"/>
                    <w:rPr>
                      <w:bCs/>
                      <w:sz w:val="21"/>
                      <w:szCs w:val="21"/>
                    </w:rPr>
                  </w:pPr>
                  <w:r>
                    <w:rPr>
                      <w:bCs/>
                      <w:sz w:val="21"/>
                      <w:szCs w:val="21"/>
                    </w:rPr>
                    <w:t>高压水除鳞泵站</w:t>
                  </w:r>
                </w:p>
              </w:tc>
              <w:tc>
                <w:tcPr>
                  <w:tcW w:w="558" w:type="pct"/>
                  <w:vAlign w:val="center"/>
                </w:tcPr>
                <w:p w14:paraId="042B4F1B">
                  <w:pPr>
                    <w:pStyle w:val="119"/>
                    <w:widowControl/>
                    <w:spacing w:beforeLines="0" w:afterLines="0" w:line="240" w:lineRule="auto"/>
                    <w:ind w:firstLine="0" w:firstLineChars="0"/>
                    <w:jc w:val="center"/>
                    <w:rPr>
                      <w:bCs/>
                      <w:sz w:val="21"/>
                      <w:szCs w:val="21"/>
                    </w:rPr>
                  </w:pPr>
                  <w:r>
                    <w:rPr>
                      <w:rFonts w:hint="eastAsia"/>
                      <w:bCs/>
                      <w:sz w:val="21"/>
                      <w:szCs w:val="21"/>
                    </w:rPr>
                    <w:t>1套</w:t>
                  </w:r>
                </w:p>
              </w:tc>
              <w:tc>
                <w:tcPr>
                  <w:tcW w:w="512" w:type="pct"/>
                  <w:vAlign w:val="center"/>
                </w:tcPr>
                <w:p w14:paraId="71D6A0D6">
                  <w:pPr>
                    <w:pStyle w:val="119"/>
                    <w:widowControl/>
                    <w:spacing w:beforeLines="0" w:afterLines="0" w:line="240" w:lineRule="auto"/>
                    <w:ind w:firstLine="0" w:firstLineChars="0"/>
                    <w:jc w:val="center"/>
                    <w:rPr>
                      <w:bCs/>
                      <w:sz w:val="21"/>
                      <w:szCs w:val="21"/>
                    </w:rPr>
                  </w:pPr>
                  <w:r>
                    <w:rPr>
                      <w:rFonts w:hint="eastAsia"/>
                      <w:bCs/>
                      <w:sz w:val="21"/>
                      <w:szCs w:val="21"/>
                    </w:rPr>
                    <w:t>1套</w:t>
                  </w:r>
                </w:p>
              </w:tc>
              <w:tc>
                <w:tcPr>
                  <w:tcW w:w="544" w:type="pct"/>
                  <w:vAlign w:val="center"/>
                </w:tcPr>
                <w:p w14:paraId="6B12991B">
                  <w:pPr>
                    <w:pStyle w:val="119"/>
                    <w:widowControl/>
                    <w:spacing w:beforeLines="0" w:afterLines="0" w:line="240" w:lineRule="auto"/>
                    <w:ind w:firstLine="0" w:firstLineChars="0"/>
                    <w:jc w:val="center"/>
                    <w:rPr>
                      <w:bCs/>
                      <w:sz w:val="21"/>
                      <w:szCs w:val="21"/>
                    </w:rPr>
                  </w:pPr>
                  <w:r>
                    <w:rPr>
                      <w:rFonts w:hint="eastAsia"/>
                      <w:bCs/>
                      <w:sz w:val="21"/>
                      <w:szCs w:val="21"/>
                    </w:rPr>
                    <w:t>0</w:t>
                  </w:r>
                </w:p>
              </w:tc>
              <w:tc>
                <w:tcPr>
                  <w:tcW w:w="1467" w:type="pct"/>
                  <w:vAlign w:val="center"/>
                </w:tcPr>
                <w:p w14:paraId="6F9E47BE">
                  <w:pPr>
                    <w:pStyle w:val="119"/>
                    <w:widowControl/>
                    <w:spacing w:beforeLines="0" w:afterLines="0" w:line="240" w:lineRule="auto"/>
                    <w:ind w:firstLine="0" w:firstLineChars="0"/>
                    <w:jc w:val="center"/>
                    <w:rPr>
                      <w:bCs/>
                      <w:sz w:val="21"/>
                      <w:szCs w:val="21"/>
                    </w:rPr>
                  </w:pPr>
                  <w:r>
                    <w:rPr>
                      <w:bCs/>
                      <w:sz w:val="21"/>
                      <w:szCs w:val="21"/>
                    </w:rPr>
                    <w:t>利旧</w:t>
                  </w:r>
                </w:p>
              </w:tc>
            </w:tr>
            <w:tr w14:paraId="2793276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315" w:type="pct"/>
                  <w:vAlign w:val="center"/>
                </w:tcPr>
                <w:p w14:paraId="2F988901">
                  <w:pPr>
                    <w:pStyle w:val="119"/>
                    <w:widowControl/>
                    <w:spacing w:beforeLines="0" w:afterLines="0" w:line="240" w:lineRule="auto"/>
                    <w:ind w:firstLine="0" w:firstLineChars="0"/>
                    <w:jc w:val="center"/>
                    <w:rPr>
                      <w:bCs/>
                      <w:sz w:val="21"/>
                      <w:szCs w:val="21"/>
                    </w:rPr>
                  </w:pPr>
                  <w:r>
                    <w:rPr>
                      <w:rFonts w:hint="eastAsia"/>
                      <w:bCs/>
                      <w:sz w:val="21"/>
                      <w:szCs w:val="21"/>
                    </w:rPr>
                    <w:t>31</w:t>
                  </w:r>
                </w:p>
              </w:tc>
              <w:tc>
                <w:tcPr>
                  <w:tcW w:w="1604" w:type="pct"/>
                  <w:vAlign w:val="center"/>
                </w:tcPr>
                <w:p w14:paraId="2172C440">
                  <w:pPr>
                    <w:pStyle w:val="119"/>
                    <w:widowControl/>
                    <w:spacing w:beforeLines="0" w:afterLines="0" w:line="240" w:lineRule="auto"/>
                    <w:ind w:firstLine="0" w:firstLineChars="0"/>
                    <w:jc w:val="center"/>
                    <w:rPr>
                      <w:bCs/>
                      <w:sz w:val="21"/>
                      <w:szCs w:val="21"/>
                    </w:rPr>
                  </w:pPr>
                  <w:r>
                    <w:rPr>
                      <w:bCs/>
                      <w:sz w:val="21"/>
                      <w:szCs w:val="21"/>
                    </w:rPr>
                    <w:t>校准站</w:t>
                  </w:r>
                </w:p>
              </w:tc>
              <w:tc>
                <w:tcPr>
                  <w:tcW w:w="558" w:type="pct"/>
                  <w:vAlign w:val="center"/>
                </w:tcPr>
                <w:p w14:paraId="2BA03667">
                  <w:pPr>
                    <w:pStyle w:val="119"/>
                    <w:widowControl/>
                    <w:spacing w:beforeLines="0" w:afterLines="0" w:line="240" w:lineRule="auto"/>
                    <w:ind w:firstLine="0" w:firstLineChars="0"/>
                    <w:jc w:val="center"/>
                    <w:rPr>
                      <w:bCs/>
                      <w:sz w:val="21"/>
                      <w:szCs w:val="21"/>
                    </w:rPr>
                  </w:pPr>
                  <w:r>
                    <w:rPr>
                      <w:bCs/>
                      <w:sz w:val="21"/>
                      <w:szCs w:val="21"/>
                    </w:rPr>
                    <w:t>1套</w:t>
                  </w:r>
                </w:p>
              </w:tc>
              <w:tc>
                <w:tcPr>
                  <w:tcW w:w="512" w:type="pct"/>
                  <w:vAlign w:val="center"/>
                </w:tcPr>
                <w:p w14:paraId="46C295FB">
                  <w:pPr>
                    <w:pStyle w:val="119"/>
                    <w:widowControl/>
                    <w:spacing w:beforeLines="0" w:afterLines="0" w:line="240" w:lineRule="auto"/>
                    <w:ind w:firstLine="0" w:firstLineChars="0"/>
                    <w:jc w:val="center"/>
                    <w:rPr>
                      <w:bCs/>
                      <w:sz w:val="21"/>
                      <w:szCs w:val="21"/>
                    </w:rPr>
                  </w:pPr>
                  <w:r>
                    <w:rPr>
                      <w:bCs/>
                      <w:sz w:val="21"/>
                      <w:szCs w:val="21"/>
                    </w:rPr>
                    <w:t>1套</w:t>
                  </w:r>
                </w:p>
              </w:tc>
              <w:tc>
                <w:tcPr>
                  <w:tcW w:w="544" w:type="pct"/>
                  <w:vAlign w:val="center"/>
                </w:tcPr>
                <w:p w14:paraId="694A416F">
                  <w:pPr>
                    <w:pStyle w:val="119"/>
                    <w:widowControl/>
                    <w:spacing w:beforeLines="0" w:afterLines="0" w:line="240" w:lineRule="auto"/>
                    <w:ind w:firstLine="0" w:firstLineChars="0"/>
                    <w:jc w:val="center"/>
                    <w:rPr>
                      <w:bCs/>
                      <w:sz w:val="21"/>
                      <w:szCs w:val="21"/>
                    </w:rPr>
                  </w:pPr>
                  <w:r>
                    <w:rPr>
                      <w:rFonts w:hint="eastAsia"/>
                      <w:bCs/>
                      <w:sz w:val="21"/>
                      <w:szCs w:val="21"/>
                    </w:rPr>
                    <w:t>0</w:t>
                  </w:r>
                </w:p>
              </w:tc>
              <w:tc>
                <w:tcPr>
                  <w:tcW w:w="1467" w:type="pct"/>
                  <w:vAlign w:val="center"/>
                </w:tcPr>
                <w:p w14:paraId="06B16BCF">
                  <w:pPr>
                    <w:pStyle w:val="119"/>
                    <w:widowControl/>
                    <w:spacing w:beforeLines="0" w:afterLines="0" w:line="240" w:lineRule="auto"/>
                    <w:ind w:firstLine="0" w:firstLineChars="0"/>
                    <w:jc w:val="center"/>
                    <w:rPr>
                      <w:bCs/>
                      <w:sz w:val="21"/>
                      <w:szCs w:val="21"/>
                    </w:rPr>
                  </w:pPr>
                  <w:r>
                    <w:rPr>
                      <w:bCs/>
                      <w:sz w:val="21"/>
                      <w:szCs w:val="21"/>
                    </w:rPr>
                    <w:t>利旧</w:t>
                  </w:r>
                </w:p>
              </w:tc>
            </w:tr>
            <w:tr w14:paraId="5B35ED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315" w:type="pct"/>
                  <w:vAlign w:val="center"/>
                </w:tcPr>
                <w:p w14:paraId="6FC27BEC">
                  <w:pPr>
                    <w:pStyle w:val="119"/>
                    <w:widowControl/>
                    <w:spacing w:beforeLines="0" w:afterLines="0" w:line="240" w:lineRule="auto"/>
                    <w:ind w:firstLine="0" w:firstLineChars="0"/>
                    <w:jc w:val="center"/>
                    <w:rPr>
                      <w:bCs/>
                      <w:sz w:val="21"/>
                      <w:szCs w:val="21"/>
                    </w:rPr>
                  </w:pPr>
                  <w:r>
                    <w:rPr>
                      <w:rFonts w:hint="eastAsia"/>
                      <w:bCs/>
                      <w:sz w:val="21"/>
                      <w:szCs w:val="21"/>
                    </w:rPr>
                    <w:t>32</w:t>
                  </w:r>
                </w:p>
              </w:tc>
              <w:tc>
                <w:tcPr>
                  <w:tcW w:w="1604" w:type="pct"/>
                  <w:vAlign w:val="center"/>
                </w:tcPr>
                <w:p w14:paraId="34E305A9">
                  <w:pPr>
                    <w:pStyle w:val="119"/>
                    <w:widowControl/>
                    <w:spacing w:beforeLines="0" w:afterLines="0" w:line="240" w:lineRule="auto"/>
                    <w:ind w:firstLine="0" w:firstLineChars="0"/>
                    <w:jc w:val="center"/>
                    <w:rPr>
                      <w:bCs/>
                      <w:sz w:val="21"/>
                      <w:szCs w:val="21"/>
                    </w:rPr>
                  </w:pPr>
                  <w:r>
                    <w:rPr>
                      <w:bCs/>
                      <w:sz w:val="21"/>
                      <w:szCs w:val="21"/>
                    </w:rPr>
                    <w:t>芯棒拧接机</w:t>
                  </w:r>
                </w:p>
              </w:tc>
              <w:tc>
                <w:tcPr>
                  <w:tcW w:w="558" w:type="pct"/>
                  <w:vAlign w:val="center"/>
                </w:tcPr>
                <w:p w14:paraId="4EAD3750">
                  <w:pPr>
                    <w:pStyle w:val="119"/>
                    <w:widowControl/>
                    <w:spacing w:beforeLines="0" w:afterLines="0" w:line="240" w:lineRule="auto"/>
                    <w:ind w:firstLine="0" w:firstLineChars="0"/>
                    <w:jc w:val="center"/>
                    <w:rPr>
                      <w:bCs/>
                      <w:sz w:val="21"/>
                      <w:szCs w:val="21"/>
                    </w:rPr>
                  </w:pPr>
                  <w:r>
                    <w:rPr>
                      <w:bCs/>
                      <w:sz w:val="21"/>
                      <w:szCs w:val="21"/>
                    </w:rPr>
                    <w:t>1台</w:t>
                  </w:r>
                </w:p>
              </w:tc>
              <w:tc>
                <w:tcPr>
                  <w:tcW w:w="512" w:type="pct"/>
                  <w:vAlign w:val="center"/>
                </w:tcPr>
                <w:p w14:paraId="23C2C61B">
                  <w:pPr>
                    <w:pStyle w:val="119"/>
                    <w:widowControl/>
                    <w:spacing w:beforeLines="0" w:afterLines="0" w:line="240" w:lineRule="auto"/>
                    <w:ind w:firstLine="0" w:firstLineChars="0"/>
                    <w:jc w:val="center"/>
                    <w:rPr>
                      <w:bCs/>
                      <w:sz w:val="21"/>
                      <w:szCs w:val="21"/>
                    </w:rPr>
                  </w:pPr>
                  <w:r>
                    <w:rPr>
                      <w:bCs/>
                      <w:sz w:val="21"/>
                      <w:szCs w:val="21"/>
                    </w:rPr>
                    <w:t>1台</w:t>
                  </w:r>
                </w:p>
              </w:tc>
              <w:tc>
                <w:tcPr>
                  <w:tcW w:w="544" w:type="pct"/>
                  <w:vAlign w:val="center"/>
                </w:tcPr>
                <w:p w14:paraId="400BC616">
                  <w:pPr>
                    <w:pStyle w:val="119"/>
                    <w:widowControl/>
                    <w:spacing w:beforeLines="0" w:afterLines="0" w:line="240" w:lineRule="auto"/>
                    <w:ind w:firstLine="0" w:firstLineChars="0"/>
                    <w:jc w:val="center"/>
                    <w:rPr>
                      <w:bCs/>
                      <w:sz w:val="21"/>
                      <w:szCs w:val="21"/>
                    </w:rPr>
                  </w:pPr>
                  <w:r>
                    <w:rPr>
                      <w:rFonts w:hint="eastAsia"/>
                      <w:bCs/>
                      <w:sz w:val="21"/>
                      <w:szCs w:val="21"/>
                    </w:rPr>
                    <w:t>0</w:t>
                  </w:r>
                </w:p>
              </w:tc>
              <w:tc>
                <w:tcPr>
                  <w:tcW w:w="1467" w:type="pct"/>
                  <w:vAlign w:val="center"/>
                </w:tcPr>
                <w:p w14:paraId="61953CEF">
                  <w:pPr>
                    <w:pStyle w:val="119"/>
                    <w:widowControl/>
                    <w:spacing w:beforeLines="0" w:afterLines="0" w:line="240" w:lineRule="auto"/>
                    <w:ind w:firstLine="0" w:firstLineChars="0"/>
                    <w:jc w:val="center"/>
                    <w:rPr>
                      <w:bCs/>
                      <w:sz w:val="21"/>
                      <w:szCs w:val="21"/>
                    </w:rPr>
                  </w:pPr>
                  <w:r>
                    <w:rPr>
                      <w:bCs/>
                      <w:sz w:val="21"/>
                      <w:szCs w:val="21"/>
                    </w:rPr>
                    <w:t>利旧</w:t>
                  </w:r>
                </w:p>
              </w:tc>
            </w:tr>
            <w:tr w14:paraId="500885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7" w:hRule="atLeast"/>
                <w:jc w:val="center"/>
              </w:trPr>
              <w:tc>
                <w:tcPr>
                  <w:tcW w:w="315" w:type="pct"/>
                  <w:vAlign w:val="center"/>
                </w:tcPr>
                <w:p w14:paraId="294C6137">
                  <w:pPr>
                    <w:pStyle w:val="119"/>
                    <w:widowControl/>
                    <w:spacing w:beforeLines="0" w:afterLines="0" w:line="240" w:lineRule="auto"/>
                    <w:ind w:firstLine="0" w:firstLineChars="0"/>
                    <w:jc w:val="center"/>
                    <w:rPr>
                      <w:bCs/>
                      <w:sz w:val="21"/>
                      <w:szCs w:val="21"/>
                    </w:rPr>
                  </w:pPr>
                  <w:r>
                    <w:rPr>
                      <w:rFonts w:hint="eastAsia"/>
                      <w:bCs/>
                      <w:sz w:val="21"/>
                      <w:szCs w:val="21"/>
                    </w:rPr>
                    <w:t>33</w:t>
                  </w:r>
                </w:p>
              </w:tc>
              <w:tc>
                <w:tcPr>
                  <w:tcW w:w="1604" w:type="pct"/>
                  <w:vAlign w:val="center"/>
                </w:tcPr>
                <w:p w14:paraId="3962DB90">
                  <w:pPr>
                    <w:pStyle w:val="119"/>
                    <w:widowControl/>
                    <w:spacing w:beforeLines="0" w:afterLines="0" w:line="240" w:lineRule="auto"/>
                    <w:ind w:firstLine="0" w:firstLineChars="0"/>
                    <w:jc w:val="center"/>
                    <w:rPr>
                      <w:bCs/>
                      <w:sz w:val="21"/>
                      <w:szCs w:val="21"/>
                    </w:rPr>
                  </w:pPr>
                  <w:r>
                    <w:rPr>
                      <w:bCs/>
                      <w:sz w:val="21"/>
                      <w:szCs w:val="21"/>
                    </w:rPr>
                    <w:t>连轧管机轧辊数控加工机床</w:t>
                  </w:r>
                </w:p>
              </w:tc>
              <w:tc>
                <w:tcPr>
                  <w:tcW w:w="558" w:type="pct"/>
                  <w:vAlign w:val="center"/>
                </w:tcPr>
                <w:p w14:paraId="5E3A5313">
                  <w:pPr>
                    <w:pStyle w:val="119"/>
                    <w:widowControl/>
                    <w:spacing w:beforeLines="0" w:afterLines="0" w:line="240" w:lineRule="auto"/>
                    <w:ind w:firstLine="0" w:firstLineChars="0"/>
                    <w:jc w:val="center"/>
                    <w:rPr>
                      <w:bCs/>
                      <w:sz w:val="21"/>
                      <w:szCs w:val="21"/>
                    </w:rPr>
                  </w:pPr>
                  <w:r>
                    <w:rPr>
                      <w:bCs/>
                      <w:sz w:val="21"/>
                      <w:szCs w:val="21"/>
                    </w:rPr>
                    <w:t>1台</w:t>
                  </w:r>
                </w:p>
              </w:tc>
              <w:tc>
                <w:tcPr>
                  <w:tcW w:w="512" w:type="pct"/>
                  <w:vAlign w:val="center"/>
                </w:tcPr>
                <w:p w14:paraId="03A3F7DB">
                  <w:pPr>
                    <w:pStyle w:val="119"/>
                    <w:widowControl/>
                    <w:spacing w:beforeLines="0" w:afterLines="0" w:line="240" w:lineRule="auto"/>
                    <w:ind w:firstLine="0" w:firstLineChars="0"/>
                    <w:jc w:val="center"/>
                    <w:rPr>
                      <w:bCs/>
                      <w:sz w:val="21"/>
                      <w:szCs w:val="21"/>
                    </w:rPr>
                  </w:pPr>
                  <w:r>
                    <w:rPr>
                      <w:bCs/>
                      <w:sz w:val="21"/>
                      <w:szCs w:val="21"/>
                    </w:rPr>
                    <w:t>1台</w:t>
                  </w:r>
                </w:p>
              </w:tc>
              <w:tc>
                <w:tcPr>
                  <w:tcW w:w="544" w:type="pct"/>
                  <w:vAlign w:val="center"/>
                </w:tcPr>
                <w:p w14:paraId="3219C0E5">
                  <w:pPr>
                    <w:pStyle w:val="119"/>
                    <w:widowControl/>
                    <w:spacing w:beforeLines="0" w:afterLines="0" w:line="240" w:lineRule="auto"/>
                    <w:ind w:firstLine="0" w:firstLineChars="0"/>
                    <w:jc w:val="center"/>
                    <w:rPr>
                      <w:bCs/>
                      <w:sz w:val="21"/>
                      <w:szCs w:val="21"/>
                    </w:rPr>
                  </w:pPr>
                  <w:r>
                    <w:rPr>
                      <w:rFonts w:hint="eastAsia"/>
                      <w:bCs/>
                      <w:sz w:val="21"/>
                      <w:szCs w:val="21"/>
                    </w:rPr>
                    <w:t>0</w:t>
                  </w:r>
                </w:p>
              </w:tc>
              <w:tc>
                <w:tcPr>
                  <w:tcW w:w="1467" w:type="pct"/>
                  <w:vAlign w:val="center"/>
                </w:tcPr>
                <w:p w14:paraId="457085E9">
                  <w:pPr>
                    <w:pStyle w:val="119"/>
                    <w:widowControl/>
                    <w:spacing w:beforeLines="0" w:afterLines="0" w:line="240" w:lineRule="auto"/>
                    <w:ind w:firstLine="0" w:firstLineChars="0"/>
                    <w:jc w:val="center"/>
                    <w:rPr>
                      <w:bCs/>
                      <w:sz w:val="21"/>
                      <w:szCs w:val="21"/>
                    </w:rPr>
                  </w:pPr>
                  <w:r>
                    <w:rPr>
                      <w:bCs/>
                      <w:sz w:val="21"/>
                      <w:szCs w:val="21"/>
                    </w:rPr>
                    <w:t>利旧</w:t>
                  </w:r>
                </w:p>
              </w:tc>
            </w:tr>
          </w:tbl>
          <w:p w14:paraId="6F0AD4EC">
            <w:pPr>
              <w:adjustRightInd w:val="0"/>
              <w:snapToGrid w:val="0"/>
              <w:spacing w:line="360" w:lineRule="auto"/>
              <w:ind w:firstLine="482" w:firstLineChars="200"/>
              <w:rPr>
                <w:b/>
                <w:bCs/>
                <w:sz w:val="24"/>
              </w:rPr>
            </w:pPr>
            <w:r>
              <w:rPr>
                <w:rFonts w:hint="eastAsia"/>
                <w:b/>
                <w:bCs/>
                <w:sz w:val="24"/>
              </w:rPr>
              <w:t>6</w:t>
            </w:r>
            <w:r>
              <w:rPr>
                <w:b/>
                <w:bCs/>
                <w:sz w:val="24"/>
              </w:rPr>
              <w:t>、公辅工程</w:t>
            </w:r>
          </w:p>
          <w:p w14:paraId="5D9DEB5E">
            <w:pPr>
              <w:pStyle w:val="30"/>
              <w:adjustRightInd w:val="0"/>
              <w:snapToGrid w:val="0"/>
              <w:spacing w:after="0" w:line="360" w:lineRule="auto"/>
              <w:ind w:firstLine="482" w:firstLineChars="200"/>
              <w:rPr>
                <w:rFonts w:ascii="Times New Roman" w:hAnsi="Times New Roman"/>
                <w:b/>
                <w:sz w:val="24"/>
              </w:rPr>
            </w:pPr>
            <w:r>
              <w:rPr>
                <w:rFonts w:hint="eastAsia" w:ascii="Times New Roman" w:hAnsi="Times New Roman"/>
                <w:b/>
                <w:sz w:val="24"/>
              </w:rPr>
              <w:t>（1）给排水</w:t>
            </w:r>
          </w:p>
          <w:p w14:paraId="1F718121">
            <w:pPr>
              <w:pStyle w:val="30"/>
              <w:adjustRightInd w:val="0"/>
              <w:snapToGrid w:val="0"/>
              <w:spacing w:after="0" w:line="360" w:lineRule="auto"/>
              <w:ind w:firstLine="482" w:firstLineChars="200"/>
              <w:rPr>
                <w:rFonts w:ascii="Times New Roman" w:hAnsi="Times New Roman"/>
                <w:b/>
                <w:sz w:val="24"/>
              </w:rPr>
            </w:pPr>
            <w:r>
              <w:rPr>
                <w:rFonts w:hint="eastAsia" w:ascii="Times New Roman" w:hAnsi="Times New Roman"/>
                <w:b/>
                <w:sz w:val="24"/>
              </w:rPr>
              <w:t>给水：</w:t>
            </w:r>
            <w:r>
              <w:rPr>
                <w:rFonts w:hint="eastAsia" w:ascii="Times New Roman" w:hAnsi="Times New Roman"/>
                <w:sz w:val="24"/>
              </w:rPr>
              <w:t>本项目技术改造后给水水源不变，生产生活用水仍由市政管网统一供给。</w:t>
            </w:r>
          </w:p>
          <w:p w14:paraId="1FB2A181">
            <w:pPr>
              <w:pStyle w:val="30"/>
              <w:adjustRightInd w:val="0"/>
              <w:snapToGrid w:val="0"/>
              <w:spacing w:after="0" w:line="360" w:lineRule="auto"/>
              <w:ind w:firstLine="458" w:firstLineChars="200"/>
              <w:rPr>
                <w:rFonts w:ascii="Times New Roman" w:hAnsi="Times New Roman"/>
                <w:spacing w:val="-6"/>
                <w:sz w:val="24"/>
              </w:rPr>
            </w:pPr>
            <w:r>
              <w:rPr>
                <w:rFonts w:hint="eastAsia" w:ascii="Times New Roman" w:hAnsi="Times New Roman"/>
                <w:b/>
                <w:spacing w:val="-6"/>
                <w:sz w:val="24"/>
              </w:rPr>
              <w:t>排水：</w:t>
            </w:r>
            <w:r>
              <w:rPr>
                <w:rFonts w:hint="eastAsia" w:ascii="Times New Roman" w:hAnsi="Times New Roman"/>
                <w:spacing w:val="-6"/>
                <w:sz w:val="24"/>
              </w:rPr>
              <w:t>本项目技术改造后排水方式不变，仍实施雨污分流，雨水经雨水管沟排入衡钢公司雨水管网；生活污水经化粪池预处理后进入衡钢东区污水处理站；净环水经冷却处理后循环使用，系统强制排污水进入浊环水系统；浊环水经隔油、沉淀、冷却处理后大部分循环使用，少部分排至衡钢东区污水处理站，净环水反冲洗废水经砂石过滤器处理后回用至浊环水系统。</w:t>
            </w:r>
          </w:p>
          <w:p w14:paraId="588674BD">
            <w:pPr>
              <w:widowControl/>
              <w:spacing w:line="360" w:lineRule="auto"/>
              <w:ind w:firstLine="480" w:firstLineChars="200"/>
              <w:rPr>
                <w:sz w:val="24"/>
              </w:rPr>
            </w:pPr>
            <w:r>
              <w:rPr>
                <w:rFonts w:hint="eastAsia"/>
                <w:sz w:val="24"/>
              </w:rPr>
              <w:t>项目热轧生产线主要包括净环水系统、浊环水系统和生活污水，其中外排废水为生活污水。本次技改工程不新增劳动定员，不新增废水污染物排放量。</w:t>
            </w:r>
          </w:p>
          <w:p w14:paraId="7058BA77">
            <w:pPr>
              <w:widowControl/>
              <w:spacing w:line="360" w:lineRule="auto"/>
              <w:ind w:firstLine="480" w:firstLineChars="200"/>
              <w:rPr>
                <w:sz w:val="24"/>
              </w:rPr>
            </w:pPr>
            <w:r>
              <w:rPr>
                <w:rFonts w:hint="eastAsia"/>
                <w:sz w:val="24"/>
              </w:rPr>
              <w:t>①间接冷却废水</w:t>
            </w:r>
          </w:p>
          <w:p w14:paraId="2069F1FB">
            <w:pPr>
              <w:widowControl/>
              <w:spacing w:line="360" w:lineRule="auto"/>
              <w:ind w:firstLine="480" w:firstLineChars="200"/>
              <w:rPr>
                <w:sz w:val="24"/>
              </w:rPr>
            </w:pPr>
            <w:r>
              <w:rPr>
                <w:rFonts w:hint="eastAsia"/>
                <w:sz w:val="24"/>
              </w:rPr>
              <w:t>项目热轧生产线间接冷却水主要为环形炉冷却水、步进炉冷却水等，</w:t>
            </w:r>
            <w:r>
              <w:rPr>
                <w:rFonts w:hint="eastAsia"/>
                <w:spacing w:val="-6"/>
                <w:sz w:val="24"/>
              </w:rPr>
              <w:t>技术改造后</w:t>
            </w:r>
            <w:r>
              <w:rPr>
                <w:rFonts w:hint="eastAsia"/>
                <w:sz w:val="24"/>
              </w:rPr>
              <w:t>用水量约为210m</w:t>
            </w:r>
            <w:r>
              <w:rPr>
                <w:rFonts w:hint="eastAsia"/>
                <w:sz w:val="24"/>
                <w:vertAlign w:val="superscript"/>
              </w:rPr>
              <w:t>3</w:t>
            </w:r>
            <w:r>
              <w:rPr>
                <w:rFonts w:hint="eastAsia"/>
                <w:sz w:val="24"/>
              </w:rPr>
              <w:t>/h，补充新鲜水量约5.6m</w:t>
            </w:r>
            <w:r>
              <w:rPr>
                <w:rFonts w:hint="eastAsia"/>
                <w:sz w:val="24"/>
                <w:vertAlign w:val="superscript"/>
              </w:rPr>
              <w:t>3</w:t>
            </w:r>
            <w:r>
              <w:rPr>
                <w:rFonts w:hint="eastAsia"/>
                <w:sz w:val="24"/>
              </w:rPr>
              <w:t>/h，间接冷却水仅温度升高，不含其它污染物，工程设置净环水系统，使用后的排水经降温后循环使用，少量</w:t>
            </w:r>
            <w:r>
              <w:rPr>
                <w:sz w:val="24"/>
              </w:rPr>
              <w:t>强制排污水（约</w:t>
            </w:r>
            <w:r>
              <w:rPr>
                <w:rFonts w:hint="eastAsia"/>
                <w:sz w:val="24"/>
              </w:rPr>
              <w:t>2.8m</w:t>
            </w:r>
            <w:r>
              <w:rPr>
                <w:rFonts w:hint="eastAsia"/>
                <w:sz w:val="24"/>
                <w:vertAlign w:val="superscript"/>
              </w:rPr>
              <w:t>3</w:t>
            </w:r>
            <w:r>
              <w:rPr>
                <w:rFonts w:hint="eastAsia"/>
                <w:sz w:val="24"/>
              </w:rPr>
              <w:t>/h</w:t>
            </w:r>
            <w:r>
              <w:rPr>
                <w:sz w:val="24"/>
              </w:rPr>
              <w:t>）进入浊环水系统。</w:t>
            </w:r>
          </w:p>
          <w:p w14:paraId="1F7CF161">
            <w:pPr>
              <w:widowControl/>
              <w:spacing w:line="360" w:lineRule="auto"/>
              <w:ind w:firstLine="480" w:firstLineChars="200"/>
              <w:rPr>
                <w:sz w:val="24"/>
              </w:rPr>
            </w:pPr>
            <w:r>
              <w:rPr>
                <w:rFonts w:hint="eastAsia" w:ascii="宋体" w:hAnsi="宋体" w:cs="宋体"/>
                <w:sz w:val="24"/>
              </w:rPr>
              <w:t>②</w:t>
            </w:r>
            <w:r>
              <w:rPr>
                <w:rFonts w:hint="eastAsia"/>
                <w:sz w:val="24"/>
              </w:rPr>
              <w:t>直接冷却废水</w:t>
            </w:r>
          </w:p>
          <w:p w14:paraId="1B800376">
            <w:pPr>
              <w:pStyle w:val="30"/>
              <w:adjustRightInd w:val="0"/>
              <w:snapToGrid w:val="0"/>
              <w:spacing w:after="0" w:line="360" w:lineRule="auto"/>
              <w:ind w:firstLine="480" w:firstLineChars="200"/>
              <w:rPr>
                <w:rFonts w:ascii="Times New Roman" w:hAnsi="Times New Roman"/>
                <w:spacing w:val="-6"/>
                <w:sz w:val="24"/>
              </w:rPr>
            </w:pPr>
            <w:r>
              <w:rPr>
                <w:rFonts w:ascii="Times New Roman"/>
                <w:sz w:val="24"/>
              </w:rPr>
              <w:t>项目热轧生产线直接冷却用水主要为穿孔冷却用水、芯棒直接冷却用水、</w:t>
            </w:r>
            <w:r>
              <w:rPr>
                <w:rFonts w:ascii="Times New Roman"/>
                <w:spacing w:val="10"/>
                <w:sz w:val="24"/>
              </w:rPr>
              <w:t>石墨润滑用水、</w:t>
            </w:r>
            <w:r>
              <w:rPr>
                <w:rFonts w:ascii="Times New Roman"/>
                <w:sz w:val="24"/>
              </w:rPr>
              <w:t>高压水除鳞用水、轧机设备直接冷却用水、张减机直接冷却用水等，</w:t>
            </w:r>
            <w:r>
              <w:rPr>
                <w:rFonts w:hint="eastAsia" w:ascii="Times New Roman" w:hAnsi="Times New Roman"/>
                <w:spacing w:val="-6"/>
                <w:sz w:val="24"/>
              </w:rPr>
              <w:t>技术改造后</w:t>
            </w:r>
            <w:r>
              <w:rPr>
                <w:rFonts w:ascii="Times New Roman"/>
                <w:sz w:val="24"/>
              </w:rPr>
              <w:t>用水量约为</w:t>
            </w:r>
            <w:r>
              <w:rPr>
                <w:rFonts w:hint="eastAsia" w:ascii="Times New Roman" w:hAnsi="Times New Roman"/>
                <w:sz w:val="24"/>
              </w:rPr>
              <w:t>574</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/h</w:t>
            </w:r>
            <w:r>
              <w:rPr>
                <w:rFonts w:ascii="Times New Roman"/>
                <w:sz w:val="24"/>
              </w:rPr>
              <w:t>，补充新鲜水量约</w:t>
            </w:r>
            <w:r>
              <w:rPr>
                <w:rFonts w:hint="eastAsia" w:ascii="Times New Roman" w:hAnsi="Times New Roman"/>
                <w:sz w:val="24"/>
              </w:rPr>
              <w:t>11.2</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/h</w:t>
            </w:r>
            <w:r>
              <w:rPr>
                <w:rFonts w:ascii="Times New Roman"/>
                <w:sz w:val="24"/>
              </w:rPr>
              <w:t>，主要污染物为石油类和</w:t>
            </w:r>
            <w:r>
              <w:rPr>
                <w:rFonts w:ascii="Times New Roman" w:hAnsi="Times New Roman"/>
                <w:sz w:val="24"/>
              </w:rPr>
              <w:t>SS</w:t>
            </w:r>
            <w:r>
              <w:rPr>
                <w:rFonts w:ascii="Times New Roman"/>
                <w:sz w:val="24"/>
              </w:rPr>
              <w:t>，污染物浓度为</w:t>
            </w:r>
            <w:r>
              <w:rPr>
                <w:rFonts w:ascii="Times New Roman" w:hAnsi="Times New Roman"/>
                <w:sz w:val="24"/>
              </w:rPr>
              <w:t>SS900mg/L</w:t>
            </w:r>
            <w:r>
              <w:rPr>
                <w:rFonts w:ascii="Times New Roman"/>
                <w:sz w:val="24"/>
              </w:rPr>
              <w:t>，石油类</w:t>
            </w:r>
            <w:r>
              <w:rPr>
                <w:rFonts w:ascii="Times New Roman" w:hAnsi="Times New Roman"/>
                <w:sz w:val="24"/>
              </w:rPr>
              <w:t>15mg/L</w:t>
            </w:r>
            <w:r>
              <w:rPr>
                <w:rFonts w:ascii="Times New Roman"/>
                <w:sz w:val="24"/>
              </w:rPr>
              <w:t>。工程设浊废水循环系统，废水经旋流池、化学除油器处理工艺等处理后循环使用，循环系统排出的少量废水（约</w:t>
            </w:r>
            <w:r>
              <w:rPr>
                <w:rFonts w:hint="eastAsia" w:ascii="Times New Roman" w:hAnsi="Times New Roman"/>
                <w:sz w:val="24"/>
              </w:rPr>
              <w:t>5.6</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/h</w:t>
            </w:r>
            <w:r>
              <w:rPr>
                <w:rFonts w:ascii="Times New Roman"/>
                <w:sz w:val="24"/>
              </w:rPr>
              <w:t>）进入衡钢东区污水处理站净化后循环使用。</w:t>
            </w:r>
          </w:p>
          <w:p w14:paraId="221F89D4">
            <w:pPr>
              <w:pStyle w:val="30"/>
              <w:adjustRightInd w:val="0"/>
              <w:snapToGrid w:val="0"/>
              <w:spacing w:after="0" w:line="360" w:lineRule="auto"/>
              <w:ind w:firstLine="0" w:firstLineChars="0"/>
              <w:rPr>
                <w:rFonts w:ascii="Times New Roman" w:hAnsi="Times New Roman"/>
                <w:spacing w:val="-6"/>
                <w:sz w:val="24"/>
              </w:rPr>
            </w:pPr>
            <w:r>
              <w:object>
                <v:shape id="_x0000_i1025" o:spt="75" type="#_x0000_t75" style="height:196.5pt;width:446.25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p>
          <w:p w14:paraId="17793B66">
            <w:pPr>
              <w:jc w:val="center"/>
              <w:rPr>
                <w:rFonts w:hAnsiTheme="minorEastAsia"/>
                <w:b/>
                <w:szCs w:val="21"/>
              </w:rPr>
            </w:pPr>
            <w:r>
              <w:rPr>
                <w:rFonts w:hint="eastAsia" w:hAnsiTheme="minorEastAsia"/>
                <w:b/>
                <w:szCs w:val="21"/>
              </w:rPr>
              <w:t>图2-1  技改后热轧生产线水平衡图  单位：t/h</w:t>
            </w:r>
          </w:p>
          <w:p w14:paraId="2235ED50">
            <w:pPr>
              <w:pStyle w:val="30"/>
              <w:adjustRightInd w:val="0"/>
              <w:snapToGrid w:val="0"/>
              <w:spacing w:after="0" w:line="360" w:lineRule="auto"/>
              <w:ind w:firstLine="458" w:firstLineChars="200"/>
              <w:rPr>
                <w:rFonts w:ascii="Times New Roman" w:hAnsi="Times New Roman"/>
                <w:b/>
                <w:spacing w:val="-6"/>
                <w:sz w:val="24"/>
              </w:rPr>
            </w:pPr>
            <w:r>
              <w:rPr>
                <w:rFonts w:hint="eastAsia" w:ascii="Times New Roman" w:hAnsi="Times New Roman"/>
                <w:b/>
                <w:spacing w:val="-6"/>
                <w:sz w:val="24"/>
              </w:rPr>
              <w:t>（2）供电</w:t>
            </w:r>
          </w:p>
          <w:p w14:paraId="2CEBDAAF">
            <w:pPr>
              <w:pStyle w:val="30"/>
              <w:adjustRightInd w:val="0"/>
              <w:snapToGrid w:val="0"/>
              <w:spacing w:after="0" w:line="360" w:lineRule="auto"/>
              <w:ind w:firstLine="456" w:firstLineChars="200"/>
              <w:rPr>
                <w:rFonts w:ascii="Times New Roman" w:hAnsi="Times New Roman"/>
                <w:spacing w:val="-6"/>
                <w:sz w:val="24"/>
              </w:rPr>
            </w:pPr>
            <w:r>
              <w:rPr>
                <w:rFonts w:hint="eastAsia" w:ascii="Times New Roman" w:hAnsi="Times New Roman"/>
                <w:spacing w:val="-6"/>
                <w:sz w:val="24"/>
              </w:rPr>
              <w:t>本项目技术改造后，项目用电仍由市政电网接入。本次改造新增2台油浸式变压器，服务于28机架张力减径机，安装在主电室内；不新增低压负荷中心，均利旧；不新增UPS系统，新增的（PLC、HMI、特殊仪表等）UPS用电均取自连轧机组原有UPS系统配电柜。</w:t>
            </w:r>
          </w:p>
          <w:p w14:paraId="7BB0C2AA">
            <w:pPr>
              <w:pStyle w:val="30"/>
              <w:adjustRightInd w:val="0"/>
              <w:snapToGrid w:val="0"/>
              <w:spacing w:after="0" w:line="360" w:lineRule="auto"/>
              <w:ind w:firstLine="458" w:firstLineChars="200"/>
              <w:rPr>
                <w:rFonts w:ascii="Times New Roman" w:hAnsi="Times New Roman"/>
                <w:b/>
                <w:spacing w:val="-6"/>
                <w:sz w:val="24"/>
              </w:rPr>
            </w:pPr>
            <w:r>
              <w:rPr>
                <w:rFonts w:hint="eastAsia" w:ascii="Times New Roman" w:hAnsi="Times New Roman"/>
                <w:b/>
                <w:spacing w:val="-6"/>
                <w:sz w:val="24"/>
              </w:rPr>
              <w:t>（3）供气（天然气）</w:t>
            </w:r>
          </w:p>
          <w:p w14:paraId="47682970">
            <w:pPr>
              <w:pStyle w:val="30"/>
              <w:adjustRightInd w:val="0"/>
              <w:snapToGrid w:val="0"/>
              <w:spacing w:after="0" w:line="360" w:lineRule="auto"/>
              <w:ind w:firstLine="456" w:firstLineChars="200"/>
              <w:rPr>
                <w:rFonts w:ascii="Times New Roman" w:hAnsi="Times New Roman"/>
                <w:spacing w:val="-6"/>
                <w:sz w:val="24"/>
              </w:rPr>
            </w:pPr>
            <w:r>
              <w:rPr>
                <w:rFonts w:hint="eastAsia" w:ascii="Times New Roman" w:hAnsi="Times New Roman"/>
                <w:spacing w:val="-6"/>
                <w:sz w:val="24"/>
              </w:rPr>
              <w:t>本项目技术改造后，项目燃料由原有的混合煤气调整为天然气，天然气仍由市政供气管网网接入。</w:t>
            </w:r>
          </w:p>
          <w:p w14:paraId="09F2C909">
            <w:pPr>
              <w:adjustRightInd w:val="0"/>
              <w:snapToGrid w:val="0"/>
              <w:spacing w:line="360" w:lineRule="auto"/>
              <w:ind w:firstLine="482" w:firstLineChars="200"/>
              <w:rPr>
                <w:b/>
                <w:bCs/>
                <w:sz w:val="24"/>
              </w:rPr>
            </w:pPr>
            <w:r>
              <w:rPr>
                <w:rFonts w:hint="eastAsia"/>
                <w:b/>
                <w:bCs/>
                <w:sz w:val="24"/>
              </w:rPr>
              <w:t>7</w:t>
            </w:r>
            <w:r>
              <w:rPr>
                <w:b/>
                <w:bCs/>
                <w:sz w:val="24"/>
              </w:rPr>
              <w:t>、劳动定员及工作制度</w:t>
            </w:r>
          </w:p>
          <w:p w14:paraId="594EF875">
            <w:pPr>
              <w:adjustRightInd w:val="0"/>
              <w:snapToGrid w:val="0"/>
              <w:spacing w:line="360" w:lineRule="auto"/>
              <w:ind w:firstLine="480" w:firstLineChars="200"/>
              <w:rPr>
                <w:kern w:val="0"/>
                <w:sz w:val="24"/>
              </w:rPr>
            </w:pPr>
            <w:r>
              <w:rPr>
                <w:rFonts w:hint="eastAsia"/>
                <w:kern w:val="0"/>
                <w:sz w:val="24"/>
              </w:rPr>
              <w:t>本次技改工程不新增劳动定员，工作制度维持不变。</w:t>
            </w:r>
          </w:p>
          <w:p w14:paraId="7F7C2266">
            <w:pPr>
              <w:adjustRightInd w:val="0"/>
              <w:snapToGrid w:val="0"/>
              <w:spacing w:line="360" w:lineRule="auto"/>
              <w:ind w:firstLine="480" w:firstLineChars="200"/>
              <w:rPr>
                <w:bCs/>
                <w:sz w:val="24"/>
              </w:rPr>
            </w:pPr>
            <w:r>
              <w:rPr>
                <w:rFonts w:hint="eastAsia"/>
                <w:kern w:val="0"/>
                <w:sz w:val="24"/>
              </w:rPr>
              <w:t>项目定员500人，全年工作时间325天，采用三班制，每班工作时间8小时</w:t>
            </w:r>
            <w:r>
              <w:rPr>
                <w:rFonts w:hint="eastAsia"/>
                <w:bCs/>
                <w:sz w:val="24"/>
              </w:rPr>
              <w:t>。</w:t>
            </w:r>
          </w:p>
          <w:p w14:paraId="66C0217B">
            <w:pPr>
              <w:adjustRightInd w:val="0"/>
              <w:snapToGrid w:val="0"/>
              <w:spacing w:line="360" w:lineRule="auto"/>
              <w:ind w:firstLine="482" w:firstLineChars="200"/>
              <w:rPr>
                <w:b/>
                <w:bCs/>
                <w:sz w:val="24"/>
              </w:rPr>
            </w:pPr>
            <w:r>
              <w:rPr>
                <w:rFonts w:hint="eastAsia"/>
                <w:b/>
                <w:bCs/>
                <w:sz w:val="24"/>
              </w:rPr>
              <w:t>8、厂区总平面布置</w:t>
            </w:r>
          </w:p>
          <w:p w14:paraId="1BFC2033">
            <w:pPr>
              <w:adjustRightInd w:val="0"/>
              <w:snapToGrid w:val="0"/>
              <w:spacing w:line="360" w:lineRule="auto"/>
              <w:ind w:firstLine="480" w:firstLineChars="200"/>
              <w:rPr>
                <w:sz w:val="24"/>
              </w:rPr>
            </w:pPr>
            <w:r>
              <w:rPr>
                <w:rFonts w:hint="eastAsia"/>
                <w:kern w:val="0"/>
                <w:sz w:val="24"/>
              </w:rPr>
              <w:t>本次技改工程</w:t>
            </w:r>
            <w:r>
              <w:rPr>
                <w:sz w:val="24"/>
              </w:rPr>
              <w:t>仅仅是对热轧线</w:t>
            </w:r>
            <w:r>
              <w:rPr>
                <w:rFonts w:hint="eastAsia"/>
                <w:sz w:val="24"/>
              </w:rPr>
              <w:t>部分</w:t>
            </w:r>
            <w:r>
              <w:rPr>
                <w:sz w:val="24"/>
              </w:rPr>
              <w:t>设备进行更新替换或改造，</w:t>
            </w:r>
            <w:r>
              <w:rPr>
                <w:rFonts w:hint="eastAsia"/>
                <w:sz w:val="24"/>
              </w:rPr>
              <w:t>不改变</w:t>
            </w:r>
            <w:r>
              <w:rPr>
                <w:sz w:val="24"/>
              </w:rPr>
              <w:t>热轧线</w:t>
            </w:r>
            <w:r>
              <w:rPr>
                <w:rFonts w:hint="eastAsia"/>
                <w:sz w:val="24"/>
              </w:rPr>
              <w:t>现有平面布置及功能区分布</w:t>
            </w:r>
            <w:r>
              <w:rPr>
                <w:sz w:val="24"/>
              </w:rPr>
              <w:t>。</w:t>
            </w:r>
            <w:r>
              <w:rPr>
                <w:rFonts w:hint="eastAsia"/>
                <w:sz w:val="24"/>
              </w:rPr>
              <w:t>项目平面布置较为简单，生产分区功能明确，满足生产、安全、消防等要求，区域工程布置与物料流向一致，有利生产，方便管理，其平面布局合理、物流顺畅。</w:t>
            </w:r>
          </w:p>
          <w:p w14:paraId="770B7336">
            <w:pPr>
              <w:adjustRightInd w:val="0"/>
              <w:snapToGrid w:val="0"/>
              <w:spacing w:line="360" w:lineRule="auto"/>
              <w:ind w:firstLine="480" w:firstLineChars="200"/>
              <w:rPr>
                <w:bCs/>
                <w:sz w:val="24"/>
              </w:rPr>
            </w:pPr>
            <w:r>
              <w:rPr>
                <w:rFonts w:hint="eastAsia"/>
                <w:bCs/>
                <w:sz w:val="24"/>
              </w:rPr>
              <w:t>综上所述，项目热轧线车间总平面布置合理，具体详见附图。</w:t>
            </w:r>
          </w:p>
          <w:p w14:paraId="5FF9AC16">
            <w:pPr>
              <w:adjustRightInd w:val="0"/>
              <w:snapToGrid w:val="0"/>
              <w:spacing w:line="360" w:lineRule="auto"/>
              <w:ind w:firstLine="482" w:firstLineChars="200"/>
              <w:rPr>
                <w:b/>
                <w:bCs/>
                <w:sz w:val="24"/>
              </w:rPr>
            </w:pPr>
            <w:r>
              <w:rPr>
                <w:rFonts w:hint="eastAsia"/>
                <w:b/>
                <w:bCs/>
                <w:sz w:val="24"/>
              </w:rPr>
              <w:t>9、碳排放核算</w:t>
            </w:r>
          </w:p>
          <w:p w14:paraId="08916AFF">
            <w:pPr>
              <w:adjustRightInd w:val="0"/>
              <w:snapToGrid w:val="0"/>
              <w:spacing w:line="360" w:lineRule="auto"/>
              <w:ind w:firstLine="480" w:firstLineChars="200"/>
              <w:rPr>
                <w:sz w:val="24"/>
              </w:rPr>
            </w:pPr>
            <w:r>
              <w:rPr>
                <w:rFonts w:hint="eastAsia"/>
                <w:sz w:val="24"/>
              </w:rPr>
              <w:t>参照《中国钢铁生产企业温室气体排放核算方法与报告指南（试行）》与《温室气体排放核算与报告要求 第5部分：钢铁生产企业》计算本项目全厂二氧化碳排放量。钢铁生产企业的二氧化碳排放总量等于核算边界内所有的化石燃料燃烧排放量、过程排放量及企业购入的电力和热力所对应的二氧化碳排放量之和，同时扣除固碳产品隐含的二氧化碳排放量以及输出的电力和热力所对应的二氧化碳排放量，计算公式如下：</w:t>
            </w:r>
          </w:p>
          <w:p w14:paraId="33F2E3B3">
            <w:pPr>
              <w:pStyle w:val="2"/>
              <w:spacing w:line="360" w:lineRule="auto"/>
              <w:jc w:val="center"/>
              <w:rPr>
                <w:rFonts w:ascii="Times New Roman" w:cs="Times New Roman"/>
              </w:rPr>
            </w:pPr>
            <w:r>
              <w:rPr>
                <w:rFonts w:ascii="Times New Roman" w:cs="Times New Roman"/>
              </w:rPr>
              <w:t>E=E</w:t>
            </w:r>
            <w:r>
              <w:rPr>
                <w:rFonts w:ascii="Times New Roman" w:cs="Times New Roman"/>
                <w:vertAlign w:val="subscript"/>
              </w:rPr>
              <w:t>燃烧</w:t>
            </w:r>
            <w:r>
              <w:rPr>
                <w:rFonts w:ascii="Times New Roman" w:cs="Times New Roman"/>
              </w:rPr>
              <w:t>+E</w:t>
            </w:r>
            <w:r>
              <w:rPr>
                <w:rFonts w:ascii="Times New Roman" w:cs="Times New Roman"/>
                <w:vertAlign w:val="subscript"/>
              </w:rPr>
              <w:t>过程</w:t>
            </w:r>
            <w:r>
              <w:rPr>
                <w:rFonts w:ascii="Times New Roman" w:cs="Times New Roman"/>
              </w:rPr>
              <w:t>+E</w:t>
            </w:r>
            <w:r>
              <w:rPr>
                <w:rFonts w:ascii="Times New Roman" w:cs="Times New Roman"/>
                <w:vertAlign w:val="subscript"/>
              </w:rPr>
              <w:t>购入电</w:t>
            </w:r>
            <w:r>
              <w:rPr>
                <w:rFonts w:ascii="Times New Roman" w:cs="Times New Roman"/>
              </w:rPr>
              <w:t>+E</w:t>
            </w:r>
            <w:r>
              <w:rPr>
                <w:rFonts w:ascii="Times New Roman" w:cs="Times New Roman"/>
                <w:vertAlign w:val="subscript"/>
              </w:rPr>
              <w:t>购入热</w:t>
            </w:r>
            <w:r>
              <w:rPr>
                <w:rFonts w:ascii="Times New Roman" w:cs="Times New Roman"/>
              </w:rPr>
              <w:t>-R</w:t>
            </w:r>
            <w:r>
              <w:rPr>
                <w:rFonts w:ascii="Times New Roman" w:cs="Times New Roman"/>
                <w:vertAlign w:val="subscript"/>
              </w:rPr>
              <w:t>固碳</w:t>
            </w:r>
            <w:r>
              <w:rPr>
                <w:rFonts w:ascii="Times New Roman" w:cs="Times New Roman"/>
              </w:rPr>
              <w:t>-E</w:t>
            </w:r>
            <w:r>
              <w:rPr>
                <w:rFonts w:ascii="Times New Roman" w:cs="Times New Roman"/>
                <w:vertAlign w:val="subscript"/>
              </w:rPr>
              <w:t>输出电</w:t>
            </w:r>
            <w:r>
              <w:rPr>
                <w:rFonts w:ascii="Times New Roman" w:cs="Times New Roman"/>
              </w:rPr>
              <w:t>-E</w:t>
            </w:r>
            <w:r>
              <w:rPr>
                <w:rFonts w:ascii="Times New Roman" w:cs="Times New Roman"/>
                <w:vertAlign w:val="subscript"/>
              </w:rPr>
              <w:t>输出热</w:t>
            </w:r>
          </w:p>
          <w:p w14:paraId="18A8B4EB">
            <w:pPr>
              <w:adjustRightInd w:val="0"/>
              <w:snapToGrid w:val="0"/>
              <w:spacing w:line="360" w:lineRule="auto"/>
              <w:ind w:firstLine="480" w:firstLineChars="200"/>
              <w:rPr>
                <w:sz w:val="24"/>
              </w:rPr>
            </w:pPr>
            <w:r>
              <w:rPr>
                <w:rFonts w:hint="eastAsia"/>
                <w:sz w:val="24"/>
              </w:rPr>
              <w:t>式中：E：二氧化碳排放总量，单位为吨二氧化碳（tCO</w:t>
            </w:r>
            <w:r>
              <w:rPr>
                <w:rFonts w:hint="eastAsia"/>
                <w:sz w:val="24"/>
                <w:vertAlign w:val="subscript"/>
              </w:rPr>
              <w:t>2</w:t>
            </w:r>
            <w:r>
              <w:rPr>
                <w:rFonts w:hint="eastAsia"/>
                <w:sz w:val="24"/>
              </w:rPr>
              <w:t>）；</w:t>
            </w:r>
          </w:p>
          <w:p w14:paraId="71089AB4">
            <w:pPr>
              <w:adjustRightInd w:val="0"/>
              <w:snapToGrid w:val="0"/>
              <w:spacing w:line="360" w:lineRule="auto"/>
              <w:ind w:firstLine="1050" w:firstLineChars="500"/>
              <w:rPr>
                <w:sz w:val="24"/>
              </w:rPr>
            </w:pPr>
            <w:r>
              <w:t>E</w:t>
            </w:r>
            <w:r>
              <w:rPr>
                <w:vertAlign w:val="subscript"/>
              </w:rPr>
              <w:t>燃烧</w:t>
            </w:r>
            <w:r>
              <w:t>：</w:t>
            </w:r>
            <w:r>
              <w:rPr>
                <w:rFonts w:hint="eastAsia"/>
                <w:sz w:val="24"/>
              </w:rPr>
              <w:t>燃料燃烧排放量，单位为吨二氧化碳（tCO</w:t>
            </w:r>
            <w:r>
              <w:rPr>
                <w:rFonts w:hint="eastAsia"/>
                <w:sz w:val="24"/>
                <w:vertAlign w:val="subscript"/>
              </w:rPr>
              <w:t>2</w:t>
            </w:r>
            <w:r>
              <w:rPr>
                <w:rFonts w:hint="eastAsia"/>
                <w:sz w:val="24"/>
              </w:rPr>
              <w:t>）；</w:t>
            </w:r>
          </w:p>
          <w:p w14:paraId="37FD4A4C">
            <w:pPr>
              <w:adjustRightInd w:val="0"/>
              <w:snapToGrid w:val="0"/>
              <w:spacing w:line="360" w:lineRule="auto"/>
              <w:ind w:firstLine="1050" w:firstLineChars="500"/>
              <w:rPr>
                <w:sz w:val="24"/>
              </w:rPr>
            </w:pPr>
            <w:r>
              <w:t>E</w:t>
            </w:r>
            <w:r>
              <w:rPr>
                <w:vertAlign w:val="subscript"/>
              </w:rPr>
              <w:t>过程</w:t>
            </w:r>
            <w:r>
              <w:t>：</w:t>
            </w:r>
            <w:r>
              <w:rPr>
                <w:rFonts w:hint="eastAsia"/>
                <w:sz w:val="24"/>
              </w:rPr>
              <w:t>过程排放量，单位为吨二氧化碳（tCO</w:t>
            </w:r>
            <w:r>
              <w:rPr>
                <w:rFonts w:hint="eastAsia"/>
                <w:sz w:val="24"/>
                <w:vertAlign w:val="subscript"/>
              </w:rPr>
              <w:t>2</w:t>
            </w:r>
            <w:r>
              <w:rPr>
                <w:rFonts w:hint="eastAsia"/>
                <w:sz w:val="24"/>
              </w:rPr>
              <w:t>）；</w:t>
            </w:r>
          </w:p>
          <w:p w14:paraId="63FA7637">
            <w:pPr>
              <w:adjustRightInd w:val="0"/>
              <w:snapToGrid w:val="0"/>
              <w:spacing w:line="360" w:lineRule="auto"/>
              <w:ind w:firstLine="1050" w:firstLineChars="500"/>
              <w:rPr>
                <w:sz w:val="24"/>
              </w:rPr>
            </w:pPr>
            <w:r>
              <w:t>E</w:t>
            </w:r>
            <w:r>
              <w:rPr>
                <w:vertAlign w:val="subscript"/>
              </w:rPr>
              <w:t>购入电</w:t>
            </w:r>
            <w:r>
              <w:t>：</w:t>
            </w:r>
            <w:r>
              <w:rPr>
                <w:rFonts w:hint="eastAsia"/>
                <w:sz w:val="24"/>
              </w:rPr>
              <w:t>购入的电力消费对应的二氧化碳排放量（tCO</w:t>
            </w:r>
            <w:r>
              <w:rPr>
                <w:rFonts w:hint="eastAsia"/>
                <w:sz w:val="24"/>
                <w:vertAlign w:val="subscript"/>
              </w:rPr>
              <w:t>2</w:t>
            </w:r>
            <w:r>
              <w:rPr>
                <w:rFonts w:hint="eastAsia"/>
                <w:sz w:val="24"/>
              </w:rPr>
              <w:t>）；</w:t>
            </w:r>
          </w:p>
          <w:p w14:paraId="740D9015">
            <w:pPr>
              <w:adjustRightInd w:val="0"/>
              <w:snapToGrid w:val="0"/>
              <w:spacing w:line="360" w:lineRule="auto"/>
              <w:ind w:firstLine="1050" w:firstLineChars="500"/>
              <w:rPr>
                <w:sz w:val="24"/>
              </w:rPr>
            </w:pPr>
            <w:r>
              <w:t>E</w:t>
            </w:r>
            <w:r>
              <w:rPr>
                <w:vertAlign w:val="subscript"/>
              </w:rPr>
              <w:t>购入热</w:t>
            </w:r>
            <w:r>
              <w:t>：</w:t>
            </w:r>
            <w:r>
              <w:rPr>
                <w:rFonts w:hint="eastAsia"/>
                <w:sz w:val="24"/>
              </w:rPr>
              <w:t>购入的热为消费对应的二氧化碳排放量（tCO</w:t>
            </w:r>
            <w:r>
              <w:rPr>
                <w:rFonts w:hint="eastAsia"/>
                <w:sz w:val="24"/>
                <w:vertAlign w:val="subscript"/>
              </w:rPr>
              <w:t>2</w:t>
            </w:r>
            <w:r>
              <w:rPr>
                <w:rFonts w:hint="eastAsia"/>
                <w:sz w:val="24"/>
              </w:rPr>
              <w:t>）；</w:t>
            </w:r>
          </w:p>
          <w:p w14:paraId="76E57FD0">
            <w:pPr>
              <w:adjustRightInd w:val="0"/>
              <w:snapToGrid w:val="0"/>
              <w:spacing w:line="360" w:lineRule="auto"/>
              <w:ind w:firstLine="1050" w:firstLineChars="500"/>
              <w:rPr>
                <w:sz w:val="24"/>
              </w:rPr>
            </w:pPr>
            <w:r>
              <w:t>E</w:t>
            </w:r>
            <w:r>
              <w:rPr>
                <w:vertAlign w:val="subscript"/>
              </w:rPr>
              <w:t>输出电</w:t>
            </w:r>
            <w:r>
              <w:t>：</w:t>
            </w:r>
            <w:r>
              <w:rPr>
                <w:rFonts w:hint="eastAsia"/>
                <w:sz w:val="24"/>
              </w:rPr>
              <w:t>输出电力对应的二氧化碳排放量（tCO</w:t>
            </w:r>
            <w:r>
              <w:rPr>
                <w:rFonts w:hint="eastAsia"/>
                <w:sz w:val="24"/>
                <w:vertAlign w:val="subscript"/>
              </w:rPr>
              <w:t>2</w:t>
            </w:r>
            <w:r>
              <w:rPr>
                <w:rFonts w:hint="eastAsia"/>
                <w:sz w:val="24"/>
              </w:rPr>
              <w:t>）；</w:t>
            </w:r>
          </w:p>
          <w:p w14:paraId="0BF39BD9">
            <w:pPr>
              <w:adjustRightInd w:val="0"/>
              <w:snapToGrid w:val="0"/>
              <w:spacing w:line="360" w:lineRule="auto"/>
              <w:ind w:firstLine="1050" w:firstLineChars="500"/>
              <w:rPr>
                <w:sz w:val="24"/>
              </w:rPr>
            </w:pPr>
            <w:r>
              <w:t>E</w:t>
            </w:r>
            <w:r>
              <w:rPr>
                <w:vertAlign w:val="subscript"/>
              </w:rPr>
              <w:t>输出热</w:t>
            </w:r>
            <w:r>
              <w:t>：</w:t>
            </w:r>
            <w:r>
              <w:rPr>
                <w:rFonts w:hint="eastAsia"/>
                <w:sz w:val="24"/>
              </w:rPr>
              <w:t>输出热力对应的二氧化碳排放量（tCO</w:t>
            </w:r>
            <w:r>
              <w:rPr>
                <w:rFonts w:hint="eastAsia"/>
                <w:sz w:val="24"/>
                <w:vertAlign w:val="subscript"/>
              </w:rPr>
              <w:t>2</w:t>
            </w:r>
            <w:r>
              <w:rPr>
                <w:rFonts w:hint="eastAsia"/>
                <w:sz w:val="24"/>
              </w:rPr>
              <w:t>）；</w:t>
            </w:r>
          </w:p>
          <w:p w14:paraId="49B8061A">
            <w:pPr>
              <w:adjustRightInd w:val="0"/>
              <w:snapToGrid w:val="0"/>
              <w:spacing w:line="360" w:lineRule="auto"/>
              <w:ind w:firstLine="1050" w:firstLineChars="500"/>
              <w:rPr>
                <w:sz w:val="24"/>
              </w:rPr>
            </w:pPr>
            <w:r>
              <w:t>R</w:t>
            </w:r>
            <w:r>
              <w:rPr>
                <w:vertAlign w:val="subscript"/>
              </w:rPr>
              <w:t>固碳</w:t>
            </w:r>
            <w:r>
              <w:t>：</w:t>
            </w:r>
            <w:r>
              <w:rPr>
                <w:rFonts w:hint="eastAsia"/>
                <w:sz w:val="24"/>
              </w:rPr>
              <w:t>企业固碳产品隐含的二氧化碳排放量（tCO</w:t>
            </w:r>
            <w:r>
              <w:rPr>
                <w:rFonts w:hint="eastAsia"/>
                <w:sz w:val="24"/>
                <w:vertAlign w:val="subscript"/>
              </w:rPr>
              <w:t>2</w:t>
            </w:r>
            <w:r>
              <w:rPr>
                <w:rFonts w:hint="eastAsia"/>
                <w:sz w:val="24"/>
              </w:rPr>
              <w:t>）；</w:t>
            </w:r>
          </w:p>
          <w:p w14:paraId="33D06371">
            <w:pPr>
              <w:pStyle w:val="2"/>
              <w:spacing w:line="360" w:lineRule="auto"/>
              <w:ind w:firstLine="480" w:firstLineChars="200"/>
              <w:jc w:val="both"/>
              <w:rPr>
                <w:rFonts w:ascii="Times New Roman" w:cs="Times New Roman"/>
                <w:color w:val="auto"/>
              </w:rPr>
            </w:pPr>
            <w:r>
              <w:rPr>
                <w:rFonts w:hint="eastAsia" w:ascii="Times New Roman" w:cs="Times New Roman"/>
                <w:color w:val="auto"/>
              </w:rPr>
              <w:t>（1）燃料燃烧排放</w:t>
            </w:r>
          </w:p>
          <w:p w14:paraId="3C3DAD50">
            <w:pPr>
              <w:pStyle w:val="4"/>
              <w:spacing w:after="0" w:line="360" w:lineRule="auto"/>
              <w:ind w:left="0" w:leftChars="0" w:firstLine="480"/>
              <w:rPr>
                <w:sz w:val="24"/>
              </w:rPr>
            </w:pPr>
            <w:r>
              <w:rPr>
                <w:rFonts w:hint="eastAsia"/>
                <w:sz w:val="24"/>
              </w:rPr>
              <w:t>燃料燃烧活动产生的CO</w:t>
            </w:r>
            <w:r>
              <w:rPr>
                <w:rFonts w:hint="eastAsia"/>
                <w:sz w:val="24"/>
                <w:vertAlign w:val="subscript"/>
              </w:rPr>
              <w:t>2</w:t>
            </w:r>
            <w:r>
              <w:rPr>
                <w:rFonts w:hint="eastAsia"/>
                <w:sz w:val="24"/>
              </w:rPr>
              <w:t>排放量是企业核算和报告期内各种燃料燃烧产生的CO</w:t>
            </w:r>
            <w:r>
              <w:rPr>
                <w:rFonts w:hint="eastAsia"/>
                <w:sz w:val="24"/>
                <w:vertAlign w:val="subscript"/>
              </w:rPr>
              <w:t>2</w:t>
            </w:r>
            <w:r>
              <w:rPr>
                <w:rFonts w:hint="eastAsia"/>
                <w:sz w:val="24"/>
              </w:rPr>
              <w:t>排放量的加总，计算公式如下：</w:t>
            </w:r>
          </w:p>
          <w:p w14:paraId="09C1F827">
            <w:pPr>
              <w:spacing w:line="360" w:lineRule="auto"/>
              <w:jc w:val="center"/>
              <w:rPr>
                <w:sz w:val="24"/>
              </w:rPr>
            </w:pPr>
            <w:r>
              <w:rPr>
                <w:rFonts w:hint="eastAsia"/>
                <w:sz w:val="24"/>
              </w:rPr>
              <w:drawing>
                <wp:inline distT="0" distB="0" distL="0" distR="0">
                  <wp:extent cx="1762125" cy="1400175"/>
                  <wp:effectExtent l="19050" t="0" r="952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0" cstate="print"/>
                          <a:srcRect/>
                          <a:stretch>
                            <a:fillRect/>
                          </a:stretch>
                        </pic:blipFill>
                        <pic:spPr>
                          <a:xfrm>
                            <a:off x="0" y="0"/>
                            <a:ext cx="1762125" cy="1400175"/>
                          </a:xfrm>
                          <a:prstGeom prst="rect">
                            <a:avLst/>
                          </a:prstGeom>
                          <a:noFill/>
                          <a:ln w="9525">
                            <a:noFill/>
                            <a:miter lim="800000"/>
                            <a:headEnd/>
                            <a:tailEnd/>
                          </a:ln>
                        </pic:spPr>
                      </pic:pic>
                    </a:graphicData>
                  </a:graphic>
                </wp:inline>
              </w:drawing>
            </w:r>
          </w:p>
          <w:p w14:paraId="4E452B2D">
            <w:pPr>
              <w:pStyle w:val="2"/>
              <w:spacing w:line="360" w:lineRule="auto"/>
              <w:ind w:firstLine="480" w:firstLineChars="200"/>
              <w:rPr>
                <w:rFonts w:ascii="Times New Roman" w:cs="Times New Roman"/>
                <w:color w:val="auto"/>
              </w:rPr>
            </w:pPr>
            <w:r>
              <w:rPr>
                <w:rFonts w:hint="eastAsia" w:ascii="Times New Roman" w:cs="Times New Roman"/>
                <w:color w:val="auto"/>
              </w:rPr>
              <w:t>式中：</w:t>
            </w:r>
            <w:r>
              <w:rPr>
                <w:rFonts w:ascii="Times New Roman" w:cs="Times New Roman"/>
              </w:rPr>
              <w:t>E</w:t>
            </w:r>
            <w:r>
              <w:rPr>
                <w:rFonts w:ascii="Times New Roman" w:cs="Times New Roman"/>
                <w:vertAlign w:val="subscript"/>
              </w:rPr>
              <w:t>燃烧</w:t>
            </w:r>
            <w:r>
              <w:rPr>
                <w:rFonts w:hint="eastAsia" w:ascii="Times New Roman" w:cs="Times New Roman"/>
                <w:color w:val="auto"/>
              </w:rPr>
              <w:t>——核算和报告期内净消耗化石燃料燃烧产生的CO</w:t>
            </w:r>
            <w:r>
              <w:rPr>
                <w:rFonts w:hint="eastAsia" w:ascii="Times New Roman" w:cs="Times New Roman"/>
                <w:color w:val="auto"/>
                <w:vertAlign w:val="subscript"/>
              </w:rPr>
              <w:t>2</w:t>
            </w:r>
            <w:r>
              <w:rPr>
                <w:rFonts w:hint="eastAsia" w:ascii="Times New Roman" w:cs="Times New Roman"/>
                <w:color w:val="auto"/>
              </w:rPr>
              <w:t>排放量，单位为吨</w:t>
            </w:r>
            <w:r>
              <w:rPr>
                <w:rFonts w:hint="eastAsia"/>
              </w:rPr>
              <w:t>（</w:t>
            </w:r>
            <w:r>
              <w:rPr>
                <w:rFonts w:ascii="Times New Roman" w:cs="Times New Roman"/>
              </w:rPr>
              <w:t>tCO</w:t>
            </w:r>
            <w:r>
              <w:rPr>
                <w:rFonts w:ascii="Times New Roman" w:cs="Times New Roman"/>
                <w:vertAlign w:val="subscript"/>
              </w:rPr>
              <w:t>2</w:t>
            </w:r>
            <w:r>
              <w:rPr>
                <w:rFonts w:hint="eastAsia"/>
              </w:rPr>
              <w:t>）</w:t>
            </w:r>
            <w:r>
              <w:rPr>
                <w:rFonts w:hint="eastAsia" w:ascii="Times New Roman" w:cs="Times New Roman"/>
                <w:color w:val="auto"/>
              </w:rPr>
              <w:t>；</w:t>
            </w:r>
          </w:p>
          <w:p w14:paraId="765C3A7A">
            <w:pPr>
              <w:pStyle w:val="2"/>
              <w:spacing w:line="360" w:lineRule="auto"/>
              <w:ind w:firstLine="1200" w:firstLineChars="500"/>
              <w:rPr>
                <w:rFonts w:ascii="Times New Roman" w:cs="Times New Roman"/>
                <w:color w:val="auto"/>
              </w:rPr>
            </w:pPr>
            <w:r>
              <w:rPr>
                <w:rFonts w:hint="eastAsia" w:ascii="Times New Roman" w:cs="Times New Roman"/>
                <w:color w:val="auto"/>
              </w:rPr>
              <w:t>ADi——核算和报告期内第i种化石燃料的活动水平，单位为百万千焦（GJ）；</w:t>
            </w:r>
          </w:p>
          <w:p w14:paraId="273987C5">
            <w:pPr>
              <w:pStyle w:val="2"/>
              <w:spacing w:line="360" w:lineRule="auto"/>
              <w:ind w:firstLine="1200" w:firstLineChars="500"/>
              <w:rPr>
                <w:rFonts w:ascii="Times New Roman" w:cs="Times New Roman"/>
                <w:color w:val="auto"/>
              </w:rPr>
            </w:pPr>
            <w:r>
              <w:rPr>
                <w:rFonts w:hint="eastAsia" w:ascii="Times New Roman" w:cs="Times New Roman"/>
                <w:color w:val="auto"/>
              </w:rPr>
              <w:t xml:space="preserve">EF </w:t>
            </w:r>
            <w:r>
              <w:rPr>
                <w:rFonts w:hint="eastAsia" w:ascii="Times New Roman" w:cs="Times New Roman"/>
                <w:color w:val="auto"/>
                <w:vertAlign w:val="subscript"/>
              </w:rPr>
              <w:t>i</w:t>
            </w:r>
            <w:r>
              <w:rPr>
                <w:rFonts w:hint="eastAsia" w:ascii="Times New Roman" w:cs="Times New Roman"/>
                <w:color w:val="auto"/>
              </w:rPr>
              <w:t>——第i种化石燃料的CO</w:t>
            </w:r>
            <w:r>
              <w:rPr>
                <w:rFonts w:hint="eastAsia" w:ascii="Times New Roman" w:cs="Times New Roman"/>
                <w:color w:val="auto"/>
                <w:vertAlign w:val="subscript"/>
              </w:rPr>
              <w:t>2</w:t>
            </w:r>
            <w:r>
              <w:rPr>
                <w:rFonts w:hint="eastAsia" w:ascii="Times New Roman" w:cs="Times New Roman"/>
                <w:color w:val="auto"/>
              </w:rPr>
              <w:t>排放因子，单位为吨CO</w:t>
            </w:r>
            <w:r>
              <w:rPr>
                <w:rFonts w:hint="eastAsia" w:ascii="Times New Roman" w:cs="Times New Roman"/>
                <w:color w:val="auto"/>
                <w:vertAlign w:val="subscript"/>
              </w:rPr>
              <w:t>2</w:t>
            </w:r>
            <w:r>
              <w:rPr>
                <w:rFonts w:hint="eastAsia" w:ascii="Times New Roman" w:cs="Times New Roman"/>
                <w:color w:val="auto"/>
              </w:rPr>
              <w:t>/百万千焦（tCO</w:t>
            </w:r>
            <w:r>
              <w:rPr>
                <w:rFonts w:hint="eastAsia" w:ascii="Times New Roman" w:cs="Times New Roman"/>
                <w:color w:val="auto"/>
                <w:vertAlign w:val="subscript"/>
              </w:rPr>
              <w:t>2</w:t>
            </w:r>
            <w:r>
              <w:rPr>
                <w:rFonts w:hint="eastAsia" w:ascii="Times New Roman" w:cs="Times New Roman"/>
                <w:color w:val="auto"/>
              </w:rPr>
              <w:t>/GJ）；</w:t>
            </w:r>
          </w:p>
          <w:p w14:paraId="3A050347">
            <w:pPr>
              <w:pStyle w:val="2"/>
              <w:spacing w:line="360" w:lineRule="auto"/>
              <w:ind w:firstLine="1200" w:firstLineChars="500"/>
              <w:rPr>
                <w:rFonts w:ascii="Times New Roman" w:cs="Times New Roman"/>
                <w:color w:val="auto"/>
              </w:rPr>
            </w:pPr>
            <w:r>
              <w:rPr>
                <w:rFonts w:hint="eastAsia" w:ascii="Times New Roman" w:cs="Times New Roman"/>
                <w:color w:val="auto"/>
              </w:rPr>
              <w:t>i——净消耗化石燃料的类型。</w:t>
            </w:r>
          </w:p>
          <w:p w14:paraId="32F6DC4A">
            <w:pPr>
              <w:pStyle w:val="2"/>
              <w:spacing w:line="360" w:lineRule="auto"/>
              <w:ind w:firstLine="1200" w:firstLineChars="500"/>
              <w:rPr>
                <w:rFonts w:ascii="Times New Roman" w:cs="Times New Roman"/>
                <w:color w:val="auto"/>
              </w:rPr>
            </w:pPr>
            <w:r>
              <w:rPr>
                <w:rFonts w:hint="eastAsia" w:ascii="Times New Roman" w:cs="Times New Roman"/>
                <w:color w:val="auto"/>
              </w:rPr>
              <w:t>NCV</w:t>
            </w:r>
            <w:r>
              <w:rPr>
                <w:rFonts w:hint="eastAsia" w:ascii="Times New Roman" w:cs="Times New Roman"/>
                <w:color w:val="auto"/>
                <w:vertAlign w:val="subscript"/>
              </w:rPr>
              <w:t>i</w:t>
            </w:r>
            <w:r>
              <w:rPr>
                <w:rFonts w:hint="eastAsia" w:ascii="Times New Roman" w:cs="Times New Roman"/>
                <w:color w:val="auto"/>
              </w:rPr>
              <w:t>——核算和报告期内第 i 种化石燃料的平均低位发热量，对固体或液体燃料，单位为百万千焦/吨（GJ/t）；对气体燃料，单位为百万千焦/万立方米（GJ/万m</w:t>
            </w:r>
            <w:r>
              <w:rPr>
                <w:rFonts w:hint="eastAsia" w:ascii="Times New Roman" w:cs="Times New Roman"/>
                <w:color w:val="auto"/>
                <w:vertAlign w:val="superscript"/>
              </w:rPr>
              <w:t>3</w:t>
            </w:r>
            <w:r>
              <w:rPr>
                <w:rFonts w:hint="eastAsia" w:ascii="Times New Roman" w:cs="Times New Roman"/>
                <w:color w:val="auto"/>
              </w:rPr>
              <w:t>）；</w:t>
            </w:r>
          </w:p>
          <w:p w14:paraId="3CD5030A">
            <w:pPr>
              <w:pStyle w:val="2"/>
              <w:spacing w:line="360" w:lineRule="auto"/>
              <w:ind w:firstLine="1200" w:firstLineChars="500"/>
              <w:rPr>
                <w:rFonts w:ascii="Times New Roman" w:cs="Times New Roman"/>
                <w:color w:val="auto"/>
              </w:rPr>
            </w:pPr>
            <w:r>
              <w:rPr>
                <w:rFonts w:hint="eastAsia" w:ascii="Times New Roman" w:cs="Times New Roman"/>
                <w:color w:val="auto"/>
              </w:rPr>
              <w:t>FC</w:t>
            </w:r>
            <w:r>
              <w:rPr>
                <w:rFonts w:hint="eastAsia" w:ascii="Times New Roman" w:cs="Times New Roman"/>
                <w:color w:val="auto"/>
                <w:vertAlign w:val="subscript"/>
              </w:rPr>
              <w:t xml:space="preserve"> i</w:t>
            </w:r>
            <w:r>
              <w:rPr>
                <w:rFonts w:hint="eastAsia" w:ascii="Times New Roman" w:cs="Times New Roman"/>
                <w:color w:val="auto"/>
              </w:rPr>
              <w:t>——核算和报告期内第 i 种化石燃料的净消耗量，对固体或液体燃料，单位为吨（t）；对气体燃料，单位为万立方米（万m</w:t>
            </w:r>
            <w:r>
              <w:rPr>
                <w:rFonts w:hint="eastAsia" w:ascii="Times New Roman" w:cs="Times New Roman"/>
                <w:color w:val="auto"/>
                <w:vertAlign w:val="superscript"/>
              </w:rPr>
              <w:t>3</w:t>
            </w:r>
            <w:r>
              <w:rPr>
                <w:rFonts w:hint="eastAsia" w:ascii="Times New Roman" w:cs="Times New Roman"/>
                <w:color w:val="auto"/>
              </w:rPr>
              <w:t>）；</w:t>
            </w:r>
          </w:p>
          <w:p w14:paraId="337C9E45">
            <w:pPr>
              <w:pStyle w:val="2"/>
              <w:spacing w:line="360" w:lineRule="auto"/>
              <w:ind w:firstLine="1200" w:firstLineChars="500"/>
              <w:rPr>
                <w:rFonts w:ascii="Times New Roman" w:cs="Times New Roman"/>
                <w:color w:val="auto"/>
              </w:rPr>
            </w:pPr>
            <w:r>
              <w:rPr>
                <w:rFonts w:hint="eastAsia" w:ascii="Times New Roman" w:cs="Times New Roman"/>
                <w:color w:val="auto"/>
              </w:rPr>
              <w:t>CC</w:t>
            </w:r>
            <w:r>
              <w:rPr>
                <w:rFonts w:hint="eastAsia" w:ascii="Times New Roman" w:cs="Times New Roman"/>
                <w:color w:val="auto"/>
                <w:vertAlign w:val="subscript"/>
              </w:rPr>
              <w:t>i</w:t>
            </w:r>
            <w:r>
              <w:rPr>
                <w:rFonts w:hint="eastAsia" w:ascii="Times New Roman" w:cs="Times New Roman"/>
                <w:color w:val="auto"/>
              </w:rPr>
              <w:t>——第 i 种化石燃料的单位热值含碳量，单位为吨碳/百万千焦（tC/GJ）；</w:t>
            </w:r>
          </w:p>
          <w:p w14:paraId="2001E8F7">
            <w:pPr>
              <w:pStyle w:val="2"/>
              <w:spacing w:line="360" w:lineRule="auto"/>
              <w:ind w:firstLine="1200" w:firstLineChars="500"/>
              <w:jc w:val="both"/>
              <w:rPr>
                <w:rFonts w:ascii="Times New Roman" w:cs="Times New Roman"/>
                <w:color w:val="auto"/>
              </w:rPr>
            </w:pPr>
            <w:r>
              <w:rPr>
                <w:rFonts w:hint="eastAsia" w:ascii="Times New Roman" w:cs="Times New Roman"/>
                <w:color w:val="auto"/>
              </w:rPr>
              <w:t>OF</w:t>
            </w:r>
            <w:r>
              <w:rPr>
                <w:rFonts w:hint="eastAsia" w:ascii="Times New Roman" w:cs="Times New Roman"/>
                <w:color w:val="auto"/>
                <w:vertAlign w:val="subscript"/>
              </w:rPr>
              <w:t>i</w:t>
            </w:r>
            <w:r>
              <w:rPr>
                <w:rFonts w:hint="eastAsia" w:ascii="Times New Roman" w:cs="Times New Roman"/>
                <w:color w:val="auto"/>
              </w:rPr>
              <w:t>——第 i 种化石燃料的碳氧化率，单位为%。</w:t>
            </w:r>
          </w:p>
          <w:p w14:paraId="7D1FD689">
            <w:pPr>
              <w:pStyle w:val="4"/>
              <w:spacing w:after="0" w:line="360" w:lineRule="auto"/>
              <w:ind w:left="0" w:leftChars="0" w:firstLine="480"/>
              <w:rPr>
                <w:sz w:val="24"/>
              </w:rPr>
            </w:pPr>
            <w:r>
              <w:rPr>
                <w:rFonts w:hint="eastAsia"/>
                <w:sz w:val="24"/>
              </w:rPr>
              <w:t>根据本项目工程设计资料知各类化石燃料的消耗量，再根据上述计算公式和参数选取，本项目燃料燃烧碳排放量见表2-10。</w:t>
            </w:r>
          </w:p>
          <w:p w14:paraId="7FAED9D8">
            <w:pPr>
              <w:pStyle w:val="2"/>
              <w:spacing w:beforeLines="50"/>
              <w:jc w:val="center"/>
              <w:rPr>
                <w:rFonts w:ascii="Times New Roman"/>
                <w:b/>
                <w:color w:val="auto"/>
                <w:sz w:val="21"/>
              </w:rPr>
            </w:pPr>
            <w:r>
              <w:rPr>
                <w:rFonts w:ascii="Times New Roman"/>
                <w:b/>
                <w:color w:val="auto"/>
                <w:sz w:val="21"/>
              </w:rPr>
              <w:t>表</w:t>
            </w:r>
            <w:r>
              <w:rPr>
                <w:rFonts w:hint="eastAsia" w:ascii="Times New Roman"/>
                <w:b/>
                <w:color w:val="auto"/>
                <w:sz w:val="21"/>
              </w:rPr>
              <w:t xml:space="preserve">2-10 </w:t>
            </w:r>
            <w:r>
              <w:rPr>
                <w:rFonts w:ascii="Times New Roman"/>
                <w:b/>
                <w:color w:val="auto"/>
                <w:sz w:val="21"/>
              </w:rPr>
              <w:t xml:space="preserve"> </w:t>
            </w:r>
            <w:r>
              <w:rPr>
                <w:rFonts w:hint="eastAsia" w:ascii="Times New Roman"/>
                <w:b/>
                <w:color w:val="auto"/>
                <w:sz w:val="21"/>
              </w:rPr>
              <w:t>化石燃料燃烧排放</w:t>
            </w:r>
          </w:p>
          <w:tbl>
            <w:tblPr>
              <w:tblStyle w:val="32"/>
              <w:tblW w:w="929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1548"/>
              <w:gridCol w:w="1548"/>
              <w:gridCol w:w="1549"/>
              <w:gridCol w:w="1549"/>
              <w:gridCol w:w="1549"/>
            </w:tblGrid>
            <w:tr w14:paraId="6AD26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trPr>
              <w:tc>
                <w:tcPr>
                  <w:tcW w:w="1548" w:type="dxa"/>
                  <w:vMerge w:val="restart"/>
                  <w:vAlign w:val="center"/>
                </w:tcPr>
                <w:p w14:paraId="7E201C74">
                  <w:pPr>
                    <w:pStyle w:val="2"/>
                    <w:jc w:val="center"/>
                    <w:rPr>
                      <w:rFonts w:ascii="Times New Roman" w:cs="Times New Roman"/>
                      <w:b/>
                      <w:sz w:val="21"/>
                      <w:szCs w:val="21"/>
                    </w:rPr>
                  </w:pPr>
                  <w:r>
                    <w:rPr>
                      <w:rFonts w:ascii="Times New Roman" w:cs="Times New Roman"/>
                      <w:b/>
                      <w:sz w:val="21"/>
                      <w:szCs w:val="21"/>
                    </w:rPr>
                    <w:t>化石燃料种类</w:t>
                  </w:r>
                </w:p>
              </w:tc>
              <w:tc>
                <w:tcPr>
                  <w:tcW w:w="1548" w:type="dxa"/>
                  <w:vAlign w:val="center"/>
                </w:tcPr>
                <w:p w14:paraId="12DB844A">
                  <w:pPr>
                    <w:pStyle w:val="2"/>
                    <w:jc w:val="center"/>
                    <w:rPr>
                      <w:rFonts w:ascii="Times New Roman" w:cs="Times New Roman"/>
                      <w:b/>
                      <w:sz w:val="21"/>
                      <w:szCs w:val="21"/>
                    </w:rPr>
                  </w:pPr>
                  <w:r>
                    <w:rPr>
                      <w:rFonts w:ascii="Times New Roman" w:cs="Times New Roman"/>
                      <w:b/>
                      <w:sz w:val="21"/>
                      <w:szCs w:val="21"/>
                    </w:rPr>
                    <w:t>消费量</w:t>
                  </w:r>
                </w:p>
              </w:tc>
              <w:tc>
                <w:tcPr>
                  <w:tcW w:w="1548" w:type="dxa"/>
                  <w:vAlign w:val="center"/>
                </w:tcPr>
                <w:p w14:paraId="6C8FD1C6">
                  <w:pPr>
                    <w:pStyle w:val="2"/>
                    <w:jc w:val="center"/>
                    <w:rPr>
                      <w:rFonts w:ascii="Times New Roman" w:cs="Times New Roman"/>
                      <w:b/>
                      <w:sz w:val="21"/>
                      <w:szCs w:val="21"/>
                    </w:rPr>
                  </w:pPr>
                  <w:r>
                    <w:rPr>
                      <w:rFonts w:hint="eastAsia" w:ascii="Times New Roman" w:cs="Times New Roman"/>
                      <w:b/>
                      <w:sz w:val="21"/>
                      <w:szCs w:val="21"/>
                    </w:rPr>
                    <w:t>平均低位发热值</w:t>
                  </w:r>
                </w:p>
              </w:tc>
              <w:tc>
                <w:tcPr>
                  <w:tcW w:w="1549" w:type="dxa"/>
                  <w:vAlign w:val="center"/>
                </w:tcPr>
                <w:p w14:paraId="7DF69601">
                  <w:pPr>
                    <w:pStyle w:val="2"/>
                    <w:jc w:val="center"/>
                    <w:rPr>
                      <w:rFonts w:ascii="Times New Roman" w:cs="Times New Roman"/>
                      <w:b/>
                      <w:sz w:val="21"/>
                      <w:szCs w:val="21"/>
                    </w:rPr>
                  </w:pPr>
                  <w:r>
                    <w:rPr>
                      <w:rFonts w:ascii="Times New Roman" w:cs="Times New Roman"/>
                      <w:b/>
                      <w:sz w:val="21"/>
                      <w:szCs w:val="21"/>
                    </w:rPr>
                    <w:t>单位热值含碳量</w:t>
                  </w:r>
                </w:p>
              </w:tc>
              <w:tc>
                <w:tcPr>
                  <w:tcW w:w="1549" w:type="dxa"/>
                  <w:vAlign w:val="center"/>
                </w:tcPr>
                <w:p w14:paraId="058D7A67">
                  <w:pPr>
                    <w:pStyle w:val="2"/>
                    <w:jc w:val="center"/>
                    <w:rPr>
                      <w:rFonts w:ascii="Times New Roman" w:cs="Times New Roman"/>
                      <w:b/>
                      <w:sz w:val="21"/>
                      <w:szCs w:val="21"/>
                    </w:rPr>
                  </w:pPr>
                  <w:r>
                    <w:rPr>
                      <w:rFonts w:hint="eastAsia" w:ascii="Times New Roman" w:cs="Times New Roman"/>
                      <w:b/>
                      <w:sz w:val="21"/>
                      <w:szCs w:val="21"/>
                    </w:rPr>
                    <w:t>碳氧化率</w:t>
                  </w:r>
                </w:p>
              </w:tc>
              <w:tc>
                <w:tcPr>
                  <w:tcW w:w="1549" w:type="dxa"/>
                  <w:vAlign w:val="center"/>
                </w:tcPr>
                <w:p w14:paraId="1DABB43D">
                  <w:pPr>
                    <w:pStyle w:val="2"/>
                    <w:jc w:val="center"/>
                    <w:rPr>
                      <w:rFonts w:ascii="Times New Roman" w:cs="Times New Roman"/>
                      <w:b/>
                      <w:sz w:val="21"/>
                      <w:szCs w:val="21"/>
                    </w:rPr>
                  </w:pPr>
                  <w:r>
                    <w:rPr>
                      <w:rFonts w:ascii="Times New Roman" w:cs="Times New Roman"/>
                      <w:b/>
                      <w:sz w:val="21"/>
                      <w:szCs w:val="21"/>
                    </w:rPr>
                    <w:t>碳排放量</w:t>
                  </w:r>
                </w:p>
              </w:tc>
            </w:tr>
            <w:tr w14:paraId="224FB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548" w:type="dxa"/>
                  <w:vMerge w:val="continue"/>
                  <w:vAlign w:val="center"/>
                </w:tcPr>
                <w:p w14:paraId="03572C99">
                  <w:pPr>
                    <w:pStyle w:val="2"/>
                    <w:jc w:val="center"/>
                    <w:rPr>
                      <w:rFonts w:ascii="Times New Roman" w:cs="Times New Roman"/>
                      <w:b/>
                      <w:sz w:val="21"/>
                      <w:szCs w:val="21"/>
                    </w:rPr>
                  </w:pPr>
                </w:p>
              </w:tc>
              <w:tc>
                <w:tcPr>
                  <w:tcW w:w="1548" w:type="dxa"/>
                  <w:vAlign w:val="center"/>
                </w:tcPr>
                <w:p w14:paraId="68B9E492">
                  <w:pPr>
                    <w:pStyle w:val="2"/>
                    <w:jc w:val="center"/>
                    <w:rPr>
                      <w:rFonts w:ascii="Times New Roman" w:cs="Times New Roman"/>
                      <w:b/>
                      <w:sz w:val="21"/>
                      <w:szCs w:val="21"/>
                    </w:rPr>
                  </w:pPr>
                  <w:r>
                    <w:rPr>
                      <w:rFonts w:ascii="Times New Roman" w:cs="Times New Roman"/>
                      <w:b/>
                      <w:sz w:val="21"/>
                      <w:szCs w:val="21"/>
                    </w:rPr>
                    <w:t>t/万Nm</w:t>
                  </w:r>
                  <w:r>
                    <w:rPr>
                      <w:rFonts w:ascii="Times New Roman" w:cs="Times New Roman"/>
                      <w:b/>
                      <w:sz w:val="21"/>
                      <w:szCs w:val="21"/>
                      <w:vertAlign w:val="superscript"/>
                    </w:rPr>
                    <w:t>3</w:t>
                  </w:r>
                </w:p>
              </w:tc>
              <w:tc>
                <w:tcPr>
                  <w:tcW w:w="1548" w:type="dxa"/>
                  <w:vAlign w:val="center"/>
                </w:tcPr>
                <w:p w14:paraId="7AAC403F">
                  <w:pPr>
                    <w:pStyle w:val="2"/>
                    <w:jc w:val="center"/>
                    <w:rPr>
                      <w:rFonts w:ascii="Times New Roman" w:cs="Times New Roman"/>
                      <w:b/>
                      <w:sz w:val="21"/>
                      <w:szCs w:val="21"/>
                    </w:rPr>
                  </w:pPr>
                  <w:r>
                    <w:rPr>
                      <w:rFonts w:hint="eastAsia" w:ascii="Times New Roman" w:cs="Times New Roman"/>
                      <w:b/>
                      <w:sz w:val="21"/>
                      <w:szCs w:val="21"/>
                    </w:rPr>
                    <w:t>（GJ/万m</w:t>
                  </w:r>
                  <w:r>
                    <w:rPr>
                      <w:rFonts w:hint="eastAsia" w:ascii="Times New Roman" w:cs="Times New Roman"/>
                      <w:b/>
                      <w:sz w:val="21"/>
                      <w:szCs w:val="21"/>
                      <w:vertAlign w:val="superscript"/>
                    </w:rPr>
                    <w:t>3</w:t>
                  </w:r>
                  <w:r>
                    <w:rPr>
                      <w:rFonts w:hint="eastAsia" w:ascii="Times New Roman" w:cs="Times New Roman"/>
                      <w:b/>
                      <w:sz w:val="21"/>
                      <w:szCs w:val="21"/>
                    </w:rPr>
                    <w:t>）</w:t>
                  </w:r>
                </w:p>
              </w:tc>
              <w:tc>
                <w:tcPr>
                  <w:tcW w:w="1549" w:type="dxa"/>
                  <w:vAlign w:val="center"/>
                </w:tcPr>
                <w:p w14:paraId="010E09E0">
                  <w:pPr>
                    <w:pStyle w:val="2"/>
                    <w:jc w:val="center"/>
                    <w:rPr>
                      <w:rFonts w:ascii="Times New Roman" w:cs="Times New Roman"/>
                      <w:b/>
                      <w:sz w:val="21"/>
                      <w:szCs w:val="21"/>
                    </w:rPr>
                  </w:pPr>
                  <w:r>
                    <w:rPr>
                      <w:rFonts w:hint="eastAsia" w:ascii="Times New Roman" w:cs="Times New Roman"/>
                      <w:b/>
                      <w:sz w:val="21"/>
                      <w:szCs w:val="21"/>
                    </w:rPr>
                    <w:t>t/GJ</w:t>
                  </w:r>
                </w:p>
              </w:tc>
              <w:tc>
                <w:tcPr>
                  <w:tcW w:w="1549" w:type="dxa"/>
                  <w:vAlign w:val="center"/>
                </w:tcPr>
                <w:p w14:paraId="2C849B88">
                  <w:pPr>
                    <w:pStyle w:val="2"/>
                    <w:jc w:val="center"/>
                    <w:rPr>
                      <w:rFonts w:ascii="Times New Roman" w:cs="Times New Roman"/>
                      <w:b/>
                      <w:sz w:val="21"/>
                      <w:szCs w:val="21"/>
                    </w:rPr>
                  </w:pPr>
                  <w:r>
                    <w:rPr>
                      <w:rFonts w:hint="eastAsia" w:ascii="Times New Roman" w:cs="Times New Roman"/>
                      <w:b/>
                      <w:sz w:val="21"/>
                      <w:szCs w:val="21"/>
                    </w:rPr>
                    <w:t>%</w:t>
                  </w:r>
                </w:p>
              </w:tc>
              <w:tc>
                <w:tcPr>
                  <w:tcW w:w="1549" w:type="dxa"/>
                  <w:vAlign w:val="center"/>
                </w:tcPr>
                <w:p w14:paraId="3720FD7E">
                  <w:pPr>
                    <w:pStyle w:val="2"/>
                    <w:jc w:val="center"/>
                    <w:rPr>
                      <w:rFonts w:ascii="Times New Roman" w:cs="Times New Roman"/>
                      <w:b/>
                      <w:sz w:val="21"/>
                      <w:szCs w:val="21"/>
                    </w:rPr>
                  </w:pPr>
                  <w:r>
                    <w:rPr>
                      <w:rFonts w:hint="eastAsia" w:ascii="Times New Roman" w:cs="Times New Roman"/>
                      <w:b/>
                      <w:color w:val="auto"/>
                    </w:rPr>
                    <w:t>tCO</w:t>
                  </w:r>
                  <w:r>
                    <w:rPr>
                      <w:rFonts w:hint="eastAsia" w:ascii="Times New Roman" w:cs="Times New Roman"/>
                      <w:b/>
                      <w:color w:val="auto"/>
                      <w:vertAlign w:val="subscript"/>
                    </w:rPr>
                    <w:t>2</w:t>
                  </w:r>
                </w:p>
              </w:tc>
            </w:tr>
            <w:tr w14:paraId="6CE33F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548" w:type="dxa"/>
                  <w:vMerge w:val="continue"/>
                  <w:vAlign w:val="center"/>
                </w:tcPr>
                <w:p w14:paraId="7DDD56BD">
                  <w:pPr>
                    <w:pStyle w:val="2"/>
                    <w:jc w:val="center"/>
                    <w:rPr>
                      <w:rFonts w:ascii="Times New Roman" w:cs="Times New Roman"/>
                      <w:b/>
                      <w:sz w:val="21"/>
                      <w:szCs w:val="21"/>
                    </w:rPr>
                  </w:pPr>
                </w:p>
              </w:tc>
              <w:tc>
                <w:tcPr>
                  <w:tcW w:w="1548" w:type="dxa"/>
                  <w:vAlign w:val="center"/>
                </w:tcPr>
                <w:p w14:paraId="79768BF7">
                  <w:pPr>
                    <w:pStyle w:val="2"/>
                    <w:jc w:val="center"/>
                    <w:rPr>
                      <w:rFonts w:ascii="Times New Roman" w:cs="Times New Roman"/>
                      <w:b/>
                      <w:sz w:val="21"/>
                      <w:szCs w:val="21"/>
                    </w:rPr>
                  </w:pPr>
                  <w:r>
                    <w:rPr>
                      <w:rFonts w:hint="eastAsia" w:ascii="Times New Roman" w:cs="Times New Roman"/>
                      <w:b/>
                      <w:sz w:val="21"/>
                      <w:szCs w:val="21"/>
                    </w:rPr>
                    <w:t>A</w:t>
                  </w:r>
                </w:p>
              </w:tc>
              <w:tc>
                <w:tcPr>
                  <w:tcW w:w="1548" w:type="dxa"/>
                  <w:vAlign w:val="center"/>
                </w:tcPr>
                <w:p w14:paraId="08C333E0">
                  <w:pPr>
                    <w:pStyle w:val="2"/>
                    <w:jc w:val="center"/>
                    <w:rPr>
                      <w:rFonts w:ascii="Times New Roman" w:cs="Times New Roman"/>
                      <w:b/>
                      <w:sz w:val="21"/>
                      <w:szCs w:val="21"/>
                    </w:rPr>
                  </w:pPr>
                  <w:r>
                    <w:rPr>
                      <w:rFonts w:hint="eastAsia" w:ascii="Times New Roman" w:cs="Times New Roman"/>
                      <w:b/>
                      <w:sz w:val="21"/>
                      <w:szCs w:val="21"/>
                    </w:rPr>
                    <w:t>B</w:t>
                  </w:r>
                </w:p>
              </w:tc>
              <w:tc>
                <w:tcPr>
                  <w:tcW w:w="1549" w:type="dxa"/>
                  <w:vAlign w:val="center"/>
                </w:tcPr>
                <w:p w14:paraId="294DB9B6">
                  <w:pPr>
                    <w:pStyle w:val="2"/>
                    <w:jc w:val="center"/>
                    <w:rPr>
                      <w:rFonts w:ascii="Times New Roman" w:cs="Times New Roman"/>
                      <w:b/>
                      <w:sz w:val="21"/>
                      <w:szCs w:val="21"/>
                    </w:rPr>
                  </w:pPr>
                  <w:r>
                    <w:rPr>
                      <w:rFonts w:hint="eastAsia" w:ascii="Times New Roman" w:cs="Times New Roman"/>
                      <w:b/>
                      <w:sz w:val="21"/>
                      <w:szCs w:val="21"/>
                    </w:rPr>
                    <w:t>C</w:t>
                  </w:r>
                </w:p>
              </w:tc>
              <w:tc>
                <w:tcPr>
                  <w:tcW w:w="1549" w:type="dxa"/>
                  <w:vAlign w:val="center"/>
                </w:tcPr>
                <w:p w14:paraId="2AE69EB8">
                  <w:pPr>
                    <w:pStyle w:val="2"/>
                    <w:jc w:val="center"/>
                    <w:rPr>
                      <w:rFonts w:ascii="Times New Roman" w:cs="Times New Roman"/>
                      <w:b/>
                      <w:sz w:val="21"/>
                      <w:szCs w:val="21"/>
                    </w:rPr>
                  </w:pPr>
                  <w:r>
                    <w:rPr>
                      <w:rFonts w:hint="eastAsia" w:ascii="Times New Roman" w:cs="Times New Roman"/>
                      <w:b/>
                      <w:sz w:val="21"/>
                      <w:szCs w:val="21"/>
                    </w:rPr>
                    <w:t>D</w:t>
                  </w:r>
                </w:p>
              </w:tc>
              <w:tc>
                <w:tcPr>
                  <w:tcW w:w="1549" w:type="dxa"/>
                  <w:vAlign w:val="center"/>
                </w:tcPr>
                <w:p w14:paraId="0A2BEC8D">
                  <w:pPr>
                    <w:pStyle w:val="2"/>
                    <w:jc w:val="center"/>
                    <w:rPr>
                      <w:rFonts w:ascii="Times New Roman" w:cs="Times New Roman"/>
                      <w:b/>
                      <w:sz w:val="21"/>
                      <w:szCs w:val="21"/>
                    </w:rPr>
                  </w:pPr>
                  <w:r>
                    <w:rPr>
                      <w:rFonts w:hint="eastAsia" w:ascii="Times New Roman" w:cs="Times New Roman"/>
                      <w:b/>
                      <w:sz w:val="21"/>
                      <w:szCs w:val="21"/>
                    </w:rPr>
                    <w:t>E=A*B（C*D*44/12）</w:t>
                  </w:r>
                </w:p>
              </w:tc>
            </w:tr>
            <w:tr w14:paraId="30E436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548" w:type="dxa"/>
                  <w:vAlign w:val="center"/>
                </w:tcPr>
                <w:p w14:paraId="2B64696E">
                  <w:pPr>
                    <w:pStyle w:val="2"/>
                    <w:jc w:val="center"/>
                    <w:rPr>
                      <w:rFonts w:ascii="Times New Roman" w:cs="Times New Roman"/>
                      <w:sz w:val="21"/>
                      <w:szCs w:val="21"/>
                    </w:rPr>
                  </w:pPr>
                  <w:r>
                    <w:rPr>
                      <w:rFonts w:hint="eastAsia" w:ascii="Times New Roman" w:cs="Times New Roman"/>
                      <w:sz w:val="21"/>
                      <w:szCs w:val="21"/>
                    </w:rPr>
                    <w:t>天然气</w:t>
                  </w:r>
                </w:p>
              </w:tc>
              <w:tc>
                <w:tcPr>
                  <w:tcW w:w="1548" w:type="dxa"/>
                  <w:vAlign w:val="center"/>
                </w:tcPr>
                <w:p w14:paraId="633D000A">
                  <w:pPr>
                    <w:pStyle w:val="2"/>
                    <w:jc w:val="center"/>
                    <w:rPr>
                      <w:rFonts w:ascii="Times New Roman" w:cs="Times New Roman"/>
                      <w:sz w:val="21"/>
                      <w:szCs w:val="21"/>
                    </w:rPr>
                  </w:pPr>
                  <w:r>
                    <w:rPr>
                      <w:rFonts w:ascii="Times New Roman" w:cs="Times New Roman"/>
                      <w:sz w:val="21"/>
                      <w:szCs w:val="21"/>
                    </w:rPr>
                    <w:t>2609.96</w:t>
                  </w:r>
                </w:p>
              </w:tc>
              <w:tc>
                <w:tcPr>
                  <w:tcW w:w="1548" w:type="dxa"/>
                  <w:vAlign w:val="center"/>
                </w:tcPr>
                <w:p w14:paraId="5D9DDFFE">
                  <w:pPr>
                    <w:pStyle w:val="2"/>
                    <w:jc w:val="center"/>
                    <w:rPr>
                      <w:rFonts w:ascii="Times New Roman" w:cs="Times New Roman"/>
                      <w:sz w:val="21"/>
                      <w:szCs w:val="21"/>
                    </w:rPr>
                  </w:pPr>
                  <w:r>
                    <w:rPr>
                      <w:rFonts w:hint="eastAsia" w:ascii="Times New Roman" w:cs="Times New Roman"/>
                      <w:sz w:val="21"/>
                      <w:szCs w:val="21"/>
                    </w:rPr>
                    <w:t>389.31</w:t>
                  </w:r>
                </w:p>
              </w:tc>
              <w:tc>
                <w:tcPr>
                  <w:tcW w:w="1549" w:type="dxa"/>
                  <w:vAlign w:val="center"/>
                </w:tcPr>
                <w:p w14:paraId="66BD20D4">
                  <w:pPr>
                    <w:pStyle w:val="2"/>
                    <w:jc w:val="center"/>
                    <w:rPr>
                      <w:rFonts w:ascii="Times New Roman" w:cs="Times New Roman"/>
                      <w:sz w:val="21"/>
                      <w:szCs w:val="21"/>
                    </w:rPr>
                  </w:pPr>
                  <w:r>
                    <w:rPr>
                      <w:rFonts w:hint="eastAsia" w:ascii="Times New Roman" w:cs="Times New Roman"/>
                      <w:sz w:val="21"/>
                      <w:szCs w:val="21"/>
                    </w:rPr>
                    <w:t>15.3×10</w:t>
                  </w:r>
                  <w:r>
                    <w:rPr>
                      <w:rFonts w:hint="eastAsia" w:ascii="Times New Roman" w:cs="Times New Roman"/>
                      <w:sz w:val="21"/>
                      <w:szCs w:val="21"/>
                      <w:vertAlign w:val="superscript"/>
                    </w:rPr>
                    <w:t>-3</w:t>
                  </w:r>
                </w:p>
              </w:tc>
              <w:tc>
                <w:tcPr>
                  <w:tcW w:w="1549" w:type="dxa"/>
                  <w:vAlign w:val="center"/>
                </w:tcPr>
                <w:p w14:paraId="5316A5E3">
                  <w:pPr>
                    <w:pStyle w:val="2"/>
                    <w:jc w:val="center"/>
                    <w:rPr>
                      <w:rFonts w:ascii="Times New Roman" w:cs="Times New Roman"/>
                      <w:sz w:val="21"/>
                      <w:szCs w:val="21"/>
                    </w:rPr>
                  </w:pPr>
                  <w:r>
                    <w:rPr>
                      <w:rFonts w:hint="eastAsia" w:ascii="Times New Roman" w:cs="Times New Roman"/>
                      <w:sz w:val="21"/>
                      <w:szCs w:val="21"/>
                    </w:rPr>
                    <w:t>99</w:t>
                  </w:r>
                </w:p>
              </w:tc>
              <w:tc>
                <w:tcPr>
                  <w:tcW w:w="1549" w:type="dxa"/>
                  <w:vAlign w:val="center"/>
                </w:tcPr>
                <w:p w14:paraId="19DF3E89">
                  <w:pPr>
                    <w:pStyle w:val="2"/>
                    <w:jc w:val="center"/>
                    <w:rPr>
                      <w:rFonts w:ascii="Times New Roman" w:cs="Times New Roman"/>
                      <w:sz w:val="21"/>
                      <w:szCs w:val="21"/>
                    </w:rPr>
                  </w:pPr>
                  <w:r>
                    <w:rPr>
                      <w:rFonts w:hint="eastAsia" w:ascii="Times New Roman" w:cs="Times New Roman"/>
                      <w:sz w:val="21"/>
                      <w:szCs w:val="21"/>
                    </w:rPr>
                    <w:t>56432</w:t>
                  </w:r>
                </w:p>
              </w:tc>
            </w:tr>
          </w:tbl>
          <w:p w14:paraId="20CA44E5">
            <w:pPr>
              <w:pStyle w:val="2"/>
              <w:spacing w:line="360" w:lineRule="auto"/>
              <w:ind w:firstLine="480" w:firstLineChars="200"/>
              <w:jc w:val="both"/>
              <w:rPr>
                <w:rFonts w:ascii="Times New Roman" w:cs="Times New Roman"/>
                <w:color w:val="auto"/>
              </w:rPr>
            </w:pPr>
            <w:r>
              <w:rPr>
                <w:rFonts w:hint="eastAsia" w:ascii="Times New Roman" w:cs="Times New Roman"/>
                <w:color w:val="auto"/>
              </w:rPr>
              <w:t>（2）净购入电力排放</w:t>
            </w:r>
          </w:p>
          <w:p w14:paraId="53535EE6">
            <w:pPr>
              <w:pStyle w:val="2"/>
              <w:spacing w:line="360" w:lineRule="auto"/>
              <w:ind w:firstLine="480" w:firstLineChars="200"/>
              <w:jc w:val="both"/>
              <w:rPr>
                <w:rFonts w:ascii="Times New Roman" w:cs="Times New Roman"/>
                <w:color w:val="auto"/>
              </w:rPr>
            </w:pPr>
            <w:r>
              <w:rPr>
                <w:rFonts w:hint="eastAsia" w:ascii="Times New Roman" w:cs="Times New Roman"/>
                <w:color w:val="auto"/>
              </w:rPr>
              <w:t>企业净购入电力和净购入热力产生的CO</w:t>
            </w:r>
            <w:r>
              <w:rPr>
                <w:rFonts w:hint="eastAsia" w:ascii="Times New Roman" w:cs="Times New Roman"/>
                <w:color w:val="auto"/>
                <w:vertAlign w:val="subscript"/>
              </w:rPr>
              <w:t>2</w:t>
            </w:r>
            <w:r>
              <w:rPr>
                <w:rFonts w:hint="eastAsia" w:ascii="Times New Roman" w:cs="Times New Roman"/>
                <w:color w:val="auto"/>
              </w:rPr>
              <w:t>排放量按以下公式计算：</w:t>
            </w:r>
          </w:p>
          <w:p w14:paraId="6AB73DF9">
            <w:pPr>
              <w:pStyle w:val="2"/>
              <w:spacing w:line="360" w:lineRule="auto"/>
              <w:jc w:val="center"/>
              <w:rPr>
                <w:rFonts w:ascii="Times New Roman" w:cs="Times New Roman"/>
                <w:color w:val="auto"/>
              </w:rPr>
            </w:pPr>
            <w:r>
              <w:rPr>
                <w:rFonts w:hint="eastAsia"/>
              </w:rPr>
              <w:drawing>
                <wp:inline distT="0" distB="0" distL="0" distR="0">
                  <wp:extent cx="3181350" cy="314325"/>
                  <wp:effectExtent l="1905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1" cstate="print"/>
                          <a:srcRect/>
                          <a:stretch>
                            <a:fillRect/>
                          </a:stretch>
                        </pic:blipFill>
                        <pic:spPr>
                          <a:xfrm>
                            <a:off x="0" y="0"/>
                            <a:ext cx="3181350" cy="314325"/>
                          </a:xfrm>
                          <a:prstGeom prst="rect">
                            <a:avLst/>
                          </a:prstGeom>
                          <a:noFill/>
                          <a:ln w="9525">
                            <a:noFill/>
                            <a:miter lim="800000"/>
                            <a:headEnd/>
                            <a:tailEnd/>
                          </a:ln>
                        </pic:spPr>
                      </pic:pic>
                    </a:graphicData>
                  </a:graphic>
                </wp:inline>
              </w:drawing>
            </w:r>
          </w:p>
          <w:p w14:paraId="6D970668">
            <w:pPr>
              <w:pStyle w:val="2"/>
              <w:spacing w:line="360" w:lineRule="auto"/>
              <w:ind w:firstLine="480" w:firstLineChars="200"/>
              <w:rPr>
                <w:rFonts w:ascii="Times New Roman" w:cs="Times New Roman"/>
                <w:color w:val="auto"/>
              </w:rPr>
            </w:pPr>
            <w:r>
              <w:rPr>
                <w:rFonts w:hint="eastAsia" w:ascii="Times New Roman" w:cs="Times New Roman"/>
                <w:color w:val="auto"/>
              </w:rPr>
              <w:t>式中：E</w:t>
            </w:r>
            <w:r>
              <w:rPr>
                <w:rFonts w:hint="eastAsia" w:ascii="Times New Roman" w:cs="Times New Roman"/>
                <w:color w:val="auto"/>
                <w:vertAlign w:val="subscript"/>
              </w:rPr>
              <w:t>电和热</w:t>
            </w:r>
            <w:r>
              <w:rPr>
                <w:rFonts w:hint="eastAsia" w:ascii="Times New Roman" w:cs="Times New Roman"/>
                <w:color w:val="auto"/>
              </w:rPr>
              <w:t>——企业净购入电力和净购入热力产生的CO</w:t>
            </w:r>
            <w:r>
              <w:rPr>
                <w:rFonts w:hint="eastAsia" w:ascii="Times New Roman" w:cs="Times New Roman"/>
                <w:color w:val="auto"/>
                <w:vertAlign w:val="subscript"/>
              </w:rPr>
              <w:t>2</w:t>
            </w:r>
            <w:r>
              <w:rPr>
                <w:rFonts w:hint="eastAsia" w:ascii="Times New Roman" w:cs="Times New Roman"/>
                <w:color w:val="auto"/>
              </w:rPr>
              <w:t>排放量，单位为吨（tCO</w:t>
            </w:r>
            <w:r>
              <w:rPr>
                <w:rFonts w:hint="eastAsia" w:ascii="Times New Roman" w:cs="Times New Roman"/>
                <w:color w:val="auto"/>
                <w:vertAlign w:val="subscript"/>
              </w:rPr>
              <w:t>2</w:t>
            </w:r>
            <w:r>
              <w:rPr>
                <w:rFonts w:hint="eastAsia" w:ascii="Times New Roman" w:cs="Times New Roman"/>
                <w:color w:val="auto"/>
              </w:rPr>
              <w:t>）；</w:t>
            </w:r>
          </w:p>
          <w:p w14:paraId="334483A2">
            <w:pPr>
              <w:pStyle w:val="2"/>
              <w:spacing w:line="360" w:lineRule="auto"/>
              <w:ind w:firstLine="480" w:firstLineChars="200"/>
              <w:rPr>
                <w:rFonts w:ascii="Times New Roman" w:cs="Times New Roman"/>
                <w:color w:val="auto"/>
              </w:rPr>
            </w:pPr>
            <w:r>
              <w:rPr>
                <w:rFonts w:hint="eastAsia" w:ascii="Times New Roman" w:cs="Times New Roman"/>
                <w:color w:val="auto"/>
              </w:rPr>
              <w:t>AD</w:t>
            </w:r>
            <w:r>
              <w:rPr>
                <w:rFonts w:hint="eastAsia" w:ascii="Times New Roman" w:cs="Times New Roman"/>
                <w:color w:val="auto"/>
                <w:vertAlign w:val="subscript"/>
              </w:rPr>
              <w:t>电力</w:t>
            </w:r>
            <w:r>
              <w:rPr>
                <w:rFonts w:hint="eastAsia" w:ascii="Times New Roman" w:cs="Times New Roman"/>
                <w:color w:val="auto"/>
              </w:rPr>
              <w:t>、AD</w:t>
            </w:r>
            <w:r>
              <w:rPr>
                <w:rFonts w:hint="eastAsia" w:ascii="Times New Roman" w:cs="Times New Roman"/>
                <w:color w:val="auto"/>
                <w:vertAlign w:val="subscript"/>
              </w:rPr>
              <w:t>热力</w:t>
            </w:r>
            <w:r>
              <w:rPr>
                <w:rFonts w:hint="eastAsia" w:ascii="Times New Roman" w:cs="Times New Roman"/>
                <w:color w:val="auto"/>
              </w:rPr>
              <w:t>——分别为核算和报告期内净购入电量和热力量（如蒸汽量），单位分别为兆瓦时（MWh）和百万千焦（GJ）；</w:t>
            </w:r>
          </w:p>
          <w:p w14:paraId="32234E02">
            <w:pPr>
              <w:pStyle w:val="2"/>
              <w:spacing w:line="360" w:lineRule="auto"/>
              <w:ind w:firstLine="480" w:firstLineChars="200"/>
              <w:rPr>
                <w:rFonts w:ascii="Times New Roman" w:cs="Times New Roman"/>
                <w:color w:val="auto"/>
              </w:rPr>
            </w:pPr>
            <w:r>
              <w:rPr>
                <w:rFonts w:ascii="Times New Roman" w:cs="Times New Roman"/>
                <w:color w:val="auto"/>
              </w:rPr>
              <w:t>EF</w:t>
            </w:r>
            <w:r>
              <w:rPr>
                <w:rFonts w:hint="eastAsia" w:ascii="Times New Roman" w:cs="Times New Roman"/>
                <w:color w:val="auto"/>
                <w:vertAlign w:val="subscript"/>
              </w:rPr>
              <w:t>电力</w:t>
            </w:r>
            <w:r>
              <w:rPr>
                <w:rFonts w:hint="eastAsia" w:ascii="Times New Roman" w:cs="Times New Roman"/>
                <w:color w:val="auto"/>
              </w:rPr>
              <w:t>、EF</w:t>
            </w:r>
            <w:r>
              <w:rPr>
                <w:rFonts w:hint="eastAsia" w:ascii="Times New Roman" w:cs="Times New Roman"/>
                <w:color w:val="auto"/>
                <w:vertAlign w:val="subscript"/>
              </w:rPr>
              <w:t>热力</w:t>
            </w:r>
            <w:r>
              <w:rPr>
                <w:rFonts w:hint="eastAsia" w:ascii="Times New Roman" w:cs="Times New Roman"/>
                <w:color w:val="auto"/>
              </w:rPr>
              <w:t>——分别为电力和热力（如蒸汽）的CO</w:t>
            </w:r>
            <w:r>
              <w:rPr>
                <w:rFonts w:hint="eastAsia" w:ascii="Times New Roman" w:cs="Times New Roman"/>
                <w:color w:val="auto"/>
                <w:vertAlign w:val="subscript"/>
              </w:rPr>
              <w:t>2</w:t>
            </w:r>
            <w:r>
              <w:rPr>
                <w:rFonts w:hint="eastAsia" w:ascii="Times New Roman" w:cs="Times New Roman"/>
                <w:color w:val="auto"/>
              </w:rPr>
              <w:t>排放因子，单位分别为吨CO</w:t>
            </w:r>
            <w:r>
              <w:rPr>
                <w:rFonts w:hint="eastAsia" w:ascii="Times New Roman" w:cs="Times New Roman"/>
                <w:color w:val="auto"/>
                <w:vertAlign w:val="subscript"/>
              </w:rPr>
              <w:t>2</w:t>
            </w:r>
            <w:r>
              <w:rPr>
                <w:rFonts w:hint="eastAsia" w:ascii="Times New Roman" w:cs="Times New Roman"/>
                <w:color w:val="auto"/>
              </w:rPr>
              <w:t>/兆瓦时（t CO</w:t>
            </w:r>
            <w:r>
              <w:rPr>
                <w:rFonts w:hint="eastAsia" w:ascii="Times New Roman" w:cs="Times New Roman"/>
                <w:color w:val="auto"/>
                <w:vertAlign w:val="subscript"/>
              </w:rPr>
              <w:t>2</w:t>
            </w:r>
            <w:r>
              <w:rPr>
                <w:rFonts w:hint="eastAsia" w:ascii="Times New Roman" w:cs="Times New Roman"/>
                <w:color w:val="auto"/>
              </w:rPr>
              <w:t>/MWh）和吨CO</w:t>
            </w:r>
            <w:r>
              <w:rPr>
                <w:rFonts w:hint="eastAsia" w:ascii="Times New Roman" w:cs="Times New Roman"/>
                <w:color w:val="auto"/>
                <w:vertAlign w:val="subscript"/>
              </w:rPr>
              <w:t>2</w:t>
            </w:r>
            <w:r>
              <w:rPr>
                <w:rFonts w:hint="eastAsia" w:ascii="Times New Roman" w:cs="Times New Roman"/>
                <w:color w:val="auto"/>
              </w:rPr>
              <w:t>/百万千焦（t CO</w:t>
            </w:r>
            <w:r>
              <w:rPr>
                <w:rFonts w:hint="eastAsia" w:ascii="Times New Roman" w:cs="Times New Roman"/>
                <w:color w:val="auto"/>
                <w:vertAlign w:val="subscript"/>
              </w:rPr>
              <w:t>2</w:t>
            </w:r>
            <w:r>
              <w:rPr>
                <w:rFonts w:hint="eastAsia" w:ascii="Times New Roman" w:cs="Times New Roman"/>
                <w:color w:val="auto"/>
              </w:rPr>
              <w:t>/GJ）。</w:t>
            </w:r>
          </w:p>
          <w:p w14:paraId="2B944774">
            <w:pPr>
              <w:pStyle w:val="2"/>
              <w:spacing w:line="360" w:lineRule="auto"/>
              <w:ind w:firstLine="480" w:firstLineChars="200"/>
              <w:rPr>
                <w:rFonts w:ascii="Times New Roman" w:cs="Times New Roman"/>
                <w:color w:val="auto"/>
              </w:rPr>
            </w:pPr>
            <w:r>
              <w:rPr>
                <w:rFonts w:hint="eastAsia" w:ascii="Times New Roman" w:cs="Times New Roman"/>
                <w:color w:val="auto"/>
              </w:rPr>
              <w:t>本项目无购入热力消费，因此AD</w:t>
            </w:r>
            <w:r>
              <w:rPr>
                <w:rFonts w:hint="eastAsia" w:ascii="Times New Roman" w:cs="Times New Roman"/>
                <w:color w:val="auto"/>
                <w:vertAlign w:val="subscript"/>
              </w:rPr>
              <w:t>热力</w:t>
            </w:r>
            <w:r>
              <w:rPr>
                <w:rFonts w:hint="eastAsia" w:ascii="Times New Roman" w:cs="Times New Roman"/>
                <w:color w:val="auto"/>
              </w:rPr>
              <w:t>为0。</w:t>
            </w:r>
          </w:p>
          <w:p w14:paraId="1E63602D">
            <w:pPr>
              <w:pStyle w:val="2"/>
              <w:spacing w:beforeLines="50"/>
              <w:jc w:val="center"/>
              <w:rPr>
                <w:rFonts w:ascii="Times New Roman"/>
                <w:b/>
                <w:color w:val="auto"/>
                <w:sz w:val="21"/>
              </w:rPr>
            </w:pPr>
            <w:r>
              <w:rPr>
                <w:rFonts w:ascii="Times New Roman"/>
                <w:b/>
                <w:color w:val="auto"/>
                <w:sz w:val="21"/>
              </w:rPr>
              <w:t>表</w:t>
            </w:r>
            <w:r>
              <w:rPr>
                <w:rFonts w:hint="eastAsia" w:ascii="Times New Roman"/>
                <w:b/>
                <w:color w:val="auto"/>
                <w:sz w:val="21"/>
              </w:rPr>
              <w:t xml:space="preserve">2-11 </w:t>
            </w:r>
            <w:r>
              <w:rPr>
                <w:rFonts w:ascii="Times New Roman"/>
                <w:b/>
                <w:color w:val="auto"/>
                <w:sz w:val="21"/>
              </w:rPr>
              <w:t xml:space="preserve"> </w:t>
            </w:r>
            <w:r>
              <w:rPr>
                <w:rFonts w:hint="eastAsia" w:ascii="Times New Roman"/>
                <w:b/>
                <w:color w:val="auto"/>
                <w:sz w:val="21"/>
              </w:rPr>
              <w:t>净购入电力、热力引起的</w:t>
            </w:r>
            <w:r>
              <w:rPr>
                <w:rFonts w:hint="eastAsia" w:ascii="Times New Roman" w:cs="Times New Roman"/>
                <w:color w:val="auto"/>
              </w:rPr>
              <w:t>CO</w:t>
            </w:r>
            <w:r>
              <w:rPr>
                <w:rFonts w:hint="eastAsia" w:ascii="Times New Roman" w:cs="Times New Roman"/>
                <w:color w:val="auto"/>
                <w:vertAlign w:val="subscript"/>
              </w:rPr>
              <w:t>2</w:t>
            </w:r>
            <w:r>
              <w:rPr>
                <w:rFonts w:hint="eastAsia" w:ascii="Times New Roman" w:cs="Times New Roman"/>
                <w:b/>
                <w:color w:val="auto"/>
              </w:rPr>
              <w:t>排放</w:t>
            </w:r>
          </w:p>
          <w:tbl>
            <w:tblPr>
              <w:tblStyle w:val="32"/>
              <w:tblW w:w="929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7"/>
              <w:gridCol w:w="2410"/>
              <w:gridCol w:w="2841"/>
              <w:gridCol w:w="2323"/>
            </w:tblGrid>
            <w:tr w14:paraId="0BF6D1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trPr>
              <w:tc>
                <w:tcPr>
                  <w:tcW w:w="1717" w:type="dxa"/>
                  <w:vMerge w:val="restart"/>
                  <w:vAlign w:val="center"/>
                </w:tcPr>
                <w:p w14:paraId="2A46685F">
                  <w:pPr>
                    <w:pStyle w:val="2"/>
                    <w:jc w:val="center"/>
                    <w:rPr>
                      <w:rFonts w:ascii="Times New Roman" w:cs="Times New Roman"/>
                      <w:b/>
                      <w:color w:val="auto"/>
                      <w:sz w:val="21"/>
                      <w:szCs w:val="21"/>
                    </w:rPr>
                  </w:pPr>
                  <w:r>
                    <w:rPr>
                      <w:rFonts w:hint="eastAsia" w:ascii="Times New Roman" w:cs="Times New Roman"/>
                      <w:b/>
                      <w:color w:val="auto"/>
                      <w:sz w:val="21"/>
                      <w:szCs w:val="21"/>
                    </w:rPr>
                    <w:t>种类</w:t>
                  </w:r>
                </w:p>
              </w:tc>
              <w:tc>
                <w:tcPr>
                  <w:tcW w:w="2410" w:type="dxa"/>
                  <w:vAlign w:val="center"/>
                </w:tcPr>
                <w:p w14:paraId="63B7534F">
                  <w:pPr>
                    <w:pStyle w:val="2"/>
                    <w:jc w:val="center"/>
                    <w:rPr>
                      <w:rFonts w:ascii="Times New Roman" w:cs="Times New Roman"/>
                      <w:b/>
                      <w:color w:val="auto"/>
                      <w:sz w:val="21"/>
                      <w:szCs w:val="21"/>
                    </w:rPr>
                  </w:pPr>
                  <w:r>
                    <w:rPr>
                      <w:rFonts w:hint="eastAsia" w:ascii="Times New Roman" w:cs="Times New Roman"/>
                      <w:b/>
                      <w:color w:val="auto"/>
                      <w:sz w:val="21"/>
                      <w:szCs w:val="21"/>
                    </w:rPr>
                    <w:t>数值（MWh）</w:t>
                  </w:r>
                </w:p>
              </w:tc>
              <w:tc>
                <w:tcPr>
                  <w:tcW w:w="2841" w:type="dxa"/>
                  <w:vAlign w:val="center"/>
                </w:tcPr>
                <w:p w14:paraId="218E5801">
                  <w:pPr>
                    <w:pStyle w:val="2"/>
                    <w:jc w:val="center"/>
                    <w:rPr>
                      <w:rFonts w:ascii="Times New Roman" w:cs="Times New Roman"/>
                      <w:b/>
                      <w:color w:val="auto"/>
                      <w:sz w:val="21"/>
                      <w:szCs w:val="21"/>
                    </w:rPr>
                  </w:pPr>
                  <w:r>
                    <w:rPr>
                      <w:rFonts w:hint="eastAsia" w:ascii="Times New Roman" w:cs="Times New Roman"/>
                      <w:b/>
                      <w:color w:val="auto"/>
                      <w:sz w:val="21"/>
                      <w:szCs w:val="21"/>
                    </w:rPr>
                    <w:t>CO</w:t>
                  </w:r>
                  <w:r>
                    <w:rPr>
                      <w:rFonts w:hint="eastAsia" w:ascii="Times New Roman" w:cs="Times New Roman"/>
                      <w:b/>
                      <w:color w:val="auto"/>
                      <w:sz w:val="21"/>
                      <w:szCs w:val="21"/>
                      <w:vertAlign w:val="subscript"/>
                    </w:rPr>
                    <w:t>2</w:t>
                  </w:r>
                  <w:r>
                    <w:rPr>
                      <w:rFonts w:hint="eastAsia" w:ascii="Times New Roman" w:cs="Times New Roman"/>
                      <w:b/>
                      <w:color w:val="auto"/>
                      <w:sz w:val="21"/>
                      <w:szCs w:val="21"/>
                    </w:rPr>
                    <w:t>排放因子*（tCOJMwh）</w:t>
                  </w:r>
                </w:p>
              </w:tc>
              <w:tc>
                <w:tcPr>
                  <w:tcW w:w="2323" w:type="dxa"/>
                  <w:vAlign w:val="center"/>
                </w:tcPr>
                <w:p w14:paraId="0B41A9C2">
                  <w:pPr>
                    <w:pStyle w:val="2"/>
                    <w:jc w:val="center"/>
                    <w:rPr>
                      <w:rFonts w:ascii="Times New Roman" w:cs="Times New Roman"/>
                      <w:color w:val="auto"/>
                      <w:sz w:val="21"/>
                      <w:szCs w:val="21"/>
                    </w:rPr>
                  </w:pPr>
                  <w:r>
                    <w:rPr>
                      <w:rFonts w:ascii="Times New Roman" w:cs="Times New Roman"/>
                      <w:b/>
                      <w:sz w:val="21"/>
                      <w:szCs w:val="21"/>
                    </w:rPr>
                    <w:t>碳排放量（</w:t>
                  </w:r>
                  <w:r>
                    <w:rPr>
                      <w:rFonts w:hint="eastAsia" w:ascii="Times New Roman" w:cs="Times New Roman"/>
                      <w:b/>
                      <w:color w:val="auto"/>
                    </w:rPr>
                    <w:t>tCO</w:t>
                  </w:r>
                  <w:r>
                    <w:rPr>
                      <w:rFonts w:hint="eastAsia" w:ascii="Times New Roman" w:cs="Times New Roman"/>
                      <w:b/>
                      <w:color w:val="auto"/>
                      <w:vertAlign w:val="subscript"/>
                    </w:rPr>
                    <w:t>2</w:t>
                  </w:r>
                  <w:r>
                    <w:rPr>
                      <w:rFonts w:ascii="Times New Roman" w:cs="Times New Roman"/>
                      <w:b/>
                      <w:sz w:val="21"/>
                      <w:szCs w:val="21"/>
                    </w:rPr>
                    <w:t>）</w:t>
                  </w:r>
                </w:p>
              </w:tc>
            </w:tr>
            <w:tr w14:paraId="3A63F1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Merge w:val="continue"/>
                  <w:vAlign w:val="center"/>
                </w:tcPr>
                <w:p w14:paraId="5058C662">
                  <w:pPr>
                    <w:pStyle w:val="2"/>
                    <w:jc w:val="center"/>
                    <w:rPr>
                      <w:rFonts w:ascii="Times New Roman" w:cs="Times New Roman"/>
                      <w:color w:val="auto"/>
                      <w:sz w:val="21"/>
                      <w:szCs w:val="21"/>
                    </w:rPr>
                  </w:pPr>
                </w:p>
              </w:tc>
              <w:tc>
                <w:tcPr>
                  <w:tcW w:w="2410" w:type="dxa"/>
                  <w:vAlign w:val="center"/>
                </w:tcPr>
                <w:p w14:paraId="5ACC6D47">
                  <w:pPr>
                    <w:pStyle w:val="2"/>
                    <w:jc w:val="center"/>
                    <w:rPr>
                      <w:rFonts w:ascii="Times New Roman" w:cs="Times New Roman"/>
                      <w:b/>
                      <w:sz w:val="21"/>
                      <w:szCs w:val="21"/>
                    </w:rPr>
                  </w:pPr>
                  <w:r>
                    <w:rPr>
                      <w:rFonts w:hint="eastAsia" w:ascii="Times New Roman" w:cs="Times New Roman"/>
                      <w:b/>
                      <w:sz w:val="21"/>
                      <w:szCs w:val="21"/>
                    </w:rPr>
                    <w:t>A</w:t>
                  </w:r>
                </w:p>
              </w:tc>
              <w:tc>
                <w:tcPr>
                  <w:tcW w:w="2841" w:type="dxa"/>
                  <w:vAlign w:val="center"/>
                </w:tcPr>
                <w:p w14:paraId="3BC33EB3">
                  <w:pPr>
                    <w:pStyle w:val="2"/>
                    <w:jc w:val="center"/>
                    <w:rPr>
                      <w:rFonts w:ascii="Times New Roman" w:cs="Times New Roman"/>
                      <w:b/>
                      <w:sz w:val="21"/>
                      <w:szCs w:val="21"/>
                    </w:rPr>
                  </w:pPr>
                  <w:r>
                    <w:rPr>
                      <w:rFonts w:hint="eastAsia" w:ascii="Times New Roman" w:cs="Times New Roman"/>
                      <w:b/>
                      <w:sz w:val="21"/>
                      <w:szCs w:val="21"/>
                    </w:rPr>
                    <w:t>B</w:t>
                  </w:r>
                </w:p>
              </w:tc>
              <w:tc>
                <w:tcPr>
                  <w:tcW w:w="2323" w:type="dxa"/>
                  <w:vAlign w:val="center"/>
                </w:tcPr>
                <w:p w14:paraId="65B9A267">
                  <w:pPr>
                    <w:pStyle w:val="2"/>
                    <w:jc w:val="center"/>
                    <w:rPr>
                      <w:rFonts w:ascii="Times New Roman" w:cs="Times New Roman"/>
                      <w:b/>
                      <w:sz w:val="21"/>
                      <w:szCs w:val="21"/>
                    </w:rPr>
                  </w:pPr>
                  <w:r>
                    <w:rPr>
                      <w:rFonts w:hint="eastAsia" w:ascii="Times New Roman" w:cs="Times New Roman"/>
                      <w:b/>
                      <w:sz w:val="21"/>
                      <w:szCs w:val="21"/>
                    </w:rPr>
                    <w:t>C=A*B</w:t>
                  </w:r>
                </w:p>
              </w:tc>
            </w:tr>
            <w:tr w14:paraId="11CA5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17" w:type="dxa"/>
                  <w:vAlign w:val="center"/>
                </w:tcPr>
                <w:p w14:paraId="178D7048">
                  <w:pPr>
                    <w:pStyle w:val="2"/>
                    <w:jc w:val="center"/>
                    <w:rPr>
                      <w:rFonts w:ascii="Times New Roman" w:cs="Times New Roman"/>
                      <w:color w:val="auto"/>
                      <w:sz w:val="21"/>
                      <w:szCs w:val="21"/>
                    </w:rPr>
                  </w:pPr>
                  <w:r>
                    <w:rPr>
                      <w:rFonts w:hint="eastAsia" w:ascii="Times New Roman" w:cs="Times New Roman"/>
                      <w:color w:val="auto"/>
                      <w:sz w:val="21"/>
                      <w:szCs w:val="21"/>
                    </w:rPr>
                    <w:t>净购入电力</w:t>
                  </w:r>
                </w:p>
              </w:tc>
              <w:tc>
                <w:tcPr>
                  <w:tcW w:w="2410" w:type="dxa"/>
                  <w:vAlign w:val="center"/>
                </w:tcPr>
                <w:p w14:paraId="06180FAA">
                  <w:pPr>
                    <w:pStyle w:val="2"/>
                    <w:jc w:val="center"/>
                    <w:rPr>
                      <w:rFonts w:ascii="Times New Roman" w:cs="Times New Roman"/>
                      <w:color w:val="auto"/>
                      <w:sz w:val="21"/>
                      <w:szCs w:val="21"/>
                    </w:rPr>
                  </w:pPr>
                  <w:r>
                    <w:rPr>
                      <w:rFonts w:hint="eastAsia" w:ascii="Times New Roman" w:cs="Times New Roman"/>
                      <w:color w:val="auto"/>
                      <w:sz w:val="21"/>
                      <w:szCs w:val="21"/>
                    </w:rPr>
                    <w:t>17200</w:t>
                  </w:r>
                </w:p>
              </w:tc>
              <w:tc>
                <w:tcPr>
                  <w:tcW w:w="2841" w:type="dxa"/>
                  <w:vAlign w:val="center"/>
                </w:tcPr>
                <w:p w14:paraId="065C24D2">
                  <w:pPr>
                    <w:pStyle w:val="2"/>
                    <w:jc w:val="center"/>
                    <w:rPr>
                      <w:rFonts w:ascii="Times New Roman" w:cs="Times New Roman"/>
                      <w:color w:val="auto"/>
                      <w:sz w:val="21"/>
                      <w:szCs w:val="21"/>
                    </w:rPr>
                  </w:pPr>
                  <w:r>
                    <w:rPr>
                      <w:rFonts w:hint="eastAsia" w:ascii="Times New Roman" w:cs="Times New Roman"/>
                      <w:color w:val="auto"/>
                      <w:sz w:val="21"/>
                      <w:szCs w:val="21"/>
                    </w:rPr>
                    <w:t>0.4987</w:t>
                  </w:r>
                </w:p>
              </w:tc>
              <w:tc>
                <w:tcPr>
                  <w:tcW w:w="2323" w:type="dxa"/>
                  <w:vAlign w:val="center"/>
                </w:tcPr>
                <w:p w14:paraId="6586712F">
                  <w:pPr>
                    <w:pStyle w:val="2"/>
                    <w:jc w:val="center"/>
                    <w:rPr>
                      <w:rFonts w:ascii="Times New Roman" w:cs="Times New Roman"/>
                      <w:color w:val="auto"/>
                      <w:sz w:val="21"/>
                      <w:szCs w:val="21"/>
                    </w:rPr>
                  </w:pPr>
                  <w:r>
                    <w:rPr>
                      <w:rFonts w:hint="eastAsia" w:ascii="Times New Roman" w:cs="Times New Roman"/>
                      <w:color w:val="auto"/>
                      <w:sz w:val="21"/>
                      <w:szCs w:val="21"/>
                    </w:rPr>
                    <w:t>8577.64</w:t>
                  </w:r>
                </w:p>
              </w:tc>
            </w:tr>
          </w:tbl>
          <w:p w14:paraId="73D8424B">
            <w:pPr>
              <w:pStyle w:val="2"/>
              <w:spacing w:line="360" w:lineRule="auto"/>
              <w:jc w:val="both"/>
              <w:rPr>
                <w:rFonts w:ascii="Times New Roman" w:cs="Times New Roman"/>
                <w:color w:val="auto"/>
                <w:sz w:val="21"/>
                <w:szCs w:val="21"/>
              </w:rPr>
            </w:pPr>
            <w:r>
              <w:rPr>
                <w:rFonts w:hint="eastAsia" w:ascii="Times New Roman" w:cs="Times New Roman"/>
                <w:color w:val="auto"/>
                <w:sz w:val="21"/>
                <w:szCs w:val="21"/>
              </w:rPr>
              <w:t>注：取值来源于《2016  年省级电网平均二氧化碳排放因子》的湖南区域电网平均C0</w:t>
            </w:r>
            <w:r>
              <w:rPr>
                <w:rFonts w:hint="eastAsia" w:ascii="Times New Roman" w:cs="Times New Roman"/>
                <w:color w:val="auto"/>
                <w:sz w:val="21"/>
                <w:szCs w:val="21"/>
                <w:vertAlign w:val="subscript"/>
              </w:rPr>
              <w:t>2</w:t>
            </w:r>
            <w:r>
              <w:rPr>
                <w:rFonts w:hint="eastAsia" w:ascii="Times New Roman" w:cs="Times New Roman"/>
                <w:color w:val="auto"/>
                <w:sz w:val="21"/>
                <w:szCs w:val="21"/>
              </w:rPr>
              <w:t>排放因子。</w:t>
            </w:r>
          </w:p>
          <w:p w14:paraId="552E37DF">
            <w:pPr>
              <w:pStyle w:val="2"/>
              <w:spacing w:line="360" w:lineRule="auto"/>
              <w:ind w:firstLine="480" w:firstLineChars="200"/>
              <w:rPr>
                <w:rFonts w:ascii="Times New Roman" w:cs="Times New Roman"/>
                <w:color w:val="auto"/>
              </w:rPr>
            </w:pPr>
            <w:r>
              <w:rPr>
                <w:rFonts w:hint="eastAsia" w:ascii="Times New Roman" w:cs="Times New Roman"/>
                <w:color w:val="auto"/>
              </w:rPr>
              <w:t>综上，本项目CO</w:t>
            </w:r>
            <w:r>
              <w:rPr>
                <w:rFonts w:hint="eastAsia" w:ascii="Times New Roman" w:cs="Times New Roman"/>
                <w:color w:val="auto"/>
                <w:vertAlign w:val="subscript"/>
              </w:rPr>
              <w:t>2</w:t>
            </w:r>
            <w:r>
              <w:rPr>
                <w:rFonts w:hint="eastAsia" w:ascii="Times New Roman" w:cs="Times New Roman"/>
                <w:color w:val="auto"/>
              </w:rPr>
              <w:t>排放量合计为65009.64tCO</w:t>
            </w:r>
            <w:r>
              <w:rPr>
                <w:rFonts w:hint="eastAsia" w:ascii="Times New Roman" w:cs="Times New Roman"/>
                <w:color w:val="auto"/>
                <w:vertAlign w:val="subscript"/>
              </w:rPr>
              <w:t>2</w:t>
            </w:r>
            <w:r>
              <w:rPr>
                <w:rFonts w:hint="eastAsia" w:ascii="Times New Roman" w:cs="Times New Roman"/>
                <w:color w:val="auto"/>
              </w:rPr>
              <w:t>/a，折合单位产品碳排放量为0.23t CO</w:t>
            </w:r>
            <w:r>
              <w:rPr>
                <w:rFonts w:hint="eastAsia" w:ascii="Times New Roman" w:cs="Times New Roman"/>
                <w:color w:val="auto"/>
                <w:vertAlign w:val="subscript"/>
              </w:rPr>
              <w:t>2</w:t>
            </w:r>
            <w:r>
              <w:rPr>
                <w:rFonts w:hint="eastAsia" w:ascii="Times New Roman" w:cs="Times New Roman"/>
                <w:color w:val="auto"/>
              </w:rPr>
              <w:t>/t-产品。</w:t>
            </w:r>
          </w:p>
        </w:tc>
      </w:tr>
      <w:tr w14:paraId="2A356A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84" w:type="dxa"/>
            <w:vAlign w:val="center"/>
          </w:tcPr>
          <w:p w14:paraId="520BEB70">
            <w:pPr>
              <w:pStyle w:val="28"/>
              <w:adjustRightInd w:val="0"/>
              <w:snapToGrid w:val="0"/>
              <w:spacing w:before="0" w:beforeAutospacing="0" w:after="0" w:afterAutospacing="0"/>
              <w:jc w:val="center"/>
              <w:rPr>
                <w:rFonts w:cs="宋体"/>
                <w:b/>
                <w:szCs w:val="24"/>
              </w:rPr>
            </w:pPr>
            <w:r>
              <w:rPr>
                <w:rFonts w:hint="eastAsia" w:cs="宋体"/>
                <w:b/>
                <w:szCs w:val="24"/>
              </w:rPr>
              <w:t>工艺流程和产排污环节</w:t>
            </w:r>
          </w:p>
        </w:tc>
        <w:tc>
          <w:tcPr>
            <w:tcW w:w="9522" w:type="dxa"/>
          </w:tcPr>
          <w:p w14:paraId="4C80040E">
            <w:pPr>
              <w:adjustRightInd w:val="0"/>
              <w:snapToGrid w:val="0"/>
              <w:spacing w:line="360" w:lineRule="auto"/>
              <w:ind w:firstLine="482" w:firstLineChars="200"/>
              <w:rPr>
                <w:b/>
                <w:bCs/>
                <w:kern w:val="0"/>
                <w:sz w:val="24"/>
              </w:rPr>
            </w:pPr>
            <w:r>
              <w:rPr>
                <w:rFonts w:hint="eastAsia"/>
                <w:b/>
                <w:bCs/>
                <w:kern w:val="0"/>
                <w:sz w:val="24"/>
              </w:rPr>
              <w:t>一、施工期</w:t>
            </w:r>
          </w:p>
          <w:p w14:paraId="6AD01E8B">
            <w:pPr>
              <w:adjustRightInd w:val="0"/>
              <w:snapToGrid w:val="0"/>
              <w:spacing w:line="360" w:lineRule="auto"/>
              <w:ind w:firstLine="480" w:firstLineChars="200"/>
              <w:rPr>
                <w:b/>
                <w:bCs/>
                <w:kern w:val="0"/>
                <w:sz w:val="24"/>
              </w:rPr>
            </w:pPr>
            <w:r>
              <w:rPr>
                <w:rFonts w:hint="eastAsia"/>
                <w:sz w:val="24"/>
              </w:rPr>
              <w:t>本次技术改造工程无土建施工，主要进行生产线改造及设备安装，施工内容在现有厂房内进行。</w:t>
            </w:r>
          </w:p>
          <w:p w14:paraId="048B704B">
            <w:pPr>
              <w:adjustRightInd w:val="0"/>
              <w:snapToGrid w:val="0"/>
              <w:spacing w:line="360" w:lineRule="auto"/>
              <w:ind w:firstLine="482" w:firstLineChars="200"/>
              <w:rPr>
                <w:b/>
                <w:bCs/>
                <w:kern w:val="0"/>
                <w:sz w:val="24"/>
              </w:rPr>
            </w:pPr>
            <w:r>
              <w:rPr>
                <w:rFonts w:hint="eastAsia"/>
                <w:b/>
                <w:bCs/>
                <w:kern w:val="0"/>
                <w:sz w:val="24"/>
              </w:rPr>
              <w:t>二、运营期</w:t>
            </w:r>
          </w:p>
          <w:p w14:paraId="1285361D">
            <w:pPr>
              <w:autoSpaceDE w:val="0"/>
              <w:autoSpaceDN w:val="0"/>
              <w:adjustRightInd w:val="0"/>
              <w:spacing w:line="360" w:lineRule="auto"/>
              <w:ind w:firstLine="480" w:firstLineChars="200"/>
              <w:rPr>
                <w:rFonts w:eastAsiaTheme="minorEastAsia"/>
                <w:sz w:val="24"/>
              </w:rPr>
            </w:pPr>
            <w:r>
              <w:rPr>
                <w:rFonts w:hint="eastAsia" w:eastAsiaTheme="minorEastAsia"/>
                <w:sz w:val="24"/>
              </w:rPr>
              <w:t>本项目技改前后热轧生产线工艺流程基本不变，主要技改内容为：①更新改造现张力减径机系统，以28机架单机架传动张力减径机替代原有的24机架集中差速传动，提高产品轧制尺寸精度问题；②淘汰老式进口锯，改为新式国产排锯，提高生产效率；③脱管后辊道至步进炉进炉辊道设备升级改造，更新改造冷床上料装置，提升生产节奏，延长钢管生产长度；④对项目公辅设施进行同步改造。</w:t>
            </w:r>
          </w:p>
          <w:p w14:paraId="4282CD24">
            <w:pPr>
              <w:pStyle w:val="4"/>
            </w:pPr>
          </w:p>
          <w:p w14:paraId="1D8BE183"/>
          <w:p w14:paraId="3FCBA13A">
            <w:pPr>
              <w:pStyle w:val="2"/>
            </w:pPr>
          </w:p>
          <w:p w14:paraId="389A0ED6">
            <w:pPr>
              <w:pStyle w:val="4"/>
            </w:pPr>
          </w:p>
          <w:p w14:paraId="613BF2AA"/>
          <w:p w14:paraId="40983625">
            <w:pPr>
              <w:pStyle w:val="2"/>
            </w:pPr>
          </w:p>
          <w:p w14:paraId="6481E1DC">
            <w:pPr>
              <w:pStyle w:val="4"/>
            </w:pPr>
          </w:p>
          <w:p w14:paraId="5B8982CE"/>
          <w:p w14:paraId="7A195132">
            <w:pPr>
              <w:pStyle w:val="2"/>
            </w:pPr>
          </w:p>
          <w:p w14:paraId="7A1DCEDC"/>
          <w:p w14:paraId="1AC001BF">
            <w:pPr>
              <w:pStyle w:val="2"/>
            </w:pPr>
          </w:p>
          <w:p w14:paraId="7A557A2C">
            <w:pPr>
              <w:pStyle w:val="4"/>
            </w:pPr>
          </w:p>
          <w:p w14:paraId="380B212F"/>
          <w:p w14:paraId="1BECB83F">
            <w:pPr>
              <w:autoSpaceDE w:val="0"/>
              <w:autoSpaceDN w:val="0"/>
              <w:adjustRightInd w:val="0"/>
              <w:spacing w:line="360" w:lineRule="auto"/>
              <w:jc w:val="center"/>
            </w:pPr>
            <w:r>
              <w:object>
                <v:shape id="_x0000_i1026" o:spt="75" type="#_x0000_t75" style="height:636pt;width:421.5pt;" o:ole="t" filled="f" o:preferrelative="t" stroked="f" coordsize="21600,21600">
                  <v:path/>
                  <v:fill on="f" focussize="0,0"/>
                  <v:stroke on="f" joinstyle="miter"/>
                  <v:imagedata r:id="rId13" o:title=""/>
                  <o:lock v:ext="edit" aspectratio="t"/>
                  <w10:wrap type="none"/>
                  <w10:anchorlock/>
                </v:shape>
                <o:OLEObject Type="Embed" ProgID="Visio.Drawing.15" ShapeID="_x0000_i1026" DrawAspect="Content" ObjectID="_1468075726" r:id="rId12">
                  <o:LockedField>false</o:LockedField>
                </o:OLEObject>
              </w:object>
            </w:r>
          </w:p>
          <w:p w14:paraId="43ADDA60">
            <w:pPr>
              <w:pStyle w:val="2"/>
              <w:jc w:val="center"/>
              <w:rPr>
                <w:rFonts w:ascii="Times New Roman" w:cs="Times New Roman"/>
                <w:sz w:val="21"/>
                <w:szCs w:val="21"/>
              </w:rPr>
            </w:pPr>
            <w:r>
              <w:rPr>
                <w:rFonts w:ascii="Times New Roman" w:cs="Times New Roman"/>
                <w:b/>
                <w:sz w:val="21"/>
                <w:szCs w:val="21"/>
              </w:rPr>
              <w:t>图</w:t>
            </w:r>
            <w:r>
              <w:rPr>
                <w:rFonts w:hint="eastAsia" w:ascii="Times New Roman" w:cs="Times New Roman"/>
                <w:b/>
                <w:sz w:val="21"/>
                <w:szCs w:val="21"/>
              </w:rPr>
              <w:t xml:space="preserve">2-2 </w:t>
            </w:r>
            <w:r>
              <w:rPr>
                <w:rFonts w:ascii="Times New Roman" w:cs="Times New Roman"/>
                <w:b/>
                <w:sz w:val="21"/>
                <w:szCs w:val="21"/>
              </w:rPr>
              <w:t xml:space="preserve"> 热轧生产线工艺流程及产排污节点图</w:t>
            </w:r>
          </w:p>
          <w:p w14:paraId="36662622">
            <w:pPr>
              <w:autoSpaceDE w:val="0"/>
              <w:autoSpaceDN w:val="0"/>
              <w:adjustRightInd w:val="0"/>
              <w:spacing w:line="360" w:lineRule="auto"/>
              <w:ind w:firstLine="482" w:firstLineChars="200"/>
              <w:rPr>
                <w:rFonts w:eastAsiaTheme="minorEastAsia"/>
                <w:b/>
                <w:sz w:val="24"/>
              </w:rPr>
            </w:pPr>
            <w:r>
              <w:rPr>
                <w:rFonts w:hint="eastAsia" w:eastAsiaTheme="minorEastAsia"/>
                <w:b/>
                <w:sz w:val="24"/>
              </w:rPr>
              <w:t>主要生产工艺流程简述：</w:t>
            </w:r>
          </w:p>
          <w:p w14:paraId="19F9EAD8">
            <w:pPr>
              <w:autoSpaceDE w:val="0"/>
              <w:autoSpaceDN w:val="0"/>
              <w:adjustRightInd w:val="0"/>
              <w:spacing w:line="360" w:lineRule="auto"/>
              <w:ind w:firstLine="480" w:firstLineChars="200"/>
              <w:rPr>
                <w:rFonts w:eastAsiaTheme="minorEastAsia"/>
                <w:sz w:val="24"/>
              </w:rPr>
            </w:pPr>
            <w:r>
              <w:rPr>
                <w:rFonts w:hint="eastAsia" w:eastAsiaTheme="minorEastAsia"/>
                <w:sz w:val="24"/>
              </w:rPr>
              <w:t>（1）原料准备</w:t>
            </w:r>
          </w:p>
          <w:p w14:paraId="083E2FB5">
            <w:pPr>
              <w:autoSpaceDE w:val="0"/>
              <w:autoSpaceDN w:val="0"/>
              <w:adjustRightInd w:val="0"/>
              <w:spacing w:line="360" w:lineRule="auto"/>
              <w:ind w:firstLine="480" w:firstLineChars="200"/>
              <w:rPr>
                <w:rFonts w:eastAsiaTheme="minorEastAsia"/>
                <w:sz w:val="24"/>
              </w:rPr>
            </w:pPr>
            <w:r>
              <w:rPr>
                <w:rFonts w:eastAsiaTheme="minorEastAsia"/>
                <w:sz w:val="24"/>
              </w:rPr>
              <w:t>直径为Φ</w:t>
            </w:r>
            <w:r>
              <w:rPr>
                <w:rFonts w:hint="eastAsia" w:eastAsiaTheme="minorEastAsia"/>
                <w:sz w:val="24"/>
              </w:rPr>
              <w:t>140mm的合格长尺连铸圆管坯从厂外运至车间长尺管坯库存放，生产时用吊车吊到冷锯上料台架上，用冷锯</w:t>
            </w:r>
            <w:r>
              <w:rPr>
                <w:rFonts w:eastAsiaTheme="minorEastAsia"/>
                <w:sz w:val="24"/>
              </w:rPr>
              <w:t>锯成1.</w:t>
            </w:r>
            <w:r>
              <w:rPr>
                <w:rFonts w:hint="eastAsia" w:eastAsiaTheme="minorEastAsia"/>
                <w:sz w:val="24"/>
              </w:rPr>
              <w:t>3</w:t>
            </w:r>
            <w:r>
              <w:rPr>
                <w:rFonts w:eastAsiaTheme="minorEastAsia"/>
                <w:sz w:val="24"/>
              </w:rPr>
              <w:t>m~3.5m的定尺长度，逐根进行称重、提升。此过程中会有废钢屑（S1）和噪声（N1、</w:t>
            </w:r>
            <w:r>
              <w:rPr>
                <w:rFonts w:hint="eastAsia" w:eastAsiaTheme="minorEastAsia"/>
                <w:sz w:val="24"/>
              </w:rPr>
              <w:t>N2</w:t>
            </w:r>
            <w:r>
              <w:rPr>
                <w:rFonts w:eastAsiaTheme="minorEastAsia"/>
                <w:sz w:val="24"/>
              </w:rPr>
              <w:t>）产生。</w:t>
            </w:r>
          </w:p>
          <w:p w14:paraId="0B228FF4">
            <w:pPr>
              <w:autoSpaceDE w:val="0"/>
              <w:autoSpaceDN w:val="0"/>
              <w:adjustRightInd w:val="0"/>
              <w:spacing w:line="360" w:lineRule="auto"/>
              <w:ind w:firstLine="480" w:firstLineChars="200"/>
              <w:rPr>
                <w:rFonts w:eastAsiaTheme="minorEastAsia"/>
                <w:sz w:val="24"/>
              </w:rPr>
            </w:pPr>
            <w:r>
              <w:rPr>
                <w:rFonts w:hint="eastAsia" w:eastAsiaTheme="minorEastAsia"/>
                <w:sz w:val="24"/>
              </w:rPr>
              <w:t>（2）定尺管坯上料</w:t>
            </w:r>
          </w:p>
          <w:p w14:paraId="47232394">
            <w:pPr>
              <w:autoSpaceDE w:val="0"/>
              <w:autoSpaceDN w:val="0"/>
              <w:adjustRightInd w:val="0"/>
              <w:spacing w:line="360" w:lineRule="auto"/>
              <w:ind w:firstLine="480" w:firstLineChars="200"/>
              <w:rPr>
                <w:rFonts w:eastAsiaTheme="minorEastAsia"/>
                <w:sz w:val="24"/>
              </w:rPr>
            </w:pPr>
            <w:r>
              <w:rPr>
                <w:rFonts w:hint="eastAsia" w:eastAsiaTheme="minorEastAsia"/>
                <w:sz w:val="24"/>
              </w:rPr>
              <w:t>由横移链式运输机将称重后的定尺管坯送至环形加热炉定位辊道上定位，之后用装料机逐根装入环形加热炉。此过程中会有噪声（N3）产生。</w:t>
            </w:r>
          </w:p>
          <w:p w14:paraId="5133F234">
            <w:pPr>
              <w:autoSpaceDE w:val="0"/>
              <w:autoSpaceDN w:val="0"/>
              <w:adjustRightInd w:val="0"/>
              <w:spacing w:line="360" w:lineRule="auto"/>
              <w:ind w:firstLine="480" w:firstLineChars="200"/>
              <w:rPr>
                <w:rFonts w:eastAsiaTheme="minorEastAsia"/>
                <w:sz w:val="24"/>
              </w:rPr>
            </w:pPr>
            <w:r>
              <w:rPr>
                <w:rFonts w:hint="eastAsia" w:eastAsiaTheme="minorEastAsia"/>
                <w:sz w:val="24"/>
              </w:rPr>
              <w:t>（3）管坯加热</w:t>
            </w:r>
          </w:p>
          <w:p w14:paraId="5362B34B">
            <w:pPr>
              <w:autoSpaceDE w:val="0"/>
              <w:autoSpaceDN w:val="0"/>
              <w:adjustRightInd w:val="0"/>
              <w:spacing w:line="360" w:lineRule="auto"/>
              <w:ind w:firstLine="480" w:firstLineChars="200"/>
              <w:rPr>
                <w:rFonts w:eastAsiaTheme="minorEastAsia"/>
                <w:sz w:val="24"/>
              </w:rPr>
            </w:pPr>
            <w:r>
              <w:rPr>
                <w:rFonts w:hint="eastAsia" w:eastAsiaTheme="minorEastAsia"/>
                <w:sz w:val="24"/>
              </w:rPr>
              <w:t>定尺管坯在环形加热炉中加热到所需温度（最高1250℃~1280℃±10℃）后，出料机将其从炉中取出，并将管坯放至出料斜台架上，去除表面氧化铁皮，然后由辊道送往穿孔机前台。环形加热炉以天然气为燃料。此过程中会有噪声（N4）、环形加热炉废气（G1）及环形加热炉间接冷却废水（W1）产生。</w:t>
            </w:r>
          </w:p>
          <w:p w14:paraId="35BA7856">
            <w:pPr>
              <w:autoSpaceDE w:val="0"/>
              <w:autoSpaceDN w:val="0"/>
              <w:adjustRightInd w:val="0"/>
              <w:spacing w:line="360" w:lineRule="auto"/>
              <w:ind w:firstLine="480" w:firstLineChars="200"/>
              <w:rPr>
                <w:rFonts w:eastAsiaTheme="minorEastAsia"/>
                <w:sz w:val="24"/>
              </w:rPr>
            </w:pPr>
            <w:r>
              <w:rPr>
                <w:rFonts w:hint="eastAsia" w:eastAsiaTheme="minorEastAsia"/>
                <w:sz w:val="24"/>
              </w:rPr>
              <w:t>（4）穿孔</w:t>
            </w:r>
          </w:p>
          <w:p w14:paraId="68230F99">
            <w:pPr>
              <w:autoSpaceDE w:val="0"/>
              <w:autoSpaceDN w:val="0"/>
              <w:adjustRightInd w:val="0"/>
              <w:spacing w:line="360" w:lineRule="auto"/>
              <w:ind w:firstLine="480" w:firstLineChars="200"/>
              <w:rPr>
                <w:rFonts w:eastAsiaTheme="minorEastAsia"/>
                <w:sz w:val="24"/>
              </w:rPr>
            </w:pPr>
            <w:r>
              <w:rPr>
                <w:rFonts w:hint="eastAsia" w:eastAsiaTheme="minorEastAsia"/>
                <w:sz w:val="24"/>
              </w:rPr>
              <w:t>在输送辊道上设有测温装置，满足轧制温度要求的管坯由横移装置送往穿孔机穿轧成毛管；不满足轧制温度要求或其它原因不能轧制的管坯则拨入剔除装置进行收集。此过程会有穿孔机直接冷却废水（W2）和噪声（N5）产生。</w:t>
            </w:r>
          </w:p>
          <w:p w14:paraId="799AEA05">
            <w:pPr>
              <w:autoSpaceDE w:val="0"/>
              <w:autoSpaceDN w:val="0"/>
              <w:adjustRightInd w:val="0"/>
              <w:spacing w:line="360" w:lineRule="auto"/>
              <w:ind w:firstLine="480" w:firstLineChars="200"/>
              <w:rPr>
                <w:rFonts w:eastAsiaTheme="minorEastAsia"/>
                <w:sz w:val="24"/>
              </w:rPr>
            </w:pPr>
            <w:r>
              <w:rPr>
                <w:rFonts w:hint="eastAsia" w:eastAsiaTheme="minorEastAsia"/>
                <w:sz w:val="24"/>
              </w:rPr>
              <w:t>（5）吹氮、喷硼砂</w:t>
            </w:r>
          </w:p>
          <w:p w14:paraId="7877D7CC">
            <w:pPr>
              <w:autoSpaceDE w:val="0"/>
              <w:autoSpaceDN w:val="0"/>
              <w:adjustRightInd w:val="0"/>
              <w:spacing w:line="360" w:lineRule="auto"/>
              <w:ind w:firstLine="480" w:firstLineChars="200"/>
              <w:rPr>
                <w:rFonts w:eastAsiaTheme="minorEastAsia"/>
                <w:sz w:val="24"/>
              </w:rPr>
            </w:pPr>
            <w:r>
              <w:rPr>
                <w:rFonts w:hint="eastAsia" w:eastAsiaTheme="minorEastAsia"/>
                <w:sz w:val="24"/>
              </w:rPr>
              <w:t>穿孔后的毛管由横移装置送到吹刷站，由一喷嘴向毛管内部喷吹氮气和硼砂，以清除毛管内表面氧化铁皮，防止毛管内表面产生二次氧化，并提高其内表面的润滑效果。此过程会有废气（G2）和废硼砂（S2）产生。</w:t>
            </w:r>
          </w:p>
          <w:p w14:paraId="01A4E8B8">
            <w:pPr>
              <w:autoSpaceDE w:val="0"/>
              <w:autoSpaceDN w:val="0"/>
              <w:adjustRightInd w:val="0"/>
              <w:spacing w:line="360" w:lineRule="auto"/>
              <w:ind w:firstLine="480" w:firstLineChars="200"/>
              <w:rPr>
                <w:rFonts w:eastAsiaTheme="minorEastAsia"/>
                <w:sz w:val="24"/>
              </w:rPr>
            </w:pPr>
            <w:r>
              <w:rPr>
                <w:rFonts w:eastAsiaTheme="minorEastAsia"/>
                <w:sz w:val="24"/>
              </w:rPr>
              <w:t>（6）穿棒、毛管连轧</w:t>
            </w:r>
          </w:p>
          <w:p w14:paraId="517ED1E4">
            <w:pPr>
              <w:autoSpaceDE w:val="0"/>
              <w:autoSpaceDN w:val="0"/>
              <w:adjustRightInd w:val="0"/>
              <w:spacing w:line="360" w:lineRule="auto"/>
              <w:ind w:firstLine="480" w:firstLineChars="200"/>
              <w:rPr>
                <w:rFonts w:eastAsiaTheme="minorEastAsia"/>
                <w:sz w:val="24"/>
              </w:rPr>
            </w:pPr>
            <w:r>
              <w:rPr>
                <w:rFonts w:hint="eastAsia" w:eastAsiaTheme="minorEastAsia"/>
                <w:sz w:val="24"/>
              </w:rPr>
              <w:t>经过吹刷站出来的毛管由毛管横移装置横移到连轧管机前台。芯棒限动系统将芯棒穿入毛管，并将芯棒前端送至连轧管机的一预设定位置时，毛管和芯棒一起进入连轧管机轧制。轧制过程中会有废气（G3）和直接冷却废水（W6）、噪声（N7）产生。</w:t>
            </w:r>
          </w:p>
          <w:p w14:paraId="207753E2">
            <w:pPr>
              <w:autoSpaceDE w:val="0"/>
              <w:autoSpaceDN w:val="0"/>
              <w:adjustRightInd w:val="0"/>
              <w:spacing w:line="360" w:lineRule="auto"/>
              <w:ind w:firstLine="480" w:firstLineChars="200"/>
              <w:rPr>
                <w:rFonts w:eastAsiaTheme="minorEastAsia"/>
                <w:sz w:val="24"/>
              </w:rPr>
            </w:pPr>
            <w:r>
              <w:rPr>
                <w:rFonts w:hint="eastAsia" w:eastAsiaTheme="minorEastAsia"/>
                <w:sz w:val="24"/>
              </w:rPr>
              <w:t>在连轧管机入口设置有高压水除鳞装置，用于清除毛管外表面氧化铁皮。此过程中高压水除鳞装置会有毛管外表面氧化铁皮（S3）、噪声（N6）以及直接冷却废水（W5）产生。</w:t>
            </w:r>
          </w:p>
          <w:p w14:paraId="5107C479">
            <w:pPr>
              <w:autoSpaceDE w:val="0"/>
              <w:autoSpaceDN w:val="0"/>
              <w:adjustRightInd w:val="0"/>
              <w:spacing w:line="360" w:lineRule="auto"/>
              <w:ind w:firstLine="480" w:firstLineChars="200"/>
              <w:rPr>
                <w:rFonts w:eastAsiaTheme="minorEastAsia"/>
                <w:sz w:val="24"/>
              </w:rPr>
            </w:pPr>
            <w:r>
              <w:rPr>
                <w:rFonts w:hint="eastAsia" w:eastAsiaTheme="minorEastAsia"/>
                <w:sz w:val="24"/>
              </w:rPr>
              <w:t>从连轧管机轧出的荒管直接进入脱管机上脱管，同时芯棒返回前台，由横移装置在下一支芯棒上料的同时将刚脱出的芯棒送到返回辊道，芯棒经冷却、润滑后循环使用。</w:t>
            </w:r>
          </w:p>
          <w:p w14:paraId="47F91663">
            <w:pPr>
              <w:autoSpaceDE w:val="0"/>
              <w:autoSpaceDN w:val="0"/>
              <w:adjustRightInd w:val="0"/>
              <w:spacing w:line="360" w:lineRule="auto"/>
              <w:ind w:firstLine="480" w:firstLineChars="200"/>
              <w:rPr>
                <w:rFonts w:eastAsiaTheme="minorEastAsia"/>
                <w:sz w:val="24"/>
              </w:rPr>
            </w:pPr>
            <w:r>
              <w:rPr>
                <w:rFonts w:hint="eastAsia" w:eastAsiaTheme="minorEastAsia"/>
                <w:sz w:val="24"/>
              </w:rPr>
              <w:t>当更换一组新芯棒或因停机而致芯棒温度过低时，要先在芯棒预热炉中将其预热到120℃±10℃，然后用起重机吊入芯棒上料台架上，逐支横移到芯棒润滑线，在芯棒表面喷涂润滑剂后使用。此过程中芯棒预热炉采用电加热对芯棒进行预热，因此会有芯棒预热炉间接冷却废水（W3）以及石墨润滑废水（W4）产生。</w:t>
            </w:r>
          </w:p>
          <w:p w14:paraId="36F4F71E">
            <w:pPr>
              <w:autoSpaceDE w:val="0"/>
              <w:autoSpaceDN w:val="0"/>
              <w:adjustRightInd w:val="0"/>
              <w:spacing w:line="360" w:lineRule="auto"/>
              <w:ind w:firstLine="480" w:firstLineChars="200"/>
              <w:rPr>
                <w:rFonts w:eastAsiaTheme="minorEastAsia"/>
                <w:sz w:val="24"/>
              </w:rPr>
            </w:pPr>
            <w:r>
              <w:rPr>
                <w:rFonts w:hint="eastAsia" w:eastAsiaTheme="minorEastAsia"/>
                <w:sz w:val="24"/>
              </w:rPr>
              <w:t>（7）脱管后的荒管，经过横移装置送到张力减径机前输送辊道上，根据生产工艺要求，可选择步进式再加热炉对达不到轧制温度要求的钢管进行补热、均温。再经张力减径机轧制到成品钢管要求的尺寸后送往冷床进行冷却。步进式再加热炉对达不到轧制温度要求的钢管进行补热、均温后的钢管需再次进入高压水除鳞装置，用于清除毛管外表面氧化铁皮。此过程中步进式再加热炉燃料为天然气，会有废气（G4）和间接冷却废水（W7）产生，高压水除鳞装置会有毛管外表面氧化铁皮（S4）、噪声（N8）以及直接冷却废水（W8）产生；张力减径机有噪声（N9）和直接冷却废水（W9）产生。</w:t>
            </w:r>
          </w:p>
          <w:p w14:paraId="7909D5DA">
            <w:pPr>
              <w:autoSpaceDE w:val="0"/>
              <w:autoSpaceDN w:val="0"/>
              <w:adjustRightInd w:val="0"/>
              <w:spacing w:line="360" w:lineRule="auto"/>
              <w:ind w:firstLine="480" w:firstLineChars="200"/>
              <w:rPr>
                <w:rFonts w:eastAsiaTheme="minorEastAsia"/>
                <w:sz w:val="24"/>
              </w:rPr>
            </w:pPr>
            <w:r>
              <w:rPr>
                <w:rFonts w:hint="eastAsia" w:eastAsiaTheme="minorEastAsia"/>
                <w:sz w:val="24"/>
              </w:rPr>
              <w:t>（8）成排冷锯</w:t>
            </w:r>
          </w:p>
          <w:p w14:paraId="2BCC117D">
            <w:pPr>
              <w:autoSpaceDE w:val="0"/>
              <w:autoSpaceDN w:val="0"/>
              <w:adjustRightInd w:val="0"/>
              <w:spacing w:line="360" w:lineRule="auto"/>
              <w:ind w:firstLine="480" w:firstLineChars="200"/>
            </w:pPr>
            <w:r>
              <w:rPr>
                <w:rFonts w:hint="eastAsia" w:eastAsiaTheme="minorEastAsia"/>
                <w:sz w:val="24"/>
              </w:rPr>
              <w:t>钢管经冷却后，成排送往冷锯切去头尾不合格的管端，并切成需要的定尺长度，然后堆垛、入中间库。此过程中会有噪声（N10）和固废（S5）产生。</w:t>
            </w:r>
          </w:p>
        </w:tc>
      </w:tr>
      <w:tr w14:paraId="31361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81" w:type="dxa"/>
            <w:vAlign w:val="center"/>
          </w:tcPr>
          <w:p w14:paraId="1F00ADB3">
            <w:pPr>
              <w:adjustRightInd w:val="0"/>
              <w:snapToGrid w:val="0"/>
              <w:jc w:val="center"/>
              <w:rPr>
                <w:rFonts w:eastAsiaTheme="minorEastAsia"/>
                <w:sz w:val="24"/>
              </w:rPr>
            </w:pPr>
            <w:r>
              <w:rPr>
                <w:rFonts w:hint="eastAsia" w:ascii="宋体" w:hAnsi="宋体" w:cs="宋体"/>
                <w:b/>
                <w:kern w:val="0"/>
                <w:sz w:val="24"/>
              </w:rPr>
              <w:t>与项目有关的原有环境污染问题</w:t>
            </w:r>
          </w:p>
        </w:tc>
        <w:tc>
          <w:tcPr>
            <w:tcW w:w="9525" w:type="dxa"/>
          </w:tcPr>
          <w:p w14:paraId="689638A9">
            <w:pPr>
              <w:pStyle w:val="28"/>
              <w:spacing w:before="0" w:beforeAutospacing="0" w:after="0" w:afterAutospacing="0" w:line="360" w:lineRule="auto"/>
              <w:ind w:firstLine="480" w:firstLineChars="200"/>
              <w:jc w:val="both"/>
              <w:rPr>
                <w:rFonts w:ascii="Times New Roman"/>
                <w:kern w:val="2"/>
                <w:szCs w:val="24"/>
              </w:rPr>
            </w:pPr>
            <w:r>
              <w:rPr>
                <w:rFonts w:ascii="Times New Roman"/>
                <w:kern w:val="2"/>
                <w:szCs w:val="24"/>
              </w:rPr>
              <w:t>通过现场踏勘以及相关资料收集分析，</w:t>
            </w:r>
            <w:r>
              <w:rPr>
                <w:rFonts w:hint="eastAsia" w:ascii="Times New Roman"/>
                <w:kern w:val="2"/>
                <w:szCs w:val="24"/>
              </w:rPr>
              <w:t>衡阳华菱钢管有限公司89分厂</w:t>
            </w:r>
            <w:r>
              <w:rPr>
                <w:rFonts w:ascii="Times New Roman"/>
                <w:kern w:val="2"/>
                <w:szCs w:val="24"/>
              </w:rPr>
              <w:t>已建工程均已通过环评和竣工环保验收，环评及验收批复中提出的相关要求均已得到落实；已建工程在生产营运过程中针对各类废水、废气和噪声采取了切实可行的污染防治措施，可确保污染物稳定达标排放；固体废物均可实现安全处置；落实了各项环境风险防范措施，未曾发生过突发环境事件。</w:t>
            </w:r>
            <w:r>
              <w:rPr>
                <w:rFonts w:hint="eastAsia" w:ascii="Times New Roman"/>
                <w:kern w:val="2"/>
                <w:szCs w:val="24"/>
              </w:rPr>
              <w:t>衡阳华菱钢管有限公司</w:t>
            </w:r>
            <w:r>
              <w:rPr>
                <w:rFonts w:ascii="Times New Roman"/>
                <w:kern w:val="2"/>
                <w:szCs w:val="24"/>
              </w:rPr>
              <w:t>属重点排污单位，其主要排污口设置在线监控，污染物达标排放，未造成环境污染问题。</w:t>
            </w:r>
          </w:p>
          <w:p w14:paraId="6F8C5820">
            <w:pPr>
              <w:pStyle w:val="28"/>
              <w:spacing w:before="0" w:beforeAutospacing="0" w:after="0" w:afterAutospacing="0" w:line="360" w:lineRule="auto"/>
              <w:ind w:firstLine="482" w:firstLineChars="200"/>
              <w:jc w:val="both"/>
              <w:rPr>
                <w:rFonts w:ascii="Times New Roman"/>
                <w:b/>
                <w:kern w:val="2"/>
                <w:szCs w:val="24"/>
              </w:rPr>
            </w:pPr>
            <w:r>
              <w:rPr>
                <w:rFonts w:hint="eastAsia" w:ascii="Times New Roman"/>
                <w:b/>
                <w:kern w:val="2"/>
                <w:szCs w:val="24"/>
              </w:rPr>
              <w:t>一、环保手续履行情况</w:t>
            </w:r>
          </w:p>
          <w:p w14:paraId="5B24405F">
            <w:pPr>
              <w:autoSpaceDE w:val="0"/>
              <w:autoSpaceDN w:val="0"/>
              <w:adjustRightInd w:val="0"/>
              <w:spacing w:line="360" w:lineRule="auto"/>
              <w:ind w:firstLine="480" w:firstLineChars="200"/>
              <w:rPr>
                <w:sz w:val="24"/>
              </w:rPr>
            </w:pPr>
            <w:r>
              <w:rPr>
                <w:rFonts w:hAnsi="宋体"/>
                <w:sz w:val="24"/>
              </w:rPr>
              <w:t>衡阳华菱钢管有限公司</w:t>
            </w:r>
            <w:r>
              <w:rPr>
                <w:rFonts w:hint="eastAsia" w:hAnsi="宋体"/>
                <w:sz w:val="24"/>
              </w:rPr>
              <w:t>89分厂现主要包括1条热轧生产线和1条热处理生产线，年产热轧无缝钢管20万t/a，其中6万吨进入热处理生产线进行调质。</w:t>
            </w:r>
            <w:r>
              <w:rPr>
                <w:sz w:val="24"/>
              </w:rPr>
              <w:t>89</w:t>
            </w:r>
            <w:r>
              <w:rPr>
                <w:rFonts w:hAnsi="宋体"/>
                <w:sz w:val="24"/>
              </w:rPr>
              <w:t>分厂始建于</w:t>
            </w:r>
            <w:r>
              <w:rPr>
                <w:sz w:val="24"/>
              </w:rPr>
              <w:t>1993</w:t>
            </w:r>
            <w:r>
              <w:rPr>
                <w:rFonts w:hAnsi="宋体"/>
                <w:sz w:val="24"/>
              </w:rPr>
              <w:t>年，于</w:t>
            </w:r>
            <w:r>
              <w:rPr>
                <w:sz w:val="24"/>
              </w:rPr>
              <w:t>1997</w:t>
            </w:r>
            <w:r>
              <w:rPr>
                <w:rFonts w:hAnsi="宋体"/>
                <w:sz w:val="24"/>
              </w:rPr>
              <w:t>年</w:t>
            </w:r>
            <w:r>
              <w:rPr>
                <w:sz w:val="24"/>
              </w:rPr>
              <w:t>8</w:t>
            </w:r>
            <w:r>
              <w:rPr>
                <w:rFonts w:hAnsi="宋体"/>
                <w:sz w:val="24"/>
              </w:rPr>
              <w:t>月正式投产，</w:t>
            </w:r>
            <w:r>
              <w:rPr>
                <w:rFonts w:hint="eastAsia"/>
                <w:sz w:val="24"/>
              </w:rPr>
              <w:t>到目前为止已运行20多年，期间为扩大机组产量、提高产品质量先后经过多次改造。企业于2019年2月委托江苏新清源环保有限公司编制完成《</w:t>
            </w:r>
            <w:r>
              <w:rPr>
                <w:sz w:val="24"/>
              </w:rPr>
              <w:t>衡阳华菱钢管有限公司高合金中小口径锅炉用无缝钢管产业化项目环境影响报告表</w:t>
            </w:r>
            <w:r>
              <w:rPr>
                <w:rFonts w:hint="eastAsia"/>
                <w:sz w:val="24"/>
              </w:rPr>
              <w:t>》，并于2019年4月3日取得了衡阳市环境保护局蒸湘分局的环评审批意见（衡蒸环评[2019]1901号），于2020年2月28日取得衡阳市环境保护局蒸湘分局《关于衡阳华菱钢管有限公司高合金中小口径锅炉用无缝钢管产业化项目竣工环境保护验收备案的函》（蒸环验函[2020]01号）。</w:t>
            </w:r>
          </w:p>
          <w:p w14:paraId="2F22D836">
            <w:pPr>
              <w:adjustRightInd w:val="0"/>
              <w:snapToGrid w:val="0"/>
              <w:spacing w:line="360" w:lineRule="auto"/>
              <w:ind w:firstLine="482" w:firstLineChars="200"/>
              <w:rPr>
                <w:b/>
                <w:sz w:val="24"/>
              </w:rPr>
            </w:pPr>
            <w:r>
              <w:rPr>
                <w:rFonts w:hint="eastAsia" w:hAnsi="宋体"/>
                <w:b/>
                <w:sz w:val="24"/>
              </w:rPr>
              <w:t>2、</w:t>
            </w:r>
            <w:r>
              <w:rPr>
                <w:b/>
                <w:sz w:val="24"/>
              </w:rPr>
              <w:t>排污许可证执行情况、</w:t>
            </w:r>
            <w:r>
              <w:rPr>
                <w:rFonts w:hint="eastAsia"/>
                <w:b/>
                <w:sz w:val="24"/>
                <w:lang w:eastAsia="zh-CN"/>
              </w:rPr>
              <w:t>环保督察</w:t>
            </w:r>
            <w:r>
              <w:rPr>
                <w:b/>
                <w:sz w:val="24"/>
              </w:rPr>
              <w:t>、环保投诉及整改情况</w:t>
            </w:r>
          </w:p>
          <w:p w14:paraId="44768F00">
            <w:pPr>
              <w:autoSpaceDE w:val="0"/>
              <w:autoSpaceDN w:val="0"/>
              <w:adjustRightInd w:val="0"/>
              <w:spacing w:line="360" w:lineRule="auto"/>
              <w:ind w:firstLine="480" w:firstLineChars="200"/>
              <w:rPr>
                <w:rFonts w:eastAsiaTheme="minorEastAsia"/>
                <w:b/>
                <w:sz w:val="24"/>
              </w:rPr>
            </w:pPr>
            <w:r>
              <w:rPr>
                <w:rFonts w:hAnsi="宋体"/>
                <w:sz w:val="24"/>
              </w:rPr>
              <w:t>衡阳华菱钢管有限公司于</w:t>
            </w:r>
            <w:r>
              <w:rPr>
                <w:rFonts w:hint="eastAsia" w:hAnsi="宋体"/>
                <w:sz w:val="24"/>
              </w:rPr>
              <w:t>2023年11月27日重新申请排污许可证，排污许可编号为914304007580036430001P，有效时间为2021年1月22日至2026年1月21日</w:t>
            </w:r>
            <w:r>
              <w:rPr>
                <w:sz w:val="24"/>
              </w:rPr>
              <w:t>，</w:t>
            </w:r>
            <w:r>
              <w:rPr>
                <w:rFonts w:hint="eastAsia"/>
                <w:sz w:val="24"/>
              </w:rPr>
              <w:t>并严格按照排污许可相关规定进行申报</w:t>
            </w:r>
            <w:r>
              <w:rPr>
                <w:rFonts w:hint="eastAsia" w:hAnsi="宋体"/>
                <w:sz w:val="24"/>
              </w:rPr>
              <w:t>。</w:t>
            </w:r>
          </w:p>
          <w:p w14:paraId="4F95872C">
            <w:pPr>
              <w:adjustRightInd w:val="0"/>
              <w:snapToGrid w:val="0"/>
              <w:spacing w:line="360" w:lineRule="auto"/>
              <w:ind w:firstLine="480" w:firstLineChars="200"/>
              <w:rPr>
                <w:sz w:val="24"/>
              </w:rPr>
            </w:pPr>
            <w:r>
              <w:rPr>
                <w:sz w:val="24"/>
              </w:rPr>
              <w:t>通过现场踏勘以及相关资料收集分析，</w:t>
            </w:r>
            <w:r>
              <w:rPr>
                <w:rFonts w:hAnsi="宋体"/>
                <w:sz w:val="24"/>
              </w:rPr>
              <w:t>衡阳华菱钢管有限公司</w:t>
            </w:r>
            <w:r>
              <w:rPr>
                <w:sz w:val="24"/>
              </w:rPr>
              <w:t>在生产营运期切实做好了污染防治工作、稳定运行废气收集处理设施，主要排污口设置在线监控，无明显环保问题，各类污染物长期稳定达标排放，环境风险防范措施落实到位，未曾发生突发环境事件。</w:t>
            </w:r>
            <w:r>
              <w:rPr>
                <w:rFonts w:hint="eastAsia"/>
                <w:sz w:val="24"/>
              </w:rPr>
              <w:t>衡阳</w:t>
            </w:r>
            <w:r>
              <w:rPr>
                <w:sz w:val="24"/>
              </w:rPr>
              <w:t>市和蒸湘分局生态环境部门未接到过</w:t>
            </w:r>
            <w:r>
              <w:rPr>
                <w:rFonts w:hAnsi="宋体"/>
                <w:sz w:val="24"/>
              </w:rPr>
              <w:t>衡阳华菱钢管有限公司</w:t>
            </w:r>
            <w:r>
              <w:rPr>
                <w:sz w:val="24"/>
              </w:rPr>
              <w:t>相关环境问题投诉，无相应整改情况。</w:t>
            </w:r>
          </w:p>
          <w:p w14:paraId="3806B5A0">
            <w:pPr>
              <w:pStyle w:val="28"/>
              <w:spacing w:before="0" w:beforeAutospacing="0" w:after="0" w:afterAutospacing="0" w:line="360" w:lineRule="auto"/>
              <w:ind w:firstLine="482" w:firstLineChars="200"/>
              <w:jc w:val="both"/>
              <w:rPr>
                <w:rFonts w:ascii="Times New Roman" w:hAnsi="Times New Roman"/>
                <w:b/>
                <w:kern w:val="2"/>
                <w:szCs w:val="24"/>
              </w:rPr>
            </w:pPr>
            <w:r>
              <w:rPr>
                <w:rFonts w:hint="eastAsia" w:eastAsiaTheme="minorEastAsia"/>
                <w:b/>
              </w:rPr>
              <w:t>二、</w:t>
            </w:r>
            <w:r>
              <w:rPr>
                <w:rFonts w:hint="eastAsia" w:ascii="Times New Roman" w:hAnsi="Times New Roman"/>
                <w:b/>
                <w:kern w:val="2"/>
                <w:szCs w:val="24"/>
              </w:rPr>
              <w:t>现有项目概况</w:t>
            </w:r>
          </w:p>
          <w:p w14:paraId="09915E0D">
            <w:pPr>
              <w:pStyle w:val="2"/>
              <w:spacing w:line="360" w:lineRule="auto"/>
              <w:ind w:firstLine="482" w:firstLineChars="200"/>
              <w:rPr>
                <w:rFonts w:ascii="Times New Roman" w:cs="Times New Roman"/>
                <w:b/>
              </w:rPr>
            </w:pPr>
            <w:r>
              <w:rPr>
                <w:rFonts w:ascii="Times New Roman" w:cs="Times New Roman"/>
                <w:b/>
              </w:rPr>
              <w:t>1、现有工程建设内容</w:t>
            </w:r>
          </w:p>
          <w:p w14:paraId="3EDA034C">
            <w:pPr>
              <w:pStyle w:val="2"/>
              <w:spacing w:line="360" w:lineRule="auto"/>
              <w:ind w:firstLine="480" w:firstLineChars="200"/>
              <w:rPr>
                <w:rFonts w:ascii="Times New Roman" w:cs="Times New Roman"/>
                <w:color w:val="auto"/>
              </w:rPr>
            </w:pPr>
            <w:r>
              <w:rPr>
                <w:rFonts w:hint="eastAsia" w:ascii="Times New Roman" w:cs="Times New Roman"/>
                <w:color w:val="auto"/>
              </w:rPr>
              <w:t>89分厂现有工程内容及规模见表2-12。</w:t>
            </w:r>
          </w:p>
          <w:p w14:paraId="565B2D0C">
            <w:pPr>
              <w:pStyle w:val="2"/>
              <w:spacing w:beforeLines="50"/>
              <w:jc w:val="center"/>
              <w:rPr>
                <w:rFonts w:ascii="Times New Roman"/>
                <w:b/>
                <w:color w:val="auto"/>
                <w:sz w:val="21"/>
              </w:rPr>
            </w:pPr>
            <w:r>
              <w:rPr>
                <w:rFonts w:ascii="Times New Roman"/>
                <w:b/>
                <w:color w:val="auto"/>
                <w:sz w:val="21"/>
              </w:rPr>
              <w:t>表</w:t>
            </w:r>
            <w:r>
              <w:rPr>
                <w:rFonts w:hint="eastAsia" w:ascii="Times New Roman"/>
                <w:b/>
                <w:color w:val="auto"/>
                <w:sz w:val="21"/>
              </w:rPr>
              <w:t>2-12</w:t>
            </w:r>
            <w:r>
              <w:rPr>
                <w:rFonts w:ascii="Times New Roman"/>
                <w:b/>
                <w:color w:val="auto"/>
                <w:sz w:val="21"/>
              </w:rPr>
              <w:t xml:space="preserve">  </w:t>
            </w:r>
            <w:r>
              <w:rPr>
                <w:rFonts w:hint="eastAsia" w:ascii="Times New Roman"/>
                <w:b/>
                <w:color w:val="auto"/>
                <w:sz w:val="21"/>
              </w:rPr>
              <w:t>89分厂现有工程内容一览表</w:t>
            </w:r>
          </w:p>
          <w:tbl>
            <w:tblPr>
              <w:tblStyle w:val="32"/>
              <w:tblW w:w="929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92"/>
              <w:gridCol w:w="1276"/>
              <w:gridCol w:w="992"/>
              <w:gridCol w:w="5731"/>
            </w:tblGrid>
            <w:tr w14:paraId="64074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92" w:type="dxa"/>
                  <w:vAlign w:val="center"/>
                </w:tcPr>
                <w:p w14:paraId="091FC86A">
                  <w:pPr>
                    <w:widowControl/>
                    <w:jc w:val="center"/>
                    <w:rPr>
                      <w:b/>
                      <w:kern w:val="0"/>
                    </w:rPr>
                  </w:pPr>
                  <w:r>
                    <w:rPr>
                      <w:rFonts w:hint="eastAsia"/>
                      <w:b/>
                      <w:kern w:val="0"/>
                    </w:rPr>
                    <w:t>工程</w:t>
                  </w:r>
                </w:p>
              </w:tc>
              <w:tc>
                <w:tcPr>
                  <w:tcW w:w="1276" w:type="dxa"/>
                  <w:vAlign w:val="center"/>
                </w:tcPr>
                <w:p w14:paraId="7656FF99">
                  <w:pPr>
                    <w:widowControl/>
                    <w:jc w:val="center"/>
                    <w:rPr>
                      <w:b/>
                      <w:kern w:val="0"/>
                    </w:rPr>
                  </w:pPr>
                  <w:r>
                    <w:rPr>
                      <w:rFonts w:hint="eastAsia"/>
                      <w:b/>
                      <w:kern w:val="0"/>
                    </w:rPr>
                    <w:t>项目</w:t>
                  </w:r>
                </w:p>
              </w:tc>
              <w:tc>
                <w:tcPr>
                  <w:tcW w:w="6723" w:type="dxa"/>
                  <w:gridSpan w:val="2"/>
                  <w:vAlign w:val="center"/>
                </w:tcPr>
                <w:p w14:paraId="0A87FDDF">
                  <w:pPr>
                    <w:widowControl/>
                    <w:jc w:val="center"/>
                    <w:rPr>
                      <w:b/>
                      <w:kern w:val="0"/>
                    </w:rPr>
                  </w:pPr>
                  <w:r>
                    <w:rPr>
                      <w:rFonts w:hint="eastAsia"/>
                      <w:b/>
                      <w:kern w:val="0"/>
                    </w:rPr>
                    <w:t>内容及规模</w:t>
                  </w:r>
                </w:p>
              </w:tc>
            </w:tr>
            <w:tr w14:paraId="5D7F8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92" w:type="dxa"/>
                  <w:vAlign w:val="center"/>
                </w:tcPr>
                <w:p w14:paraId="53EA4040">
                  <w:pPr>
                    <w:widowControl/>
                    <w:jc w:val="center"/>
                    <w:rPr>
                      <w:kern w:val="0"/>
                    </w:rPr>
                  </w:pPr>
                  <w:r>
                    <w:rPr>
                      <w:rFonts w:hint="eastAsia"/>
                      <w:kern w:val="0"/>
                    </w:rPr>
                    <w:t>主体工程</w:t>
                  </w:r>
                </w:p>
              </w:tc>
              <w:tc>
                <w:tcPr>
                  <w:tcW w:w="1276" w:type="dxa"/>
                  <w:vAlign w:val="center"/>
                </w:tcPr>
                <w:p w14:paraId="1A339233">
                  <w:pPr>
                    <w:widowControl/>
                    <w:jc w:val="center"/>
                    <w:rPr>
                      <w:kern w:val="0"/>
                    </w:rPr>
                  </w:pPr>
                  <w:r>
                    <w:rPr>
                      <w:rFonts w:hint="eastAsia"/>
                      <w:kern w:val="0"/>
                    </w:rPr>
                    <w:t>89分厂</w:t>
                  </w:r>
                </w:p>
              </w:tc>
              <w:tc>
                <w:tcPr>
                  <w:tcW w:w="6723" w:type="dxa"/>
                  <w:gridSpan w:val="2"/>
                  <w:vAlign w:val="center"/>
                </w:tcPr>
                <w:p w14:paraId="0229ABBA">
                  <w:pPr>
                    <w:widowControl/>
                    <w:jc w:val="center"/>
                    <w:rPr>
                      <w:kern w:val="0"/>
                    </w:rPr>
                  </w:pPr>
                  <w:r>
                    <w:rPr>
                      <w:rFonts w:hint="eastAsia"/>
                      <w:kern w:val="0"/>
                    </w:rPr>
                    <w:t>占地面积</w:t>
                  </w:r>
                  <w:r>
                    <w:rPr>
                      <w:bCs/>
                      <w:kern w:val="0"/>
                    </w:rPr>
                    <w:t>79425</w:t>
                  </w:r>
                  <w:r>
                    <w:rPr>
                      <w:rFonts w:hint="eastAsia"/>
                      <w:bCs/>
                      <w:kern w:val="0"/>
                    </w:rPr>
                    <w:t>m</w:t>
                  </w:r>
                  <w:r>
                    <w:rPr>
                      <w:rFonts w:hint="eastAsia"/>
                      <w:bCs/>
                      <w:kern w:val="0"/>
                      <w:vertAlign w:val="superscript"/>
                    </w:rPr>
                    <w:t>2</w:t>
                  </w:r>
                  <w:r>
                    <w:rPr>
                      <w:rFonts w:hint="eastAsia"/>
                      <w:bCs/>
                      <w:kern w:val="0"/>
                    </w:rPr>
                    <w:t>，</w:t>
                  </w:r>
                  <w:r>
                    <w:rPr>
                      <w:kern w:val="0"/>
                    </w:rPr>
                    <w:t>建筑面积</w:t>
                  </w:r>
                  <w:r>
                    <w:rPr>
                      <w:bCs/>
                      <w:kern w:val="0"/>
                    </w:rPr>
                    <w:t>79425</w:t>
                  </w:r>
                  <w:r>
                    <w:rPr>
                      <w:rFonts w:hint="eastAsia"/>
                      <w:bCs/>
                      <w:kern w:val="0"/>
                    </w:rPr>
                    <w:t>m</w:t>
                  </w:r>
                  <w:r>
                    <w:rPr>
                      <w:rFonts w:hint="eastAsia"/>
                      <w:bCs/>
                      <w:kern w:val="0"/>
                      <w:vertAlign w:val="superscript"/>
                    </w:rPr>
                    <w:t>2</w:t>
                  </w:r>
                  <w:r>
                    <w:rPr>
                      <w:rFonts w:hint="eastAsia"/>
                      <w:bCs/>
                      <w:kern w:val="0"/>
                    </w:rPr>
                    <w:t>，半封闭式钢结构厂房，</w:t>
                  </w:r>
                  <w:r>
                    <w:rPr>
                      <w:kern w:val="0"/>
                    </w:rPr>
                    <w:t>包含热轧生产区、精整</w:t>
                  </w:r>
                  <w:r>
                    <w:rPr>
                      <w:rFonts w:hint="eastAsia"/>
                      <w:kern w:val="0"/>
                    </w:rPr>
                    <w:t>1~3#区和成品油管生产区。</w:t>
                  </w:r>
                  <w:r>
                    <w:rPr>
                      <w:kern w:val="0"/>
                    </w:rPr>
                    <w:t>技改主要在热轧生产区</w:t>
                  </w:r>
                  <w:r>
                    <w:rPr>
                      <w:rFonts w:hint="eastAsia"/>
                      <w:kern w:val="0"/>
                    </w:rPr>
                    <w:t>FG热轧跨上进行，同时</w:t>
                  </w:r>
                  <w:r>
                    <w:rPr>
                      <w:kern w:val="0"/>
                    </w:rPr>
                    <w:t>将现有精整3#线区域设施拆除，新建热处理生产线以及配套水处理设施。</w:t>
                  </w:r>
                </w:p>
              </w:tc>
            </w:tr>
            <w:tr w14:paraId="3B3131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92" w:type="dxa"/>
                  <w:vMerge w:val="restart"/>
                  <w:vAlign w:val="center"/>
                </w:tcPr>
                <w:p w14:paraId="40DE7B24">
                  <w:pPr>
                    <w:pStyle w:val="4"/>
                    <w:spacing w:after="0"/>
                    <w:ind w:left="0" w:leftChars="0" w:firstLine="0" w:firstLineChars="0"/>
                    <w:jc w:val="center"/>
                  </w:pPr>
                  <w:r>
                    <w:rPr>
                      <w:rFonts w:hint="eastAsia"/>
                      <w:kern w:val="0"/>
                    </w:rPr>
                    <w:t>辅助工程</w:t>
                  </w:r>
                </w:p>
              </w:tc>
              <w:tc>
                <w:tcPr>
                  <w:tcW w:w="1276" w:type="dxa"/>
                  <w:vAlign w:val="center"/>
                </w:tcPr>
                <w:p w14:paraId="190D69B7">
                  <w:pPr>
                    <w:widowControl/>
                    <w:jc w:val="center"/>
                    <w:rPr>
                      <w:kern w:val="0"/>
                    </w:rPr>
                  </w:pPr>
                  <w:r>
                    <w:rPr>
                      <w:rFonts w:hint="eastAsia"/>
                      <w:kern w:val="0"/>
                    </w:rPr>
                    <w:t>办公区</w:t>
                  </w:r>
                </w:p>
              </w:tc>
              <w:tc>
                <w:tcPr>
                  <w:tcW w:w="6723" w:type="dxa"/>
                  <w:gridSpan w:val="2"/>
                  <w:vAlign w:val="center"/>
                </w:tcPr>
                <w:p w14:paraId="0809FA15">
                  <w:pPr>
                    <w:widowControl/>
                    <w:jc w:val="center"/>
                    <w:rPr>
                      <w:kern w:val="0"/>
                    </w:rPr>
                  </w:pPr>
                  <w:r>
                    <w:rPr>
                      <w:rFonts w:hint="eastAsia"/>
                      <w:kern w:val="0"/>
                    </w:rPr>
                    <w:t>衡钢集团内</w:t>
                  </w:r>
                </w:p>
              </w:tc>
            </w:tr>
            <w:tr w14:paraId="478768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92" w:type="dxa"/>
                  <w:vMerge w:val="continue"/>
                  <w:vAlign w:val="center"/>
                </w:tcPr>
                <w:p w14:paraId="67CD76FE">
                  <w:pPr>
                    <w:pStyle w:val="4"/>
                    <w:spacing w:after="0"/>
                    <w:ind w:left="0" w:leftChars="0" w:firstLine="0" w:firstLineChars="0"/>
                    <w:jc w:val="center"/>
                  </w:pPr>
                </w:p>
              </w:tc>
              <w:tc>
                <w:tcPr>
                  <w:tcW w:w="1276" w:type="dxa"/>
                  <w:vAlign w:val="center"/>
                </w:tcPr>
                <w:p w14:paraId="25700876">
                  <w:pPr>
                    <w:widowControl/>
                    <w:jc w:val="center"/>
                    <w:rPr>
                      <w:kern w:val="0"/>
                    </w:rPr>
                  </w:pPr>
                  <w:r>
                    <w:rPr>
                      <w:rFonts w:hint="eastAsia"/>
                      <w:kern w:val="0"/>
                    </w:rPr>
                    <w:t>生活区</w:t>
                  </w:r>
                </w:p>
              </w:tc>
              <w:tc>
                <w:tcPr>
                  <w:tcW w:w="6723" w:type="dxa"/>
                  <w:gridSpan w:val="2"/>
                  <w:vAlign w:val="center"/>
                </w:tcPr>
                <w:p w14:paraId="6E753277">
                  <w:pPr>
                    <w:widowControl/>
                    <w:jc w:val="center"/>
                    <w:rPr>
                      <w:kern w:val="0"/>
                    </w:rPr>
                  </w:pPr>
                  <w:r>
                    <w:rPr>
                      <w:rFonts w:hint="eastAsia"/>
                      <w:kern w:val="0"/>
                    </w:rPr>
                    <w:t>衡钢集团内</w:t>
                  </w:r>
                </w:p>
              </w:tc>
            </w:tr>
            <w:tr w14:paraId="78EBEB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92" w:type="dxa"/>
                  <w:vMerge w:val="restart"/>
                  <w:vAlign w:val="center"/>
                </w:tcPr>
                <w:p w14:paraId="45E58557">
                  <w:pPr>
                    <w:pStyle w:val="4"/>
                    <w:spacing w:after="0"/>
                    <w:ind w:left="0" w:leftChars="0" w:firstLine="0" w:firstLineChars="0"/>
                    <w:jc w:val="center"/>
                  </w:pPr>
                  <w:r>
                    <w:rPr>
                      <w:rFonts w:hint="eastAsia"/>
                      <w:kern w:val="0"/>
                    </w:rPr>
                    <w:t>公用工程</w:t>
                  </w:r>
                </w:p>
              </w:tc>
              <w:tc>
                <w:tcPr>
                  <w:tcW w:w="1276" w:type="dxa"/>
                  <w:vAlign w:val="center"/>
                </w:tcPr>
                <w:p w14:paraId="0BFB5D45">
                  <w:pPr>
                    <w:widowControl/>
                    <w:jc w:val="center"/>
                    <w:rPr>
                      <w:kern w:val="0"/>
                    </w:rPr>
                  </w:pPr>
                  <w:r>
                    <w:rPr>
                      <w:rFonts w:hint="eastAsia"/>
                      <w:kern w:val="0"/>
                    </w:rPr>
                    <w:t>供水</w:t>
                  </w:r>
                </w:p>
              </w:tc>
              <w:tc>
                <w:tcPr>
                  <w:tcW w:w="6723" w:type="dxa"/>
                  <w:gridSpan w:val="2"/>
                  <w:vAlign w:val="center"/>
                </w:tcPr>
                <w:p w14:paraId="701B3588">
                  <w:pPr>
                    <w:widowControl/>
                    <w:jc w:val="center"/>
                    <w:rPr>
                      <w:kern w:val="0"/>
                    </w:rPr>
                  </w:pPr>
                  <w:r>
                    <w:rPr>
                      <w:rFonts w:hint="eastAsia"/>
                      <w:kern w:val="0"/>
                    </w:rPr>
                    <w:t>生产循环供水由衡钢公司水处理设施供给，补充部分由市政供水；办公生活用水由市政供水</w:t>
                  </w:r>
                </w:p>
              </w:tc>
            </w:tr>
            <w:tr w14:paraId="40028A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92" w:type="dxa"/>
                  <w:vMerge w:val="continue"/>
                  <w:vAlign w:val="center"/>
                </w:tcPr>
                <w:p w14:paraId="2E2309A2">
                  <w:pPr>
                    <w:pStyle w:val="4"/>
                    <w:spacing w:after="0"/>
                    <w:ind w:left="0" w:leftChars="0" w:firstLine="0" w:firstLineChars="0"/>
                    <w:jc w:val="center"/>
                  </w:pPr>
                </w:p>
              </w:tc>
              <w:tc>
                <w:tcPr>
                  <w:tcW w:w="1276" w:type="dxa"/>
                  <w:vMerge w:val="restart"/>
                  <w:vAlign w:val="center"/>
                </w:tcPr>
                <w:p w14:paraId="5DBBE201">
                  <w:pPr>
                    <w:widowControl/>
                    <w:jc w:val="center"/>
                    <w:rPr>
                      <w:kern w:val="0"/>
                    </w:rPr>
                  </w:pPr>
                  <w:r>
                    <w:rPr>
                      <w:rFonts w:hint="eastAsia"/>
                      <w:kern w:val="0"/>
                    </w:rPr>
                    <w:t>排水</w:t>
                  </w:r>
                </w:p>
              </w:tc>
              <w:tc>
                <w:tcPr>
                  <w:tcW w:w="6723" w:type="dxa"/>
                  <w:gridSpan w:val="2"/>
                  <w:vAlign w:val="center"/>
                </w:tcPr>
                <w:p w14:paraId="41FD8C99">
                  <w:pPr>
                    <w:widowControl/>
                    <w:jc w:val="center"/>
                    <w:rPr>
                      <w:kern w:val="0"/>
                    </w:rPr>
                  </w:pPr>
                  <w:r>
                    <w:rPr>
                      <w:rFonts w:hint="eastAsia"/>
                      <w:kern w:val="0"/>
                    </w:rPr>
                    <w:t>采用雨污分流制，雨水经雨水管沟排入衡钢公司雨水管网；生活污水</w:t>
                  </w:r>
                  <w:r>
                    <w:rPr>
                      <w:rFonts w:hint="eastAsia"/>
                    </w:rPr>
                    <w:t>经化粪池预处理后进入</w:t>
                  </w:r>
                  <w:r>
                    <w:t>衡钢东区污水处理站</w:t>
                  </w:r>
                </w:p>
              </w:tc>
            </w:tr>
            <w:tr w14:paraId="2B6F42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92" w:type="dxa"/>
                  <w:vMerge w:val="continue"/>
                  <w:vAlign w:val="center"/>
                </w:tcPr>
                <w:p w14:paraId="1C9C2480">
                  <w:pPr>
                    <w:pStyle w:val="4"/>
                    <w:spacing w:after="0"/>
                    <w:ind w:left="0" w:leftChars="0" w:firstLine="0" w:firstLineChars="0"/>
                    <w:jc w:val="center"/>
                  </w:pPr>
                </w:p>
              </w:tc>
              <w:tc>
                <w:tcPr>
                  <w:tcW w:w="1276" w:type="dxa"/>
                  <w:vMerge w:val="continue"/>
                  <w:vAlign w:val="center"/>
                </w:tcPr>
                <w:p w14:paraId="6D830CFD">
                  <w:pPr>
                    <w:widowControl/>
                    <w:jc w:val="center"/>
                    <w:rPr>
                      <w:kern w:val="0"/>
                    </w:rPr>
                  </w:pPr>
                </w:p>
              </w:tc>
              <w:tc>
                <w:tcPr>
                  <w:tcW w:w="6723" w:type="dxa"/>
                  <w:gridSpan w:val="2"/>
                  <w:vAlign w:val="center"/>
                </w:tcPr>
                <w:p w14:paraId="2A6D0CAF">
                  <w:pPr>
                    <w:widowControl/>
                    <w:jc w:val="center"/>
                    <w:rPr>
                      <w:kern w:val="0"/>
                    </w:rPr>
                  </w:pPr>
                  <w:r>
                    <w:rPr>
                      <w:kern w:val="0"/>
                    </w:rPr>
                    <w:t>生产废水大部分循环使用，少量经</w:t>
                  </w:r>
                  <w:r>
                    <w:rPr>
                      <w:rFonts w:hint="eastAsia"/>
                      <w:kern w:val="0"/>
                    </w:rPr>
                    <w:t>衡钢东区污水处理站处理达</w:t>
                  </w:r>
                  <w:r>
                    <w:rPr>
                      <w:kern w:val="0"/>
                    </w:rPr>
                    <w:t>标</w:t>
                  </w:r>
                  <w:r>
                    <w:rPr>
                      <w:rFonts w:hint="eastAsia"/>
                      <w:kern w:val="0"/>
                    </w:rPr>
                    <w:t>后回用，富余部分外排至幸福河</w:t>
                  </w:r>
                </w:p>
              </w:tc>
            </w:tr>
            <w:tr w14:paraId="049CD5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92" w:type="dxa"/>
                  <w:vMerge w:val="continue"/>
                  <w:vAlign w:val="center"/>
                </w:tcPr>
                <w:p w14:paraId="3BFCDD80">
                  <w:pPr>
                    <w:pStyle w:val="4"/>
                    <w:spacing w:after="0"/>
                    <w:ind w:left="0" w:leftChars="0" w:firstLine="0" w:firstLineChars="0"/>
                    <w:jc w:val="center"/>
                  </w:pPr>
                </w:p>
              </w:tc>
              <w:tc>
                <w:tcPr>
                  <w:tcW w:w="1276" w:type="dxa"/>
                  <w:vAlign w:val="center"/>
                </w:tcPr>
                <w:p w14:paraId="07EAC541">
                  <w:pPr>
                    <w:widowControl/>
                    <w:jc w:val="center"/>
                    <w:rPr>
                      <w:kern w:val="0"/>
                    </w:rPr>
                  </w:pPr>
                  <w:r>
                    <w:rPr>
                      <w:rFonts w:hint="eastAsia"/>
                      <w:kern w:val="0"/>
                    </w:rPr>
                    <w:t>供电</w:t>
                  </w:r>
                </w:p>
              </w:tc>
              <w:tc>
                <w:tcPr>
                  <w:tcW w:w="6723" w:type="dxa"/>
                  <w:gridSpan w:val="2"/>
                  <w:vAlign w:val="center"/>
                </w:tcPr>
                <w:p w14:paraId="4AC7489A">
                  <w:pPr>
                    <w:widowControl/>
                    <w:jc w:val="center"/>
                    <w:rPr>
                      <w:kern w:val="0"/>
                    </w:rPr>
                  </w:pPr>
                  <w:r>
                    <w:rPr>
                      <w:rFonts w:hint="eastAsia"/>
                      <w:kern w:val="0"/>
                    </w:rPr>
                    <w:t>市政供电</w:t>
                  </w:r>
                </w:p>
              </w:tc>
            </w:tr>
            <w:tr w14:paraId="54D84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92" w:type="dxa"/>
                  <w:vMerge w:val="continue"/>
                  <w:vAlign w:val="center"/>
                </w:tcPr>
                <w:p w14:paraId="121A8795">
                  <w:pPr>
                    <w:pStyle w:val="4"/>
                    <w:spacing w:after="0"/>
                    <w:ind w:left="0" w:leftChars="0" w:firstLine="0" w:firstLineChars="0"/>
                    <w:jc w:val="center"/>
                  </w:pPr>
                </w:p>
              </w:tc>
              <w:tc>
                <w:tcPr>
                  <w:tcW w:w="1276" w:type="dxa"/>
                  <w:vAlign w:val="center"/>
                </w:tcPr>
                <w:p w14:paraId="733B0749">
                  <w:pPr>
                    <w:widowControl/>
                    <w:jc w:val="center"/>
                    <w:rPr>
                      <w:kern w:val="0"/>
                    </w:rPr>
                  </w:pPr>
                  <w:r>
                    <w:rPr>
                      <w:rFonts w:hint="eastAsia"/>
                      <w:kern w:val="0"/>
                    </w:rPr>
                    <w:t>供气</w:t>
                  </w:r>
                </w:p>
              </w:tc>
              <w:tc>
                <w:tcPr>
                  <w:tcW w:w="6723" w:type="dxa"/>
                  <w:gridSpan w:val="2"/>
                  <w:vAlign w:val="center"/>
                </w:tcPr>
                <w:p w14:paraId="232989F6">
                  <w:pPr>
                    <w:widowControl/>
                    <w:jc w:val="center"/>
                    <w:rPr>
                      <w:kern w:val="0"/>
                    </w:rPr>
                  </w:pPr>
                  <w:r>
                    <w:rPr>
                      <w:rFonts w:hint="eastAsia"/>
                      <w:kern w:val="0"/>
                    </w:rPr>
                    <w:t>高炉煤气由衡钢集团高炉煤气站供给，天然气由市政供气</w:t>
                  </w:r>
                </w:p>
              </w:tc>
            </w:tr>
            <w:tr w14:paraId="04933D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92" w:type="dxa"/>
                  <w:vMerge w:val="restart"/>
                  <w:vAlign w:val="center"/>
                </w:tcPr>
                <w:p w14:paraId="68F71DEA">
                  <w:pPr>
                    <w:pStyle w:val="4"/>
                    <w:spacing w:after="0"/>
                    <w:ind w:left="0" w:leftChars="0" w:firstLine="0" w:firstLineChars="0"/>
                    <w:jc w:val="center"/>
                  </w:pPr>
                  <w:r>
                    <w:rPr>
                      <w:rFonts w:hint="eastAsia"/>
                    </w:rPr>
                    <w:t>环保工程</w:t>
                  </w:r>
                </w:p>
              </w:tc>
              <w:tc>
                <w:tcPr>
                  <w:tcW w:w="1276" w:type="dxa"/>
                  <w:vMerge w:val="restart"/>
                  <w:vAlign w:val="center"/>
                </w:tcPr>
                <w:p w14:paraId="249ACBE2">
                  <w:pPr>
                    <w:widowControl/>
                    <w:jc w:val="center"/>
                    <w:rPr>
                      <w:kern w:val="0"/>
                    </w:rPr>
                  </w:pPr>
                  <w:r>
                    <w:rPr>
                      <w:rFonts w:hint="eastAsia"/>
                      <w:kern w:val="0"/>
                    </w:rPr>
                    <w:t>废气</w:t>
                  </w:r>
                </w:p>
              </w:tc>
              <w:tc>
                <w:tcPr>
                  <w:tcW w:w="6723" w:type="dxa"/>
                  <w:gridSpan w:val="2"/>
                  <w:vAlign w:val="center"/>
                </w:tcPr>
                <w:p w14:paraId="45D563D0">
                  <w:pPr>
                    <w:widowControl/>
                    <w:jc w:val="center"/>
                    <w:rPr>
                      <w:kern w:val="0"/>
                    </w:rPr>
                  </w:pPr>
                  <w:r>
                    <w:rPr>
                      <w:kern w:val="0"/>
                    </w:rPr>
                    <w:t>环形炉尾气：通过80m FQ-1排气筒高空达标排放</w:t>
                  </w:r>
                </w:p>
              </w:tc>
            </w:tr>
            <w:tr w14:paraId="66C08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92" w:type="dxa"/>
                  <w:vMerge w:val="continue"/>
                  <w:vAlign w:val="center"/>
                </w:tcPr>
                <w:p w14:paraId="35F2BA23">
                  <w:pPr>
                    <w:pStyle w:val="4"/>
                    <w:spacing w:after="0"/>
                    <w:ind w:left="0" w:leftChars="0" w:firstLine="0" w:firstLineChars="0"/>
                    <w:jc w:val="center"/>
                  </w:pPr>
                </w:p>
              </w:tc>
              <w:tc>
                <w:tcPr>
                  <w:tcW w:w="1276" w:type="dxa"/>
                  <w:vMerge w:val="continue"/>
                  <w:vAlign w:val="center"/>
                </w:tcPr>
                <w:p w14:paraId="6D7A47F1">
                  <w:pPr>
                    <w:widowControl/>
                    <w:jc w:val="center"/>
                    <w:rPr>
                      <w:kern w:val="0"/>
                    </w:rPr>
                  </w:pPr>
                </w:p>
              </w:tc>
              <w:tc>
                <w:tcPr>
                  <w:tcW w:w="6723" w:type="dxa"/>
                  <w:gridSpan w:val="2"/>
                  <w:vAlign w:val="center"/>
                </w:tcPr>
                <w:p w14:paraId="1B836F49">
                  <w:pPr>
                    <w:widowControl/>
                    <w:jc w:val="center"/>
                    <w:rPr>
                      <w:kern w:val="0"/>
                    </w:rPr>
                  </w:pPr>
                  <w:r>
                    <w:rPr>
                      <w:kern w:val="0"/>
                    </w:rPr>
                    <w:t>步进炉尾气：通过</w:t>
                  </w:r>
                  <w:r>
                    <w:rPr>
                      <w:rFonts w:hint="eastAsia"/>
                      <w:kern w:val="0"/>
                    </w:rPr>
                    <w:t>68</w:t>
                  </w:r>
                  <w:r>
                    <w:rPr>
                      <w:kern w:val="0"/>
                    </w:rPr>
                    <w:t>m FQ-</w:t>
                  </w:r>
                  <w:r>
                    <w:rPr>
                      <w:rFonts w:hint="eastAsia"/>
                      <w:kern w:val="0"/>
                    </w:rPr>
                    <w:t>2</w:t>
                  </w:r>
                  <w:r>
                    <w:rPr>
                      <w:kern w:val="0"/>
                    </w:rPr>
                    <w:t>排气筒高空达标排放</w:t>
                  </w:r>
                </w:p>
              </w:tc>
            </w:tr>
            <w:tr w14:paraId="4AD2A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92" w:type="dxa"/>
                  <w:vMerge w:val="continue"/>
                  <w:vAlign w:val="center"/>
                </w:tcPr>
                <w:p w14:paraId="3FEAEA1B">
                  <w:pPr>
                    <w:pStyle w:val="4"/>
                    <w:spacing w:after="0"/>
                    <w:ind w:left="0" w:leftChars="0" w:firstLine="0" w:firstLineChars="0"/>
                    <w:jc w:val="center"/>
                  </w:pPr>
                </w:p>
              </w:tc>
              <w:tc>
                <w:tcPr>
                  <w:tcW w:w="1276" w:type="dxa"/>
                  <w:vMerge w:val="continue"/>
                  <w:vAlign w:val="center"/>
                </w:tcPr>
                <w:p w14:paraId="040E56CE">
                  <w:pPr>
                    <w:widowControl/>
                    <w:jc w:val="center"/>
                    <w:rPr>
                      <w:kern w:val="0"/>
                    </w:rPr>
                  </w:pPr>
                </w:p>
              </w:tc>
              <w:tc>
                <w:tcPr>
                  <w:tcW w:w="6723" w:type="dxa"/>
                  <w:gridSpan w:val="2"/>
                  <w:vAlign w:val="center"/>
                </w:tcPr>
                <w:p w14:paraId="3C6BBD42">
                  <w:pPr>
                    <w:widowControl/>
                    <w:jc w:val="center"/>
                  </w:pPr>
                  <w:r>
                    <w:rPr>
                      <w:rFonts w:hint="eastAsia"/>
                    </w:rPr>
                    <w:t>喷硼砂作业、连轧管作业粉尘</w:t>
                  </w:r>
                  <w:r>
                    <w:t>：经塑烧板除尘器</w:t>
                  </w:r>
                  <w:r>
                    <w:rPr>
                      <w:rFonts w:hint="eastAsia"/>
                    </w:rPr>
                    <w:t>后通过18m FQ-3排气筒高空达标排放</w:t>
                  </w:r>
                </w:p>
              </w:tc>
            </w:tr>
            <w:tr w14:paraId="77388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92" w:type="dxa"/>
                  <w:vMerge w:val="continue"/>
                  <w:vAlign w:val="center"/>
                </w:tcPr>
                <w:p w14:paraId="5A18AB0D">
                  <w:pPr>
                    <w:pStyle w:val="4"/>
                    <w:spacing w:after="0"/>
                    <w:ind w:left="0" w:leftChars="0" w:firstLine="0" w:firstLineChars="0"/>
                    <w:jc w:val="center"/>
                  </w:pPr>
                </w:p>
              </w:tc>
              <w:tc>
                <w:tcPr>
                  <w:tcW w:w="1276" w:type="dxa"/>
                  <w:vMerge w:val="continue"/>
                  <w:vAlign w:val="center"/>
                </w:tcPr>
                <w:p w14:paraId="207D38BD">
                  <w:pPr>
                    <w:widowControl/>
                    <w:jc w:val="center"/>
                    <w:rPr>
                      <w:kern w:val="0"/>
                    </w:rPr>
                  </w:pPr>
                </w:p>
              </w:tc>
              <w:tc>
                <w:tcPr>
                  <w:tcW w:w="6723" w:type="dxa"/>
                  <w:gridSpan w:val="2"/>
                  <w:vAlign w:val="center"/>
                </w:tcPr>
                <w:p w14:paraId="6D5570D3">
                  <w:pPr>
                    <w:widowControl/>
                    <w:jc w:val="center"/>
                    <w:rPr>
                      <w:kern w:val="0"/>
                    </w:rPr>
                  </w:pPr>
                  <w:r>
                    <w:rPr>
                      <w:rFonts w:hint="eastAsia"/>
                      <w:kern w:val="0"/>
                    </w:rPr>
                    <w:t>淬火炉废气：</w:t>
                  </w:r>
                  <w:r>
                    <w:rPr>
                      <w:kern w:val="0"/>
                    </w:rPr>
                    <w:t>通过</w:t>
                  </w:r>
                  <w:r>
                    <w:rPr>
                      <w:rFonts w:hint="eastAsia"/>
                      <w:kern w:val="0"/>
                    </w:rPr>
                    <w:t>50</w:t>
                  </w:r>
                  <w:r>
                    <w:rPr>
                      <w:kern w:val="0"/>
                    </w:rPr>
                    <w:t>m FQ-</w:t>
                  </w:r>
                  <w:r>
                    <w:rPr>
                      <w:rFonts w:hint="eastAsia"/>
                      <w:kern w:val="0"/>
                    </w:rPr>
                    <w:t>4</w:t>
                  </w:r>
                  <w:r>
                    <w:rPr>
                      <w:kern w:val="0"/>
                    </w:rPr>
                    <w:t>排气筒高空达标排放</w:t>
                  </w:r>
                </w:p>
              </w:tc>
            </w:tr>
            <w:tr w14:paraId="6DB6E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92" w:type="dxa"/>
                  <w:vMerge w:val="continue"/>
                  <w:vAlign w:val="center"/>
                </w:tcPr>
                <w:p w14:paraId="112A9844">
                  <w:pPr>
                    <w:pStyle w:val="4"/>
                    <w:spacing w:after="0"/>
                    <w:ind w:left="0" w:leftChars="0" w:firstLine="0" w:firstLineChars="0"/>
                    <w:jc w:val="center"/>
                  </w:pPr>
                </w:p>
              </w:tc>
              <w:tc>
                <w:tcPr>
                  <w:tcW w:w="1276" w:type="dxa"/>
                  <w:vMerge w:val="continue"/>
                  <w:vAlign w:val="center"/>
                </w:tcPr>
                <w:p w14:paraId="2431B6D7">
                  <w:pPr>
                    <w:widowControl/>
                    <w:jc w:val="center"/>
                    <w:rPr>
                      <w:kern w:val="0"/>
                    </w:rPr>
                  </w:pPr>
                </w:p>
              </w:tc>
              <w:tc>
                <w:tcPr>
                  <w:tcW w:w="6723" w:type="dxa"/>
                  <w:gridSpan w:val="2"/>
                  <w:vAlign w:val="center"/>
                </w:tcPr>
                <w:p w14:paraId="3E633C7D">
                  <w:pPr>
                    <w:widowControl/>
                    <w:jc w:val="center"/>
                    <w:rPr>
                      <w:kern w:val="0"/>
                    </w:rPr>
                  </w:pPr>
                  <w:r>
                    <w:rPr>
                      <w:rFonts w:hint="eastAsia"/>
                    </w:rPr>
                    <w:t>回</w:t>
                  </w:r>
                  <w:r>
                    <w:rPr>
                      <w:rFonts w:hint="eastAsia"/>
                      <w:kern w:val="0"/>
                    </w:rPr>
                    <w:t>火炉废气：</w:t>
                  </w:r>
                  <w:r>
                    <w:rPr>
                      <w:kern w:val="0"/>
                    </w:rPr>
                    <w:t>通过</w:t>
                  </w:r>
                  <w:r>
                    <w:rPr>
                      <w:rFonts w:hint="eastAsia"/>
                      <w:kern w:val="0"/>
                    </w:rPr>
                    <w:t>5</w:t>
                  </w:r>
                  <w:r>
                    <w:rPr>
                      <w:kern w:val="0"/>
                    </w:rPr>
                    <w:t>0m FQ-</w:t>
                  </w:r>
                  <w:r>
                    <w:rPr>
                      <w:rFonts w:hint="eastAsia"/>
                      <w:kern w:val="0"/>
                    </w:rPr>
                    <w:t>5</w:t>
                  </w:r>
                  <w:r>
                    <w:rPr>
                      <w:kern w:val="0"/>
                    </w:rPr>
                    <w:t>排气筒高空达标排放</w:t>
                  </w:r>
                </w:p>
              </w:tc>
            </w:tr>
            <w:tr w14:paraId="3ABC9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92" w:type="dxa"/>
                  <w:vMerge w:val="continue"/>
                  <w:vAlign w:val="center"/>
                </w:tcPr>
                <w:p w14:paraId="0B27D65B">
                  <w:pPr>
                    <w:pStyle w:val="4"/>
                    <w:spacing w:after="0"/>
                    <w:ind w:left="0" w:leftChars="0" w:firstLine="0" w:firstLineChars="0"/>
                    <w:jc w:val="center"/>
                  </w:pPr>
                </w:p>
              </w:tc>
              <w:tc>
                <w:tcPr>
                  <w:tcW w:w="1276" w:type="dxa"/>
                  <w:vMerge w:val="continue"/>
                  <w:vAlign w:val="center"/>
                </w:tcPr>
                <w:p w14:paraId="4945A0B7">
                  <w:pPr>
                    <w:widowControl/>
                    <w:jc w:val="center"/>
                    <w:rPr>
                      <w:kern w:val="0"/>
                    </w:rPr>
                  </w:pPr>
                </w:p>
              </w:tc>
              <w:tc>
                <w:tcPr>
                  <w:tcW w:w="6723" w:type="dxa"/>
                  <w:gridSpan w:val="2"/>
                  <w:vAlign w:val="center"/>
                </w:tcPr>
                <w:p w14:paraId="4EBCE8E1">
                  <w:pPr>
                    <w:widowControl/>
                    <w:jc w:val="center"/>
                    <w:rPr>
                      <w:kern w:val="0"/>
                    </w:rPr>
                  </w:pPr>
                  <w:r>
                    <w:rPr>
                      <w:rFonts w:hint="eastAsia"/>
                    </w:rPr>
                    <w:t>吹灰含尘废气：自带收尘设施收集后无组织排放</w:t>
                  </w:r>
                </w:p>
              </w:tc>
            </w:tr>
            <w:tr w14:paraId="2E894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92" w:type="dxa"/>
                  <w:vMerge w:val="continue"/>
                  <w:vAlign w:val="center"/>
                </w:tcPr>
                <w:p w14:paraId="6C572CB9">
                  <w:pPr>
                    <w:pStyle w:val="4"/>
                    <w:spacing w:after="0"/>
                    <w:ind w:left="0" w:leftChars="0" w:firstLine="0" w:firstLineChars="0"/>
                    <w:jc w:val="center"/>
                  </w:pPr>
                </w:p>
              </w:tc>
              <w:tc>
                <w:tcPr>
                  <w:tcW w:w="1276" w:type="dxa"/>
                  <w:vMerge w:val="restart"/>
                  <w:vAlign w:val="center"/>
                </w:tcPr>
                <w:p w14:paraId="7351BCB6">
                  <w:pPr>
                    <w:widowControl/>
                    <w:jc w:val="center"/>
                    <w:rPr>
                      <w:kern w:val="0"/>
                    </w:rPr>
                  </w:pPr>
                  <w:r>
                    <w:rPr>
                      <w:rFonts w:hint="eastAsia"/>
                      <w:kern w:val="0"/>
                    </w:rPr>
                    <w:t>废水</w:t>
                  </w:r>
                </w:p>
              </w:tc>
              <w:tc>
                <w:tcPr>
                  <w:tcW w:w="992" w:type="dxa"/>
                  <w:vAlign w:val="center"/>
                </w:tcPr>
                <w:p w14:paraId="13A81B0B">
                  <w:pPr>
                    <w:widowControl/>
                    <w:jc w:val="center"/>
                  </w:pPr>
                  <w:r>
                    <w:rPr>
                      <w:rFonts w:hint="eastAsia"/>
                    </w:rPr>
                    <w:t>热轧生产线</w:t>
                  </w:r>
                </w:p>
              </w:tc>
              <w:tc>
                <w:tcPr>
                  <w:tcW w:w="5731" w:type="dxa"/>
                  <w:vAlign w:val="center"/>
                </w:tcPr>
                <w:p w14:paraId="2934A159">
                  <w:pPr>
                    <w:widowControl/>
                    <w:jc w:val="center"/>
                  </w:pPr>
                  <w:r>
                    <w:rPr>
                      <w:rFonts w:hint="eastAsia"/>
                      <w:kern w:val="0"/>
                    </w:rPr>
                    <w:t>包含净环水系统和浊环水系统，净环水经冷却处理后循环使用，系统强制排污水进入浊环水系统；浊环水经隔油、沉淀、冷却处理后大部分循环使用，少部分排至衡钢东区污水处理站，净环水反冲洗废水经砂石过滤器处理后回用至浊环水系统</w:t>
                  </w:r>
                </w:p>
              </w:tc>
            </w:tr>
            <w:tr w14:paraId="1447C2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92" w:type="dxa"/>
                  <w:vMerge w:val="continue"/>
                  <w:vAlign w:val="center"/>
                </w:tcPr>
                <w:p w14:paraId="1CDF95C6">
                  <w:pPr>
                    <w:pStyle w:val="4"/>
                    <w:spacing w:after="0"/>
                    <w:ind w:left="0" w:leftChars="0" w:firstLine="0" w:firstLineChars="0"/>
                    <w:jc w:val="center"/>
                  </w:pPr>
                </w:p>
              </w:tc>
              <w:tc>
                <w:tcPr>
                  <w:tcW w:w="1276" w:type="dxa"/>
                  <w:vMerge w:val="continue"/>
                  <w:vAlign w:val="center"/>
                </w:tcPr>
                <w:p w14:paraId="4F800228">
                  <w:pPr>
                    <w:widowControl/>
                    <w:jc w:val="center"/>
                    <w:rPr>
                      <w:kern w:val="0"/>
                    </w:rPr>
                  </w:pPr>
                </w:p>
              </w:tc>
              <w:tc>
                <w:tcPr>
                  <w:tcW w:w="992" w:type="dxa"/>
                  <w:vAlign w:val="center"/>
                </w:tcPr>
                <w:p w14:paraId="3501A152">
                  <w:pPr>
                    <w:widowControl/>
                    <w:jc w:val="center"/>
                  </w:pPr>
                  <w:r>
                    <w:rPr>
                      <w:rFonts w:hint="eastAsia"/>
                    </w:rPr>
                    <w:t>热处理生产线</w:t>
                  </w:r>
                </w:p>
              </w:tc>
              <w:tc>
                <w:tcPr>
                  <w:tcW w:w="5731" w:type="dxa"/>
                  <w:vAlign w:val="center"/>
                </w:tcPr>
                <w:p w14:paraId="2349D986">
                  <w:pPr>
                    <w:widowControl/>
                    <w:jc w:val="center"/>
                    <w:rPr>
                      <w:kern w:val="0"/>
                    </w:rPr>
                  </w:pPr>
                  <w:r>
                    <w:rPr>
                      <w:rFonts w:hint="eastAsia"/>
                      <w:kern w:val="0"/>
                    </w:rPr>
                    <w:t>包含净环水系统、浊环水系统、淬火水系统、事故安全水系统。其中事故安全水系统利用现有89机组设施。净环水系统依托现有净环水系统，净环水经冷却处理后循环使用，系统强制排污水进入浊环水系统；浊环水系统和淬火水系统用水水质要求相近，合并废水一道进入环水、淬火水混合处理系统，经隔油、沉淀、冷却处理后大部分循环使用，少部分排至衡钢东区污水处理站，净环水反冲洗废水经砂石过滤处理后回用至浊环水系统</w:t>
                  </w:r>
                </w:p>
              </w:tc>
            </w:tr>
            <w:tr w14:paraId="046644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92" w:type="dxa"/>
                  <w:vMerge w:val="continue"/>
                  <w:vAlign w:val="center"/>
                </w:tcPr>
                <w:p w14:paraId="099993B3">
                  <w:pPr>
                    <w:pStyle w:val="4"/>
                    <w:spacing w:after="0"/>
                    <w:ind w:left="0" w:leftChars="0" w:firstLine="0" w:firstLineChars="0"/>
                    <w:jc w:val="center"/>
                  </w:pPr>
                </w:p>
              </w:tc>
              <w:tc>
                <w:tcPr>
                  <w:tcW w:w="1276" w:type="dxa"/>
                  <w:vMerge w:val="continue"/>
                  <w:vAlign w:val="center"/>
                </w:tcPr>
                <w:p w14:paraId="5877615F">
                  <w:pPr>
                    <w:widowControl/>
                    <w:jc w:val="center"/>
                    <w:rPr>
                      <w:kern w:val="0"/>
                    </w:rPr>
                  </w:pPr>
                </w:p>
              </w:tc>
              <w:tc>
                <w:tcPr>
                  <w:tcW w:w="6723" w:type="dxa"/>
                  <w:gridSpan w:val="2"/>
                  <w:vAlign w:val="center"/>
                </w:tcPr>
                <w:p w14:paraId="6EF5CAC7">
                  <w:pPr>
                    <w:widowControl/>
                    <w:jc w:val="center"/>
                  </w:pPr>
                  <w:r>
                    <w:rPr>
                      <w:rFonts w:hint="eastAsia"/>
                    </w:rPr>
                    <w:t>生活污水：经化粪池预处理后进入</w:t>
                  </w:r>
                  <w:r>
                    <w:t>衡钢东区污水处理站</w:t>
                  </w:r>
                </w:p>
              </w:tc>
            </w:tr>
            <w:tr w14:paraId="753F9B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92" w:type="dxa"/>
                  <w:vMerge w:val="continue"/>
                  <w:vAlign w:val="center"/>
                </w:tcPr>
                <w:p w14:paraId="3E11EE5D">
                  <w:pPr>
                    <w:pStyle w:val="4"/>
                    <w:spacing w:after="0"/>
                    <w:ind w:left="0" w:leftChars="0" w:firstLine="0" w:firstLineChars="0"/>
                    <w:jc w:val="center"/>
                  </w:pPr>
                </w:p>
              </w:tc>
              <w:tc>
                <w:tcPr>
                  <w:tcW w:w="1276" w:type="dxa"/>
                  <w:vAlign w:val="center"/>
                </w:tcPr>
                <w:p w14:paraId="37FA4F18">
                  <w:pPr>
                    <w:widowControl/>
                    <w:jc w:val="center"/>
                    <w:rPr>
                      <w:kern w:val="0"/>
                    </w:rPr>
                  </w:pPr>
                  <w:r>
                    <w:rPr>
                      <w:rFonts w:hint="eastAsia"/>
                      <w:kern w:val="0"/>
                    </w:rPr>
                    <w:t>噪声</w:t>
                  </w:r>
                </w:p>
              </w:tc>
              <w:tc>
                <w:tcPr>
                  <w:tcW w:w="6723" w:type="dxa"/>
                  <w:gridSpan w:val="2"/>
                  <w:vAlign w:val="center"/>
                </w:tcPr>
                <w:p w14:paraId="3204D758">
                  <w:pPr>
                    <w:widowControl/>
                    <w:jc w:val="center"/>
                  </w:pPr>
                  <w:r>
                    <w:rPr>
                      <w:rFonts w:hint="eastAsia"/>
                    </w:rPr>
                    <w:t>选用低噪设备、消声、隔声和减振等措施</w:t>
                  </w:r>
                </w:p>
              </w:tc>
            </w:tr>
            <w:tr w14:paraId="19B12F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92" w:type="dxa"/>
                  <w:vMerge w:val="continue"/>
                  <w:vAlign w:val="center"/>
                </w:tcPr>
                <w:p w14:paraId="390630AD">
                  <w:pPr>
                    <w:pStyle w:val="4"/>
                    <w:spacing w:after="0"/>
                    <w:ind w:left="0" w:leftChars="0" w:firstLine="0" w:firstLineChars="0"/>
                    <w:jc w:val="center"/>
                  </w:pPr>
                </w:p>
              </w:tc>
              <w:tc>
                <w:tcPr>
                  <w:tcW w:w="1276" w:type="dxa"/>
                  <w:vMerge w:val="restart"/>
                  <w:vAlign w:val="center"/>
                </w:tcPr>
                <w:p w14:paraId="610F741F">
                  <w:pPr>
                    <w:widowControl/>
                    <w:jc w:val="center"/>
                    <w:rPr>
                      <w:kern w:val="0"/>
                    </w:rPr>
                  </w:pPr>
                  <w:r>
                    <w:rPr>
                      <w:rFonts w:hint="eastAsia"/>
                      <w:kern w:val="0"/>
                    </w:rPr>
                    <w:t>固废</w:t>
                  </w:r>
                </w:p>
              </w:tc>
              <w:tc>
                <w:tcPr>
                  <w:tcW w:w="6723" w:type="dxa"/>
                  <w:gridSpan w:val="2"/>
                  <w:vAlign w:val="center"/>
                </w:tcPr>
                <w:p w14:paraId="363EEC54">
                  <w:pPr>
                    <w:widowControl/>
                    <w:contextualSpacing/>
                    <w:jc w:val="center"/>
                    <w:rPr>
                      <w:kern w:val="0"/>
                      <w:szCs w:val="21"/>
                    </w:rPr>
                  </w:pPr>
                  <w:r>
                    <w:rPr>
                      <w:rFonts w:hAnsi="宋体"/>
                      <w:kern w:val="0"/>
                      <w:szCs w:val="21"/>
                    </w:rPr>
                    <w:t>切头、切尾、废包装带等废钢：送炼钢厂炼钢综合利用</w:t>
                  </w:r>
                </w:p>
              </w:tc>
            </w:tr>
            <w:tr w14:paraId="460189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92" w:type="dxa"/>
                  <w:vMerge w:val="continue"/>
                  <w:vAlign w:val="center"/>
                </w:tcPr>
                <w:p w14:paraId="2D1B581F">
                  <w:pPr>
                    <w:pStyle w:val="4"/>
                    <w:spacing w:after="0"/>
                    <w:ind w:left="0" w:leftChars="0" w:firstLine="0" w:firstLineChars="0"/>
                    <w:jc w:val="center"/>
                  </w:pPr>
                </w:p>
              </w:tc>
              <w:tc>
                <w:tcPr>
                  <w:tcW w:w="1276" w:type="dxa"/>
                  <w:vMerge w:val="continue"/>
                  <w:vAlign w:val="center"/>
                </w:tcPr>
                <w:p w14:paraId="734FB308">
                  <w:pPr>
                    <w:widowControl/>
                    <w:jc w:val="center"/>
                    <w:rPr>
                      <w:kern w:val="0"/>
                    </w:rPr>
                  </w:pPr>
                </w:p>
              </w:tc>
              <w:tc>
                <w:tcPr>
                  <w:tcW w:w="6723" w:type="dxa"/>
                  <w:gridSpan w:val="2"/>
                  <w:vAlign w:val="center"/>
                </w:tcPr>
                <w:p w14:paraId="3D80DC20">
                  <w:pPr>
                    <w:widowControl/>
                    <w:contextualSpacing/>
                    <w:jc w:val="center"/>
                    <w:rPr>
                      <w:kern w:val="0"/>
                      <w:szCs w:val="21"/>
                    </w:rPr>
                  </w:pPr>
                  <w:r>
                    <w:rPr>
                      <w:rFonts w:hAnsi="宋体"/>
                      <w:kern w:val="0"/>
                      <w:szCs w:val="21"/>
                    </w:rPr>
                    <w:t>氧化铁皮、除尘器收集粉尘、污水处理站污泥：送往烧结系统用作原料</w:t>
                  </w:r>
                </w:p>
              </w:tc>
            </w:tr>
            <w:tr w14:paraId="0A3DE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92" w:type="dxa"/>
                  <w:vMerge w:val="continue"/>
                  <w:vAlign w:val="center"/>
                </w:tcPr>
                <w:p w14:paraId="68A17150">
                  <w:pPr>
                    <w:pStyle w:val="4"/>
                    <w:spacing w:after="0"/>
                    <w:ind w:left="0" w:leftChars="0" w:firstLine="0" w:firstLineChars="0"/>
                    <w:jc w:val="center"/>
                  </w:pPr>
                </w:p>
              </w:tc>
              <w:tc>
                <w:tcPr>
                  <w:tcW w:w="1276" w:type="dxa"/>
                  <w:vMerge w:val="continue"/>
                  <w:vAlign w:val="center"/>
                </w:tcPr>
                <w:p w14:paraId="5F757822">
                  <w:pPr>
                    <w:widowControl/>
                    <w:jc w:val="center"/>
                    <w:rPr>
                      <w:kern w:val="0"/>
                    </w:rPr>
                  </w:pPr>
                </w:p>
              </w:tc>
              <w:tc>
                <w:tcPr>
                  <w:tcW w:w="6723" w:type="dxa"/>
                  <w:gridSpan w:val="2"/>
                  <w:vAlign w:val="center"/>
                </w:tcPr>
                <w:p w14:paraId="47A536C3">
                  <w:pPr>
                    <w:widowControl/>
                    <w:contextualSpacing/>
                    <w:jc w:val="center"/>
                    <w:rPr>
                      <w:kern w:val="0"/>
                      <w:szCs w:val="21"/>
                    </w:rPr>
                  </w:pPr>
                  <w:r>
                    <w:rPr>
                      <w:rFonts w:hAnsi="宋体"/>
                      <w:kern w:val="0"/>
                      <w:szCs w:val="21"/>
                    </w:rPr>
                    <w:t>废耐火材料：外售用作建筑材料</w:t>
                  </w:r>
                </w:p>
              </w:tc>
            </w:tr>
            <w:tr w14:paraId="563FD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92" w:type="dxa"/>
                  <w:vMerge w:val="continue"/>
                  <w:vAlign w:val="center"/>
                </w:tcPr>
                <w:p w14:paraId="40205A68">
                  <w:pPr>
                    <w:pStyle w:val="4"/>
                    <w:spacing w:after="0"/>
                    <w:ind w:left="0" w:leftChars="0" w:firstLine="0" w:firstLineChars="0"/>
                    <w:jc w:val="center"/>
                  </w:pPr>
                </w:p>
              </w:tc>
              <w:tc>
                <w:tcPr>
                  <w:tcW w:w="1276" w:type="dxa"/>
                  <w:vMerge w:val="continue"/>
                  <w:vAlign w:val="center"/>
                </w:tcPr>
                <w:p w14:paraId="38960682">
                  <w:pPr>
                    <w:widowControl/>
                    <w:jc w:val="center"/>
                    <w:rPr>
                      <w:kern w:val="0"/>
                    </w:rPr>
                  </w:pPr>
                </w:p>
              </w:tc>
              <w:tc>
                <w:tcPr>
                  <w:tcW w:w="6723" w:type="dxa"/>
                  <w:gridSpan w:val="2"/>
                  <w:vAlign w:val="center"/>
                </w:tcPr>
                <w:p w14:paraId="783FBCC0">
                  <w:pPr>
                    <w:widowControl/>
                    <w:contextualSpacing/>
                    <w:jc w:val="center"/>
                    <w:rPr>
                      <w:kern w:val="0"/>
                      <w:szCs w:val="21"/>
                    </w:rPr>
                  </w:pPr>
                  <w:r>
                    <w:rPr>
                      <w:rFonts w:hAnsi="宋体"/>
                      <w:kern w:val="0"/>
                      <w:szCs w:val="21"/>
                    </w:rPr>
                    <w:t>生活垃圾：委托环卫部门清运处理</w:t>
                  </w:r>
                </w:p>
              </w:tc>
            </w:tr>
            <w:tr w14:paraId="66B52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92" w:type="dxa"/>
                  <w:vMerge w:val="continue"/>
                  <w:vAlign w:val="center"/>
                </w:tcPr>
                <w:p w14:paraId="23040704">
                  <w:pPr>
                    <w:pStyle w:val="4"/>
                    <w:spacing w:after="0"/>
                    <w:ind w:left="0" w:leftChars="0" w:firstLine="0" w:firstLineChars="0"/>
                    <w:jc w:val="center"/>
                  </w:pPr>
                </w:p>
              </w:tc>
              <w:tc>
                <w:tcPr>
                  <w:tcW w:w="1276" w:type="dxa"/>
                  <w:vMerge w:val="continue"/>
                  <w:vAlign w:val="center"/>
                </w:tcPr>
                <w:p w14:paraId="762949DE">
                  <w:pPr>
                    <w:widowControl/>
                    <w:jc w:val="center"/>
                    <w:rPr>
                      <w:kern w:val="0"/>
                    </w:rPr>
                  </w:pPr>
                </w:p>
              </w:tc>
              <w:tc>
                <w:tcPr>
                  <w:tcW w:w="6723" w:type="dxa"/>
                  <w:gridSpan w:val="2"/>
                  <w:vAlign w:val="center"/>
                </w:tcPr>
                <w:p w14:paraId="218BF512">
                  <w:pPr>
                    <w:widowControl/>
                    <w:contextualSpacing/>
                    <w:jc w:val="center"/>
                    <w:rPr>
                      <w:kern w:val="0"/>
                      <w:szCs w:val="21"/>
                    </w:rPr>
                  </w:pPr>
                  <w:r>
                    <w:rPr>
                      <w:rFonts w:hAnsi="宋体"/>
                      <w:kern w:val="0"/>
                      <w:szCs w:val="21"/>
                    </w:rPr>
                    <w:t>废润滑油、隔油渣</w:t>
                  </w:r>
                  <w:r>
                    <w:rPr>
                      <w:rFonts w:hint="eastAsia" w:hAnsi="宋体"/>
                      <w:kern w:val="0"/>
                      <w:szCs w:val="21"/>
                    </w:rPr>
                    <w:t>：委托有危废资质单位代为处置</w:t>
                  </w:r>
                </w:p>
              </w:tc>
            </w:tr>
          </w:tbl>
          <w:p w14:paraId="091E0470">
            <w:pPr>
              <w:pStyle w:val="2"/>
              <w:spacing w:line="360" w:lineRule="auto"/>
              <w:ind w:firstLine="482" w:firstLineChars="200"/>
              <w:rPr>
                <w:rFonts w:ascii="Times New Roman"/>
                <w:b/>
              </w:rPr>
            </w:pPr>
            <w:r>
              <w:rPr>
                <w:rFonts w:hint="eastAsia" w:ascii="Times New Roman"/>
                <w:b/>
              </w:rPr>
              <w:t>2、</w:t>
            </w:r>
            <w:r>
              <w:rPr>
                <w:rFonts w:ascii="Times New Roman"/>
                <w:b/>
              </w:rPr>
              <w:t>生产能力及规模</w:t>
            </w:r>
          </w:p>
          <w:p w14:paraId="1D3DC88D">
            <w:pPr>
              <w:pStyle w:val="4"/>
              <w:spacing w:after="0" w:line="360" w:lineRule="auto"/>
              <w:ind w:left="0" w:leftChars="0" w:firstLine="480"/>
              <w:rPr>
                <w:sz w:val="24"/>
              </w:rPr>
            </w:pPr>
            <w:r>
              <w:rPr>
                <w:rFonts w:hint="eastAsia"/>
                <w:sz w:val="24"/>
              </w:rPr>
              <w:t>现有工程设有1条热轧生产线和1条热处理生产线，年产热轧无缝钢管20万t/a，其中6万吨进入热处理生产线进行调质。</w:t>
            </w:r>
          </w:p>
          <w:p w14:paraId="6F1DA5E2">
            <w:pPr>
              <w:spacing w:line="360" w:lineRule="auto"/>
              <w:ind w:firstLine="482" w:firstLineChars="200"/>
              <w:rPr>
                <w:b/>
                <w:sz w:val="24"/>
              </w:rPr>
            </w:pPr>
            <w:r>
              <w:rPr>
                <w:rFonts w:hint="eastAsia"/>
                <w:b/>
                <w:sz w:val="24"/>
              </w:rPr>
              <w:t>3、原辅材料</w:t>
            </w:r>
          </w:p>
          <w:p w14:paraId="653770E6">
            <w:pPr>
              <w:pStyle w:val="4"/>
              <w:spacing w:after="0" w:line="360" w:lineRule="auto"/>
              <w:ind w:left="0" w:leftChars="0" w:firstLine="480"/>
              <w:rPr>
                <w:sz w:val="24"/>
              </w:rPr>
            </w:pPr>
            <w:r>
              <w:rPr>
                <w:rFonts w:hint="eastAsia"/>
                <w:sz w:val="24"/>
              </w:rPr>
              <w:t>现有工程</w:t>
            </w:r>
            <w:r>
              <w:rPr>
                <w:sz w:val="24"/>
              </w:rPr>
              <w:t>原辅材料及能源消耗量</w:t>
            </w:r>
            <w:r>
              <w:rPr>
                <w:rFonts w:hint="eastAsia"/>
                <w:sz w:val="24"/>
              </w:rPr>
              <w:t>见表2-13。</w:t>
            </w:r>
          </w:p>
          <w:p w14:paraId="6EDAEF48">
            <w:pPr>
              <w:pStyle w:val="2"/>
              <w:spacing w:beforeLines="50"/>
              <w:jc w:val="center"/>
              <w:rPr>
                <w:rFonts w:ascii="Times New Roman"/>
                <w:b/>
                <w:color w:val="auto"/>
                <w:sz w:val="21"/>
              </w:rPr>
            </w:pPr>
            <w:r>
              <w:rPr>
                <w:rFonts w:ascii="Times New Roman"/>
                <w:b/>
                <w:color w:val="auto"/>
                <w:sz w:val="21"/>
              </w:rPr>
              <w:t>表</w:t>
            </w:r>
            <w:r>
              <w:rPr>
                <w:rFonts w:hint="eastAsia" w:ascii="Times New Roman"/>
                <w:b/>
                <w:color w:val="auto"/>
                <w:sz w:val="21"/>
              </w:rPr>
              <w:t xml:space="preserve">2-13 </w:t>
            </w:r>
            <w:r>
              <w:rPr>
                <w:rFonts w:ascii="Times New Roman"/>
                <w:b/>
                <w:color w:val="auto"/>
                <w:sz w:val="21"/>
              </w:rPr>
              <w:t xml:space="preserve"> </w:t>
            </w:r>
            <w:r>
              <w:rPr>
                <w:rFonts w:hint="eastAsia" w:ascii="Times New Roman"/>
                <w:b/>
                <w:color w:val="auto"/>
                <w:sz w:val="21"/>
              </w:rPr>
              <w:t>现有工程主要原辅材料使用情况</w:t>
            </w:r>
          </w:p>
          <w:tbl>
            <w:tblPr>
              <w:tblStyle w:val="32"/>
              <w:tblW w:w="929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97"/>
              <w:gridCol w:w="3097"/>
              <w:gridCol w:w="3097"/>
            </w:tblGrid>
            <w:tr w14:paraId="23F419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7B26656A">
                  <w:pPr>
                    <w:pStyle w:val="4"/>
                    <w:spacing w:after="0"/>
                    <w:ind w:left="0" w:leftChars="0" w:firstLine="0" w:firstLineChars="0"/>
                    <w:jc w:val="center"/>
                  </w:pPr>
                  <w:r>
                    <w:rPr>
                      <w:b/>
                      <w:kern w:val="0"/>
                    </w:rPr>
                    <w:t>类型</w:t>
                  </w:r>
                </w:p>
              </w:tc>
              <w:tc>
                <w:tcPr>
                  <w:tcW w:w="3097" w:type="dxa"/>
                  <w:vAlign w:val="center"/>
                </w:tcPr>
                <w:p w14:paraId="6453230E">
                  <w:pPr>
                    <w:widowControl/>
                    <w:jc w:val="center"/>
                    <w:rPr>
                      <w:b/>
                      <w:kern w:val="0"/>
                    </w:rPr>
                  </w:pPr>
                  <w:r>
                    <w:rPr>
                      <w:b/>
                      <w:kern w:val="0"/>
                    </w:rPr>
                    <w:t>原辅材料名称</w:t>
                  </w:r>
                </w:p>
              </w:tc>
              <w:tc>
                <w:tcPr>
                  <w:tcW w:w="3097" w:type="dxa"/>
                  <w:vAlign w:val="center"/>
                </w:tcPr>
                <w:p w14:paraId="221E361E">
                  <w:pPr>
                    <w:widowControl/>
                    <w:jc w:val="center"/>
                    <w:rPr>
                      <w:b/>
                      <w:kern w:val="0"/>
                    </w:rPr>
                  </w:pPr>
                  <w:r>
                    <w:rPr>
                      <w:b/>
                      <w:kern w:val="0"/>
                    </w:rPr>
                    <w:t>用量</w:t>
                  </w:r>
                </w:p>
              </w:tc>
            </w:tr>
            <w:tr w14:paraId="2DBFF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Merge w:val="restart"/>
                  <w:vAlign w:val="center"/>
                </w:tcPr>
                <w:p w14:paraId="7347B0DA">
                  <w:pPr>
                    <w:pStyle w:val="4"/>
                    <w:spacing w:after="0"/>
                    <w:ind w:left="0" w:leftChars="0" w:firstLine="0" w:firstLineChars="0"/>
                    <w:jc w:val="center"/>
                  </w:pPr>
                  <w:r>
                    <w:rPr>
                      <w:bCs/>
                      <w:szCs w:val="21"/>
                    </w:rPr>
                    <w:t>原辅材料</w:t>
                  </w:r>
                </w:p>
              </w:tc>
              <w:tc>
                <w:tcPr>
                  <w:tcW w:w="3097" w:type="dxa"/>
                  <w:vAlign w:val="center"/>
                </w:tcPr>
                <w:p w14:paraId="415E2FA9">
                  <w:pPr>
                    <w:pStyle w:val="119"/>
                    <w:widowControl/>
                    <w:spacing w:beforeLines="0" w:afterLines="0" w:line="240" w:lineRule="auto"/>
                    <w:ind w:firstLine="0" w:firstLineChars="0"/>
                    <w:jc w:val="center"/>
                    <w:rPr>
                      <w:bCs/>
                      <w:sz w:val="21"/>
                      <w:szCs w:val="21"/>
                    </w:rPr>
                  </w:pPr>
                  <w:r>
                    <w:rPr>
                      <w:bCs/>
                      <w:sz w:val="21"/>
                      <w:szCs w:val="21"/>
                    </w:rPr>
                    <w:t>管坯</w:t>
                  </w:r>
                </w:p>
              </w:tc>
              <w:tc>
                <w:tcPr>
                  <w:tcW w:w="3097" w:type="dxa"/>
                  <w:vAlign w:val="center"/>
                </w:tcPr>
                <w:p w14:paraId="55B17A88">
                  <w:pPr>
                    <w:widowControl/>
                    <w:jc w:val="center"/>
                    <w:rPr>
                      <w:kern w:val="0"/>
                    </w:rPr>
                  </w:pPr>
                  <w:r>
                    <w:rPr>
                      <w:rFonts w:hint="eastAsia"/>
                      <w:kern w:val="0"/>
                    </w:rPr>
                    <w:t>224000 t/a</w:t>
                  </w:r>
                </w:p>
              </w:tc>
            </w:tr>
            <w:tr w14:paraId="46D27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Merge w:val="continue"/>
                  <w:vAlign w:val="center"/>
                </w:tcPr>
                <w:p w14:paraId="0B4A987C">
                  <w:pPr>
                    <w:pStyle w:val="4"/>
                    <w:spacing w:after="0"/>
                    <w:ind w:left="0" w:leftChars="0" w:firstLine="0" w:firstLineChars="0"/>
                    <w:jc w:val="center"/>
                  </w:pPr>
                </w:p>
              </w:tc>
              <w:tc>
                <w:tcPr>
                  <w:tcW w:w="3097" w:type="dxa"/>
                  <w:vAlign w:val="center"/>
                </w:tcPr>
                <w:p w14:paraId="251DBE53">
                  <w:pPr>
                    <w:pStyle w:val="119"/>
                    <w:widowControl/>
                    <w:spacing w:beforeLines="0" w:afterLines="0" w:line="240" w:lineRule="auto"/>
                    <w:ind w:firstLine="0" w:firstLineChars="0"/>
                    <w:jc w:val="center"/>
                    <w:rPr>
                      <w:bCs/>
                      <w:sz w:val="21"/>
                      <w:szCs w:val="21"/>
                    </w:rPr>
                  </w:pPr>
                  <w:r>
                    <w:rPr>
                      <w:bCs/>
                      <w:sz w:val="21"/>
                      <w:szCs w:val="21"/>
                    </w:rPr>
                    <w:t>轧辊及工具</w:t>
                  </w:r>
                </w:p>
              </w:tc>
              <w:tc>
                <w:tcPr>
                  <w:tcW w:w="3097" w:type="dxa"/>
                  <w:vAlign w:val="center"/>
                </w:tcPr>
                <w:p w14:paraId="068CD86D">
                  <w:pPr>
                    <w:widowControl/>
                    <w:jc w:val="center"/>
                    <w:rPr>
                      <w:kern w:val="0"/>
                    </w:rPr>
                  </w:pPr>
                  <w:r>
                    <w:rPr>
                      <w:rFonts w:hint="eastAsia"/>
                      <w:kern w:val="0"/>
                    </w:rPr>
                    <w:t>460 t/a</w:t>
                  </w:r>
                </w:p>
              </w:tc>
            </w:tr>
            <w:tr w14:paraId="25CC5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Merge w:val="continue"/>
                  <w:vAlign w:val="center"/>
                </w:tcPr>
                <w:p w14:paraId="1A61908F">
                  <w:pPr>
                    <w:pStyle w:val="4"/>
                    <w:spacing w:after="0"/>
                    <w:ind w:left="0" w:leftChars="0" w:firstLine="0" w:firstLineChars="0"/>
                    <w:jc w:val="center"/>
                  </w:pPr>
                </w:p>
              </w:tc>
              <w:tc>
                <w:tcPr>
                  <w:tcW w:w="3097" w:type="dxa"/>
                  <w:vAlign w:val="center"/>
                </w:tcPr>
                <w:p w14:paraId="6DFCA794">
                  <w:pPr>
                    <w:pStyle w:val="119"/>
                    <w:widowControl/>
                    <w:spacing w:beforeLines="0" w:afterLines="0" w:line="240" w:lineRule="auto"/>
                    <w:ind w:firstLine="0" w:firstLineChars="0"/>
                    <w:jc w:val="center"/>
                    <w:rPr>
                      <w:bCs/>
                      <w:sz w:val="21"/>
                      <w:szCs w:val="21"/>
                    </w:rPr>
                  </w:pPr>
                  <w:r>
                    <w:rPr>
                      <w:bCs/>
                      <w:sz w:val="21"/>
                      <w:szCs w:val="21"/>
                    </w:rPr>
                    <w:t>耐火材料</w:t>
                  </w:r>
                </w:p>
              </w:tc>
              <w:tc>
                <w:tcPr>
                  <w:tcW w:w="3097" w:type="dxa"/>
                  <w:vAlign w:val="center"/>
                </w:tcPr>
                <w:p w14:paraId="7D188AD0">
                  <w:pPr>
                    <w:widowControl/>
                    <w:jc w:val="center"/>
                    <w:rPr>
                      <w:kern w:val="0"/>
                    </w:rPr>
                  </w:pPr>
                  <w:r>
                    <w:rPr>
                      <w:rFonts w:hint="eastAsia"/>
                      <w:kern w:val="0"/>
                    </w:rPr>
                    <w:t>160 t/a</w:t>
                  </w:r>
                </w:p>
              </w:tc>
            </w:tr>
            <w:tr w14:paraId="03C7B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Merge w:val="continue"/>
                  <w:vAlign w:val="center"/>
                </w:tcPr>
                <w:p w14:paraId="29C0ED97">
                  <w:pPr>
                    <w:pStyle w:val="4"/>
                    <w:spacing w:after="0"/>
                    <w:ind w:left="0" w:leftChars="0" w:firstLine="0" w:firstLineChars="0"/>
                    <w:jc w:val="center"/>
                  </w:pPr>
                </w:p>
              </w:tc>
              <w:tc>
                <w:tcPr>
                  <w:tcW w:w="3097" w:type="dxa"/>
                  <w:vAlign w:val="center"/>
                </w:tcPr>
                <w:p w14:paraId="65042613">
                  <w:pPr>
                    <w:pStyle w:val="119"/>
                    <w:widowControl/>
                    <w:spacing w:beforeLines="0" w:afterLines="0" w:line="240" w:lineRule="auto"/>
                    <w:ind w:firstLine="0" w:firstLineChars="0"/>
                    <w:jc w:val="center"/>
                    <w:rPr>
                      <w:bCs/>
                      <w:sz w:val="21"/>
                      <w:szCs w:val="21"/>
                    </w:rPr>
                  </w:pPr>
                  <w:r>
                    <w:rPr>
                      <w:bCs/>
                      <w:sz w:val="21"/>
                      <w:szCs w:val="21"/>
                    </w:rPr>
                    <w:t>润滑油</w:t>
                  </w:r>
                </w:p>
              </w:tc>
              <w:tc>
                <w:tcPr>
                  <w:tcW w:w="3097" w:type="dxa"/>
                  <w:vAlign w:val="center"/>
                </w:tcPr>
                <w:p w14:paraId="2B7D1C7E">
                  <w:pPr>
                    <w:widowControl/>
                    <w:jc w:val="center"/>
                    <w:rPr>
                      <w:kern w:val="0"/>
                    </w:rPr>
                  </w:pPr>
                  <w:r>
                    <w:rPr>
                      <w:rFonts w:hint="eastAsia"/>
                      <w:kern w:val="0"/>
                    </w:rPr>
                    <w:t>180 t/a</w:t>
                  </w:r>
                </w:p>
              </w:tc>
            </w:tr>
            <w:tr w14:paraId="7D61A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Merge w:val="continue"/>
                  <w:vAlign w:val="center"/>
                </w:tcPr>
                <w:p w14:paraId="0A170F55">
                  <w:pPr>
                    <w:pStyle w:val="4"/>
                    <w:spacing w:after="0"/>
                    <w:ind w:left="0" w:leftChars="0" w:firstLine="0" w:firstLineChars="0"/>
                    <w:jc w:val="center"/>
                  </w:pPr>
                </w:p>
              </w:tc>
              <w:tc>
                <w:tcPr>
                  <w:tcW w:w="3097" w:type="dxa"/>
                  <w:vAlign w:val="center"/>
                </w:tcPr>
                <w:p w14:paraId="0ECC06BC">
                  <w:pPr>
                    <w:pStyle w:val="119"/>
                    <w:widowControl/>
                    <w:spacing w:beforeLines="0" w:afterLines="0" w:line="240" w:lineRule="auto"/>
                    <w:ind w:firstLine="0" w:firstLineChars="0"/>
                    <w:jc w:val="center"/>
                    <w:rPr>
                      <w:bCs/>
                      <w:sz w:val="21"/>
                      <w:szCs w:val="21"/>
                    </w:rPr>
                  </w:pPr>
                  <w:r>
                    <w:rPr>
                      <w:bCs/>
                      <w:sz w:val="21"/>
                      <w:szCs w:val="21"/>
                    </w:rPr>
                    <w:t>氮气</w:t>
                  </w:r>
                </w:p>
              </w:tc>
              <w:tc>
                <w:tcPr>
                  <w:tcW w:w="3097" w:type="dxa"/>
                  <w:vAlign w:val="center"/>
                </w:tcPr>
                <w:p w14:paraId="7FA37353">
                  <w:pPr>
                    <w:widowControl/>
                    <w:jc w:val="center"/>
                    <w:rPr>
                      <w:kern w:val="0"/>
                    </w:rPr>
                  </w:pPr>
                  <w:r>
                    <w:rPr>
                      <w:rFonts w:hint="eastAsia"/>
                      <w:kern w:val="0"/>
                    </w:rPr>
                    <w:t>366000m</w:t>
                  </w:r>
                  <w:r>
                    <w:rPr>
                      <w:rFonts w:hint="eastAsia"/>
                      <w:kern w:val="0"/>
                      <w:vertAlign w:val="superscript"/>
                    </w:rPr>
                    <w:t>3</w:t>
                  </w:r>
                  <w:r>
                    <w:rPr>
                      <w:rFonts w:hint="eastAsia"/>
                      <w:kern w:val="0"/>
                    </w:rPr>
                    <w:t>/a</w:t>
                  </w:r>
                </w:p>
              </w:tc>
            </w:tr>
            <w:tr w14:paraId="6A092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Merge w:val="continue"/>
                  <w:vAlign w:val="center"/>
                </w:tcPr>
                <w:p w14:paraId="1B1879A1">
                  <w:pPr>
                    <w:pStyle w:val="4"/>
                    <w:spacing w:after="0"/>
                    <w:ind w:left="0" w:leftChars="0" w:firstLine="0" w:firstLineChars="0"/>
                    <w:jc w:val="center"/>
                  </w:pPr>
                </w:p>
              </w:tc>
              <w:tc>
                <w:tcPr>
                  <w:tcW w:w="3097" w:type="dxa"/>
                  <w:vAlign w:val="center"/>
                </w:tcPr>
                <w:p w14:paraId="3550D992">
                  <w:pPr>
                    <w:pStyle w:val="119"/>
                    <w:widowControl/>
                    <w:spacing w:beforeLines="0" w:afterLines="0" w:line="240" w:lineRule="auto"/>
                    <w:ind w:firstLine="0" w:firstLineChars="0"/>
                    <w:jc w:val="center"/>
                    <w:rPr>
                      <w:bCs/>
                      <w:sz w:val="21"/>
                      <w:szCs w:val="21"/>
                    </w:rPr>
                  </w:pPr>
                  <w:r>
                    <w:rPr>
                      <w:bCs/>
                      <w:sz w:val="21"/>
                      <w:szCs w:val="21"/>
                    </w:rPr>
                    <w:t>硼砂</w:t>
                  </w:r>
                </w:p>
              </w:tc>
              <w:tc>
                <w:tcPr>
                  <w:tcW w:w="3097" w:type="dxa"/>
                  <w:vAlign w:val="center"/>
                </w:tcPr>
                <w:p w14:paraId="2F90E253">
                  <w:pPr>
                    <w:widowControl/>
                    <w:jc w:val="center"/>
                    <w:rPr>
                      <w:kern w:val="0"/>
                    </w:rPr>
                  </w:pPr>
                  <w:r>
                    <w:rPr>
                      <w:rFonts w:hint="eastAsia"/>
                      <w:kern w:val="0"/>
                    </w:rPr>
                    <w:t>172 t/a</w:t>
                  </w:r>
                </w:p>
              </w:tc>
            </w:tr>
            <w:tr w14:paraId="6CC60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Merge w:val="continue"/>
                  <w:vAlign w:val="center"/>
                </w:tcPr>
                <w:p w14:paraId="2BB9E4E6">
                  <w:pPr>
                    <w:pStyle w:val="4"/>
                    <w:spacing w:after="0"/>
                    <w:ind w:left="0" w:leftChars="0" w:firstLine="0" w:firstLineChars="0"/>
                    <w:jc w:val="center"/>
                  </w:pPr>
                </w:p>
              </w:tc>
              <w:tc>
                <w:tcPr>
                  <w:tcW w:w="3097" w:type="dxa"/>
                  <w:vAlign w:val="center"/>
                </w:tcPr>
                <w:p w14:paraId="172496D2">
                  <w:pPr>
                    <w:pStyle w:val="119"/>
                    <w:widowControl/>
                    <w:spacing w:beforeLines="0" w:afterLines="0" w:line="240" w:lineRule="auto"/>
                    <w:ind w:firstLine="0" w:firstLineChars="0"/>
                    <w:jc w:val="center"/>
                    <w:rPr>
                      <w:bCs/>
                      <w:sz w:val="21"/>
                      <w:szCs w:val="21"/>
                    </w:rPr>
                  </w:pPr>
                  <w:r>
                    <w:rPr>
                      <w:bCs/>
                      <w:sz w:val="21"/>
                      <w:szCs w:val="21"/>
                    </w:rPr>
                    <w:t>芯棒润滑剂（石墨）</w:t>
                  </w:r>
                </w:p>
              </w:tc>
              <w:tc>
                <w:tcPr>
                  <w:tcW w:w="3097" w:type="dxa"/>
                  <w:vAlign w:val="center"/>
                </w:tcPr>
                <w:p w14:paraId="700F0511">
                  <w:pPr>
                    <w:widowControl/>
                    <w:jc w:val="center"/>
                    <w:rPr>
                      <w:kern w:val="0"/>
                    </w:rPr>
                  </w:pPr>
                  <w:r>
                    <w:rPr>
                      <w:rFonts w:hint="eastAsia"/>
                      <w:kern w:val="0"/>
                    </w:rPr>
                    <w:t>168 t/a</w:t>
                  </w:r>
                </w:p>
              </w:tc>
            </w:tr>
            <w:tr w14:paraId="50D9F2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Merge w:val="restart"/>
                  <w:vAlign w:val="center"/>
                </w:tcPr>
                <w:p w14:paraId="30213A65">
                  <w:pPr>
                    <w:pStyle w:val="4"/>
                    <w:spacing w:after="0"/>
                    <w:ind w:left="0" w:leftChars="0" w:firstLine="0" w:firstLineChars="0"/>
                    <w:jc w:val="center"/>
                  </w:pPr>
                  <w:r>
                    <w:rPr>
                      <w:bCs/>
                      <w:szCs w:val="21"/>
                    </w:rPr>
                    <w:t>能源消耗</w:t>
                  </w:r>
                </w:p>
              </w:tc>
              <w:tc>
                <w:tcPr>
                  <w:tcW w:w="3097" w:type="dxa"/>
                  <w:vAlign w:val="center"/>
                </w:tcPr>
                <w:p w14:paraId="5069C6A7">
                  <w:pPr>
                    <w:pStyle w:val="119"/>
                    <w:widowControl/>
                    <w:spacing w:beforeLines="0" w:afterLines="0" w:line="240" w:lineRule="auto"/>
                    <w:ind w:firstLine="0" w:firstLineChars="0"/>
                    <w:jc w:val="center"/>
                    <w:rPr>
                      <w:bCs/>
                      <w:sz w:val="21"/>
                      <w:szCs w:val="21"/>
                    </w:rPr>
                  </w:pPr>
                  <w:r>
                    <w:rPr>
                      <w:bCs/>
                      <w:sz w:val="21"/>
                      <w:szCs w:val="21"/>
                    </w:rPr>
                    <w:t>压缩空气</w:t>
                  </w:r>
                </w:p>
              </w:tc>
              <w:tc>
                <w:tcPr>
                  <w:tcW w:w="3097" w:type="dxa"/>
                  <w:vAlign w:val="center"/>
                </w:tcPr>
                <w:p w14:paraId="06C1F7A3">
                  <w:pPr>
                    <w:widowControl/>
                    <w:jc w:val="center"/>
                    <w:rPr>
                      <w:kern w:val="0"/>
                    </w:rPr>
                  </w:pPr>
                  <w:r>
                    <w:rPr>
                      <w:rFonts w:hint="eastAsia"/>
                      <w:kern w:val="0"/>
                    </w:rPr>
                    <w:t>2060.16万</w:t>
                  </w:r>
                  <w:r>
                    <w:rPr>
                      <w:bCs/>
                      <w:szCs w:val="21"/>
                    </w:rPr>
                    <w:t>m</w:t>
                  </w:r>
                  <w:r>
                    <w:rPr>
                      <w:bCs/>
                      <w:szCs w:val="21"/>
                      <w:vertAlign w:val="superscript"/>
                    </w:rPr>
                    <w:t>3</w:t>
                  </w:r>
                </w:p>
              </w:tc>
            </w:tr>
            <w:tr w14:paraId="2BA7C6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Merge w:val="continue"/>
                  <w:vAlign w:val="center"/>
                </w:tcPr>
                <w:p w14:paraId="646E3DE0">
                  <w:pPr>
                    <w:pStyle w:val="4"/>
                    <w:spacing w:after="0"/>
                    <w:ind w:left="0" w:leftChars="0" w:firstLine="0" w:firstLineChars="0"/>
                    <w:jc w:val="center"/>
                  </w:pPr>
                </w:p>
              </w:tc>
              <w:tc>
                <w:tcPr>
                  <w:tcW w:w="3097" w:type="dxa"/>
                  <w:vAlign w:val="center"/>
                </w:tcPr>
                <w:p w14:paraId="5D88D1EE">
                  <w:pPr>
                    <w:pStyle w:val="119"/>
                    <w:widowControl/>
                    <w:spacing w:beforeLines="0" w:afterLines="0" w:line="240" w:lineRule="auto"/>
                    <w:ind w:firstLine="0" w:firstLineChars="0"/>
                    <w:jc w:val="center"/>
                    <w:rPr>
                      <w:bCs/>
                      <w:sz w:val="21"/>
                      <w:szCs w:val="21"/>
                    </w:rPr>
                  </w:pPr>
                  <w:r>
                    <w:rPr>
                      <w:bCs/>
                      <w:sz w:val="21"/>
                      <w:szCs w:val="21"/>
                    </w:rPr>
                    <w:t>混合煤气</w:t>
                  </w:r>
                </w:p>
              </w:tc>
              <w:tc>
                <w:tcPr>
                  <w:tcW w:w="3097" w:type="dxa"/>
                  <w:vAlign w:val="center"/>
                </w:tcPr>
                <w:p w14:paraId="264D9639">
                  <w:pPr>
                    <w:widowControl/>
                    <w:jc w:val="center"/>
                    <w:rPr>
                      <w:kern w:val="0"/>
                    </w:rPr>
                  </w:pPr>
                  <w:r>
                    <w:rPr>
                      <w:rFonts w:hint="eastAsia"/>
                      <w:kern w:val="0"/>
                    </w:rPr>
                    <w:t>740000 GJ</w:t>
                  </w:r>
                </w:p>
              </w:tc>
            </w:tr>
            <w:tr w14:paraId="5F1167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Merge w:val="continue"/>
                  <w:vAlign w:val="center"/>
                </w:tcPr>
                <w:p w14:paraId="7D4CFE04">
                  <w:pPr>
                    <w:pStyle w:val="4"/>
                    <w:spacing w:after="0"/>
                    <w:ind w:left="0" w:leftChars="0" w:firstLine="0" w:firstLineChars="0"/>
                    <w:jc w:val="center"/>
                  </w:pPr>
                </w:p>
              </w:tc>
              <w:tc>
                <w:tcPr>
                  <w:tcW w:w="3097" w:type="dxa"/>
                  <w:vAlign w:val="center"/>
                </w:tcPr>
                <w:p w14:paraId="709327E2">
                  <w:pPr>
                    <w:pStyle w:val="119"/>
                    <w:widowControl/>
                    <w:spacing w:beforeLines="0" w:afterLines="0" w:line="240" w:lineRule="auto"/>
                    <w:ind w:firstLine="0" w:firstLineChars="0"/>
                    <w:jc w:val="center"/>
                    <w:rPr>
                      <w:bCs/>
                      <w:sz w:val="21"/>
                      <w:szCs w:val="21"/>
                    </w:rPr>
                  </w:pPr>
                  <w:r>
                    <w:rPr>
                      <w:bCs/>
                      <w:sz w:val="21"/>
                      <w:szCs w:val="21"/>
                    </w:rPr>
                    <w:t>天然气</w:t>
                  </w:r>
                </w:p>
              </w:tc>
              <w:tc>
                <w:tcPr>
                  <w:tcW w:w="3097" w:type="dxa"/>
                  <w:vAlign w:val="center"/>
                </w:tcPr>
                <w:p w14:paraId="0C4A413B">
                  <w:pPr>
                    <w:widowControl/>
                    <w:jc w:val="center"/>
                    <w:rPr>
                      <w:kern w:val="0"/>
                    </w:rPr>
                  </w:pPr>
                  <w:r>
                    <w:rPr>
                      <w:rFonts w:hint="eastAsia"/>
                      <w:kern w:val="0"/>
                    </w:rPr>
                    <w:t>750万Nm</w:t>
                  </w:r>
                  <w:r>
                    <w:rPr>
                      <w:rFonts w:hint="eastAsia"/>
                      <w:kern w:val="0"/>
                      <w:vertAlign w:val="superscript"/>
                    </w:rPr>
                    <w:t>3</w:t>
                  </w:r>
                  <w:r>
                    <w:rPr>
                      <w:rFonts w:hint="eastAsia"/>
                      <w:kern w:val="0"/>
                    </w:rPr>
                    <w:t>/a</w:t>
                  </w:r>
                </w:p>
              </w:tc>
            </w:tr>
            <w:tr w14:paraId="5F014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Merge w:val="continue"/>
                  <w:vAlign w:val="center"/>
                </w:tcPr>
                <w:p w14:paraId="740A61A6">
                  <w:pPr>
                    <w:pStyle w:val="4"/>
                    <w:spacing w:after="0"/>
                    <w:ind w:left="0" w:leftChars="0" w:firstLine="0" w:firstLineChars="0"/>
                    <w:jc w:val="center"/>
                  </w:pPr>
                </w:p>
              </w:tc>
              <w:tc>
                <w:tcPr>
                  <w:tcW w:w="3097" w:type="dxa"/>
                  <w:vAlign w:val="center"/>
                </w:tcPr>
                <w:p w14:paraId="0EFD4542">
                  <w:pPr>
                    <w:pStyle w:val="119"/>
                    <w:widowControl/>
                    <w:spacing w:beforeLines="0" w:afterLines="0" w:line="240" w:lineRule="auto"/>
                    <w:ind w:firstLine="0" w:firstLineChars="0"/>
                    <w:jc w:val="center"/>
                    <w:rPr>
                      <w:bCs/>
                      <w:sz w:val="21"/>
                      <w:szCs w:val="21"/>
                    </w:rPr>
                  </w:pPr>
                  <w:r>
                    <w:rPr>
                      <w:bCs/>
                      <w:sz w:val="21"/>
                      <w:szCs w:val="21"/>
                    </w:rPr>
                    <w:t>电</w:t>
                  </w:r>
                </w:p>
              </w:tc>
              <w:tc>
                <w:tcPr>
                  <w:tcW w:w="3097" w:type="dxa"/>
                  <w:vAlign w:val="center"/>
                </w:tcPr>
                <w:p w14:paraId="43146F57">
                  <w:pPr>
                    <w:widowControl/>
                    <w:jc w:val="center"/>
                    <w:rPr>
                      <w:kern w:val="0"/>
                    </w:rPr>
                  </w:pPr>
                  <w:r>
                    <w:rPr>
                      <w:rFonts w:hint="eastAsia"/>
                      <w:kern w:val="0"/>
                    </w:rPr>
                    <w:t>420万kw</w:t>
                  </w:r>
                  <w:r>
                    <w:rPr>
                      <w:rFonts w:hint="eastAsia" w:ascii="宋体" w:hAnsi="宋体"/>
                      <w:kern w:val="0"/>
                    </w:rPr>
                    <w:t>•</w:t>
                  </w:r>
                  <w:r>
                    <w:rPr>
                      <w:rFonts w:hint="eastAsia"/>
                      <w:kern w:val="0"/>
                    </w:rPr>
                    <w:t>h</w:t>
                  </w:r>
                </w:p>
              </w:tc>
            </w:tr>
          </w:tbl>
          <w:p w14:paraId="1150AD05">
            <w:pPr>
              <w:spacing w:line="360" w:lineRule="auto"/>
              <w:ind w:firstLine="482" w:firstLineChars="200"/>
              <w:rPr>
                <w:b/>
                <w:sz w:val="24"/>
              </w:rPr>
            </w:pPr>
            <w:r>
              <w:rPr>
                <w:rFonts w:hint="eastAsia"/>
                <w:b/>
                <w:sz w:val="24"/>
              </w:rPr>
              <w:t>4、生产设备</w:t>
            </w:r>
          </w:p>
          <w:p w14:paraId="4CB91923">
            <w:pPr>
              <w:pStyle w:val="4"/>
              <w:spacing w:after="0" w:line="360" w:lineRule="auto"/>
              <w:ind w:left="0" w:leftChars="0" w:firstLine="480"/>
              <w:rPr>
                <w:sz w:val="24"/>
              </w:rPr>
            </w:pPr>
            <w:r>
              <w:rPr>
                <w:rFonts w:hint="eastAsia"/>
                <w:sz w:val="24"/>
              </w:rPr>
              <w:t>现有工程主要生产设备见表2-14。</w:t>
            </w:r>
          </w:p>
          <w:p w14:paraId="6854530F">
            <w:pPr>
              <w:pStyle w:val="2"/>
              <w:spacing w:beforeLines="50"/>
              <w:jc w:val="center"/>
              <w:rPr>
                <w:rFonts w:ascii="Times New Roman"/>
                <w:b/>
                <w:color w:val="auto"/>
                <w:sz w:val="21"/>
              </w:rPr>
            </w:pPr>
            <w:r>
              <w:rPr>
                <w:rFonts w:ascii="Times New Roman"/>
                <w:b/>
                <w:color w:val="auto"/>
                <w:sz w:val="21"/>
              </w:rPr>
              <w:t>表</w:t>
            </w:r>
            <w:r>
              <w:rPr>
                <w:rFonts w:hint="eastAsia" w:ascii="Times New Roman"/>
                <w:b/>
                <w:color w:val="auto"/>
                <w:sz w:val="21"/>
              </w:rPr>
              <w:t xml:space="preserve">2-14 </w:t>
            </w:r>
            <w:r>
              <w:rPr>
                <w:rFonts w:ascii="Times New Roman"/>
                <w:b/>
                <w:color w:val="auto"/>
                <w:sz w:val="21"/>
              </w:rPr>
              <w:t xml:space="preserve"> </w:t>
            </w:r>
            <w:r>
              <w:rPr>
                <w:rFonts w:hint="eastAsia" w:ascii="Times New Roman"/>
                <w:b/>
                <w:color w:val="auto"/>
                <w:sz w:val="21"/>
              </w:rPr>
              <w:t>现有工程主要生产设备</w:t>
            </w:r>
          </w:p>
          <w:tbl>
            <w:tblPr>
              <w:tblStyle w:val="32"/>
              <w:tblW w:w="929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97"/>
              <w:gridCol w:w="3097"/>
              <w:gridCol w:w="3097"/>
            </w:tblGrid>
            <w:tr w14:paraId="31B778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0F692ACF">
                  <w:pPr>
                    <w:pStyle w:val="4"/>
                    <w:spacing w:after="0"/>
                    <w:ind w:left="0" w:leftChars="0" w:firstLine="0" w:firstLineChars="0"/>
                    <w:jc w:val="center"/>
                  </w:pPr>
                  <w:r>
                    <w:rPr>
                      <w:b/>
                      <w:szCs w:val="21"/>
                    </w:rPr>
                    <w:t>设备名称</w:t>
                  </w:r>
                </w:p>
              </w:tc>
              <w:tc>
                <w:tcPr>
                  <w:tcW w:w="3097" w:type="dxa"/>
                  <w:vAlign w:val="center"/>
                </w:tcPr>
                <w:p w14:paraId="3F9BE19C">
                  <w:pPr>
                    <w:widowControl/>
                    <w:jc w:val="center"/>
                    <w:rPr>
                      <w:b/>
                      <w:kern w:val="0"/>
                    </w:rPr>
                  </w:pPr>
                  <w:r>
                    <w:rPr>
                      <w:b/>
                      <w:szCs w:val="21"/>
                    </w:rPr>
                    <w:t>台数（台</w:t>
                  </w:r>
                  <w:r>
                    <w:rPr>
                      <w:rFonts w:hint="eastAsia"/>
                      <w:b/>
                      <w:szCs w:val="21"/>
                    </w:rPr>
                    <w:t>/套）</w:t>
                  </w:r>
                </w:p>
              </w:tc>
              <w:tc>
                <w:tcPr>
                  <w:tcW w:w="3097" w:type="dxa"/>
                  <w:vAlign w:val="center"/>
                </w:tcPr>
                <w:p w14:paraId="0E6C7310">
                  <w:pPr>
                    <w:widowControl/>
                    <w:jc w:val="center"/>
                    <w:rPr>
                      <w:b/>
                      <w:kern w:val="0"/>
                    </w:rPr>
                  </w:pPr>
                  <w:r>
                    <w:rPr>
                      <w:b/>
                      <w:szCs w:val="21"/>
                    </w:rPr>
                    <w:t>备注</w:t>
                  </w:r>
                </w:p>
              </w:tc>
            </w:tr>
            <w:tr w14:paraId="02AB3B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291" w:type="dxa"/>
                  <w:gridSpan w:val="3"/>
                  <w:vAlign w:val="center"/>
                </w:tcPr>
                <w:p w14:paraId="47853065">
                  <w:pPr>
                    <w:widowControl/>
                    <w:jc w:val="center"/>
                    <w:rPr>
                      <w:b/>
                      <w:kern w:val="0"/>
                    </w:rPr>
                  </w:pPr>
                  <w:r>
                    <w:rPr>
                      <w:b/>
                      <w:kern w:val="0"/>
                    </w:rPr>
                    <w:t>热轧生产线</w:t>
                  </w:r>
                </w:p>
              </w:tc>
            </w:tr>
            <w:tr w14:paraId="2CFAB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1553B6E6">
                  <w:pPr>
                    <w:pStyle w:val="119"/>
                    <w:widowControl/>
                    <w:spacing w:beforeLines="0" w:afterLines="0" w:line="240" w:lineRule="auto"/>
                    <w:ind w:firstLine="0" w:firstLineChars="0"/>
                    <w:jc w:val="center"/>
                    <w:rPr>
                      <w:bCs/>
                      <w:sz w:val="21"/>
                      <w:szCs w:val="21"/>
                    </w:rPr>
                  </w:pPr>
                  <w:r>
                    <w:rPr>
                      <w:bCs/>
                      <w:sz w:val="21"/>
                      <w:szCs w:val="21"/>
                    </w:rPr>
                    <w:t>环形加热炉</w:t>
                  </w:r>
                </w:p>
              </w:tc>
              <w:tc>
                <w:tcPr>
                  <w:tcW w:w="3097" w:type="dxa"/>
                  <w:vAlign w:val="center"/>
                </w:tcPr>
                <w:p w14:paraId="48953913">
                  <w:pPr>
                    <w:pStyle w:val="119"/>
                    <w:widowControl/>
                    <w:spacing w:beforeLines="0" w:afterLines="0" w:line="240" w:lineRule="auto"/>
                    <w:ind w:firstLine="0" w:firstLineChars="0"/>
                    <w:jc w:val="center"/>
                    <w:rPr>
                      <w:bCs/>
                      <w:sz w:val="21"/>
                      <w:szCs w:val="21"/>
                    </w:rPr>
                  </w:pPr>
                  <w:r>
                    <w:rPr>
                      <w:bCs/>
                      <w:sz w:val="21"/>
                      <w:szCs w:val="21"/>
                    </w:rPr>
                    <w:t>1座</w:t>
                  </w:r>
                </w:p>
              </w:tc>
              <w:tc>
                <w:tcPr>
                  <w:tcW w:w="3097" w:type="dxa"/>
                  <w:vAlign w:val="center"/>
                </w:tcPr>
                <w:p w14:paraId="5B50728F">
                  <w:pPr>
                    <w:jc w:val="center"/>
                    <w:rPr>
                      <w:szCs w:val="21"/>
                    </w:rPr>
                  </w:pPr>
                  <w:r>
                    <w:rPr>
                      <w:szCs w:val="21"/>
                    </w:rPr>
                    <w:t>运行良好</w:t>
                  </w:r>
                </w:p>
              </w:tc>
            </w:tr>
            <w:tr w14:paraId="632C5D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63DEB124">
                  <w:pPr>
                    <w:pStyle w:val="119"/>
                    <w:widowControl/>
                    <w:spacing w:beforeLines="0" w:afterLines="0" w:line="240" w:lineRule="auto"/>
                    <w:ind w:firstLine="0" w:firstLineChars="0"/>
                    <w:jc w:val="center"/>
                    <w:rPr>
                      <w:bCs/>
                      <w:sz w:val="21"/>
                      <w:szCs w:val="21"/>
                    </w:rPr>
                  </w:pPr>
                  <w:r>
                    <w:rPr>
                      <w:bCs/>
                      <w:sz w:val="21"/>
                      <w:szCs w:val="21"/>
                    </w:rPr>
                    <w:t>锥形辊穿孔机</w:t>
                  </w:r>
                </w:p>
              </w:tc>
              <w:tc>
                <w:tcPr>
                  <w:tcW w:w="3097" w:type="dxa"/>
                  <w:vAlign w:val="center"/>
                </w:tcPr>
                <w:p w14:paraId="6DEFBE1F">
                  <w:pPr>
                    <w:pStyle w:val="119"/>
                    <w:widowControl/>
                    <w:spacing w:beforeLines="0" w:afterLines="0" w:line="240" w:lineRule="auto"/>
                    <w:ind w:firstLine="0" w:firstLineChars="0"/>
                    <w:jc w:val="center"/>
                    <w:rPr>
                      <w:bCs/>
                      <w:sz w:val="21"/>
                      <w:szCs w:val="21"/>
                    </w:rPr>
                  </w:pPr>
                  <w:r>
                    <w:rPr>
                      <w:rFonts w:hint="eastAsia"/>
                      <w:bCs/>
                      <w:sz w:val="21"/>
                      <w:szCs w:val="21"/>
                    </w:rPr>
                    <w:t>1套</w:t>
                  </w:r>
                </w:p>
              </w:tc>
              <w:tc>
                <w:tcPr>
                  <w:tcW w:w="3097" w:type="dxa"/>
                  <w:vAlign w:val="center"/>
                </w:tcPr>
                <w:p w14:paraId="2211EC22">
                  <w:pPr>
                    <w:jc w:val="center"/>
                    <w:rPr>
                      <w:szCs w:val="21"/>
                    </w:rPr>
                  </w:pPr>
                  <w:r>
                    <w:rPr>
                      <w:szCs w:val="21"/>
                    </w:rPr>
                    <w:t>运行良好</w:t>
                  </w:r>
                </w:p>
              </w:tc>
            </w:tr>
            <w:tr w14:paraId="5F8060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79ABE43D">
                  <w:pPr>
                    <w:pStyle w:val="119"/>
                    <w:widowControl/>
                    <w:spacing w:beforeLines="0" w:afterLines="0" w:line="240" w:lineRule="auto"/>
                    <w:ind w:firstLine="0" w:firstLineChars="0"/>
                    <w:jc w:val="center"/>
                    <w:rPr>
                      <w:bCs/>
                      <w:sz w:val="21"/>
                      <w:szCs w:val="21"/>
                    </w:rPr>
                  </w:pPr>
                  <w:r>
                    <w:rPr>
                      <w:bCs/>
                      <w:sz w:val="21"/>
                      <w:szCs w:val="21"/>
                    </w:rPr>
                    <w:t>吹氮喷硼砂装置</w:t>
                  </w:r>
                </w:p>
              </w:tc>
              <w:tc>
                <w:tcPr>
                  <w:tcW w:w="3097" w:type="dxa"/>
                  <w:vAlign w:val="center"/>
                </w:tcPr>
                <w:p w14:paraId="5BC1DB12">
                  <w:pPr>
                    <w:pStyle w:val="119"/>
                    <w:widowControl/>
                    <w:spacing w:beforeLines="0" w:afterLines="0" w:line="240" w:lineRule="auto"/>
                    <w:ind w:firstLine="0" w:firstLineChars="0"/>
                    <w:jc w:val="center"/>
                    <w:rPr>
                      <w:bCs/>
                      <w:sz w:val="21"/>
                      <w:szCs w:val="21"/>
                    </w:rPr>
                  </w:pPr>
                  <w:r>
                    <w:rPr>
                      <w:rFonts w:hint="eastAsia"/>
                      <w:bCs/>
                      <w:sz w:val="21"/>
                      <w:szCs w:val="21"/>
                    </w:rPr>
                    <w:t>1套</w:t>
                  </w:r>
                </w:p>
              </w:tc>
              <w:tc>
                <w:tcPr>
                  <w:tcW w:w="3097" w:type="dxa"/>
                  <w:vAlign w:val="center"/>
                </w:tcPr>
                <w:p w14:paraId="2EC439F2">
                  <w:pPr>
                    <w:jc w:val="center"/>
                    <w:rPr>
                      <w:szCs w:val="21"/>
                    </w:rPr>
                  </w:pPr>
                  <w:r>
                    <w:rPr>
                      <w:szCs w:val="21"/>
                    </w:rPr>
                    <w:t>运行良好</w:t>
                  </w:r>
                </w:p>
              </w:tc>
            </w:tr>
            <w:tr w14:paraId="1BE478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3DF24A95">
                  <w:pPr>
                    <w:pStyle w:val="119"/>
                    <w:widowControl/>
                    <w:spacing w:beforeLines="0" w:afterLines="0" w:line="240" w:lineRule="auto"/>
                    <w:ind w:firstLine="0" w:firstLineChars="0"/>
                    <w:jc w:val="center"/>
                    <w:rPr>
                      <w:bCs/>
                      <w:sz w:val="21"/>
                      <w:szCs w:val="21"/>
                    </w:rPr>
                  </w:pPr>
                  <w:r>
                    <w:rPr>
                      <w:bCs/>
                      <w:sz w:val="21"/>
                      <w:szCs w:val="21"/>
                    </w:rPr>
                    <w:t>穿孔后横移装置</w:t>
                  </w:r>
                </w:p>
              </w:tc>
              <w:tc>
                <w:tcPr>
                  <w:tcW w:w="3097" w:type="dxa"/>
                  <w:vAlign w:val="center"/>
                </w:tcPr>
                <w:p w14:paraId="5397ADE4">
                  <w:pPr>
                    <w:pStyle w:val="119"/>
                    <w:widowControl/>
                    <w:spacing w:beforeLines="0" w:afterLines="0" w:line="240" w:lineRule="auto"/>
                    <w:ind w:firstLine="0" w:firstLineChars="0"/>
                    <w:jc w:val="center"/>
                    <w:rPr>
                      <w:bCs/>
                      <w:sz w:val="21"/>
                      <w:szCs w:val="21"/>
                    </w:rPr>
                  </w:pPr>
                  <w:r>
                    <w:rPr>
                      <w:rFonts w:hint="eastAsia"/>
                      <w:bCs/>
                      <w:sz w:val="21"/>
                      <w:szCs w:val="21"/>
                    </w:rPr>
                    <w:t>1套</w:t>
                  </w:r>
                </w:p>
              </w:tc>
              <w:tc>
                <w:tcPr>
                  <w:tcW w:w="3097" w:type="dxa"/>
                  <w:vAlign w:val="center"/>
                </w:tcPr>
                <w:p w14:paraId="0D1EBBD7">
                  <w:pPr>
                    <w:jc w:val="center"/>
                    <w:rPr>
                      <w:szCs w:val="21"/>
                    </w:rPr>
                  </w:pPr>
                  <w:r>
                    <w:rPr>
                      <w:szCs w:val="21"/>
                    </w:rPr>
                    <w:t>运行良好</w:t>
                  </w:r>
                </w:p>
              </w:tc>
            </w:tr>
            <w:tr w14:paraId="513AD1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2A315CAF">
                  <w:pPr>
                    <w:pStyle w:val="119"/>
                    <w:widowControl/>
                    <w:spacing w:beforeLines="0" w:afterLines="0" w:line="240" w:lineRule="auto"/>
                    <w:ind w:firstLine="0" w:firstLineChars="0"/>
                    <w:jc w:val="center"/>
                    <w:rPr>
                      <w:bCs/>
                      <w:sz w:val="21"/>
                      <w:szCs w:val="21"/>
                    </w:rPr>
                  </w:pPr>
                  <w:r>
                    <w:rPr>
                      <w:bCs/>
                      <w:sz w:val="21"/>
                      <w:szCs w:val="21"/>
                    </w:rPr>
                    <w:t>连轧管机前高压水除鳞装置</w:t>
                  </w:r>
                </w:p>
              </w:tc>
              <w:tc>
                <w:tcPr>
                  <w:tcW w:w="3097" w:type="dxa"/>
                  <w:vAlign w:val="center"/>
                </w:tcPr>
                <w:p w14:paraId="71BB2FC6">
                  <w:pPr>
                    <w:pStyle w:val="119"/>
                    <w:widowControl/>
                    <w:spacing w:beforeLines="0" w:afterLines="0" w:line="240" w:lineRule="auto"/>
                    <w:ind w:firstLine="0" w:firstLineChars="0"/>
                    <w:jc w:val="center"/>
                    <w:rPr>
                      <w:bCs/>
                      <w:sz w:val="21"/>
                      <w:szCs w:val="21"/>
                    </w:rPr>
                  </w:pPr>
                  <w:r>
                    <w:rPr>
                      <w:bCs/>
                      <w:sz w:val="21"/>
                      <w:szCs w:val="21"/>
                    </w:rPr>
                    <w:t>1套</w:t>
                  </w:r>
                </w:p>
              </w:tc>
              <w:tc>
                <w:tcPr>
                  <w:tcW w:w="3097" w:type="dxa"/>
                  <w:vAlign w:val="center"/>
                </w:tcPr>
                <w:p w14:paraId="400E5A51">
                  <w:pPr>
                    <w:jc w:val="center"/>
                    <w:rPr>
                      <w:szCs w:val="21"/>
                    </w:rPr>
                  </w:pPr>
                  <w:r>
                    <w:rPr>
                      <w:szCs w:val="21"/>
                    </w:rPr>
                    <w:t>运行良好</w:t>
                  </w:r>
                </w:p>
              </w:tc>
            </w:tr>
            <w:tr w14:paraId="510B4C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07A3BB24">
                  <w:pPr>
                    <w:pStyle w:val="119"/>
                    <w:widowControl/>
                    <w:spacing w:beforeLines="0" w:afterLines="0" w:line="240" w:lineRule="auto"/>
                    <w:ind w:firstLine="0" w:firstLineChars="0"/>
                    <w:jc w:val="center"/>
                    <w:rPr>
                      <w:bCs/>
                      <w:sz w:val="21"/>
                      <w:szCs w:val="21"/>
                    </w:rPr>
                  </w:pPr>
                  <w:r>
                    <w:rPr>
                      <w:bCs/>
                      <w:sz w:val="21"/>
                      <w:szCs w:val="21"/>
                    </w:rPr>
                    <w:t>连轧管机</w:t>
                  </w:r>
                </w:p>
              </w:tc>
              <w:tc>
                <w:tcPr>
                  <w:tcW w:w="3097" w:type="dxa"/>
                  <w:vAlign w:val="center"/>
                </w:tcPr>
                <w:p w14:paraId="2B9FF439">
                  <w:pPr>
                    <w:pStyle w:val="119"/>
                    <w:widowControl/>
                    <w:spacing w:beforeLines="0" w:afterLines="0" w:line="240" w:lineRule="auto"/>
                    <w:ind w:firstLine="0" w:firstLineChars="0"/>
                    <w:jc w:val="center"/>
                    <w:rPr>
                      <w:bCs/>
                      <w:sz w:val="21"/>
                      <w:szCs w:val="21"/>
                    </w:rPr>
                  </w:pPr>
                  <w:r>
                    <w:rPr>
                      <w:rFonts w:hint="eastAsia"/>
                      <w:bCs/>
                      <w:sz w:val="21"/>
                      <w:szCs w:val="21"/>
                    </w:rPr>
                    <w:t>1套</w:t>
                  </w:r>
                </w:p>
              </w:tc>
              <w:tc>
                <w:tcPr>
                  <w:tcW w:w="3097" w:type="dxa"/>
                  <w:vAlign w:val="center"/>
                </w:tcPr>
                <w:p w14:paraId="0E7D3E69">
                  <w:pPr>
                    <w:jc w:val="center"/>
                    <w:rPr>
                      <w:szCs w:val="21"/>
                    </w:rPr>
                  </w:pPr>
                  <w:r>
                    <w:rPr>
                      <w:szCs w:val="21"/>
                    </w:rPr>
                    <w:t>运行良好</w:t>
                  </w:r>
                </w:p>
              </w:tc>
            </w:tr>
            <w:tr w14:paraId="5910D8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6A28F383">
                  <w:pPr>
                    <w:pStyle w:val="119"/>
                    <w:widowControl/>
                    <w:spacing w:beforeLines="0" w:afterLines="0" w:line="240" w:lineRule="auto"/>
                    <w:ind w:firstLine="0" w:firstLineChars="0"/>
                    <w:jc w:val="center"/>
                    <w:rPr>
                      <w:bCs/>
                      <w:sz w:val="21"/>
                      <w:szCs w:val="21"/>
                    </w:rPr>
                  </w:pPr>
                  <w:r>
                    <w:rPr>
                      <w:bCs/>
                      <w:sz w:val="21"/>
                      <w:szCs w:val="21"/>
                    </w:rPr>
                    <w:t>连轧前芯棒辅助系统</w:t>
                  </w:r>
                </w:p>
              </w:tc>
              <w:tc>
                <w:tcPr>
                  <w:tcW w:w="3097" w:type="dxa"/>
                  <w:vAlign w:val="center"/>
                </w:tcPr>
                <w:p w14:paraId="0EE7BD58">
                  <w:pPr>
                    <w:pStyle w:val="119"/>
                    <w:widowControl/>
                    <w:spacing w:beforeLines="0" w:afterLines="0" w:line="240" w:lineRule="auto"/>
                    <w:ind w:firstLine="0" w:firstLineChars="0"/>
                    <w:jc w:val="center"/>
                    <w:rPr>
                      <w:bCs/>
                      <w:sz w:val="21"/>
                      <w:szCs w:val="21"/>
                    </w:rPr>
                  </w:pPr>
                  <w:r>
                    <w:rPr>
                      <w:rFonts w:hint="eastAsia"/>
                      <w:bCs/>
                      <w:sz w:val="21"/>
                      <w:szCs w:val="21"/>
                    </w:rPr>
                    <w:t>1套</w:t>
                  </w:r>
                </w:p>
              </w:tc>
              <w:tc>
                <w:tcPr>
                  <w:tcW w:w="3097" w:type="dxa"/>
                  <w:vAlign w:val="center"/>
                </w:tcPr>
                <w:p w14:paraId="32E81584">
                  <w:pPr>
                    <w:jc w:val="center"/>
                    <w:rPr>
                      <w:szCs w:val="21"/>
                    </w:rPr>
                  </w:pPr>
                  <w:r>
                    <w:rPr>
                      <w:szCs w:val="21"/>
                    </w:rPr>
                    <w:t>运行良好</w:t>
                  </w:r>
                </w:p>
              </w:tc>
            </w:tr>
            <w:tr w14:paraId="428A6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3FA74F8C">
                  <w:pPr>
                    <w:pStyle w:val="119"/>
                    <w:widowControl/>
                    <w:spacing w:beforeLines="0" w:afterLines="0" w:line="240" w:lineRule="auto"/>
                    <w:ind w:firstLine="0" w:firstLineChars="0"/>
                    <w:jc w:val="center"/>
                    <w:rPr>
                      <w:bCs/>
                      <w:sz w:val="21"/>
                      <w:szCs w:val="21"/>
                    </w:rPr>
                  </w:pPr>
                  <w:r>
                    <w:rPr>
                      <w:bCs/>
                      <w:sz w:val="21"/>
                      <w:szCs w:val="21"/>
                    </w:rPr>
                    <w:t>芯棒预热炉</w:t>
                  </w:r>
                </w:p>
              </w:tc>
              <w:tc>
                <w:tcPr>
                  <w:tcW w:w="3097" w:type="dxa"/>
                  <w:vAlign w:val="center"/>
                </w:tcPr>
                <w:p w14:paraId="1CEDA2F0">
                  <w:pPr>
                    <w:pStyle w:val="119"/>
                    <w:widowControl/>
                    <w:spacing w:beforeLines="0" w:afterLines="0" w:line="240" w:lineRule="auto"/>
                    <w:ind w:firstLine="0" w:firstLineChars="0"/>
                    <w:jc w:val="center"/>
                    <w:rPr>
                      <w:bCs/>
                      <w:sz w:val="21"/>
                      <w:szCs w:val="21"/>
                    </w:rPr>
                  </w:pPr>
                  <w:r>
                    <w:rPr>
                      <w:bCs/>
                      <w:sz w:val="21"/>
                      <w:szCs w:val="21"/>
                    </w:rPr>
                    <w:t>1座</w:t>
                  </w:r>
                </w:p>
              </w:tc>
              <w:tc>
                <w:tcPr>
                  <w:tcW w:w="3097" w:type="dxa"/>
                  <w:vAlign w:val="center"/>
                </w:tcPr>
                <w:p w14:paraId="22593EFA">
                  <w:pPr>
                    <w:jc w:val="center"/>
                    <w:rPr>
                      <w:szCs w:val="21"/>
                    </w:rPr>
                  </w:pPr>
                  <w:r>
                    <w:rPr>
                      <w:szCs w:val="21"/>
                    </w:rPr>
                    <w:t>运行良好</w:t>
                  </w:r>
                </w:p>
              </w:tc>
            </w:tr>
            <w:tr w14:paraId="619CB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6CA681E4">
                  <w:pPr>
                    <w:pStyle w:val="119"/>
                    <w:widowControl/>
                    <w:spacing w:beforeLines="0" w:afterLines="0" w:line="240" w:lineRule="auto"/>
                    <w:ind w:firstLine="0" w:firstLineChars="0"/>
                    <w:jc w:val="center"/>
                    <w:rPr>
                      <w:bCs/>
                      <w:sz w:val="21"/>
                      <w:szCs w:val="21"/>
                    </w:rPr>
                  </w:pPr>
                  <w:r>
                    <w:rPr>
                      <w:bCs/>
                      <w:sz w:val="21"/>
                      <w:szCs w:val="21"/>
                    </w:rPr>
                    <w:t>3机架单机架传动的三辊脱管机</w:t>
                  </w:r>
                </w:p>
              </w:tc>
              <w:tc>
                <w:tcPr>
                  <w:tcW w:w="3097" w:type="dxa"/>
                  <w:vAlign w:val="center"/>
                </w:tcPr>
                <w:p w14:paraId="4E8A762C">
                  <w:pPr>
                    <w:pStyle w:val="119"/>
                    <w:widowControl/>
                    <w:spacing w:beforeLines="0" w:afterLines="0" w:line="240" w:lineRule="auto"/>
                    <w:ind w:firstLine="0" w:firstLineChars="0"/>
                    <w:jc w:val="center"/>
                    <w:rPr>
                      <w:bCs/>
                      <w:sz w:val="21"/>
                      <w:szCs w:val="21"/>
                    </w:rPr>
                  </w:pPr>
                  <w:r>
                    <w:rPr>
                      <w:bCs/>
                      <w:sz w:val="21"/>
                      <w:szCs w:val="21"/>
                    </w:rPr>
                    <w:t>1套</w:t>
                  </w:r>
                </w:p>
              </w:tc>
              <w:tc>
                <w:tcPr>
                  <w:tcW w:w="3097" w:type="dxa"/>
                  <w:vAlign w:val="center"/>
                </w:tcPr>
                <w:p w14:paraId="4D124348">
                  <w:pPr>
                    <w:jc w:val="center"/>
                    <w:rPr>
                      <w:szCs w:val="21"/>
                    </w:rPr>
                  </w:pPr>
                  <w:r>
                    <w:rPr>
                      <w:szCs w:val="21"/>
                    </w:rPr>
                    <w:t>运行良好</w:t>
                  </w:r>
                </w:p>
              </w:tc>
            </w:tr>
            <w:tr w14:paraId="64CE0F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1D781C8A">
                  <w:pPr>
                    <w:pStyle w:val="119"/>
                    <w:widowControl/>
                    <w:spacing w:beforeLines="0" w:afterLines="0" w:line="240" w:lineRule="auto"/>
                    <w:ind w:firstLine="0" w:firstLineChars="0"/>
                    <w:jc w:val="center"/>
                    <w:rPr>
                      <w:bCs/>
                      <w:sz w:val="21"/>
                      <w:szCs w:val="21"/>
                    </w:rPr>
                  </w:pPr>
                  <w:r>
                    <w:rPr>
                      <w:bCs/>
                      <w:sz w:val="21"/>
                      <w:szCs w:val="21"/>
                    </w:rPr>
                    <w:t>脱管后横移装置</w:t>
                  </w:r>
                </w:p>
              </w:tc>
              <w:tc>
                <w:tcPr>
                  <w:tcW w:w="3097" w:type="dxa"/>
                  <w:vAlign w:val="center"/>
                </w:tcPr>
                <w:p w14:paraId="0FCAF298">
                  <w:pPr>
                    <w:pStyle w:val="119"/>
                    <w:widowControl/>
                    <w:spacing w:beforeLines="0" w:afterLines="0" w:line="240" w:lineRule="auto"/>
                    <w:ind w:firstLine="0" w:firstLineChars="0"/>
                    <w:jc w:val="center"/>
                    <w:rPr>
                      <w:bCs/>
                      <w:sz w:val="21"/>
                      <w:szCs w:val="21"/>
                    </w:rPr>
                  </w:pPr>
                  <w:r>
                    <w:rPr>
                      <w:bCs/>
                      <w:sz w:val="21"/>
                      <w:szCs w:val="21"/>
                    </w:rPr>
                    <w:t>1套</w:t>
                  </w:r>
                </w:p>
              </w:tc>
              <w:tc>
                <w:tcPr>
                  <w:tcW w:w="3097" w:type="dxa"/>
                  <w:vAlign w:val="center"/>
                </w:tcPr>
                <w:p w14:paraId="34CAAAAC">
                  <w:pPr>
                    <w:jc w:val="center"/>
                    <w:rPr>
                      <w:szCs w:val="21"/>
                    </w:rPr>
                  </w:pPr>
                  <w:r>
                    <w:rPr>
                      <w:szCs w:val="21"/>
                    </w:rPr>
                    <w:t>运行良好</w:t>
                  </w:r>
                </w:p>
              </w:tc>
            </w:tr>
            <w:tr w14:paraId="4EFB30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03B2A882">
                  <w:pPr>
                    <w:pStyle w:val="119"/>
                    <w:widowControl/>
                    <w:spacing w:beforeLines="0" w:afterLines="0" w:line="240" w:lineRule="auto"/>
                    <w:ind w:firstLine="0" w:firstLineChars="0"/>
                    <w:jc w:val="center"/>
                    <w:rPr>
                      <w:bCs/>
                      <w:sz w:val="21"/>
                      <w:szCs w:val="21"/>
                    </w:rPr>
                  </w:pPr>
                  <w:r>
                    <w:rPr>
                      <w:bCs/>
                      <w:sz w:val="21"/>
                      <w:szCs w:val="21"/>
                    </w:rPr>
                    <w:t>步进式再加热炉</w:t>
                  </w:r>
                </w:p>
              </w:tc>
              <w:tc>
                <w:tcPr>
                  <w:tcW w:w="3097" w:type="dxa"/>
                  <w:vAlign w:val="center"/>
                </w:tcPr>
                <w:p w14:paraId="6769EA5B">
                  <w:pPr>
                    <w:pStyle w:val="119"/>
                    <w:widowControl/>
                    <w:spacing w:beforeLines="0" w:afterLines="0" w:line="240" w:lineRule="auto"/>
                    <w:ind w:firstLine="0" w:firstLineChars="0"/>
                    <w:jc w:val="center"/>
                    <w:rPr>
                      <w:bCs/>
                      <w:sz w:val="21"/>
                      <w:szCs w:val="21"/>
                    </w:rPr>
                  </w:pPr>
                  <w:r>
                    <w:rPr>
                      <w:bCs/>
                      <w:sz w:val="21"/>
                      <w:szCs w:val="21"/>
                    </w:rPr>
                    <w:t>1座</w:t>
                  </w:r>
                </w:p>
              </w:tc>
              <w:tc>
                <w:tcPr>
                  <w:tcW w:w="3097" w:type="dxa"/>
                  <w:vAlign w:val="center"/>
                </w:tcPr>
                <w:p w14:paraId="11589A7C">
                  <w:pPr>
                    <w:jc w:val="center"/>
                    <w:rPr>
                      <w:szCs w:val="21"/>
                    </w:rPr>
                  </w:pPr>
                  <w:r>
                    <w:rPr>
                      <w:szCs w:val="21"/>
                    </w:rPr>
                    <w:t>运行良好</w:t>
                  </w:r>
                </w:p>
              </w:tc>
            </w:tr>
            <w:tr w14:paraId="31DD08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75A8AC82">
                  <w:pPr>
                    <w:pStyle w:val="119"/>
                    <w:widowControl/>
                    <w:spacing w:beforeLines="0" w:afterLines="0" w:line="240" w:lineRule="auto"/>
                    <w:ind w:firstLine="0" w:firstLineChars="0"/>
                    <w:jc w:val="center"/>
                    <w:rPr>
                      <w:bCs/>
                      <w:sz w:val="21"/>
                      <w:szCs w:val="21"/>
                    </w:rPr>
                  </w:pPr>
                  <w:r>
                    <w:rPr>
                      <w:bCs/>
                      <w:sz w:val="21"/>
                      <w:szCs w:val="21"/>
                    </w:rPr>
                    <w:t>张减机前高压水除鳞装置</w:t>
                  </w:r>
                </w:p>
              </w:tc>
              <w:tc>
                <w:tcPr>
                  <w:tcW w:w="3097" w:type="dxa"/>
                  <w:vAlign w:val="center"/>
                </w:tcPr>
                <w:p w14:paraId="52594CA5">
                  <w:pPr>
                    <w:pStyle w:val="119"/>
                    <w:widowControl/>
                    <w:spacing w:beforeLines="0" w:afterLines="0" w:line="240" w:lineRule="auto"/>
                    <w:ind w:firstLine="0" w:firstLineChars="0"/>
                    <w:jc w:val="center"/>
                    <w:rPr>
                      <w:bCs/>
                      <w:sz w:val="21"/>
                      <w:szCs w:val="21"/>
                    </w:rPr>
                  </w:pPr>
                  <w:r>
                    <w:rPr>
                      <w:rFonts w:hint="eastAsia"/>
                      <w:bCs/>
                      <w:sz w:val="21"/>
                      <w:szCs w:val="21"/>
                    </w:rPr>
                    <w:t>1套</w:t>
                  </w:r>
                </w:p>
              </w:tc>
              <w:tc>
                <w:tcPr>
                  <w:tcW w:w="3097" w:type="dxa"/>
                  <w:vAlign w:val="center"/>
                </w:tcPr>
                <w:p w14:paraId="6D362116">
                  <w:pPr>
                    <w:jc w:val="center"/>
                    <w:rPr>
                      <w:szCs w:val="21"/>
                    </w:rPr>
                  </w:pPr>
                  <w:r>
                    <w:rPr>
                      <w:szCs w:val="21"/>
                    </w:rPr>
                    <w:t>运行良好</w:t>
                  </w:r>
                </w:p>
              </w:tc>
            </w:tr>
            <w:tr w14:paraId="1E0B9D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77A05110">
                  <w:pPr>
                    <w:pStyle w:val="119"/>
                    <w:widowControl/>
                    <w:spacing w:beforeLines="0" w:afterLines="0" w:line="240" w:lineRule="auto"/>
                    <w:ind w:firstLine="0" w:firstLineChars="0"/>
                    <w:jc w:val="center"/>
                    <w:rPr>
                      <w:bCs/>
                      <w:sz w:val="21"/>
                      <w:szCs w:val="21"/>
                    </w:rPr>
                  </w:pPr>
                  <w:r>
                    <w:rPr>
                      <w:bCs/>
                      <w:sz w:val="21"/>
                      <w:szCs w:val="21"/>
                    </w:rPr>
                    <w:t>张减机</w:t>
                  </w:r>
                </w:p>
              </w:tc>
              <w:tc>
                <w:tcPr>
                  <w:tcW w:w="3097" w:type="dxa"/>
                  <w:vAlign w:val="center"/>
                </w:tcPr>
                <w:p w14:paraId="35ED3463">
                  <w:pPr>
                    <w:pStyle w:val="119"/>
                    <w:widowControl/>
                    <w:spacing w:beforeLines="0" w:afterLines="0" w:line="240" w:lineRule="auto"/>
                    <w:ind w:firstLine="0" w:firstLineChars="0"/>
                    <w:jc w:val="center"/>
                    <w:rPr>
                      <w:bCs/>
                      <w:sz w:val="21"/>
                      <w:szCs w:val="21"/>
                    </w:rPr>
                  </w:pPr>
                  <w:r>
                    <w:rPr>
                      <w:rFonts w:hint="eastAsia"/>
                      <w:bCs/>
                      <w:sz w:val="21"/>
                      <w:szCs w:val="21"/>
                    </w:rPr>
                    <w:t>1套</w:t>
                  </w:r>
                </w:p>
              </w:tc>
              <w:tc>
                <w:tcPr>
                  <w:tcW w:w="3097" w:type="dxa"/>
                  <w:vAlign w:val="center"/>
                </w:tcPr>
                <w:p w14:paraId="0960DA10">
                  <w:pPr>
                    <w:jc w:val="center"/>
                    <w:rPr>
                      <w:szCs w:val="21"/>
                    </w:rPr>
                  </w:pPr>
                  <w:r>
                    <w:rPr>
                      <w:szCs w:val="21"/>
                    </w:rPr>
                    <w:t>运行良好</w:t>
                  </w:r>
                </w:p>
              </w:tc>
            </w:tr>
            <w:tr w14:paraId="609B3F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057DCFC7">
                  <w:pPr>
                    <w:pStyle w:val="119"/>
                    <w:widowControl/>
                    <w:spacing w:beforeLines="0" w:afterLines="0" w:line="240" w:lineRule="auto"/>
                    <w:ind w:firstLine="0" w:firstLineChars="0"/>
                    <w:jc w:val="center"/>
                    <w:rPr>
                      <w:bCs/>
                      <w:sz w:val="21"/>
                      <w:szCs w:val="21"/>
                    </w:rPr>
                  </w:pPr>
                  <w:r>
                    <w:rPr>
                      <w:bCs/>
                      <w:sz w:val="21"/>
                      <w:szCs w:val="21"/>
                    </w:rPr>
                    <w:t>步进式冷床</w:t>
                  </w:r>
                </w:p>
              </w:tc>
              <w:tc>
                <w:tcPr>
                  <w:tcW w:w="3097" w:type="dxa"/>
                  <w:vAlign w:val="center"/>
                </w:tcPr>
                <w:p w14:paraId="569D354D">
                  <w:pPr>
                    <w:pStyle w:val="119"/>
                    <w:widowControl/>
                    <w:spacing w:beforeLines="0" w:afterLines="0" w:line="240" w:lineRule="auto"/>
                    <w:ind w:firstLine="0" w:firstLineChars="0"/>
                    <w:jc w:val="center"/>
                    <w:rPr>
                      <w:bCs/>
                      <w:sz w:val="21"/>
                      <w:szCs w:val="21"/>
                    </w:rPr>
                  </w:pPr>
                  <w:r>
                    <w:rPr>
                      <w:bCs/>
                      <w:sz w:val="21"/>
                      <w:szCs w:val="21"/>
                    </w:rPr>
                    <w:t>1座</w:t>
                  </w:r>
                </w:p>
              </w:tc>
              <w:tc>
                <w:tcPr>
                  <w:tcW w:w="3097" w:type="dxa"/>
                  <w:vAlign w:val="center"/>
                </w:tcPr>
                <w:p w14:paraId="13467DA2">
                  <w:pPr>
                    <w:jc w:val="center"/>
                    <w:rPr>
                      <w:szCs w:val="21"/>
                    </w:rPr>
                  </w:pPr>
                  <w:r>
                    <w:rPr>
                      <w:szCs w:val="21"/>
                    </w:rPr>
                    <w:t>运行良好</w:t>
                  </w:r>
                </w:p>
              </w:tc>
            </w:tr>
            <w:tr w14:paraId="0CD93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76D2C68C">
                  <w:pPr>
                    <w:pStyle w:val="119"/>
                    <w:widowControl/>
                    <w:spacing w:beforeLines="0" w:afterLines="0" w:line="240" w:lineRule="auto"/>
                    <w:ind w:firstLine="0" w:firstLineChars="0"/>
                    <w:jc w:val="center"/>
                    <w:rPr>
                      <w:bCs/>
                      <w:sz w:val="21"/>
                      <w:szCs w:val="21"/>
                    </w:rPr>
                  </w:pPr>
                  <w:r>
                    <w:rPr>
                      <w:bCs/>
                      <w:sz w:val="21"/>
                      <w:szCs w:val="21"/>
                    </w:rPr>
                    <w:t>钢管分段冷锯</w:t>
                  </w:r>
                </w:p>
              </w:tc>
              <w:tc>
                <w:tcPr>
                  <w:tcW w:w="3097" w:type="dxa"/>
                  <w:vAlign w:val="center"/>
                </w:tcPr>
                <w:p w14:paraId="41F3F1AC">
                  <w:pPr>
                    <w:pStyle w:val="119"/>
                    <w:widowControl/>
                    <w:spacing w:beforeLines="0" w:afterLines="0" w:line="240" w:lineRule="auto"/>
                    <w:ind w:firstLine="0" w:firstLineChars="0"/>
                    <w:jc w:val="center"/>
                    <w:rPr>
                      <w:bCs/>
                      <w:sz w:val="21"/>
                      <w:szCs w:val="21"/>
                    </w:rPr>
                  </w:pPr>
                  <w:r>
                    <w:rPr>
                      <w:rFonts w:hint="eastAsia"/>
                      <w:bCs/>
                      <w:sz w:val="21"/>
                      <w:szCs w:val="21"/>
                    </w:rPr>
                    <w:t>2台</w:t>
                  </w:r>
                </w:p>
              </w:tc>
              <w:tc>
                <w:tcPr>
                  <w:tcW w:w="3097" w:type="dxa"/>
                  <w:vAlign w:val="center"/>
                </w:tcPr>
                <w:p w14:paraId="419F1670">
                  <w:pPr>
                    <w:jc w:val="center"/>
                    <w:rPr>
                      <w:szCs w:val="21"/>
                    </w:rPr>
                  </w:pPr>
                  <w:r>
                    <w:rPr>
                      <w:szCs w:val="21"/>
                    </w:rPr>
                    <w:t>运行良好</w:t>
                  </w:r>
                </w:p>
              </w:tc>
            </w:tr>
            <w:tr w14:paraId="1D077F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6A7526F7">
                  <w:pPr>
                    <w:pStyle w:val="119"/>
                    <w:widowControl/>
                    <w:spacing w:beforeLines="0" w:afterLines="0" w:line="240" w:lineRule="auto"/>
                    <w:ind w:firstLine="0" w:firstLineChars="0"/>
                    <w:jc w:val="center"/>
                    <w:rPr>
                      <w:bCs/>
                      <w:sz w:val="21"/>
                      <w:szCs w:val="21"/>
                    </w:rPr>
                  </w:pPr>
                  <w:r>
                    <w:rPr>
                      <w:bCs/>
                      <w:sz w:val="21"/>
                      <w:szCs w:val="21"/>
                    </w:rPr>
                    <w:t>校准站</w:t>
                  </w:r>
                </w:p>
              </w:tc>
              <w:tc>
                <w:tcPr>
                  <w:tcW w:w="3097" w:type="dxa"/>
                  <w:vAlign w:val="center"/>
                </w:tcPr>
                <w:p w14:paraId="07392E92">
                  <w:pPr>
                    <w:pStyle w:val="119"/>
                    <w:widowControl/>
                    <w:spacing w:beforeLines="0" w:afterLines="0" w:line="240" w:lineRule="auto"/>
                    <w:ind w:firstLine="0" w:firstLineChars="0"/>
                    <w:jc w:val="center"/>
                    <w:rPr>
                      <w:bCs/>
                      <w:sz w:val="21"/>
                      <w:szCs w:val="21"/>
                    </w:rPr>
                  </w:pPr>
                  <w:r>
                    <w:rPr>
                      <w:bCs/>
                      <w:sz w:val="21"/>
                      <w:szCs w:val="21"/>
                    </w:rPr>
                    <w:t>1套</w:t>
                  </w:r>
                </w:p>
              </w:tc>
              <w:tc>
                <w:tcPr>
                  <w:tcW w:w="3097" w:type="dxa"/>
                  <w:vAlign w:val="center"/>
                </w:tcPr>
                <w:p w14:paraId="0BA43B9B">
                  <w:pPr>
                    <w:jc w:val="center"/>
                    <w:rPr>
                      <w:szCs w:val="21"/>
                    </w:rPr>
                  </w:pPr>
                  <w:r>
                    <w:rPr>
                      <w:szCs w:val="21"/>
                    </w:rPr>
                    <w:t>运行良好</w:t>
                  </w:r>
                </w:p>
              </w:tc>
            </w:tr>
            <w:tr w14:paraId="70487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559CAD72">
                  <w:pPr>
                    <w:pStyle w:val="119"/>
                    <w:widowControl/>
                    <w:spacing w:beforeLines="0" w:afterLines="0" w:line="240" w:lineRule="auto"/>
                    <w:ind w:firstLine="0" w:firstLineChars="0"/>
                    <w:jc w:val="center"/>
                    <w:rPr>
                      <w:bCs/>
                      <w:sz w:val="21"/>
                      <w:szCs w:val="21"/>
                    </w:rPr>
                  </w:pPr>
                  <w:r>
                    <w:rPr>
                      <w:bCs/>
                      <w:sz w:val="21"/>
                      <w:szCs w:val="21"/>
                    </w:rPr>
                    <w:t>芯棒拧接机</w:t>
                  </w:r>
                </w:p>
              </w:tc>
              <w:tc>
                <w:tcPr>
                  <w:tcW w:w="3097" w:type="dxa"/>
                  <w:vAlign w:val="center"/>
                </w:tcPr>
                <w:p w14:paraId="26852263">
                  <w:pPr>
                    <w:pStyle w:val="119"/>
                    <w:widowControl/>
                    <w:spacing w:beforeLines="0" w:afterLines="0" w:line="240" w:lineRule="auto"/>
                    <w:ind w:firstLine="0" w:firstLineChars="0"/>
                    <w:jc w:val="center"/>
                    <w:rPr>
                      <w:bCs/>
                      <w:sz w:val="21"/>
                      <w:szCs w:val="21"/>
                    </w:rPr>
                  </w:pPr>
                  <w:r>
                    <w:rPr>
                      <w:bCs/>
                      <w:sz w:val="21"/>
                      <w:szCs w:val="21"/>
                    </w:rPr>
                    <w:t>1台</w:t>
                  </w:r>
                </w:p>
              </w:tc>
              <w:tc>
                <w:tcPr>
                  <w:tcW w:w="3097" w:type="dxa"/>
                  <w:vAlign w:val="center"/>
                </w:tcPr>
                <w:p w14:paraId="0150B854">
                  <w:pPr>
                    <w:jc w:val="center"/>
                    <w:rPr>
                      <w:szCs w:val="21"/>
                    </w:rPr>
                  </w:pPr>
                  <w:r>
                    <w:rPr>
                      <w:szCs w:val="21"/>
                    </w:rPr>
                    <w:t>运行良好</w:t>
                  </w:r>
                </w:p>
              </w:tc>
            </w:tr>
            <w:tr w14:paraId="3331BF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774AABD5">
                  <w:pPr>
                    <w:pStyle w:val="119"/>
                    <w:widowControl/>
                    <w:spacing w:beforeLines="0" w:afterLines="0" w:line="240" w:lineRule="auto"/>
                    <w:ind w:firstLine="0" w:firstLineChars="0"/>
                    <w:jc w:val="center"/>
                    <w:rPr>
                      <w:bCs/>
                      <w:sz w:val="21"/>
                      <w:szCs w:val="21"/>
                    </w:rPr>
                  </w:pPr>
                  <w:r>
                    <w:rPr>
                      <w:bCs/>
                      <w:sz w:val="21"/>
                      <w:szCs w:val="21"/>
                    </w:rPr>
                    <w:t>连轧管机轧辊数控加工机床</w:t>
                  </w:r>
                </w:p>
              </w:tc>
              <w:tc>
                <w:tcPr>
                  <w:tcW w:w="3097" w:type="dxa"/>
                  <w:vAlign w:val="center"/>
                </w:tcPr>
                <w:p w14:paraId="29EA3AD3">
                  <w:pPr>
                    <w:pStyle w:val="119"/>
                    <w:widowControl/>
                    <w:spacing w:beforeLines="0" w:afterLines="0" w:line="240" w:lineRule="auto"/>
                    <w:ind w:firstLine="0" w:firstLineChars="0"/>
                    <w:jc w:val="center"/>
                    <w:rPr>
                      <w:bCs/>
                      <w:sz w:val="21"/>
                      <w:szCs w:val="21"/>
                    </w:rPr>
                  </w:pPr>
                  <w:r>
                    <w:rPr>
                      <w:bCs/>
                      <w:sz w:val="21"/>
                      <w:szCs w:val="21"/>
                    </w:rPr>
                    <w:t>1台</w:t>
                  </w:r>
                </w:p>
              </w:tc>
              <w:tc>
                <w:tcPr>
                  <w:tcW w:w="3097" w:type="dxa"/>
                  <w:vAlign w:val="center"/>
                </w:tcPr>
                <w:p w14:paraId="5D62FF87">
                  <w:pPr>
                    <w:jc w:val="center"/>
                    <w:rPr>
                      <w:szCs w:val="21"/>
                    </w:rPr>
                  </w:pPr>
                  <w:r>
                    <w:rPr>
                      <w:szCs w:val="21"/>
                    </w:rPr>
                    <w:t>运行良好</w:t>
                  </w:r>
                </w:p>
              </w:tc>
            </w:tr>
            <w:tr w14:paraId="536065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58131883">
                  <w:pPr>
                    <w:pStyle w:val="119"/>
                    <w:widowControl/>
                    <w:spacing w:beforeLines="0" w:afterLines="0" w:line="240" w:lineRule="auto"/>
                    <w:ind w:firstLine="0" w:firstLineChars="0"/>
                    <w:jc w:val="center"/>
                    <w:rPr>
                      <w:bCs/>
                      <w:sz w:val="21"/>
                      <w:szCs w:val="21"/>
                    </w:rPr>
                  </w:pPr>
                  <w:r>
                    <w:rPr>
                      <w:bCs/>
                      <w:sz w:val="21"/>
                      <w:szCs w:val="21"/>
                    </w:rPr>
                    <w:t>预精整、热处理及精整线生产线</w:t>
                  </w:r>
                </w:p>
              </w:tc>
              <w:tc>
                <w:tcPr>
                  <w:tcW w:w="3097" w:type="dxa"/>
                  <w:vAlign w:val="center"/>
                </w:tcPr>
                <w:p w14:paraId="1712B533">
                  <w:pPr>
                    <w:pStyle w:val="119"/>
                    <w:widowControl/>
                    <w:spacing w:beforeLines="0" w:afterLines="0" w:line="240" w:lineRule="auto"/>
                    <w:ind w:firstLine="0" w:firstLineChars="0"/>
                    <w:jc w:val="center"/>
                    <w:rPr>
                      <w:bCs/>
                      <w:sz w:val="21"/>
                      <w:szCs w:val="21"/>
                    </w:rPr>
                  </w:pPr>
                  <w:r>
                    <w:rPr>
                      <w:rFonts w:hint="eastAsia"/>
                      <w:bCs/>
                      <w:sz w:val="21"/>
                      <w:szCs w:val="21"/>
                    </w:rPr>
                    <w:t>1批</w:t>
                  </w:r>
                </w:p>
              </w:tc>
              <w:tc>
                <w:tcPr>
                  <w:tcW w:w="3097" w:type="dxa"/>
                  <w:vAlign w:val="center"/>
                </w:tcPr>
                <w:p w14:paraId="2E49C828">
                  <w:pPr>
                    <w:jc w:val="center"/>
                    <w:rPr>
                      <w:szCs w:val="21"/>
                    </w:rPr>
                  </w:pPr>
                  <w:r>
                    <w:rPr>
                      <w:szCs w:val="21"/>
                    </w:rPr>
                    <w:t>运行良好</w:t>
                  </w:r>
                </w:p>
              </w:tc>
            </w:tr>
            <w:tr w14:paraId="4BB0A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291" w:type="dxa"/>
                  <w:gridSpan w:val="3"/>
                  <w:vAlign w:val="center"/>
                </w:tcPr>
                <w:p w14:paraId="3F3FFE34">
                  <w:pPr>
                    <w:widowControl/>
                    <w:jc w:val="center"/>
                    <w:rPr>
                      <w:kern w:val="0"/>
                    </w:rPr>
                  </w:pPr>
                  <w:r>
                    <w:rPr>
                      <w:b/>
                      <w:kern w:val="0"/>
                    </w:rPr>
                    <w:t>热处理线</w:t>
                  </w:r>
                </w:p>
              </w:tc>
            </w:tr>
            <w:tr w14:paraId="6A6EC8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7ADC6512">
                  <w:pPr>
                    <w:pStyle w:val="119"/>
                    <w:widowControl/>
                    <w:spacing w:beforeLines="0" w:afterLines="0" w:line="240" w:lineRule="auto"/>
                    <w:ind w:firstLine="0" w:firstLineChars="0"/>
                    <w:jc w:val="center"/>
                    <w:rPr>
                      <w:bCs/>
                      <w:sz w:val="21"/>
                      <w:szCs w:val="21"/>
                    </w:rPr>
                  </w:pPr>
                  <w:r>
                    <w:rPr>
                      <w:bCs/>
                      <w:sz w:val="21"/>
                      <w:szCs w:val="21"/>
                    </w:rPr>
                    <w:t>淬火炉</w:t>
                  </w:r>
                </w:p>
              </w:tc>
              <w:tc>
                <w:tcPr>
                  <w:tcW w:w="3097" w:type="dxa"/>
                  <w:vAlign w:val="center"/>
                </w:tcPr>
                <w:p w14:paraId="781992CC">
                  <w:pPr>
                    <w:pStyle w:val="119"/>
                    <w:widowControl/>
                    <w:spacing w:beforeLines="0" w:afterLines="0" w:line="240" w:lineRule="auto"/>
                    <w:ind w:firstLine="0" w:firstLineChars="0"/>
                    <w:jc w:val="center"/>
                    <w:rPr>
                      <w:bCs/>
                      <w:sz w:val="21"/>
                      <w:szCs w:val="21"/>
                    </w:rPr>
                  </w:pPr>
                  <w:r>
                    <w:rPr>
                      <w:bCs/>
                      <w:sz w:val="21"/>
                      <w:szCs w:val="21"/>
                    </w:rPr>
                    <w:t>1座</w:t>
                  </w:r>
                </w:p>
              </w:tc>
              <w:tc>
                <w:tcPr>
                  <w:tcW w:w="3097" w:type="dxa"/>
                  <w:vAlign w:val="center"/>
                </w:tcPr>
                <w:p w14:paraId="7C1B5B1C">
                  <w:pPr>
                    <w:jc w:val="center"/>
                    <w:rPr>
                      <w:szCs w:val="21"/>
                    </w:rPr>
                  </w:pPr>
                  <w:r>
                    <w:rPr>
                      <w:szCs w:val="21"/>
                    </w:rPr>
                    <w:t>运行良好</w:t>
                  </w:r>
                </w:p>
              </w:tc>
            </w:tr>
            <w:tr w14:paraId="4642A8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505CFE22">
                  <w:pPr>
                    <w:pStyle w:val="119"/>
                    <w:widowControl/>
                    <w:spacing w:beforeLines="0" w:afterLines="0" w:line="240" w:lineRule="auto"/>
                    <w:ind w:firstLine="0" w:firstLineChars="0"/>
                    <w:jc w:val="center"/>
                    <w:rPr>
                      <w:bCs/>
                      <w:sz w:val="21"/>
                      <w:szCs w:val="21"/>
                    </w:rPr>
                  </w:pPr>
                  <w:r>
                    <w:rPr>
                      <w:bCs/>
                      <w:sz w:val="21"/>
                      <w:szCs w:val="21"/>
                    </w:rPr>
                    <w:t>回火炉</w:t>
                  </w:r>
                </w:p>
              </w:tc>
              <w:tc>
                <w:tcPr>
                  <w:tcW w:w="3097" w:type="dxa"/>
                  <w:vAlign w:val="center"/>
                </w:tcPr>
                <w:p w14:paraId="5A114DD6">
                  <w:pPr>
                    <w:pStyle w:val="119"/>
                    <w:widowControl/>
                    <w:spacing w:beforeLines="0" w:afterLines="0" w:line="240" w:lineRule="auto"/>
                    <w:ind w:firstLine="0" w:firstLineChars="0"/>
                    <w:jc w:val="center"/>
                    <w:rPr>
                      <w:bCs/>
                      <w:sz w:val="21"/>
                      <w:szCs w:val="21"/>
                    </w:rPr>
                  </w:pPr>
                  <w:r>
                    <w:rPr>
                      <w:bCs/>
                      <w:sz w:val="21"/>
                      <w:szCs w:val="21"/>
                    </w:rPr>
                    <w:t>1座</w:t>
                  </w:r>
                </w:p>
              </w:tc>
              <w:tc>
                <w:tcPr>
                  <w:tcW w:w="3097" w:type="dxa"/>
                  <w:vAlign w:val="center"/>
                </w:tcPr>
                <w:p w14:paraId="112E78CD">
                  <w:pPr>
                    <w:jc w:val="center"/>
                    <w:rPr>
                      <w:szCs w:val="21"/>
                    </w:rPr>
                  </w:pPr>
                  <w:r>
                    <w:rPr>
                      <w:szCs w:val="21"/>
                    </w:rPr>
                    <w:t>运行良好</w:t>
                  </w:r>
                </w:p>
              </w:tc>
            </w:tr>
            <w:tr w14:paraId="5757E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5EDB2A29">
                  <w:pPr>
                    <w:pStyle w:val="119"/>
                    <w:widowControl/>
                    <w:spacing w:beforeLines="0" w:afterLines="0" w:line="240" w:lineRule="auto"/>
                    <w:ind w:firstLine="0" w:firstLineChars="0"/>
                    <w:jc w:val="center"/>
                    <w:rPr>
                      <w:bCs/>
                      <w:sz w:val="21"/>
                      <w:szCs w:val="21"/>
                    </w:rPr>
                  </w:pPr>
                  <w:r>
                    <w:rPr>
                      <w:bCs/>
                      <w:sz w:val="21"/>
                      <w:szCs w:val="21"/>
                    </w:rPr>
                    <w:t>水淬装置</w:t>
                  </w:r>
                </w:p>
              </w:tc>
              <w:tc>
                <w:tcPr>
                  <w:tcW w:w="3097" w:type="dxa"/>
                  <w:vAlign w:val="center"/>
                </w:tcPr>
                <w:p w14:paraId="3DA716F6">
                  <w:pPr>
                    <w:pStyle w:val="119"/>
                    <w:widowControl/>
                    <w:spacing w:beforeLines="0" w:afterLines="0" w:line="240" w:lineRule="auto"/>
                    <w:ind w:firstLine="0" w:firstLineChars="0"/>
                    <w:jc w:val="center"/>
                    <w:rPr>
                      <w:bCs/>
                      <w:sz w:val="21"/>
                      <w:szCs w:val="21"/>
                    </w:rPr>
                  </w:pPr>
                  <w:r>
                    <w:rPr>
                      <w:bCs/>
                      <w:sz w:val="21"/>
                      <w:szCs w:val="21"/>
                    </w:rPr>
                    <w:t>1套</w:t>
                  </w:r>
                </w:p>
              </w:tc>
              <w:tc>
                <w:tcPr>
                  <w:tcW w:w="3097" w:type="dxa"/>
                  <w:vAlign w:val="center"/>
                </w:tcPr>
                <w:p w14:paraId="393E2E61">
                  <w:pPr>
                    <w:jc w:val="center"/>
                    <w:rPr>
                      <w:szCs w:val="21"/>
                    </w:rPr>
                  </w:pPr>
                  <w:r>
                    <w:rPr>
                      <w:szCs w:val="21"/>
                    </w:rPr>
                    <w:t>运行良好</w:t>
                  </w:r>
                </w:p>
              </w:tc>
            </w:tr>
            <w:tr w14:paraId="34548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4920D2FE">
                  <w:pPr>
                    <w:pStyle w:val="119"/>
                    <w:widowControl/>
                    <w:spacing w:beforeLines="0" w:afterLines="0" w:line="240" w:lineRule="auto"/>
                    <w:ind w:firstLine="0" w:firstLineChars="0"/>
                    <w:jc w:val="center"/>
                    <w:rPr>
                      <w:bCs/>
                      <w:sz w:val="21"/>
                      <w:szCs w:val="21"/>
                    </w:rPr>
                  </w:pPr>
                  <w:r>
                    <w:rPr>
                      <w:bCs/>
                      <w:sz w:val="21"/>
                      <w:szCs w:val="21"/>
                    </w:rPr>
                    <w:t>三机架集中传动定径机</w:t>
                  </w:r>
                </w:p>
              </w:tc>
              <w:tc>
                <w:tcPr>
                  <w:tcW w:w="3097" w:type="dxa"/>
                  <w:vAlign w:val="center"/>
                </w:tcPr>
                <w:p w14:paraId="5B8EB6CF">
                  <w:pPr>
                    <w:pStyle w:val="119"/>
                    <w:widowControl/>
                    <w:spacing w:beforeLines="0" w:afterLines="0" w:line="240" w:lineRule="auto"/>
                    <w:ind w:firstLine="0" w:firstLineChars="0"/>
                    <w:jc w:val="center"/>
                    <w:rPr>
                      <w:bCs/>
                      <w:sz w:val="21"/>
                      <w:szCs w:val="21"/>
                    </w:rPr>
                  </w:pPr>
                  <w:r>
                    <w:rPr>
                      <w:bCs/>
                      <w:sz w:val="21"/>
                      <w:szCs w:val="21"/>
                    </w:rPr>
                    <w:t>1套</w:t>
                  </w:r>
                </w:p>
              </w:tc>
              <w:tc>
                <w:tcPr>
                  <w:tcW w:w="3097" w:type="dxa"/>
                  <w:vAlign w:val="center"/>
                </w:tcPr>
                <w:p w14:paraId="4F9A9265">
                  <w:pPr>
                    <w:jc w:val="center"/>
                    <w:rPr>
                      <w:szCs w:val="21"/>
                    </w:rPr>
                  </w:pPr>
                  <w:r>
                    <w:rPr>
                      <w:szCs w:val="21"/>
                    </w:rPr>
                    <w:t>运行良好</w:t>
                  </w:r>
                </w:p>
              </w:tc>
            </w:tr>
            <w:tr w14:paraId="461C7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5DC11187">
                  <w:pPr>
                    <w:pStyle w:val="119"/>
                    <w:widowControl/>
                    <w:spacing w:beforeLines="0" w:afterLines="0" w:line="240" w:lineRule="auto"/>
                    <w:ind w:firstLine="0" w:firstLineChars="0"/>
                    <w:jc w:val="center"/>
                    <w:rPr>
                      <w:bCs/>
                      <w:sz w:val="21"/>
                      <w:szCs w:val="21"/>
                    </w:rPr>
                  </w:pPr>
                  <w:r>
                    <w:rPr>
                      <w:bCs/>
                      <w:sz w:val="21"/>
                      <w:szCs w:val="21"/>
                    </w:rPr>
                    <w:t>六辊矫直机组</w:t>
                  </w:r>
                </w:p>
              </w:tc>
              <w:tc>
                <w:tcPr>
                  <w:tcW w:w="3097" w:type="dxa"/>
                  <w:vAlign w:val="center"/>
                </w:tcPr>
                <w:p w14:paraId="516A4C99">
                  <w:pPr>
                    <w:pStyle w:val="119"/>
                    <w:widowControl/>
                    <w:spacing w:beforeLines="0" w:afterLines="0" w:line="240" w:lineRule="auto"/>
                    <w:ind w:firstLine="0" w:firstLineChars="0"/>
                    <w:jc w:val="center"/>
                    <w:rPr>
                      <w:bCs/>
                      <w:sz w:val="21"/>
                      <w:szCs w:val="21"/>
                    </w:rPr>
                  </w:pPr>
                  <w:r>
                    <w:rPr>
                      <w:bCs/>
                      <w:sz w:val="21"/>
                      <w:szCs w:val="21"/>
                    </w:rPr>
                    <w:t>1套</w:t>
                  </w:r>
                </w:p>
              </w:tc>
              <w:tc>
                <w:tcPr>
                  <w:tcW w:w="3097" w:type="dxa"/>
                  <w:vAlign w:val="center"/>
                </w:tcPr>
                <w:p w14:paraId="32316BDB">
                  <w:pPr>
                    <w:jc w:val="center"/>
                    <w:rPr>
                      <w:szCs w:val="21"/>
                    </w:rPr>
                  </w:pPr>
                  <w:r>
                    <w:rPr>
                      <w:szCs w:val="21"/>
                    </w:rPr>
                    <w:t>运行良好</w:t>
                  </w:r>
                </w:p>
              </w:tc>
            </w:tr>
            <w:tr w14:paraId="6D5C8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53EAB9EE">
                  <w:pPr>
                    <w:pStyle w:val="119"/>
                    <w:widowControl/>
                    <w:spacing w:beforeLines="0" w:afterLines="0" w:line="240" w:lineRule="auto"/>
                    <w:ind w:firstLine="0" w:firstLineChars="0"/>
                    <w:jc w:val="center"/>
                    <w:rPr>
                      <w:bCs/>
                      <w:sz w:val="21"/>
                      <w:szCs w:val="21"/>
                    </w:rPr>
                  </w:pPr>
                  <w:r>
                    <w:rPr>
                      <w:bCs/>
                      <w:sz w:val="21"/>
                      <w:szCs w:val="21"/>
                    </w:rPr>
                    <w:t>改切、取样带锯</w:t>
                  </w:r>
                </w:p>
              </w:tc>
              <w:tc>
                <w:tcPr>
                  <w:tcW w:w="3097" w:type="dxa"/>
                  <w:vAlign w:val="center"/>
                </w:tcPr>
                <w:p w14:paraId="27DBCCDB">
                  <w:pPr>
                    <w:pStyle w:val="119"/>
                    <w:widowControl/>
                    <w:spacing w:beforeLines="0" w:afterLines="0" w:line="240" w:lineRule="auto"/>
                    <w:ind w:firstLine="0" w:firstLineChars="0"/>
                    <w:jc w:val="center"/>
                    <w:rPr>
                      <w:bCs/>
                      <w:sz w:val="21"/>
                      <w:szCs w:val="21"/>
                    </w:rPr>
                  </w:pPr>
                  <w:r>
                    <w:rPr>
                      <w:bCs/>
                      <w:sz w:val="21"/>
                      <w:szCs w:val="21"/>
                    </w:rPr>
                    <w:t>2套</w:t>
                  </w:r>
                </w:p>
              </w:tc>
              <w:tc>
                <w:tcPr>
                  <w:tcW w:w="3097" w:type="dxa"/>
                  <w:vAlign w:val="center"/>
                </w:tcPr>
                <w:p w14:paraId="07E93E67">
                  <w:pPr>
                    <w:jc w:val="center"/>
                    <w:rPr>
                      <w:szCs w:val="21"/>
                    </w:rPr>
                  </w:pPr>
                  <w:r>
                    <w:rPr>
                      <w:szCs w:val="21"/>
                    </w:rPr>
                    <w:t>运行良好</w:t>
                  </w:r>
                </w:p>
              </w:tc>
            </w:tr>
            <w:tr w14:paraId="3DF16F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559B26ED">
                  <w:pPr>
                    <w:pStyle w:val="119"/>
                    <w:widowControl/>
                    <w:spacing w:beforeLines="0" w:afterLines="0" w:line="240" w:lineRule="auto"/>
                    <w:ind w:firstLine="0" w:firstLineChars="0"/>
                    <w:jc w:val="center"/>
                    <w:rPr>
                      <w:bCs/>
                      <w:sz w:val="21"/>
                      <w:szCs w:val="21"/>
                    </w:rPr>
                  </w:pPr>
                  <w:r>
                    <w:rPr>
                      <w:bCs/>
                      <w:sz w:val="21"/>
                      <w:szCs w:val="21"/>
                    </w:rPr>
                    <w:t>管端探伤机组（国产）</w:t>
                  </w:r>
                </w:p>
              </w:tc>
              <w:tc>
                <w:tcPr>
                  <w:tcW w:w="3097" w:type="dxa"/>
                  <w:vAlign w:val="center"/>
                </w:tcPr>
                <w:p w14:paraId="67E039DA">
                  <w:pPr>
                    <w:pStyle w:val="119"/>
                    <w:widowControl/>
                    <w:spacing w:beforeLines="0" w:afterLines="0" w:line="240" w:lineRule="auto"/>
                    <w:ind w:firstLine="0" w:firstLineChars="0"/>
                    <w:jc w:val="center"/>
                    <w:rPr>
                      <w:bCs/>
                      <w:sz w:val="21"/>
                      <w:szCs w:val="21"/>
                    </w:rPr>
                  </w:pPr>
                  <w:r>
                    <w:rPr>
                      <w:bCs/>
                      <w:sz w:val="21"/>
                      <w:szCs w:val="21"/>
                    </w:rPr>
                    <w:t>1套</w:t>
                  </w:r>
                </w:p>
              </w:tc>
              <w:tc>
                <w:tcPr>
                  <w:tcW w:w="3097" w:type="dxa"/>
                  <w:vAlign w:val="center"/>
                </w:tcPr>
                <w:p w14:paraId="45C846F4">
                  <w:pPr>
                    <w:jc w:val="center"/>
                    <w:rPr>
                      <w:szCs w:val="21"/>
                    </w:rPr>
                  </w:pPr>
                  <w:r>
                    <w:rPr>
                      <w:szCs w:val="21"/>
                    </w:rPr>
                    <w:t>运行良好</w:t>
                  </w:r>
                </w:p>
              </w:tc>
            </w:tr>
            <w:tr w14:paraId="048CD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5E6F135D">
                  <w:pPr>
                    <w:pStyle w:val="119"/>
                    <w:widowControl/>
                    <w:spacing w:beforeLines="0" w:afterLines="0" w:line="240" w:lineRule="auto"/>
                    <w:ind w:firstLine="0" w:firstLineChars="0"/>
                    <w:jc w:val="center"/>
                    <w:rPr>
                      <w:bCs/>
                      <w:sz w:val="21"/>
                      <w:szCs w:val="21"/>
                    </w:rPr>
                  </w:pPr>
                  <w:r>
                    <w:rPr>
                      <w:bCs/>
                      <w:sz w:val="21"/>
                      <w:szCs w:val="21"/>
                    </w:rPr>
                    <w:t>水压试管机组</w:t>
                  </w:r>
                </w:p>
              </w:tc>
              <w:tc>
                <w:tcPr>
                  <w:tcW w:w="3097" w:type="dxa"/>
                  <w:vAlign w:val="center"/>
                </w:tcPr>
                <w:p w14:paraId="676ED52D">
                  <w:pPr>
                    <w:pStyle w:val="119"/>
                    <w:widowControl/>
                    <w:spacing w:beforeLines="0" w:afterLines="0" w:line="240" w:lineRule="auto"/>
                    <w:ind w:firstLine="0" w:firstLineChars="0"/>
                    <w:jc w:val="center"/>
                    <w:rPr>
                      <w:bCs/>
                      <w:sz w:val="21"/>
                      <w:szCs w:val="21"/>
                    </w:rPr>
                  </w:pPr>
                  <w:r>
                    <w:rPr>
                      <w:bCs/>
                      <w:sz w:val="21"/>
                      <w:szCs w:val="21"/>
                    </w:rPr>
                    <w:t>1套</w:t>
                  </w:r>
                </w:p>
              </w:tc>
              <w:tc>
                <w:tcPr>
                  <w:tcW w:w="3097" w:type="dxa"/>
                  <w:vAlign w:val="center"/>
                </w:tcPr>
                <w:p w14:paraId="0D2927AF">
                  <w:pPr>
                    <w:jc w:val="center"/>
                    <w:rPr>
                      <w:szCs w:val="21"/>
                    </w:rPr>
                  </w:pPr>
                  <w:r>
                    <w:rPr>
                      <w:szCs w:val="21"/>
                    </w:rPr>
                    <w:t>运行良好</w:t>
                  </w:r>
                </w:p>
              </w:tc>
            </w:tr>
            <w:tr w14:paraId="299416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08A73D56">
                  <w:pPr>
                    <w:pStyle w:val="119"/>
                    <w:widowControl/>
                    <w:spacing w:beforeLines="0" w:afterLines="0" w:line="240" w:lineRule="auto"/>
                    <w:ind w:firstLine="0" w:firstLineChars="0"/>
                    <w:jc w:val="center"/>
                    <w:rPr>
                      <w:bCs/>
                      <w:sz w:val="21"/>
                      <w:szCs w:val="21"/>
                    </w:rPr>
                  </w:pPr>
                  <w:r>
                    <w:rPr>
                      <w:bCs/>
                      <w:sz w:val="21"/>
                      <w:szCs w:val="21"/>
                    </w:rPr>
                    <w:t>喷标设备</w:t>
                  </w:r>
                </w:p>
              </w:tc>
              <w:tc>
                <w:tcPr>
                  <w:tcW w:w="3097" w:type="dxa"/>
                  <w:vAlign w:val="center"/>
                </w:tcPr>
                <w:p w14:paraId="45040EF3">
                  <w:pPr>
                    <w:pStyle w:val="119"/>
                    <w:widowControl/>
                    <w:spacing w:beforeLines="0" w:afterLines="0" w:line="240" w:lineRule="auto"/>
                    <w:ind w:firstLine="0" w:firstLineChars="0"/>
                    <w:jc w:val="center"/>
                    <w:rPr>
                      <w:bCs/>
                      <w:sz w:val="21"/>
                      <w:szCs w:val="21"/>
                    </w:rPr>
                  </w:pPr>
                  <w:r>
                    <w:rPr>
                      <w:bCs/>
                      <w:sz w:val="21"/>
                      <w:szCs w:val="21"/>
                    </w:rPr>
                    <w:t>1套</w:t>
                  </w:r>
                </w:p>
              </w:tc>
              <w:tc>
                <w:tcPr>
                  <w:tcW w:w="3097" w:type="dxa"/>
                  <w:vAlign w:val="center"/>
                </w:tcPr>
                <w:p w14:paraId="622F13B7">
                  <w:pPr>
                    <w:jc w:val="center"/>
                    <w:rPr>
                      <w:szCs w:val="21"/>
                    </w:rPr>
                  </w:pPr>
                  <w:r>
                    <w:rPr>
                      <w:szCs w:val="21"/>
                    </w:rPr>
                    <w:t>运行良好</w:t>
                  </w:r>
                </w:p>
              </w:tc>
            </w:tr>
            <w:tr w14:paraId="189AC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2AFECE49">
                  <w:pPr>
                    <w:pStyle w:val="119"/>
                    <w:widowControl/>
                    <w:spacing w:beforeLines="0" w:afterLines="0" w:line="240" w:lineRule="auto"/>
                    <w:ind w:firstLine="0" w:firstLineChars="0"/>
                    <w:jc w:val="center"/>
                    <w:rPr>
                      <w:bCs/>
                      <w:sz w:val="21"/>
                      <w:szCs w:val="21"/>
                    </w:rPr>
                  </w:pPr>
                  <w:r>
                    <w:rPr>
                      <w:bCs/>
                      <w:sz w:val="21"/>
                      <w:szCs w:val="21"/>
                    </w:rPr>
                    <w:t>管体组合探伤装置</w:t>
                  </w:r>
                </w:p>
              </w:tc>
              <w:tc>
                <w:tcPr>
                  <w:tcW w:w="3097" w:type="dxa"/>
                  <w:vAlign w:val="center"/>
                </w:tcPr>
                <w:p w14:paraId="19BC0B7E">
                  <w:pPr>
                    <w:pStyle w:val="119"/>
                    <w:widowControl/>
                    <w:spacing w:beforeLines="0" w:afterLines="0" w:line="240" w:lineRule="auto"/>
                    <w:ind w:firstLine="0" w:firstLineChars="0"/>
                    <w:jc w:val="center"/>
                    <w:rPr>
                      <w:bCs/>
                      <w:sz w:val="21"/>
                      <w:szCs w:val="21"/>
                    </w:rPr>
                  </w:pPr>
                  <w:r>
                    <w:rPr>
                      <w:bCs/>
                      <w:sz w:val="21"/>
                      <w:szCs w:val="21"/>
                    </w:rPr>
                    <w:t>1套</w:t>
                  </w:r>
                </w:p>
              </w:tc>
              <w:tc>
                <w:tcPr>
                  <w:tcW w:w="3097" w:type="dxa"/>
                  <w:vAlign w:val="center"/>
                </w:tcPr>
                <w:p w14:paraId="0F5B239D">
                  <w:pPr>
                    <w:jc w:val="center"/>
                    <w:rPr>
                      <w:szCs w:val="21"/>
                    </w:rPr>
                  </w:pPr>
                  <w:r>
                    <w:rPr>
                      <w:szCs w:val="21"/>
                    </w:rPr>
                    <w:t>运行良好</w:t>
                  </w:r>
                </w:p>
              </w:tc>
            </w:tr>
            <w:tr w14:paraId="6E78EF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6DEA1DCC">
                  <w:pPr>
                    <w:pStyle w:val="119"/>
                    <w:widowControl/>
                    <w:spacing w:beforeLines="0" w:afterLines="0" w:line="240" w:lineRule="auto"/>
                    <w:ind w:firstLine="0" w:firstLineChars="0"/>
                    <w:jc w:val="center"/>
                    <w:rPr>
                      <w:bCs/>
                      <w:sz w:val="21"/>
                      <w:szCs w:val="21"/>
                    </w:rPr>
                  </w:pPr>
                  <w:r>
                    <w:rPr>
                      <w:bCs/>
                      <w:sz w:val="21"/>
                      <w:szCs w:val="21"/>
                    </w:rPr>
                    <w:t>硬度试验机</w:t>
                  </w:r>
                </w:p>
              </w:tc>
              <w:tc>
                <w:tcPr>
                  <w:tcW w:w="3097" w:type="dxa"/>
                  <w:vAlign w:val="center"/>
                </w:tcPr>
                <w:p w14:paraId="73C2819F">
                  <w:pPr>
                    <w:pStyle w:val="119"/>
                    <w:widowControl/>
                    <w:spacing w:beforeLines="0" w:afterLines="0" w:line="240" w:lineRule="auto"/>
                    <w:ind w:firstLine="0" w:firstLineChars="0"/>
                    <w:jc w:val="center"/>
                    <w:rPr>
                      <w:bCs/>
                      <w:sz w:val="21"/>
                      <w:szCs w:val="21"/>
                    </w:rPr>
                  </w:pPr>
                  <w:r>
                    <w:rPr>
                      <w:bCs/>
                      <w:sz w:val="21"/>
                      <w:szCs w:val="21"/>
                    </w:rPr>
                    <w:t>1套</w:t>
                  </w:r>
                </w:p>
              </w:tc>
              <w:tc>
                <w:tcPr>
                  <w:tcW w:w="3097" w:type="dxa"/>
                  <w:vAlign w:val="center"/>
                </w:tcPr>
                <w:p w14:paraId="2AAF8F24">
                  <w:pPr>
                    <w:jc w:val="center"/>
                    <w:rPr>
                      <w:szCs w:val="21"/>
                    </w:rPr>
                  </w:pPr>
                  <w:r>
                    <w:rPr>
                      <w:szCs w:val="21"/>
                    </w:rPr>
                    <w:t>运行良好</w:t>
                  </w:r>
                </w:p>
              </w:tc>
            </w:tr>
            <w:tr w14:paraId="22002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62D32256">
                  <w:pPr>
                    <w:pStyle w:val="119"/>
                    <w:widowControl/>
                    <w:spacing w:beforeLines="0" w:afterLines="0" w:line="240" w:lineRule="auto"/>
                    <w:ind w:firstLine="0" w:firstLineChars="0"/>
                    <w:jc w:val="center"/>
                    <w:rPr>
                      <w:bCs/>
                      <w:sz w:val="21"/>
                      <w:szCs w:val="21"/>
                    </w:rPr>
                  </w:pPr>
                  <w:r>
                    <w:rPr>
                      <w:bCs/>
                      <w:sz w:val="21"/>
                      <w:szCs w:val="21"/>
                    </w:rPr>
                    <w:t>热处理线钢管运输非标设备</w:t>
                  </w:r>
                </w:p>
              </w:tc>
              <w:tc>
                <w:tcPr>
                  <w:tcW w:w="3097" w:type="dxa"/>
                  <w:vAlign w:val="center"/>
                </w:tcPr>
                <w:p w14:paraId="00C41E79">
                  <w:pPr>
                    <w:pStyle w:val="119"/>
                    <w:widowControl/>
                    <w:spacing w:beforeLines="0" w:afterLines="0" w:line="240" w:lineRule="auto"/>
                    <w:ind w:firstLine="0" w:firstLineChars="0"/>
                    <w:jc w:val="center"/>
                    <w:rPr>
                      <w:bCs/>
                      <w:sz w:val="21"/>
                      <w:szCs w:val="21"/>
                    </w:rPr>
                  </w:pPr>
                  <w:r>
                    <w:rPr>
                      <w:bCs/>
                      <w:sz w:val="21"/>
                      <w:szCs w:val="21"/>
                    </w:rPr>
                    <w:t>1套</w:t>
                  </w:r>
                </w:p>
              </w:tc>
              <w:tc>
                <w:tcPr>
                  <w:tcW w:w="3097" w:type="dxa"/>
                  <w:vAlign w:val="center"/>
                </w:tcPr>
                <w:p w14:paraId="2CAA6DC2">
                  <w:pPr>
                    <w:jc w:val="center"/>
                    <w:rPr>
                      <w:szCs w:val="21"/>
                    </w:rPr>
                  </w:pPr>
                  <w:r>
                    <w:rPr>
                      <w:szCs w:val="21"/>
                    </w:rPr>
                    <w:t>运行良好</w:t>
                  </w:r>
                </w:p>
              </w:tc>
            </w:tr>
            <w:tr w14:paraId="7318D9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17617400">
                  <w:pPr>
                    <w:pStyle w:val="119"/>
                    <w:widowControl/>
                    <w:spacing w:beforeLines="0" w:afterLines="0" w:line="240" w:lineRule="auto"/>
                    <w:ind w:firstLine="0" w:firstLineChars="0"/>
                    <w:jc w:val="center"/>
                    <w:rPr>
                      <w:bCs/>
                      <w:sz w:val="21"/>
                      <w:szCs w:val="21"/>
                    </w:rPr>
                  </w:pPr>
                  <w:r>
                    <w:rPr>
                      <w:bCs/>
                      <w:sz w:val="21"/>
                      <w:szCs w:val="21"/>
                    </w:rPr>
                    <w:t>热处理线电气及自动化</w:t>
                  </w:r>
                </w:p>
              </w:tc>
              <w:tc>
                <w:tcPr>
                  <w:tcW w:w="3097" w:type="dxa"/>
                  <w:vAlign w:val="center"/>
                </w:tcPr>
                <w:p w14:paraId="07FDA65B">
                  <w:pPr>
                    <w:pStyle w:val="119"/>
                    <w:widowControl/>
                    <w:spacing w:beforeLines="0" w:afterLines="0" w:line="240" w:lineRule="auto"/>
                    <w:ind w:firstLine="0" w:firstLineChars="0"/>
                    <w:jc w:val="center"/>
                    <w:rPr>
                      <w:bCs/>
                      <w:sz w:val="21"/>
                      <w:szCs w:val="21"/>
                    </w:rPr>
                  </w:pPr>
                  <w:r>
                    <w:rPr>
                      <w:bCs/>
                      <w:sz w:val="21"/>
                      <w:szCs w:val="21"/>
                    </w:rPr>
                    <w:t>1套</w:t>
                  </w:r>
                </w:p>
              </w:tc>
              <w:tc>
                <w:tcPr>
                  <w:tcW w:w="3097" w:type="dxa"/>
                  <w:vAlign w:val="center"/>
                </w:tcPr>
                <w:p w14:paraId="7E807C49">
                  <w:pPr>
                    <w:jc w:val="center"/>
                    <w:rPr>
                      <w:szCs w:val="21"/>
                    </w:rPr>
                  </w:pPr>
                  <w:r>
                    <w:rPr>
                      <w:szCs w:val="21"/>
                    </w:rPr>
                    <w:t>运行良好</w:t>
                  </w:r>
                </w:p>
              </w:tc>
            </w:tr>
            <w:tr w14:paraId="23C8F7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7057FB0A">
                  <w:pPr>
                    <w:pStyle w:val="119"/>
                    <w:widowControl/>
                    <w:spacing w:beforeLines="0" w:afterLines="0" w:line="240" w:lineRule="auto"/>
                    <w:ind w:firstLine="0" w:firstLineChars="0"/>
                    <w:jc w:val="center"/>
                    <w:rPr>
                      <w:bCs/>
                      <w:sz w:val="21"/>
                      <w:szCs w:val="21"/>
                    </w:rPr>
                  </w:pPr>
                  <w:r>
                    <w:rPr>
                      <w:bCs/>
                      <w:sz w:val="21"/>
                      <w:szCs w:val="21"/>
                    </w:rPr>
                    <w:t>通风及热力设备</w:t>
                  </w:r>
                </w:p>
              </w:tc>
              <w:tc>
                <w:tcPr>
                  <w:tcW w:w="3097" w:type="dxa"/>
                  <w:vAlign w:val="center"/>
                </w:tcPr>
                <w:p w14:paraId="493B7530">
                  <w:pPr>
                    <w:pStyle w:val="119"/>
                    <w:widowControl/>
                    <w:spacing w:beforeLines="0" w:afterLines="0" w:line="240" w:lineRule="auto"/>
                    <w:ind w:firstLine="0" w:firstLineChars="0"/>
                    <w:jc w:val="center"/>
                    <w:rPr>
                      <w:bCs/>
                      <w:sz w:val="21"/>
                      <w:szCs w:val="21"/>
                    </w:rPr>
                  </w:pPr>
                  <w:r>
                    <w:rPr>
                      <w:bCs/>
                      <w:sz w:val="21"/>
                      <w:szCs w:val="21"/>
                    </w:rPr>
                    <w:t>1套</w:t>
                  </w:r>
                </w:p>
              </w:tc>
              <w:tc>
                <w:tcPr>
                  <w:tcW w:w="3097" w:type="dxa"/>
                  <w:vAlign w:val="center"/>
                </w:tcPr>
                <w:p w14:paraId="4042C74F">
                  <w:pPr>
                    <w:jc w:val="center"/>
                    <w:rPr>
                      <w:szCs w:val="21"/>
                    </w:rPr>
                  </w:pPr>
                  <w:r>
                    <w:rPr>
                      <w:szCs w:val="21"/>
                    </w:rPr>
                    <w:t>运行良好</w:t>
                  </w:r>
                </w:p>
              </w:tc>
            </w:tr>
            <w:tr w14:paraId="0BEFA9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029AD2B6">
                  <w:pPr>
                    <w:pStyle w:val="119"/>
                    <w:widowControl/>
                    <w:spacing w:beforeLines="0" w:afterLines="0" w:line="240" w:lineRule="auto"/>
                    <w:ind w:firstLine="0" w:firstLineChars="0"/>
                    <w:jc w:val="center"/>
                    <w:rPr>
                      <w:bCs/>
                      <w:sz w:val="21"/>
                      <w:szCs w:val="21"/>
                    </w:rPr>
                  </w:pPr>
                  <w:r>
                    <w:rPr>
                      <w:bCs/>
                      <w:sz w:val="21"/>
                      <w:szCs w:val="21"/>
                    </w:rPr>
                    <w:t>水系统（给排水）</w:t>
                  </w:r>
                </w:p>
              </w:tc>
              <w:tc>
                <w:tcPr>
                  <w:tcW w:w="3097" w:type="dxa"/>
                  <w:vAlign w:val="center"/>
                </w:tcPr>
                <w:p w14:paraId="7536B367">
                  <w:pPr>
                    <w:pStyle w:val="119"/>
                    <w:widowControl/>
                    <w:spacing w:beforeLines="0" w:afterLines="0" w:line="240" w:lineRule="auto"/>
                    <w:ind w:firstLine="0" w:firstLineChars="0"/>
                    <w:jc w:val="center"/>
                    <w:rPr>
                      <w:bCs/>
                      <w:sz w:val="21"/>
                      <w:szCs w:val="21"/>
                    </w:rPr>
                  </w:pPr>
                  <w:r>
                    <w:rPr>
                      <w:bCs/>
                      <w:sz w:val="21"/>
                      <w:szCs w:val="21"/>
                    </w:rPr>
                    <w:t>1套</w:t>
                  </w:r>
                </w:p>
              </w:tc>
              <w:tc>
                <w:tcPr>
                  <w:tcW w:w="3097" w:type="dxa"/>
                  <w:vAlign w:val="center"/>
                </w:tcPr>
                <w:p w14:paraId="13C978C6">
                  <w:pPr>
                    <w:jc w:val="center"/>
                    <w:rPr>
                      <w:szCs w:val="21"/>
                    </w:rPr>
                  </w:pPr>
                  <w:r>
                    <w:rPr>
                      <w:szCs w:val="21"/>
                    </w:rPr>
                    <w:t>运行良好</w:t>
                  </w:r>
                </w:p>
              </w:tc>
            </w:tr>
            <w:tr w14:paraId="31BA3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0EED2402">
                  <w:pPr>
                    <w:pStyle w:val="119"/>
                    <w:widowControl/>
                    <w:spacing w:beforeLines="0" w:afterLines="0" w:line="240" w:lineRule="auto"/>
                    <w:ind w:firstLine="0" w:firstLineChars="0"/>
                    <w:jc w:val="center"/>
                    <w:rPr>
                      <w:bCs/>
                      <w:sz w:val="21"/>
                      <w:szCs w:val="21"/>
                    </w:rPr>
                  </w:pPr>
                  <w:r>
                    <w:rPr>
                      <w:bCs/>
                      <w:sz w:val="21"/>
                      <w:szCs w:val="21"/>
                    </w:rPr>
                    <w:t>液压润滑</w:t>
                  </w:r>
                </w:p>
              </w:tc>
              <w:tc>
                <w:tcPr>
                  <w:tcW w:w="3097" w:type="dxa"/>
                  <w:vAlign w:val="center"/>
                </w:tcPr>
                <w:p w14:paraId="4E82B2FA">
                  <w:pPr>
                    <w:pStyle w:val="119"/>
                    <w:widowControl/>
                    <w:spacing w:beforeLines="0" w:afterLines="0" w:line="240" w:lineRule="auto"/>
                    <w:ind w:firstLine="0" w:firstLineChars="0"/>
                    <w:jc w:val="center"/>
                    <w:rPr>
                      <w:bCs/>
                      <w:sz w:val="21"/>
                      <w:szCs w:val="21"/>
                    </w:rPr>
                  </w:pPr>
                  <w:r>
                    <w:rPr>
                      <w:bCs/>
                      <w:sz w:val="21"/>
                      <w:szCs w:val="21"/>
                    </w:rPr>
                    <w:t>1套</w:t>
                  </w:r>
                </w:p>
              </w:tc>
              <w:tc>
                <w:tcPr>
                  <w:tcW w:w="3097" w:type="dxa"/>
                  <w:vAlign w:val="center"/>
                </w:tcPr>
                <w:p w14:paraId="70A28F63">
                  <w:pPr>
                    <w:jc w:val="center"/>
                    <w:rPr>
                      <w:szCs w:val="21"/>
                    </w:rPr>
                  </w:pPr>
                  <w:r>
                    <w:rPr>
                      <w:szCs w:val="21"/>
                    </w:rPr>
                    <w:t>运行良好</w:t>
                  </w:r>
                </w:p>
              </w:tc>
            </w:tr>
            <w:tr w14:paraId="37242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47A2DB1D">
                  <w:pPr>
                    <w:pStyle w:val="119"/>
                    <w:widowControl/>
                    <w:spacing w:beforeLines="0" w:afterLines="0" w:line="240" w:lineRule="auto"/>
                    <w:ind w:firstLine="0" w:firstLineChars="0"/>
                    <w:jc w:val="center"/>
                    <w:rPr>
                      <w:bCs/>
                      <w:sz w:val="21"/>
                      <w:szCs w:val="21"/>
                    </w:rPr>
                  </w:pPr>
                  <w:r>
                    <w:rPr>
                      <w:bCs/>
                      <w:sz w:val="21"/>
                      <w:szCs w:val="21"/>
                    </w:rPr>
                    <w:t>燃气管线</w:t>
                  </w:r>
                </w:p>
              </w:tc>
              <w:tc>
                <w:tcPr>
                  <w:tcW w:w="3097" w:type="dxa"/>
                  <w:vAlign w:val="center"/>
                </w:tcPr>
                <w:p w14:paraId="65405FF7">
                  <w:pPr>
                    <w:pStyle w:val="119"/>
                    <w:widowControl/>
                    <w:spacing w:beforeLines="0" w:afterLines="0" w:line="240" w:lineRule="auto"/>
                    <w:ind w:firstLine="0" w:firstLineChars="0"/>
                    <w:jc w:val="center"/>
                    <w:rPr>
                      <w:bCs/>
                      <w:sz w:val="21"/>
                      <w:szCs w:val="21"/>
                    </w:rPr>
                  </w:pPr>
                  <w:r>
                    <w:rPr>
                      <w:bCs/>
                      <w:sz w:val="21"/>
                      <w:szCs w:val="21"/>
                    </w:rPr>
                    <w:t>1套</w:t>
                  </w:r>
                </w:p>
              </w:tc>
              <w:tc>
                <w:tcPr>
                  <w:tcW w:w="3097" w:type="dxa"/>
                  <w:vAlign w:val="center"/>
                </w:tcPr>
                <w:p w14:paraId="5BAD706C">
                  <w:pPr>
                    <w:jc w:val="center"/>
                    <w:rPr>
                      <w:szCs w:val="21"/>
                    </w:rPr>
                  </w:pPr>
                  <w:r>
                    <w:rPr>
                      <w:szCs w:val="21"/>
                    </w:rPr>
                    <w:t>运行良好</w:t>
                  </w:r>
                </w:p>
              </w:tc>
            </w:tr>
            <w:tr w14:paraId="4405C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5BCB0531">
                  <w:pPr>
                    <w:pStyle w:val="119"/>
                    <w:widowControl/>
                    <w:spacing w:beforeLines="0" w:afterLines="0" w:line="240" w:lineRule="auto"/>
                    <w:ind w:firstLine="0" w:firstLineChars="0"/>
                    <w:jc w:val="center"/>
                    <w:rPr>
                      <w:bCs/>
                      <w:sz w:val="21"/>
                      <w:szCs w:val="21"/>
                    </w:rPr>
                  </w:pPr>
                  <w:r>
                    <w:rPr>
                      <w:bCs/>
                      <w:sz w:val="21"/>
                      <w:szCs w:val="21"/>
                    </w:rPr>
                    <w:t>外部供电</w:t>
                  </w:r>
                </w:p>
              </w:tc>
              <w:tc>
                <w:tcPr>
                  <w:tcW w:w="3097" w:type="dxa"/>
                  <w:vAlign w:val="center"/>
                </w:tcPr>
                <w:p w14:paraId="0B1C4EBF">
                  <w:pPr>
                    <w:pStyle w:val="119"/>
                    <w:widowControl/>
                    <w:spacing w:beforeLines="0" w:afterLines="0" w:line="240" w:lineRule="auto"/>
                    <w:ind w:firstLine="0" w:firstLineChars="0"/>
                    <w:jc w:val="center"/>
                    <w:rPr>
                      <w:bCs/>
                      <w:sz w:val="21"/>
                      <w:szCs w:val="21"/>
                    </w:rPr>
                  </w:pPr>
                  <w:r>
                    <w:rPr>
                      <w:bCs/>
                      <w:sz w:val="21"/>
                      <w:szCs w:val="21"/>
                    </w:rPr>
                    <w:t>1套</w:t>
                  </w:r>
                </w:p>
              </w:tc>
              <w:tc>
                <w:tcPr>
                  <w:tcW w:w="3097" w:type="dxa"/>
                  <w:vAlign w:val="center"/>
                </w:tcPr>
                <w:p w14:paraId="2E0BF3F1">
                  <w:pPr>
                    <w:jc w:val="center"/>
                    <w:rPr>
                      <w:szCs w:val="21"/>
                    </w:rPr>
                  </w:pPr>
                  <w:r>
                    <w:rPr>
                      <w:szCs w:val="21"/>
                    </w:rPr>
                    <w:t>运行良好</w:t>
                  </w:r>
                </w:p>
              </w:tc>
            </w:tr>
            <w:tr w14:paraId="33718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70E9BDCF">
                  <w:pPr>
                    <w:pStyle w:val="119"/>
                    <w:widowControl/>
                    <w:spacing w:beforeLines="0" w:afterLines="0" w:line="240" w:lineRule="auto"/>
                    <w:ind w:firstLine="0" w:firstLineChars="0"/>
                    <w:jc w:val="center"/>
                    <w:rPr>
                      <w:bCs/>
                      <w:sz w:val="21"/>
                      <w:szCs w:val="21"/>
                    </w:rPr>
                  </w:pPr>
                  <w:r>
                    <w:rPr>
                      <w:bCs/>
                      <w:sz w:val="21"/>
                      <w:szCs w:val="21"/>
                    </w:rPr>
                    <w:t>公辅管网</w:t>
                  </w:r>
                </w:p>
              </w:tc>
              <w:tc>
                <w:tcPr>
                  <w:tcW w:w="3097" w:type="dxa"/>
                  <w:vAlign w:val="center"/>
                </w:tcPr>
                <w:p w14:paraId="4C07C523">
                  <w:pPr>
                    <w:pStyle w:val="119"/>
                    <w:widowControl/>
                    <w:spacing w:beforeLines="0" w:afterLines="0" w:line="240" w:lineRule="auto"/>
                    <w:ind w:firstLine="0" w:firstLineChars="0"/>
                    <w:jc w:val="center"/>
                    <w:rPr>
                      <w:bCs/>
                      <w:sz w:val="21"/>
                      <w:szCs w:val="21"/>
                    </w:rPr>
                  </w:pPr>
                  <w:r>
                    <w:rPr>
                      <w:bCs/>
                      <w:sz w:val="21"/>
                      <w:szCs w:val="21"/>
                    </w:rPr>
                    <w:t>1套</w:t>
                  </w:r>
                </w:p>
              </w:tc>
              <w:tc>
                <w:tcPr>
                  <w:tcW w:w="3097" w:type="dxa"/>
                  <w:vAlign w:val="center"/>
                </w:tcPr>
                <w:p w14:paraId="535899BD">
                  <w:pPr>
                    <w:jc w:val="center"/>
                    <w:rPr>
                      <w:szCs w:val="21"/>
                    </w:rPr>
                  </w:pPr>
                  <w:r>
                    <w:rPr>
                      <w:szCs w:val="21"/>
                    </w:rPr>
                    <w:t>运行良好</w:t>
                  </w:r>
                </w:p>
              </w:tc>
            </w:tr>
            <w:tr w14:paraId="72F37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32CEA6B4">
                  <w:pPr>
                    <w:pStyle w:val="119"/>
                    <w:widowControl/>
                    <w:spacing w:beforeLines="0" w:afterLines="0" w:line="240" w:lineRule="auto"/>
                    <w:ind w:firstLine="0" w:firstLineChars="0"/>
                    <w:jc w:val="center"/>
                    <w:rPr>
                      <w:bCs/>
                      <w:sz w:val="21"/>
                      <w:szCs w:val="21"/>
                    </w:rPr>
                  </w:pPr>
                  <w:r>
                    <w:rPr>
                      <w:bCs/>
                      <w:sz w:val="21"/>
                      <w:szCs w:val="21"/>
                    </w:rPr>
                    <w:t>起重设备</w:t>
                  </w:r>
                </w:p>
              </w:tc>
              <w:tc>
                <w:tcPr>
                  <w:tcW w:w="3097" w:type="dxa"/>
                  <w:vAlign w:val="center"/>
                </w:tcPr>
                <w:p w14:paraId="378DD6B8">
                  <w:pPr>
                    <w:pStyle w:val="119"/>
                    <w:widowControl/>
                    <w:spacing w:beforeLines="0" w:afterLines="0" w:line="240" w:lineRule="auto"/>
                    <w:ind w:firstLine="0" w:firstLineChars="0"/>
                    <w:jc w:val="center"/>
                    <w:rPr>
                      <w:bCs/>
                      <w:sz w:val="21"/>
                      <w:szCs w:val="21"/>
                    </w:rPr>
                  </w:pPr>
                  <w:r>
                    <w:rPr>
                      <w:bCs/>
                      <w:sz w:val="21"/>
                      <w:szCs w:val="21"/>
                    </w:rPr>
                    <w:t>1套</w:t>
                  </w:r>
                </w:p>
              </w:tc>
              <w:tc>
                <w:tcPr>
                  <w:tcW w:w="3097" w:type="dxa"/>
                  <w:vAlign w:val="center"/>
                </w:tcPr>
                <w:p w14:paraId="7FFE9EDD">
                  <w:pPr>
                    <w:jc w:val="center"/>
                    <w:rPr>
                      <w:szCs w:val="21"/>
                    </w:rPr>
                  </w:pPr>
                  <w:r>
                    <w:rPr>
                      <w:szCs w:val="21"/>
                    </w:rPr>
                    <w:t>运行良好</w:t>
                  </w:r>
                </w:p>
              </w:tc>
            </w:tr>
            <w:tr w14:paraId="14A97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097" w:type="dxa"/>
                  <w:vAlign w:val="center"/>
                </w:tcPr>
                <w:p w14:paraId="3D731059">
                  <w:pPr>
                    <w:pStyle w:val="119"/>
                    <w:widowControl/>
                    <w:spacing w:beforeLines="0" w:afterLines="0" w:line="240" w:lineRule="auto"/>
                    <w:ind w:firstLine="0" w:firstLineChars="0"/>
                    <w:jc w:val="center"/>
                    <w:rPr>
                      <w:bCs/>
                      <w:sz w:val="21"/>
                      <w:szCs w:val="21"/>
                    </w:rPr>
                  </w:pPr>
                  <w:r>
                    <w:rPr>
                      <w:bCs/>
                      <w:sz w:val="21"/>
                      <w:szCs w:val="21"/>
                    </w:rPr>
                    <w:t>消防及火灾报警设施</w:t>
                  </w:r>
                </w:p>
              </w:tc>
              <w:tc>
                <w:tcPr>
                  <w:tcW w:w="3097" w:type="dxa"/>
                  <w:vAlign w:val="center"/>
                </w:tcPr>
                <w:p w14:paraId="5A92375B">
                  <w:pPr>
                    <w:pStyle w:val="119"/>
                    <w:widowControl/>
                    <w:spacing w:beforeLines="0" w:afterLines="0" w:line="240" w:lineRule="auto"/>
                    <w:ind w:firstLine="0" w:firstLineChars="0"/>
                    <w:jc w:val="center"/>
                    <w:rPr>
                      <w:bCs/>
                      <w:sz w:val="21"/>
                      <w:szCs w:val="21"/>
                    </w:rPr>
                  </w:pPr>
                  <w:r>
                    <w:rPr>
                      <w:bCs/>
                      <w:sz w:val="21"/>
                      <w:szCs w:val="21"/>
                    </w:rPr>
                    <w:t>1套</w:t>
                  </w:r>
                </w:p>
              </w:tc>
              <w:tc>
                <w:tcPr>
                  <w:tcW w:w="3097" w:type="dxa"/>
                  <w:vAlign w:val="center"/>
                </w:tcPr>
                <w:p w14:paraId="3DF8E573">
                  <w:pPr>
                    <w:jc w:val="center"/>
                    <w:rPr>
                      <w:szCs w:val="21"/>
                    </w:rPr>
                  </w:pPr>
                  <w:r>
                    <w:rPr>
                      <w:szCs w:val="21"/>
                    </w:rPr>
                    <w:t>运行良好</w:t>
                  </w:r>
                </w:p>
              </w:tc>
            </w:tr>
          </w:tbl>
          <w:p w14:paraId="087D650E">
            <w:pPr>
              <w:spacing w:line="360" w:lineRule="auto"/>
              <w:ind w:firstLine="482" w:firstLineChars="200"/>
              <w:rPr>
                <w:b/>
                <w:sz w:val="24"/>
              </w:rPr>
            </w:pPr>
            <w:r>
              <w:rPr>
                <w:rFonts w:hint="eastAsia"/>
                <w:b/>
                <w:sz w:val="24"/>
              </w:rPr>
              <w:t>5、公用工程</w:t>
            </w:r>
          </w:p>
          <w:p w14:paraId="7C446457">
            <w:pPr>
              <w:pStyle w:val="30"/>
              <w:adjustRightInd w:val="0"/>
              <w:snapToGrid w:val="0"/>
              <w:spacing w:after="0" w:line="360" w:lineRule="auto"/>
              <w:ind w:firstLine="482" w:firstLineChars="200"/>
              <w:rPr>
                <w:rFonts w:ascii="Times New Roman" w:hAnsi="Times New Roman"/>
                <w:b/>
                <w:sz w:val="24"/>
              </w:rPr>
            </w:pPr>
            <w:r>
              <w:rPr>
                <w:rFonts w:hint="eastAsia" w:ascii="Times New Roman" w:hAnsi="Times New Roman"/>
                <w:b/>
                <w:sz w:val="24"/>
              </w:rPr>
              <w:t>（1）给排水</w:t>
            </w:r>
          </w:p>
          <w:p w14:paraId="7A497E6E">
            <w:pPr>
              <w:pStyle w:val="30"/>
              <w:adjustRightInd w:val="0"/>
              <w:snapToGrid w:val="0"/>
              <w:spacing w:after="0" w:line="360" w:lineRule="auto"/>
              <w:ind w:firstLine="482" w:firstLineChars="200"/>
              <w:rPr>
                <w:rFonts w:ascii="Times New Roman" w:hAnsi="Times New Roman"/>
                <w:b/>
                <w:sz w:val="24"/>
              </w:rPr>
            </w:pPr>
            <w:r>
              <w:rPr>
                <w:rFonts w:hint="eastAsia" w:ascii="Times New Roman" w:hAnsi="Times New Roman"/>
                <w:b/>
                <w:sz w:val="24"/>
              </w:rPr>
              <w:t>给水：</w:t>
            </w:r>
            <w:r>
              <w:rPr>
                <w:rFonts w:hint="eastAsia" w:ascii="Times New Roman" w:hAnsi="Times New Roman"/>
                <w:sz w:val="24"/>
              </w:rPr>
              <w:t>现有工程生产生活用水仍由市政管网统一供给。</w:t>
            </w:r>
          </w:p>
          <w:p w14:paraId="0FE3051B">
            <w:pPr>
              <w:pStyle w:val="30"/>
              <w:adjustRightInd w:val="0"/>
              <w:snapToGrid w:val="0"/>
              <w:spacing w:after="0" w:line="360" w:lineRule="auto"/>
              <w:ind w:firstLine="458" w:firstLineChars="200"/>
              <w:rPr>
                <w:rFonts w:ascii="Times New Roman" w:hAnsi="Times New Roman"/>
                <w:spacing w:val="-6"/>
                <w:sz w:val="24"/>
              </w:rPr>
            </w:pPr>
            <w:r>
              <w:rPr>
                <w:rFonts w:hint="eastAsia" w:ascii="Times New Roman" w:hAnsi="Times New Roman"/>
                <w:b/>
                <w:spacing w:val="-6"/>
                <w:sz w:val="24"/>
              </w:rPr>
              <w:t>排水：</w:t>
            </w:r>
            <w:r>
              <w:rPr>
                <w:rFonts w:hint="eastAsia" w:ascii="Times New Roman" w:hAnsi="Times New Roman"/>
                <w:spacing w:val="-6"/>
                <w:sz w:val="24"/>
              </w:rPr>
              <w:t>现有工程实施雨污分流，雨水经雨水管沟排入衡钢公司雨水管网；生活污水经化粪池预处理后进入衡钢东区污水处理站。</w:t>
            </w:r>
          </w:p>
          <w:p w14:paraId="301BC568">
            <w:pPr>
              <w:pStyle w:val="30"/>
              <w:adjustRightInd w:val="0"/>
              <w:snapToGrid w:val="0"/>
              <w:spacing w:after="0" w:line="360" w:lineRule="auto"/>
              <w:ind w:firstLine="456" w:firstLineChars="200"/>
              <w:rPr>
                <w:rFonts w:ascii="Times New Roman" w:hAnsi="Times New Roman"/>
                <w:spacing w:val="-6"/>
                <w:sz w:val="24"/>
              </w:rPr>
            </w:pPr>
            <w:r>
              <w:rPr>
                <w:rFonts w:hint="eastAsia" w:ascii="Times New Roman" w:hAnsi="Times New Roman"/>
                <w:spacing w:val="-6"/>
                <w:sz w:val="24"/>
              </w:rPr>
              <w:t>热轧生产线包含净环水系统、浊环水系统。净环水经冷却处理后循环使用，系统强制排污水进入浊环水系统；浊环水经隔油、沉淀、冷却处理后大部分循环使用，少部分排至衡钢东区污水处理站，净环水反冲洗废水经砂石过滤器处理后回用至浊环水系统。</w:t>
            </w:r>
          </w:p>
          <w:p w14:paraId="20D852B3">
            <w:pPr>
              <w:pStyle w:val="30"/>
              <w:adjustRightInd w:val="0"/>
              <w:snapToGrid w:val="0"/>
              <w:spacing w:after="0" w:line="360" w:lineRule="auto"/>
              <w:ind w:firstLine="456" w:firstLineChars="200"/>
              <w:rPr>
                <w:rFonts w:ascii="Times New Roman" w:hAnsi="Times New Roman"/>
                <w:b/>
                <w:spacing w:val="-6"/>
                <w:sz w:val="24"/>
              </w:rPr>
            </w:pPr>
            <w:r>
              <w:rPr>
                <w:rFonts w:hint="eastAsia" w:ascii="Times New Roman" w:hAnsi="Times New Roman"/>
                <w:spacing w:val="-6"/>
                <w:sz w:val="24"/>
              </w:rPr>
              <w:t>热处理生产线包含净环水系统、浊环水系统、淬火水系统、事故安全水系统。其中事故安全水系统利用现有89机组设施。净环水系统依托现有净环水系统，净环水经冷却处理后循环使用，系统强制排污水进入浊环水系统；浊环水系统和淬火水系统用水水质要求相近，合并废水一道进入环水、淬火水混合处理系统，经隔油、沉淀、冷却处理后大部分循环使用，少部分排至衡钢东区污水处理站，净环水反冲洗废水经砂石过滤处理后回用至浊环水系统。</w:t>
            </w:r>
          </w:p>
          <w:p w14:paraId="5AC72BEE">
            <w:pPr>
              <w:pStyle w:val="30"/>
              <w:adjustRightInd w:val="0"/>
              <w:snapToGrid w:val="0"/>
              <w:spacing w:after="0" w:line="360" w:lineRule="auto"/>
              <w:ind w:firstLine="458" w:firstLineChars="200"/>
              <w:rPr>
                <w:rFonts w:ascii="Times New Roman" w:hAnsi="Times New Roman"/>
                <w:b/>
                <w:spacing w:val="-6"/>
                <w:sz w:val="24"/>
              </w:rPr>
            </w:pPr>
            <w:r>
              <w:rPr>
                <w:rFonts w:hint="eastAsia" w:ascii="Times New Roman" w:hAnsi="Times New Roman"/>
                <w:b/>
                <w:spacing w:val="-6"/>
                <w:sz w:val="24"/>
              </w:rPr>
              <w:t>（2）供电</w:t>
            </w:r>
          </w:p>
          <w:p w14:paraId="47E23EDE">
            <w:pPr>
              <w:pStyle w:val="30"/>
              <w:adjustRightInd w:val="0"/>
              <w:snapToGrid w:val="0"/>
              <w:spacing w:after="0" w:line="360" w:lineRule="auto"/>
              <w:ind w:firstLine="456" w:firstLineChars="200"/>
              <w:rPr>
                <w:rFonts w:ascii="Times New Roman" w:hAnsi="Times New Roman"/>
                <w:spacing w:val="-6"/>
                <w:sz w:val="24"/>
              </w:rPr>
            </w:pPr>
            <w:r>
              <w:rPr>
                <w:rFonts w:hint="eastAsia"/>
                <w:spacing w:val="-6"/>
                <w:sz w:val="24"/>
              </w:rPr>
              <w:t>现有工程</w:t>
            </w:r>
            <w:r>
              <w:rPr>
                <w:rFonts w:hint="eastAsia" w:ascii="Times New Roman" w:hAnsi="Times New Roman"/>
                <w:spacing w:val="-6"/>
                <w:sz w:val="24"/>
              </w:rPr>
              <w:t>用电由市政电网接入。</w:t>
            </w:r>
          </w:p>
          <w:p w14:paraId="33C7522C">
            <w:pPr>
              <w:pStyle w:val="30"/>
              <w:adjustRightInd w:val="0"/>
              <w:snapToGrid w:val="0"/>
              <w:spacing w:after="0" w:line="360" w:lineRule="auto"/>
              <w:ind w:firstLine="458" w:firstLineChars="200"/>
              <w:rPr>
                <w:rFonts w:ascii="Times New Roman" w:hAnsi="Times New Roman"/>
                <w:b/>
                <w:spacing w:val="-6"/>
                <w:sz w:val="24"/>
              </w:rPr>
            </w:pPr>
            <w:r>
              <w:rPr>
                <w:rFonts w:hint="eastAsia" w:ascii="Times New Roman" w:hAnsi="Times New Roman"/>
                <w:b/>
                <w:spacing w:val="-6"/>
                <w:sz w:val="24"/>
              </w:rPr>
              <w:t>（3）供气</w:t>
            </w:r>
          </w:p>
          <w:p w14:paraId="34F20CF9">
            <w:pPr>
              <w:pStyle w:val="30"/>
              <w:adjustRightInd w:val="0"/>
              <w:snapToGrid w:val="0"/>
              <w:spacing w:after="0" w:line="360" w:lineRule="auto"/>
              <w:ind w:firstLine="456" w:firstLineChars="200"/>
              <w:rPr>
                <w:rFonts w:ascii="Times New Roman" w:hAnsi="Times New Roman"/>
                <w:spacing w:val="-6"/>
                <w:sz w:val="24"/>
              </w:rPr>
            </w:pPr>
            <w:r>
              <w:rPr>
                <w:rFonts w:hint="eastAsia"/>
                <w:spacing w:val="-6"/>
                <w:sz w:val="24"/>
              </w:rPr>
              <w:t>现有工程</w:t>
            </w:r>
            <w:r>
              <w:rPr>
                <w:rFonts w:hint="eastAsia" w:ascii="Times New Roman" w:hAnsi="Times New Roman"/>
                <w:spacing w:val="-6"/>
                <w:sz w:val="24"/>
              </w:rPr>
              <w:t>高炉煤气由衡钢集团高炉煤气站供给，天然气由市政供气。</w:t>
            </w:r>
          </w:p>
          <w:p w14:paraId="79A42486">
            <w:pPr>
              <w:spacing w:line="360" w:lineRule="auto"/>
              <w:ind w:firstLine="482" w:firstLineChars="200"/>
              <w:rPr>
                <w:b/>
                <w:sz w:val="24"/>
              </w:rPr>
            </w:pPr>
            <w:r>
              <w:rPr>
                <w:rFonts w:hint="eastAsia"/>
                <w:b/>
                <w:sz w:val="24"/>
              </w:rPr>
              <w:t>6、工艺流程简介：</w:t>
            </w:r>
          </w:p>
          <w:p w14:paraId="10AB8412">
            <w:pPr>
              <w:autoSpaceDE w:val="0"/>
              <w:autoSpaceDN w:val="0"/>
              <w:adjustRightInd w:val="0"/>
              <w:spacing w:line="360" w:lineRule="auto"/>
              <w:ind w:firstLine="482" w:firstLineChars="200"/>
              <w:rPr>
                <w:sz w:val="24"/>
              </w:rPr>
            </w:pPr>
            <w:r>
              <w:rPr>
                <w:rFonts w:hint="eastAsia"/>
                <w:b/>
                <w:sz w:val="24"/>
              </w:rPr>
              <w:t>A、热轧生产线</w:t>
            </w:r>
            <w:r>
              <w:rPr>
                <w:rFonts w:hint="eastAsia"/>
                <w:sz w:val="24"/>
              </w:rPr>
              <w:t>：</w:t>
            </w:r>
          </w:p>
          <w:p w14:paraId="6DB780C9">
            <w:pPr>
              <w:autoSpaceDE w:val="0"/>
              <w:autoSpaceDN w:val="0"/>
              <w:adjustRightInd w:val="0"/>
              <w:spacing w:line="360" w:lineRule="auto"/>
              <w:ind w:firstLine="480" w:firstLineChars="200"/>
              <w:rPr>
                <w:rFonts w:eastAsiaTheme="minorEastAsia"/>
                <w:sz w:val="24"/>
              </w:rPr>
            </w:pPr>
            <w:r>
              <w:rPr>
                <w:rFonts w:hint="eastAsia" w:eastAsiaTheme="minorEastAsia"/>
                <w:sz w:val="24"/>
              </w:rPr>
              <w:t>（1）原料准备</w:t>
            </w:r>
          </w:p>
          <w:p w14:paraId="64F1667B">
            <w:pPr>
              <w:autoSpaceDE w:val="0"/>
              <w:autoSpaceDN w:val="0"/>
              <w:adjustRightInd w:val="0"/>
              <w:spacing w:line="360" w:lineRule="auto"/>
              <w:ind w:firstLine="480" w:firstLineChars="200"/>
              <w:rPr>
                <w:rFonts w:eastAsiaTheme="minorEastAsia"/>
                <w:sz w:val="24"/>
              </w:rPr>
            </w:pPr>
            <w:r>
              <w:rPr>
                <w:rFonts w:eastAsiaTheme="minorEastAsia"/>
                <w:sz w:val="24"/>
              </w:rPr>
              <w:t>直径为Φ</w:t>
            </w:r>
            <w:r>
              <w:rPr>
                <w:rFonts w:hint="eastAsia" w:eastAsiaTheme="minorEastAsia"/>
                <w:sz w:val="24"/>
              </w:rPr>
              <w:t>140mm的合格长尺连铸圆管坯从厂外运至车间长尺管坯库存放，生产时用吊车吊到冷锯上料台架上，用冷锯</w:t>
            </w:r>
            <w:r>
              <w:rPr>
                <w:rFonts w:eastAsiaTheme="minorEastAsia"/>
                <w:sz w:val="24"/>
              </w:rPr>
              <w:t>锯成1.</w:t>
            </w:r>
            <w:r>
              <w:rPr>
                <w:rFonts w:hint="eastAsia" w:eastAsiaTheme="minorEastAsia"/>
                <w:sz w:val="24"/>
              </w:rPr>
              <w:t>3</w:t>
            </w:r>
            <w:r>
              <w:rPr>
                <w:rFonts w:eastAsiaTheme="minorEastAsia"/>
                <w:sz w:val="24"/>
              </w:rPr>
              <w:t>m~3.5m的定尺长度，逐根进行称重、提升。此过程中会有废钢屑（S1）和噪声（N1、</w:t>
            </w:r>
            <w:r>
              <w:rPr>
                <w:rFonts w:hint="eastAsia" w:eastAsiaTheme="minorEastAsia"/>
                <w:sz w:val="24"/>
              </w:rPr>
              <w:t>N2</w:t>
            </w:r>
            <w:r>
              <w:rPr>
                <w:rFonts w:eastAsiaTheme="minorEastAsia"/>
                <w:sz w:val="24"/>
              </w:rPr>
              <w:t>）产生。</w:t>
            </w:r>
          </w:p>
          <w:p w14:paraId="4662B6AE">
            <w:pPr>
              <w:autoSpaceDE w:val="0"/>
              <w:autoSpaceDN w:val="0"/>
              <w:adjustRightInd w:val="0"/>
              <w:spacing w:line="360" w:lineRule="auto"/>
              <w:ind w:firstLine="480" w:firstLineChars="200"/>
              <w:rPr>
                <w:rFonts w:eastAsiaTheme="minorEastAsia"/>
                <w:sz w:val="24"/>
              </w:rPr>
            </w:pPr>
            <w:r>
              <w:rPr>
                <w:rFonts w:hint="eastAsia" w:eastAsiaTheme="minorEastAsia"/>
                <w:sz w:val="24"/>
              </w:rPr>
              <w:t>（2）定尺管坯上料</w:t>
            </w:r>
          </w:p>
          <w:p w14:paraId="31D4E56D">
            <w:pPr>
              <w:autoSpaceDE w:val="0"/>
              <w:autoSpaceDN w:val="0"/>
              <w:adjustRightInd w:val="0"/>
              <w:spacing w:line="360" w:lineRule="auto"/>
              <w:ind w:firstLine="480" w:firstLineChars="200"/>
              <w:rPr>
                <w:rFonts w:eastAsiaTheme="minorEastAsia"/>
                <w:sz w:val="24"/>
              </w:rPr>
            </w:pPr>
            <w:r>
              <w:rPr>
                <w:rFonts w:hint="eastAsia" w:eastAsiaTheme="minorEastAsia"/>
                <w:sz w:val="24"/>
              </w:rPr>
              <w:t>由横移链式运输机将称重后的定尺管坯送至环形加热炉定位辊道上定位，之后用装料机逐根装入环形加热炉。此过程中会有噪声（N3）产生。</w:t>
            </w:r>
          </w:p>
          <w:p w14:paraId="5599B481">
            <w:pPr>
              <w:autoSpaceDE w:val="0"/>
              <w:autoSpaceDN w:val="0"/>
              <w:adjustRightInd w:val="0"/>
              <w:spacing w:line="360" w:lineRule="auto"/>
              <w:ind w:firstLine="480" w:firstLineChars="200"/>
              <w:rPr>
                <w:rFonts w:eastAsiaTheme="minorEastAsia"/>
                <w:sz w:val="24"/>
              </w:rPr>
            </w:pPr>
            <w:r>
              <w:rPr>
                <w:rFonts w:hint="eastAsia" w:eastAsiaTheme="minorEastAsia"/>
                <w:sz w:val="24"/>
              </w:rPr>
              <w:t>（3）管坯加热</w:t>
            </w:r>
          </w:p>
          <w:p w14:paraId="5A05A125">
            <w:pPr>
              <w:autoSpaceDE w:val="0"/>
              <w:autoSpaceDN w:val="0"/>
              <w:adjustRightInd w:val="0"/>
              <w:spacing w:line="360" w:lineRule="auto"/>
              <w:ind w:firstLine="480" w:firstLineChars="200"/>
              <w:rPr>
                <w:rFonts w:eastAsiaTheme="minorEastAsia"/>
                <w:sz w:val="24"/>
              </w:rPr>
            </w:pPr>
            <w:r>
              <w:rPr>
                <w:rFonts w:hint="eastAsia" w:eastAsiaTheme="minorEastAsia"/>
                <w:sz w:val="24"/>
              </w:rPr>
              <w:t>定尺管坯在环形加热炉中加热到所需温度（最高1250℃~1280℃±10℃）后，出料机将其从炉中取出，并将管坯放至出料斜台架上，去除表面氧化铁皮，然后由辊道送往穿孔机前台。环形加热炉以天然气为燃料。此过程中会有噪声（N4）、环形加热炉废气（G1）及环形加热炉间接冷却废水（W1）产生。</w:t>
            </w:r>
          </w:p>
          <w:p w14:paraId="328FF990">
            <w:pPr>
              <w:autoSpaceDE w:val="0"/>
              <w:autoSpaceDN w:val="0"/>
              <w:adjustRightInd w:val="0"/>
              <w:spacing w:line="360" w:lineRule="auto"/>
              <w:ind w:firstLine="480" w:firstLineChars="200"/>
              <w:rPr>
                <w:rFonts w:eastAsiaTheme="minorEastAsia"/>
                <w:sz w:val="24"/>
              </w:rPr>
            </w:pPr>
            <w:r>
              <w:rPr>
                <w:rFonts w:hint="eastAsia" w:eastAsiaTheme="minorEastAsia"/>
                <w:sz w:val="24"/>
              </w:rPr>
              <w:t>（4）穿孔</w:t>
            </w:r>
          </w:p>
          <w:p w14:paraId="209FB1C8">
            <w:pPr>
              <w:autoSpaceDE w:val="0"/>
              <w:autoSpaceDN w:val="0"/>
              <w:adjustRightInd w:val="0"/>
              <w:spacing w:line="360" w:lineRule="auto"/>
              <w:ind w:firstLine="480" w:firstLineChars="200"/>
              <w:rPr>
                <w:rFonts w:eastAsiaTheme="minorEastAsia"/>
                <w:sz w:val="24"/>
              </w:rPr>
            </w:pPr>
            <w:r>
              <w:rPr>
                <w:rFonts w:hint="eastAsia" w:eastAsiaTheme="minorEastAsia"/>
                <w:sz w:val="24"/>
              </w:rPr>
              <w:t>在输送辊道上设有测温装置，满足轧制温度要求的管坯由横移装置送往穿孔机穿轧成毛管；不满足轧制温度要求或其它原因不能轧制的管坯则拨入剔除装置进行收集。此过程会有穿孔机直接冷却废水（W2）和噪声（N5）产生。</w:t>
            </w:r>
          </w:p>
          <w:p w14:paraId="303186E1">
            <w:pPr>
              <w:autoSpaceDE w:val="0"/>
              <w:autoSpaceDN w:val="0"/>
              <w:adjustRightInd w:val="0"/>
              <w:spacing w:line="360" w:lineRule="auto"/>
              <w:ind w:firstLine="480" w:firstLineChars="200"/>
              <w:rPr>
                <w:rFonts w:eastAsiaTheme="minorEastAsia"/>
                <w:sz w:val="24"/>
              </w:rPr>
            </w:pPr>
            <w:r>
              <w:rPr>
                <w:rFonts w:hint="eastAsia" w:eastAsiaTheme="minorEastAsia"/>
                <w:sz w:val="24"/>
              </w:rPr>
              <w:t>（5）吹氮、喷硼砂</w:t>
            </w:r>
          </w:p>
          <w:p w14:paraId="350B2E77">
            <w:pPr>
              <w:autoSpaceDE w:val="0"/>
              <w:autoSpaceDN w:val="0"/>
              <w:adjustRightInd w:val="0"/>
              <w:spacing w:line="360" w:lineRule="auto"/>
              <w:ind w:firstLine="480" w:firstLineChars="200"/>
              <w:rPr>
                <w:rFonts w:eastAsiaTheme="minorEastAsia"/>
                <w:sz w:val="24"/>
              </w:rPr>
            </w:pPr>
            <w:r>
              <w:rPr>
                <w:rFonts w:hint="eastAsia" w:eastAsiaTheme="minorEastAsia"/>
                <w:sz w:val="24"/>
              </w:rPr>
              <w:t>穿孔后的毛管由横移装置送到吹刷站，由一喷嘴向毛管内部喷吹氮气和硼砂，以清除毛管内表面氧化铁皮，防止毛管内表面产生二次氧化，并提高其内表面的润滑效果。此过程会有废气（G2）和废硼砂（S2）产生。</w:t>
            </w:r>
          </w:p>
          <w:p w14:paraId="310B32E9">
            <w:pPr>
              <w:autoSpaceDE w:val="0"/>
              <w:autoSpaceDN w:val="0"/>
              <w:adjustRightInd w:val="0"/>
              <w:spacing w:line="360" w:lineRule="auto"/>
              <w:ind w:firstLine="480" w:firstLineChars="200"/>
              <w:rPr>
                <w:rFonts w:eastAsiaTheme="minorEastAsia"/>
                <w:sz w:val="24"/>
              </w:rPr>
            </w:pPr>
            <w:r>
              <w:rPr>
                <w:rFonts w:eastAsiaTheme="minorEastAsia"/>
                <w:sz w:val="24"/>
              </w:rPr>
              <w:t>（6）穿棒、毛管连轧</w:t>
            </w:r>
          </w:p>
          <w:p w14:paraId="31C285B0">
            <w:pPr>
              <w:autoSpaceDE w:val="0"/>
              <w:autoSpaceDN w:val="0"/>
              <w:adjustRightInd w:val="0"/>
              <w:spacing w:line="360" w:lineRule="auto"/>
              <w:ind w:firstLine="480" w:firstLineChars="200"/>
              <w:rPr>
                <w:rFonts w:eastAsiaTheme="minorEastAsia"/>
                <w:sz w:val="24"/>
              </w:rPr>
            </w:pPr>
            <w:r>
              <w:rPr>
                <w:rFonts w:hint="eastAsia" w:eastAsiaTheme="minorEastAsia"/>
                <w:sz w:val="24"/>
              </w:rPr>
              <w:t>经过吹刷站出来的毛管由毛管横移装置横移到连轧管机前台。芯棒限动系统将芯棒穿入毛管，并将芯棒前端送至连轧管机的一预设定位置时，毛管和芯棒一起进入连轧管机轧制。轧制过程中会有废气（G3）和直接冷却废水（W6）、噪声（N7）产生。</w:t>
            </w:r>
          </w:p>
          <w:p w14:paraId="603CADF2">
            <w:pPr>
              <w:autoSpaceDE w:val="0"/>
              <w:autoSpaceDN w:val="0"/>
              <w:adjustRightInd w:val="0"/>
              <w:spacing w:line="360" w:lineRule="auto"/>
              <w:ind w:firstLine="480" w:firstLineChars="200"/>
              <w:rPr>
                <w:rFonts w:eastAsiaTheme="minorEastAsia"/>
                <w:sz w:val="24"/>
              </w:rPr>
            </w:pPr>
            <w:r>
              <w:rPr>
                <w:rFonts w:hint="eastAsia" w:eastAsiaTheme="minorEastAsia"/>
                <w:sz w:val="24"/>
              </w:rPr>
              <w:t>在连轧管机入口设置有高压水除鳞装置，用于清除毛管外表面氧化铁皮。此过程中高压水除鳞装置会有毛管外表面氧化铁皮（S3）、噪声（N6）以及直接冷却废水（W5）产生。</w:t>
            </w:r>
          </w:p>
          <w:p w14:paraId="246A7248">
            <w:pPr>
              <w:autoSpaceDE w:val="0"/>
              <w:autoSpaceDN w:val="0"/>
              <w:adjustRightInd w:val="0"/>
              <w:spacing w:line="360" w:lineRule="auto"/>
              <w:ind w:firstLine="480" w:firstLineChars="200"/>
              <w:rPr>
                <w:rFonts w:eastAsiaTheme="minorEastAsia"/>
                <w:sz w:val="24"/>
              </w:rPr>
            </w:pPr>
            <w:r>
              <w:rPr>
                <w:rFonts w:hint="eastAsia" w:eastAsiaTheme="minorEastAsia"/>
                <w:sz w:val="24"/>
              </w:rPr>
              <w:t>从连轧管机轧出的荒管直接进入脱管机上脱管，同时芯棒返回前台，由横移装置在下一支芯棒上料的同时将刚脱出的芯棒送到返回辊道，芯棒经冷却、润滑后循环使用。</w:t>
            </w:r>
          </w:p>
          <w:p w14:paraId="2D474E6C">
            <w:pPr>
              <w:autoSpaceDE w:val="0"/>
              <w:autoSpaceDN w:val="0"/>
              <w:adjustRightInd w:val="0"/>
              <w:spacing w:line="360" w:lineRule="auto"/>
              <w:ind w:firstLine="480" w:firstLineChars="200"/>
              <w:rPr>
                <w:rFonts w:eastAsiaTheme="minorEastAsia"/>
                <w:sz w:val="24"/>
              </w:rPr>
            </w:pPr>
            <w:r>
              <w:rPr>
                <w:rFonts w:hint="eastAsia" w:eastAsiaTheme="minorEastAsia"/>
                <w:sz w:val="24"/>
              </w:rPr>
              <w:t>当更换一组新芯棒或因停机而致芯棒温度过低时，要先在芯棒预热炉中将其预热到120℃±10℃，然后用起重机吊入芯棒上料台架上，逐支横移到芯棒润滑线，在芯棒表面喷涂润滑剂后使用。此过程中芯棒预热炉采用电加热对芯棒进行预热，因此会有芯棒预热炉间接冷却废水（W3）以及石墨润滑废水（W4）产生。</w:t>
            </w:r>
          </w:p>
          <w:p w14:paraId="52A8CBF2">
            <w:pPr>
              <w:autoSpaceDE w:val="0"/>
              <w:autoSpaceDN w:val="0"/>
              <w:adjustRightInd w:val="0"/>
              <w:spacing w:line="360" w:lineRule="auto"/>
              <w:ind w:firstLine="480" w:firstLineChars="200"/>
              <w:rPr>
                <w:rFonts w:eastAsiaTheme="minorEastAsia"/>
                <w:sz w:val="24"/>
              </w:rPr>
            </w:pPr>
            <w:r>
              <w:rPr>
                <w:rFonts w:hint="eastAsia" w:eastAsiaTheme="minorEastAsia"/>
                <w:sz w:val="24"/>
              </w:rPr>
              <w:t>（7）脱管后的荒管，经过横移装置送到张力减径机前输送辊道上，根据生产工艺要求，可选择步进式再加热炉对达不到轧制温度要求的钢管进行补热、均温。再经张力减径机轧制到成品钢管要求的尺寸后送往冷床进行冷却。步进式再加热炉对达不到轧制温度要求的钢管进行补热、均温后的钢管需再次进入高压水除鳞装置，用于清除毛管外表面氧化铁皮。此过程中步进式再加热炉燃料为天然气，会有废气（G4）和间接冷却废水（W7）产生，高压水除鳞装置会有毛管外表面氧化铁皮（S4）、噪声（N8）以及直接冷却废水（W8）产生；张力减径机有噪声（N9）和直接冷却废水（W9）产生。</w:t>
            </w:r>
          </w:p>
          <w:p w14:paraId="4C3676E5">
            <w:pPr>
              <w:autoSpaceDE w:val="0"/>
              <w:autoSpaceDN w:val="0"/>
              <w:adjustRightInd w:val="0"/>
              <w:spacing w:line="360" w:lineRule="auto"/>
              <w:ind w:firstLine="480" w:firstLineChars="200"/>
              <w:rPr>
                <w:rFonts w:eastAsiaTheme="minorEastAsia"/>
                <w:sz w:val="24"/>
              </w:rPr>
            </w:pPr>
            <w:r>
              <w:rPr>
                <w:rFonts w:hint="eastAsia" w:eastAsiaTheme="minorEastAsia"/>
                <w:sz w:val="24"/>
              </w:rPr>
              <w:t>（8）成排冷锯</w:t>
            </w:r>
          </w:p>
          <w:p w14:paraId="56A1341B">
            <w:pPr>
              <w:autoSpaceDE w:val="0"/>
              <w:autoSpaceDN w:val="0"/>
              <w:adjustRightInd w:val="0"/>
              <w:spacing w:line="360" w:lineRule="auto"/>
              <w:ind w:firstLine="480" w:firstLineChars="200"/>
              <w:rPr>
                <w:rFonts w:eastAsiaTheme="minorEastAsia"/>
                <w:sz w:val="24"/>
              </w:rPr>
            </w:pPr>
            <w:r>
              <w:rPr>
                <w:rFonts w:hint="eastAsia" w:eastAsiaTheme="minorEastAsia"/>
                <w:sz w:val="24"/>
              </w:rPr>
              <w:t>钢管经冷却后，成排送往冷锯切去头尾不合格的管端，并切成需要的定尺长度，然后堆垛、入中间库。此过程中会有噪声（N10）和固废（S5）产生。</w:t>
            </w:r>
          </w:p>
          <w:p w14:paraId="6764CCF5"/>
          <w:p w14:paraId="78B8B647">
            <w:pPr>
              <w:pStyle w:val="2"/>
            </w:pPr>
          </w:p>
          <w:p w14:paraId="41D6C5C5">
            <w:pPr>
              <w:pStyle w:val="4"/>
              <w:spacing w:after="0"/>
            </w:pPr>
          </w:p>
          <w:p w14:paraId="1588B39D"/>
          <w:p w14:paraId="7859CF23">
            <w:pPr>
              <w:pStyle w:val="2"/>
            </w:pPr>
          </w:p>
          <w:p w14:paraId="35CA6AFD">
            <w:pPr>
              <w:autoSpaceDE w:val="0"/>
              <w:autoSpaceDN w:val="0"/>
              <w:adjustRightInd w:val="0"/>
              <w:spacing w:line="360" w:lineRule="auto"/>
              <w:ind w:firstLine="420" w:firstLineChars="200"/>
            </w:pPr>
            <w:r>
              <w:object>
                <v:shape id="_x0000_i1027" o:spt="75" type="#_x0000_t75" style="height:641.25pt;width:423.75pt;" o:ole="t" filled="f" o:preferrelative="t" stroked="f" coordsize="21600,21600">
                  <v:path/>
                  <v:fill on="f" focussize="0,0"/>
                  <v:stroke on="f" joinstyle="miter"/>
                  <v:imagedata r:id="rId15" o:title=""/>
                  <o:lock v:ext="edit" aspectratio="t"/>
                  <w10:wrap type="none"/>
                  <w10:anchorlock/>
                </v:shape>
                <o:OLEObject Type="Embed" ProgID="Visio.Drawing.15" ShapeID="_x0000_i1027" DrawAspect="Content" ObjectID="_1468075727" r:id="rId14">
                  <o:LockedField>false</o:LockedField>
                </o:OLEObject>
              </w:object>
            </w:r>
          </w:p>
          <w:p w14:paraId="5725D52E">
            <w:pPr>
              <w:pStyle w:val="2"/>
              <w:jc w:val="center"/>
              <w:rPr>
                <w:rFonts w:ascii="Times New Roman" w:cs="Times New Roman"/>
                <w:sz w:val="21"/>
                <w:szCs w:val="21"/>
              </w:rPr>
            </w:pPr>
            <w:r>
              <w:rPr>
                <w:rFonts w:ascii="Times New Roman" w:cs="Times New Roman"/>
                <w:b/>
                <w:sz w:val="21"/>
                <w:szCs w:val="21"/>
              </w:rPr>
              <w:t>图</w:t>
            </w:r>
            <w:r>
              <w:rPr>
                <w:rFonts w:hint="eastAsia" w:ascii="Times New Roman" w:cs="Times New Roman"/>
                <w:b/>
                <w:sz w:val="21"/>
                <w:szCs w:val="21"/>
              </w:rPr>
              <w:t>2-3</w:t>
            </w:r>
            <w:r>
              <w:rPr>
                <w:rFonts w:ascii="Times New Roman" w:cs="Times New Roman"/>
                <w:b/>
                <w:sz w:val="21"/>
                <w:szCs w:val="21"/>
              </w:rPr>
              <w:t xml:space="preserve">  热轧生产线工艺流程及产排污节点图</w:t>
            </w:r>
          </w:p>
          <w:p w14:paraId="5AED0228">
            <w:pPr>
              <w:autoSpaceDE w:val="0"/>
              <w:autoSpaceDN w:val="0"/>
              <w:adjustRightInd w:val="0"/>
              <w:spacing w:line="360" w:lineRule="auto"/>
              <w:ind w:firstLine="482" w:firstLineChars="200"/>
              <w:rPr>
                <w:rFonts w:eastAsiaTheme="minorEastAsia"/>
                <w:b/>
                <w:sz w:val="24"/>
              </w:rPr>
            </w:pPr>
            <w:r>
              <w:rPr>
                <w:rFonts w:hint="eastAsia" w:eastAsiaTheme="minorEastAsia"/>
                <w:b/>
                <w:sz w:val="24"/>
              </w:rPr>
              <w:t>B、热处理生产线：</w:t>
            </w:r>
          </w:p>
          <w:p w14:paraId="7B3AFBF7">
            <w:pPr>
              <w:autoSpaceDE w:val="0"/>
              <w:autoSpaceDN w:val="0"/>
              <w:adjustRightInd w:val="0"/>
              <w:spacing w:line="360" w:lineRule="auto"/>
              <w:ind w:firstLine="480" w:firstLineChars="200"/>
              <w:rPr>
                <w:rFonts w:eastAsiaTheme="minorEastAsia"/>
                <w:sz w:val="24"/>
              </w:rPr>
            </w:pPr>
            <w:r>
              <w:rPr>
                <w:rFonts w:eastAsiaTheme="minorEastAsia"/>
                <w:sz w:val="24"/>
              </w:rPr>
              <w:t>（1）原料准备</w:t>
            </w:r>
          </w:p>
          <w:p w14:paraId="5D018D7E">
            <w:pPr>
              <w:autoSpaceDE w:val="0"/>
              <w:autoSpaceDN w:val="0"/>
              <w:adjustRightInd w:val="0"/>
              <w:spacing w:line="360" w:lineRule="auto"/>
              <w:ind w:firstLine="480" w:firstLineChars="200"/>
              <w:rPr>
                <w:rFonts w:eastAsiaTheme="minorEastAsia"/>
                <w:sz w:val="24"/>
              </w:rPr>
            </w:pPr>
            <w:r>
              <w:rPr>
                <w:rFonts w:eastAsiaTheme="minorEastAsia"/>
                <w:sz w:val="24"/>
              </w:rPr>
              <w:t>需要热处理的管料存放在管料库中，生产时用起重机吊到热处理线的上料台架上。此过程中会有噪声（N1）产生。</w:t>
            </w:r>
          </w:p>
          <w:p w14:paraId="7654E362">
            <w:pPr>
              <w:autoSpaceDE w:val="0"/>
              <w:autoSpaceDN w:val="0"/>
              <w:adjustRightInd w:val="0"/>
              <w:spacing w:line="360" w:lineRule="auto"/>
              <w:ind w:firstLine="480" w:firstLineChars="200"/>
              <w:rPr>
                <w:rFonts w:eastAsiaTheme="minorEastAsia"/>
                <w:sz w:val="24"/>
              </w:rPr>
            </w:pPr>
            <w:r>
              <w:rPr>
                <w:rFonts w:hint="eastAsia" w:eastAsiaTheme="minorEastAsia"/>
                <w:sz w:val="24"/>
              </w:rPr>
              <w:t>（2）淬火加热</w:t>
            </w:r>
          </w:p>
          <w:p w14:paraId="13722F4C">
            <w:pPr>
              <w:autoSpaceDE w:val="0"/>
              <w:autoSpaceDN w:val="0"/>
              <w:adjustRightInd w:val="0"/>
              <w:spacing w:line="360" w:lineRule="auto"/>
              <w:ind w:firstLine="480" w:firstLineChars="200"/>
              <w:rPr>
                <w:rFonts w:eastAsiaTheme="minorEastAsia"/>
                <w:sz w:val="24"/>
              </w:rPr>
            </w:pPr>
            <w:r>
              <w:rPr>
                <w:rFonts w:hint="eastAsia" w:eastAsiaTheme="minorEastAsia"/>
                <w:sz w:val="24"/>
              </w:rPr>
              <w:t>上料台架将钢管逐支拨到淬火炉入炉辊道上，辊道将钢管输送到淬火炉进行加热。</w:t>
            </w:r>
            <w:r>
              <w:rPr>
                <w:rFonts w:eastAsiaTheme="minorEastAsia"/>
                <w:sz w:val="24"/>
              </w:rPr>
              <w:t>管料在淬火炉内加热到淬火所需要的温度（850~980℃），保温一定时间后出炉，由辊道输送到高压水除鳞装置进行外表面除鳞，淬火炉燃料为天然气，会有废气（G</w:t>
            </w:r>
            <w:r>
              <w:rPr>
                <w:rFonts w:hint="eastAsia" w:eastAsiaTheme="minorEastAsia"/>
                <w:sz w:val="24"/>
              </w:rPr>
              <w:t>1</w:t>
            </w:r>
            <w:r>
              <w:rPr>
                <w:rFonts w:eastAsiaTheme="minorEastAsia"/>
                <w:sz w:val="24"/>
              </w:rPr>
              <w:t>）和淬火炉冷却废水（</w:t>
            </w:r>
            <w:r>
              <w:rPr>
                <w:rFonts w:hint="eastAsia" w:eastAsiaTheme="minorEastAsia"/>
                <w:sz w:val="24"/>
              </w:rPr>
              <w:t>W1</w:t>
            </w:r>
            <w:r>
              <w:rPr>
                <w:rFonts w:eastAsiaTheme="minorEastAsia"/>
                <w:sz w:val="24"/>
              </w:rPr>
              <w:t>）产生，</w:t>
            </w:r>
            <w:r>
              <w:rPr>
                <w:rFonts w:hint="eastAsia" w:eastAsiaTheme="minorEastAsia"/>
                <w:sz w:val="24"/>
              </w:rPr>
              <w:t>高压水除鳞装置会有毛管外表面氧化铁皮（S1）、噪声（N2）以及直接冷却废水（W2）产生。</w:t>
            </w:r>
          </w:p>
          <w:p w14:paraId="6EF9D41E">
            <w:pPr>
              <w:autoSpaceDE w:val="0"/>
              <w:autoSpaceDN w:val="0"/>
              <w:adjustRightInd w:val="0"/>
              <w:spacing w:line="360" w:lineRule="auto"/>
              <w:ind w:firstLine="480" w:firstLineChars="200"/>
              <w:rPr>
                <w:rFonts w:eastAsiaTheme="minorEastAsia"/>
                <w:sz w:val="24"/>
              </w:rPr>
            </w:pPr>
            <w:r>
              <w:rPr>
                <w:rFonts w:eastAsiaTheme="minorEastAsia"/>
                <w:sz w:val="24"/>
              </w:rPr>
              <w:t>（</w:t>
            </w:r>
            <w:r>
              <w:rPr>
                <w:rFonts w:hint="eastAsia" w:eastAsiaTheme="minorEastAsia"/>
                <w:sz w:val="24"/>
              </w:rPr>
              <w:t>3</w:t>
            </w:r>
            <w:r>
              <w:rPr>
                <w:rFonts w:eastAsiaTheme="minorEastAsia"/>
                <w:sz w:val="24"/>
              </w:rPr>
              <w:t>）水淬火</w:t>
            </w:r>
          </w:p>
          <w:p w14:paraId="59163F74">
            <w:pPr>
              <w:autoSpaceDE w:val="0"/>
              <w:autoSpaceDN w:val="0"/>
              <w:adjustRightInd w:val="0"/>
              <w:spacing w:line="360" w:lineRule="auto"/>
              <w:ind w:firstLine="480" w:firstLineChars="200"/>
              <w:rPr>
                <w:rFonts w:eastAsiaTheme="minorEastAsia"/>
                <w:sz w:val="24"/>
              </w:rPr>
            </w:pPr>
            <w:r>
              <w:rPr>
                <w:rFonts w:eastAsiaTheme="minorEastAsia"/>
                <w:sz w:val="24"/>
              </w:rPr>
              <w:t>除鳞后的管料输送到水淬火装置进行淬火处理，淬火方式采用高压水内喷外淋形式，钢管在淬火过程中过程中用托辊加压辊夹住使其旋转均匀冷却。此过程中会有</w:t>
            </w:r>
            <w:r>
              <w:rPr>
                <w:rFonts w:hint="eastAsia" w:eastAsiaTheme="minorEastAsia"/>
                <w:sz w:val="24"/>
              </w:rPr>
              <w:t>表面氧化铁皮（S2）、噪声（N3）以及</w:t>
            </w:r>
            <w:r>
              <w:rPr>
                <w:rFonts w:eastAsiaTheme="minorEastAsia"/>
                <w:sz w:val="24"/>
              </w:rPr>
              <w:t>直接冷却废水（W</w:t>
            </w:r>
            <w:r>
              <w:rPr>
                <w:rFonts w:hint="eastAsia" w:eastAsiaTheme="minorEastAsia"/>
                <w:sz w:val="24"/>
              </w:rPr>
              <w:t>3</w:t>
            </w:r>
            <w:r>
              <w:rPr>
                <w:rFonts w:eastAsiaTheme="minorEastAsia"/>
                <w:sz w:val="24"/>
              </w:rPr>
              <w:t>）产生。</w:t>
            </w:r>
          </w:p>
          <w:p w14:paraId="50471D7E">
            <w:pPr>
              <w:autoSpaceDE w:val="0"/>
              <w:autoSpaceDN w:val="0"/>
              <w:adjustRightInd w:val="0"/>
              <w:spacing w:line="360" w:lineRule="auto"/>
              <w:ind w:firstLine="480" w:firstLineChars="200"/>
              <w:rPr>
                <w:rFonts w:eastAsiaTheme="minorEastAsia"/>
                <w:sz w:val="24"/>
              </w:rPr>
            </w:pPr>
            <w:r>
              <w:rPr>
                <w:rFonts w:eastAsiaTheme="minorEastAsia"/>
                <w:sz w:val="24"/>
              </w:rPr>
              <w:t>（</w:t>
            </w:r>
            <w:r>
              <w:rPr>
                <w:rFonts w:hint="eastAsia" w:eastAsiaTheme="minorEastAsia"/>
                <w:sz w:val="24"/>
              </w:rPr>
              <w:t>4</w:t>
            </w:r>
            <w:r>
              <w:rPr>
                <w:rFonts w:eastAsiaTheme="minorEastAsia"/>
                <w:sz w:val="24"/>
              </w:rPr>
              <w:t>）回火</w:t>
            </w:r>
          </w:p>
          <w:p w14:paraId="4785FC70">
            <w:pPr>
              <w:autoSpaceDE w:val="0"/>
              <w:autoSpaceDN w:val="0"/>
              <w:adjustRightInd w:val="0"/>
              <w:spacing w:line="360" w:lineRule="auto"/>
              <w:ind w:firstLine="480" w:firstLineChars="200"/>
              <w:rPr>
                <w:rFonts w:eastAsiaTheme="minorEastAsia"/>
                <w:sz w:val="24"/>
              </w:rPr>
            </w:pPr>
            <w:r>
              <w:rPr>
                <w:rFonts w:hint="eastAsia" w:eastAsiaTheme="minorEastAsia"/>
                <w:sz w:val="24"/>
              </w:rPr>
              <w:t>淬火后的管料经过输送装置和辊道输往回火炉进行回火加热，加热到回火所需要的温度（550~750℃）并保温一定时间后出炉，由辊道输送到高压水除鳞装置进行外表面除鳞。回火炉燃料为天然气，会有废气（G2）和回</w:t>
            </w:r>
            <w:r>
              <w:rPr>
                <w:rFonts w:eastAsiaTheme="minorEastAsia"/>
                <w:sz w:val="24"/>
              </w:rPr>
              <w:t>火炉冷却废水（</w:t>
            </w:r>
            <w:r>
              <w:rPr>
                <w:rFonts w:hint="eastAsia" w:eastAsiaTheme="minorEastAsia"/>
                <w:sz w:val="24"/>
              </w:rPr>
              <w:t>W4</w:t>
            </w:r>
            <w:r>
              <w:rPr>
                <w:rFonts w:eastAsiaTheme="minorEastAsia"/>
                <w:sz w:val="24"/>
              </w:rPr>
              <w:t>）产生</w:t>
            </w:r>
            <w:r>
              <w:rPr>
                <w:rFonts w:hint="eastAsia" w:eastAsiaTheme="minorEastAsia"/>
                <w:sz w:val="24"/>
              </w:rPr>
              <w:t>。</w:t>
            </w:r>
          </w:p>
          <w:p w14:paraId="09276A5B">
            <w:pPr>
              <w:autoSpaceDE w:val="0"/>
              <w:autoSpaceDN w:val="0"/>
              <w:adjustRightInd w:val="0"/>
              <w:spacing w:line="360" w:lineRule="auto"/>
              <w:ind w:firstLine="480" w:firstLineChars="200"/>
              <w:rPr>
                <w:rFonts w:eastAsiaTheme="minorEastAsia"/>
                <w:sz w:val="24"/>
              </w:rPr>
            </w:pPr>
            <w:r>
              <w:rPr>
                <w:rFonts w:hint="eastAsia" w:eastAsiaTheme="minorEastAsia"/>
                <w:sz w:val="24"/>
              </w:rPr>
              <w:t>（5）冷却</w:t>
            </w:r>
          </w:p>
          <w:p w14:paraId="0BB8FC96">
            <w:pPr>
              <w:autoSpaceDE w:val="0"/>
              <w:autoSpaceDN w:val="0"/>
              <w:adjustRightInd w:val="0"/>
              <w:spacing w:line="360" w:lineRule="auto"/>
              <w:ind w:firstLine="480" w:firstLineChars="200"/>
              <w:rPr>
                <w:rFonts w:eastAsiaTheme="minorEastAsia"/>
                <w:sz w:val="24"/>
              </w:rPr>
            </w:pPr>
            <w:r>
              <w:rPr>
                <w:rFonts w:hint="eastAsia" w:eastAsiaTheme="minorEastAsia"/>
                <w:sz w:val="24"/>
              </w:rPr>
              <w:t>回火后的管料由辊道输送到</w:t>
            </w:r>
            <w:r>
              <w:rPr>
                <w:rFonts w:eastAsiaTheme="minorEastAsia"/>
                <w:sz w:val="24"/>
              </w:rPr>
              <w:t>1#双向链</w:t>
            </w:r>
            <w:r>
              <w:rPr>
                <w:rFonts w:hint="eastAsia" w:eastAsiaTheme="minorEastAsia"/>
                <w:sz w:val="24"/>
              </w:rPr>
              <w:t>冷床进行空冷，并确保冷却过程中钢管不发生弯曲。</w:t>
            </w:r>
            <w:r>
              <w:rPr>
                <w:rFonts w:eastAsiaTheme="minorEastAsia"/>
                <w:sz w:val="24"/>
              </w:rPr>
              <w:t>此过程中会有</w:t>
            </w:r>
            <w:r>
              <w:rPr>
                <w:rFonts w:hint="eastAsia" w:eastAsiaTheme="minorEastAsia"/>
                <w:sz w:val="24"/>
              </w:rPr>
              <w:t>噪声（N4）</w:t>
            </w:r>
            <w:r>
              <w:rPr>
                <w:rFonts w:eastAsiaTheme="minorEastAsia"/>
                <w:sz w:val="24"/>
              </w:rPr>
              <w:t>产生</w:t>
            </w:r>
            <w:r>
              <w:rPr>
                <w:rFonts w:hint="eastAsia" w:eastAsiaTheme="minorEastAsia"/>
                <w:sz w:val="24"/>
              </w:rPr>
              <w:t>。</w:t>
            </w:r>
          </w:p>
          <w:p w14:paraId="18431F08">
            <w:pPr>
              <w:autoSpaceDE w:val="0"/>
              <w:autoSpaceDN w:val="0"/>
              <w:adjustRightInd w:val="0"/>
              <w:spacing w:line="360" w:lineRule="auto"/>
              <w:ind w:firstLine="480" w:firstLineChars="200"/>
              <w:rPr>
                <w:rFonts w:eastAsiaTheme="minorEastAsia"/>
                <w:sz w:val="24"/>
              </w:rPr>
            </w:pPr>
            <w:r>
              <w:rPr>
                <w:rFonts w:hint="eastAsia" w:eastAsiaTheme="minorEastAsia"/>
                <w:sz w:val="24"/>
              </w:rPr>
              <w:t>（6）矫直</w:t>
            </w:r>
          </w:p>
          <w:p w14:paraId="331CB49D">
            <w:pPr>
              <w:autoSpaceDE w:val="0"/>
              <w:autoSpaceDN w:val="0"/>
              <w:adjustRightInd w:val="0"/>
              <w:spacing w:line="360" w:lineRule="auto"/>
              <w:ind w:firstLine="480" w:firstLineChars="200"/>
              <w:rPr>
                <w:rFonts w:eastAsiaTheme="minorEastAsia"/>
                <w:sz w:val="24"/>
              </w:rPr>
            </w:pPr>
            <w:r>
              <w:rPr>
                <w:rFonts w:hint="eastAsia" w:eastAsiaTheme="minorEastAsia"/>
                <w:sz w:val="24"/>
              </w:rPr>
              <w:t>冷却后的管料输送到矫直机进行矫直，矫直后的管子表面无矫痕，管端无碰伤、矫扁缺陷。</w:t>
            </w:r>
            <w:r>
              <w:rPr>
                <w:rFonts w:eastAsiaTheme="minorEastAsia"/>
                <w:sz w:val="24"/>
              </w:rPr>
              <w:t>此过程中会有</w:t>
            </w:r>
            <w:r>
              <w:rPr>
                <w:rFonts w:hint="eastAsia" w:eastAsiaTheme="minorEastAsia"/>
                <w:sz w:val="24"/>
              </w:rPr>
              <w:t>噪声（N5）</w:t>
            </w:r>
            <w:r>
              <w:rPr>
                <w:rFonts w:eastAsiaTheme="minorEastAsia"/>
                <w:sz w:val="24"/>
              </w:rPr>
              <w:t>产生以及矫直机冷却废水（W5）产生。</w:t>
            </w:r>
          </w:p>
          <w:p w14:paraId="16238646">
            <w:pPr>
              <w:autoSpaceDE w:val="0"/>
              <w:autoSpaceDN w:val="0"/>
              <w:adjustRightInd w:val="0"/>
              <w:spacing w:line="360" w:lineRule="auto"/>
              <w:ind w:firstLine="480" w:firstLineChars="200"/>
              <w:rPr>
                <w:rFonts w:eastAsiaTheme="minorEastAsia"/>
                <w:sz w:val="24"/>
              </w:rPr>
            </w:pPr>
            <w:r>
              <w:rPr>
                <w:rFonts w:hint="eastAsia" w:eastAsiaTheme="minorEastAsia"/>
                <w:sz w:val="24"/>
              </w:rPr>
              <w:t>（7）吹灰</w:t>
            </w:r>
          </w:p>
          <w:p w14:paraId="5C444130">
            <w:pPr>
              <w:autoSpaceDE w:val="0"/>
              <w:autoSpaceDN w:val="0"/>
              <w:adjustRightInd w:val="0"/>
              <w:spacing w:line="360" w:lineRule="auto"/>
              <w:ind w:firstLine="480" w:firstLineChars="200"/>
              <w:rPr>
                <w:rFonts w:eastAsiaTheme="minorEastAsia"/>
                <w:sz w:val="24"/>
              </w:rPr>
            </w:pPr>
            <w:r>
              <w:rPr>
                <w:rFonts w:hint="eastAsia" w:eastAsiaTheme="minorEastAsia"/>
                <w:sz w:val="24"/>
              </w:rPr>
              <w:t>经矫直的钢管送往</w:t>
            </w:r>
            <w:r>
              <w:rPr>
                <w:rFonts w:eastAsiaTheme="minorEastAsia"/>
                <w:sz w:val="24"/>
              </w:rPr>
              <w:t>2#双向链</w:t>
            </w:r>
            <w:r>
              <w:rPr>
                <w:rFonts w:hint="eastAsia" w:eastAsiaTheme="minorEastAsia"/>
                <w:sz w:val="24"/>
              </w:rPr>
              <w:t>冷床冷却至常温，然后送至吸灰装置进行吸灰处理，吹灰装置一端设有压缩空气喷嘴，另一端设有铁皮吸收罩。通过压缩空气从钢管一端吹入，吸风机从另端抽吸，将钢管内的氧化铁皮去除并收集，以利于随后的无损探伤检测。</w:t>
            </w:r>
            <w:r>
              <w:rPr>
                <w:rFonts w:eastAsiaTheme="minorEastAsia"/>
                <w:sz w:val="24"/>
              </w:rPr>
              <w:t>此过程中会有吹灰含尘气体</w:t>
            </w:r>
            <w:r>
              <w:rPr>
                <w:rFonts w:hint="eastAsia" w:eastAsiaTheme="minorEastAsia"/>
                <w:sz w:val="24"/>
              </w:rPr>
              <w:t>（G3）、氧化铁皮（S4）和噪声（N6）</w:t>
            </w:r>
            <w:r>
              <w:rPr>
                <w:rFonts w:eastAsiaTheme="minorEastAsia"/>
                <w:sz w:val="24"/>
              </w:rPr>
              <w:t>产生</w:t>
            </w:r>
            <w:r>
              <w:rPr>
                <w:rFonts w:hint="eastAsia" w:eastAsiaTheme="minorEastAsia"/>
                <w:sz w:val="24"/>
              </w:rPr>
              <w:t>。</w:t>
            </w:r>
          </w:p>
          <w:p w14:paraId="5B7944E6">
            <w:pPr>
              <w:autoSpaceDE w:val="0"/>
              <w:autoSpaceDN w:val="0"/>
              <w:adjustRightInd w:val="0"/>
              <w:spacing w:line="360" w:lineRule="auto"/>
              <w:ind w:firstLine="480" w:firstLineChars="200"/>
              <w:rPr>
                <w:rFonts w:eastAsiaTheme="minorEastAsia"/>
                <w:sz w:val="24"/>
              </w:rPr>
            </w:pPr>
            <w:r>
              <w:rPr>
                <w:rFonts w:hint="eastAsia" w:eastAsiaTheme="minorEastAsia"/>
                <w:sz w:val="24"/>
              </w:rPr>
              <w:t>（8）取样、硬度试验</w:t>
            </w:r>
          </w:p>
          <w:p w14:paraId="171BD0F3">
            <w:pPr>
              <w:autoSpaceDE w:val="0"/>
              <w:autoSpaceDN w:val="0"/>
              <w:adjustRightInd w:val="0"/>
              <w:spacing w:line="360" w:lineRule="auto"/>
              <w:ind w:firstLine="480" w:firstLineChars="200"/>
              <w:rPr>
                <w:rFonts w:eastAsiaTheme="minorEastAsia"/>
                <w:sz w:val="24"/>
              </w:rPr>
            </w:pPr>
            <w:r>
              <w:rPr>
                <w:rFonts w:hint="eastAsia" w:eastAsiaTheme="minorEastAsia"/>
                <w:sz w:val="24"/>
              </w:rPr>
              <w:t>对吹灰后的管料进行抽样试验和按规定进行取样，经过取样和硬度试验合格后，进入探伤线。对硬度不合格的或“软”或“硬”的钢管需重新进行热处理。</w:t>
            </w:r>
          </w:p>
          <w:p w14:paraId="02B46F77">
            <w:pPr>
              <w:autoSpaceDE w:val="0"/>
              <w:autoSpaceDN w:val="0"/>
              <w:adjustRightInd w:val="0"/>
              <w:spacing w:line="360" w:lineRule="auto"/>
              <w:ind w:firstLine="480" w:firstLineChars="200"/>
              <w:rPr>
                <w:rFonts w:eastAsiaTheme="minorEastAsia"/>
                <w:sz w:val="24"/>
              </w:rPr>
            </w:pPr>
            <w:r>
              <w:rPr>
                <w:rFonts w:hint="eastAsia" w:eastAsiaTheme="minorEastAsia"/>
                <w:sz w:val="24"/>
              </w:rPr>
              <w:t>（9）管体探伤</w:t>
            </w:r>
          </w:p>
          <w:p w14:paraId="3354CB4D">
            <w:pPr>
              <w:autoSpaceDE w:val="0"/>
              <w:autoSpaceDN w:val="0"/>
              <w:adjustRightInd w:val="0"/>
              <w:spacing w:line="360" w:lineRule="auto"/>
              <w:ind w:firstLine="480" w:firstLineChars="200"/>
              <w:rPr>
                <w:rFonts w:eastAsiaTheme="minorEastAsia"/>
                <w:sz w:val="24"/>
              </w:rPr>
            </w:pPr>
            <w:r>
              <w:rPr>
                <w:rFonts w:hint="eastAsia" w:eastAsiaTheme="minorEastAsia"/>
                <w:sz w:val="24"/>
              </w:rPr>
              <w:t>吹灰后，直度和硬度合格的钢管通过超声波探伤装置对表面和管体缺陷进行无损探伤检测，以检查内部的纵向及横向缺陷，同时测量钢管的壁厚，并标出合格钢管和有缺陷管。合格管由链式输送机横向输送，并进行管端探伤，然后由横移链输送至收集槽处，收集后由吊车送往管加工前置库存放；有缺陷的钢管由横移台架送往人工修磨台架处修磨，修磨处的壁厚再用手提超声波检测，壁厚超差的部分由再切锯切除及改尺处理。</w:t>
            </w:r>
            <w:r>
              <w:rPr>
                <w:rFonts w:eastAsiaTheme="minorEastAsia"/>
                <w:sz w:val="24"/>
              </w:rPr>
              <w:t>此过程中会有废管</w:t>
            </w:r>
            <w:r>
              <w:rPr>
                <w:rFonts w:hint="eastAsia" w:eastAsiaTheme="minorEastAsia"/>
                <w:sz w:val="24"/>
              </w:rPr>
              <w:t>（S5）、噪声（N7）</w:t>
            </w:r>
            <w:r>
              <w:rPr>
                <w:rFonts w:eastAsiaTheme="minorEastAsia"/>
                <w:sz w:val="24"/>
              </w:rPr>
              <w:t>产生</w:t>
            </w:r>
            <w:r>
              <w:rPr>
                <w:rFonts w:hint="eastAsia" w:eastAsiaTheme="minorEastAsia"/>
                <w:sz w:val="24"/>
              </w:rPr>
              <w:t>。</w:t>
            </w:r>
          </w:p>
          <w:p w14:paraId="55F48522">
            <w:pPr>
              <w:pStyle w:val="2"/>
            </w:pPr>
          </w:p>
          <w:p w14:paraId="466883A5">
            <w:pPr>
              <w:pStyle w:val="4"/>
              <w:spacing w:after="0"/>
            </w:pPr>
          </w:p>
          <w:p w14:paraId="3C971BD2"/>
          <w:p w14:paraId="0F16AB08">
            <w:pPr>
              <w:pStyle w:val="2"/>
            </w:pPr>
          </w:p>
          <w:p w14:paraId="0EC9A6C8">
            <w:pPr>
              <w:pStyle w:val="4"/>
              <w:spacing w:after="0"/>
            </w:pPr>
          </w:p>
          <w:p w14:paraId="1094AEC9"/>
          <w:p w14:paraId="01B25662">
            <w:pPr>
              <w:pStyle w:val="2"/>
            </w:pPr>
          </w:p>
          <w:p w14:paraId="72B97B0D">
            <w:pPr>
              <w:pStyle w:val="4"/>
              <w:spacing w:after="0"/>
            </w:pPr>
          </w:p>
          <w:p w14:paraId="5DE990A6"/>
          <w:p w14:paraId="30742B4F">
            <w:pPr>
              <w:pStyle w:val="2"/>
            </w:pPr>
          </w:p>
          <w:p w14:paraId="08E2FD0F">
            <w:pPr>
              <w:pStyle w:val="4"/>
              <w:spacing w:after="0"/>
            </w:pPr>
          </w:p>
          <w:p w14:paraId="50D08122"/>
          <w:p w14:paraId="28F32D3E">
            <w:pPr>
              <w:pStyle w:val="2"/>
            </w:pPr>
          </w:p>
          <w:p w14:paraId="3B3B7D1A">
            <w:pPr>
              <w:pStyle w:val="4"/>
              <w:spacing w:after="0"/>
            </w:pPr>
          </w:p>
          <w:p w14:paraId="479D4F40"/>
          <w:p w14:paraId="66DBB1D8">
            <w:pPr>
              <w:pStyle w:val="2"/>
            </w:pPr>
          </w:p>
          <w:p w14:paraId="64424D88">
            <w:pPr>
              <w:pStyle w:val="4"/>
              <w:spacing w:after="0"/>
            </w:pPr>
          </w:p>
          <w:p w14:paraId="60D5227B"/>
          <w:p w14:paraId="12155B88">
            <w:pPr>
              <w:pStyle w:val="2"/>
            </w:pPr>
          </w:p>
          <w:p w14:paraId="60CB6EC1">
            <w:pPr>
              <w:pStyle w:val="4"/>
              <w:spacing w:after="0"/>
            </w:pPr>
          </w:p>
          <w:p w14:paraId="49D3FC85"/>
          <w:p w14:paraId="2B9BEC1E">
            <w:pPr>
              <w:pStyle w:val="2"/>
            </w:pPr>
          </w:p>
          <w:p w14:paraId="3FA3D386">
            <w:pPr>
              <w:pStyle w:val="4"/>
              <w:spacing w:after="0"/>
            </w:pPr>
          </w:p>
          <w:p w14:paraId="7B021F97"/>
          <w:p w14:paraId="63CB1413">
            <w:pPr>
              <w:pStyle w:val="2"/>
            </w:pPr>
          </w:p>
          <w:p w14:paraId="6CF5A157">
            <w:pPr>
              <w:pStyle w:val="2"/>
              <w:spacing w:line="360" w:lineRule="auto"/>
              <w:ind w:firstLine="480" w:firstLineChars="200"/>
              <w:jc w:val="center"/>
              <w:rPr>
                <w:rFonts w:ascii="Times New Roman"/>
                <w:b/>
                <w:color w:val="auto"/>
                <w:spacing w:val="10"/>
              </w:rPr>
            </w:pPr>
            <w:r>
              <w:object>
                <v:shape id="_x0000_i1028" o:spt="75" type="#_x0000_t75" style="height:638.25pt;width:396.75pt;" o:ole="t" filled="f" o:preferrelative="t" stroked="f" coordsize="21600,21600">
                  <v:path/>
                  <v:fill on="f" focussize="0,0"/>
                  <v:stroke on="f" joinstyle="miter"/>
                  <v:imagedata r:id="rId17" o:title=""/>
                  <o:lock v:ext="edit" aspectratio="t"/>
                  <w10:wrap type="none"/>
                  <w10:anchorlock/>
                </v:shape>
                <o:OLEObject Type="Embed" ProgID="Visio.Drawing.11" ShapeID="_x0000_i1028" DrawAspect="Content" ObjectID="_1468075728" r:id="rId16">
                  <o:LockedField>false</o:LockedField>
                </o:OLEObject>
              </w:object>
            </w:r>
          </w:p>
          <w:p w14:paraId="7A8CB12D">
            <w:pPr>
              <w:jc w:val="center"/>
              <w:rPr>
                <w:b/>
                <w:szCs w:val="21"/>
              </w:rPr>
            </w:pPr>
            <w:r>
              <w:rPr>
                <w:b/>
                <w:szCs w:val="21"/>
              </w:rPr>
              <w:t>图</w:t>
            </w:r>
            <w:r>
              <w:rPr>
                <w:rFonts w:hint="eastAsia"/>
                <w:b/>
                <w:szCs w:val="21"/>
              </w:rPr>
              <w:t>2-4</w:t>
            </w:r>
            <w:r>
              <w:rPr>
                <w:b/>
                <w:szCs w:val="21"/>
              </w:rPr>
              <w:t xml:space="preserve">  热</w:t>
            </w:r>
            <w:r>
              <w:rPr>
                <w:rFonts w:hint="eastAsia"/>
                <w:b/>
                <w:szCs w:val="21"/>
              </w:rPr>
              <w:t>处理</w:t>
            </w:r>
            <w:r>
              <w:rPr>
                <w:b/>
                <w:szCs w:val="21"/>
              </w:rPr>
              <w:t>生产线工艺流程及产排污节点图</w:t>
            </w:r>
          </w:p>
          <w:p w14:paraId="0C7584BA">
            <w:pPr>
              <w:adjustRightInd w:val="0"/>
              <w:spacing w:line="360" w:lineRule="auto"/>
              <w:ind w:firstLine="482" w:firstLineChars="200"/>
              <w:rPr>
                <w:rFonts w:hAnsi="宋体"/>
                <w:b/>
                <w:sz w:val="24"/>
              </w:rPr>
            </w:pPr>
            <w:r>
              <w:rPr>
                <w:rFonts w:hint="eastAsia" w:hAnsi="宋体"/>
                <w:b/>
                <w:sz w:val="24"/>
              </w:rPr>
              <w:t>三、现有工程污染防治措施及达标分析</w:t>
            </w:r>
          </w:p>
          <w:p w14:paraId="0BAF34F6">
            <w:pPr>
              <w:spacing w:line="360" w:lineRule="auto"/>
              <w:ind w:firstLine="482" w:firstLineChars="200"/>
              <w:jc w:val="left"/>
              <w:rPr>
                <w:b/>
                <w:sz w:val="24"/>
              </w:rPr>
            </w:pPr>
            <w:r>
              <w:rPr>
                <w:rFonts w:hint="eastAsia"/>
                <w:b/>
                <w:sz w:val="24"/>
              </w:rPr>
              <w:t>1、废水</w:t>
            </w:r>
          </w:p>
          <w:p w14:paraId="7F0AAF82">
            <w:pPr>
              <w:widowControl/>
              <w:spacing w:line="360" w:lineRule="auto"/>
              <w:ind w:firstLine="482" w:firstLineChars="200"/>
              <w:rPr>
                <w:b/>
                <w:sz w:val="24"/>
              </w:rPr>
            </w:pPr>
            <w:r>
              <w:rPr>
                <w:rFonts w:hint="eastAsia"/>
                <w:b/>
                <w:sz w:val="24"/>
              </w:rPr>
              <w:t>A、热轧生产线</w:t>
            </w:r>
          </w:p>
          <w:p w14:paraId="33698D01">
            <w:pPr>
              <w:widowControl/>
              <w:spacing w:line="360" w:lineRule="auto"/>
              <w:ind w:firstLine="480" w:firstLineChars="200"/>
              <w:rPr>
                <w:sz w:val="24"/>
              </w:rPr>
            </w:pPr>
            <w:r>
              <w:rPr>
                <w:rFonts w:hint="eastAsia"/>
                <w:sz w:val="24"/>
              </w:rPr>
              <w:t>现有工程热轧生产线主要包括净环水系统、浊环水系统。</w:t>
            </w:r>
          </w:p>
          <w:p w14:paraId="243B5349">
            <w:pPr>
              <w:widowControl/>
              <w:spacing w:line="360" w:lineRule="auto"/>
              <w:ind w:firstLine="480" w:firstLineChars="200"/>
              <w:rPr>
                <w:sz w:val="24"/>
              </w:rPr>
            </w:pPr>
            <w:r>
              <w:rPr>
                <w:rFonts w:hint="eastAsia"/>
                <w:sz w:val="24"/>
              </w:rPr>
              <w:t>①间接冷却废水</w:t>
            </w:r>
          </w:p>
          <w:p w14:paraId="791DDD1B">
            <w:pPr>
              <w:widowControl/>
              <w:spacing w:line="360" w:lineRule="auto"/>
              <w:ind w:firstLine="480" w:firstLineChars="200"/>
              <w:rPr>
                <w:sz w:val="24"/>
              </w:rPr>
            </w:pPr>
            <w:r>
              <w:rPr>
                <w:rFonts w:hint="eastAsia"/>
                <w:sz w:val="24"/>
              </w:rPr>
              <w:t>现有工程热轧生产线间接冷却水主要为环形炉冷却水、步进炉冷却水，用水量约为150m</w:t>
            </w:r>
            <w:r>
              <w:rPr>
                <w:rFonts w:hint="eastAsia"/>
                <w:sz w:val="24"/>
                <w:vertAlign w:val="superscript"/>
              </w:rPr>
              <w:t>3</w:t>
            </w:r>
            <w:r>
              <w:rPr>
                <w:rFonts w:hint="eastAsia"/>
                <w:sz w:val="24"/>
              </w:rPr>
              <w:t>/h，补充新鲜水量约4m</w:t>
            </w:r>
            <w:r>
              <w:rPr>
                <w:rFonts w:hint="eastAsia"/>
                <w:sz w:val="24"/>
                <w:vertAlign w:val="superscript"/>
              </w:rPr>
              <w:t>3</w:t>
            </w:r>
            <w:r>
              <w:rPr>
                <w:rFonts w:hint="eastAsia"/>
                <w:sz w:val="24"/>
              </w:rPr>
              <w:t>/h，间接冷却水仅温度升高，不含其它污染物，工程设置净环水系统，使用后的排水经降温后循环使用，少量</w:t>
            </w:r>
            <w:r>
              <w:rPr>
                <w:sz w:val="24"/>
              </w:rPr>
              <w:t>强制排污水（约</w:t>
            </w:r>
            <w:r>
              <w:rPr>
                <w:rFonts w:hint="eastAsia"/>
                <w:sz w:val="24"/>
              </w:rPr>
              <w:t>2m</w:t>
            </w:r>
            <w:r>
              <w:rPr>
                <w:rFonts w:hint="eastAsia"/>
                <w:sz w:val="24"/>
                <w:vertAlign w:val="superscript"/>
              </w:rPr>
              <w:t>3</w:t>
            </w:r>
            <w:r>
              <w:rPr>
                <w:rFonts w:hint="eastAsia"/>
                <w:sz w:val="24"/>
              </w:rPr>
              <w:t>/h</w:t>
            </w:r>
            <w:r>
              <w:rPr>
                <w:sz w:val="24"/>
              </w:rPr>
              <w:t>）进入浊环水系统。</w:t>
            </w:r>
          </w:p>
          <w:p w14:paraId="5645C13D">
            <w:pPr>
              <w:widowControl/>
              <w:spacing w:line="360" w:lineRule="auto"/>
              <w:ind w:firstLine="480" w:firstLineChars="200"/>
              <w:rPr>
                <w:sz w:val="24"/>
              </w:rPr>
            </w:pPr>
            <w:r>
              <w:rPr>
                <w:rFonts w:hint="eastAsia" w:ascii="宋体" w:hAnsi="宋体" w:cs="宋体"/>
                <w:sz w:val="24"/>
              </w:rPr>
              <w:t>②</w:t>
            </w:r>
            <w:r>
              <w:rPr>
                <w:rFonts w:hint="eastAsia"/>
                <w:sz w:val="24"/>
              </w:rPr>
              <w:t>直接冷却废水</w:t>
            </w:r>
          </w:p>
          <w:p w14:paraId="176C72A5">
            <w:pPr>
              <w:widowControl/>
              <w:spacing w:line="360" w:lineRule="auto"/>
              <w:ind w:firstLine="480" w:firstLineChars="200"/>
              <w:rPr>
                <w:spacing w:val="10"/>
                <w:sz w:val="24"/>
              </w:rPr>
            </w:pPr>
            <w:r>
              <w:rPr>
                <w:rFonts w:hint="eastAsia"/>
                <w:sz w:val="24"/>
              </w:rPr>
              <w:t>现有工程热轧生产线直接冷却用水主要为穿孔冷却用水</w:t>
            </w:r>
            <w:r>
              <w:rPr>
                <w:sz w:val="24"/>
              </w:rPr>
              <w:t>、芯棒直接冷却用水、</w:t>
            </w:r>
            <w:r>
              <w:rPr>
                <w:rFonts w:hint="eastAsia"/>
                <w:spacing w:val="10"/>
                <w:sz w:val="24"/>
              </w:rPr>
              <w:t>石墨润滑用水、</w:t>
            </w:r>
            <w:r>
              <w:rPr>
                <w:rFonts w:hint="eastAsia"/>
                <w:sz w:val="24"/>
              </w:rPr>
              <w:t>高压水除鳞用水、轧机设备直接冷却用水、张减机直接冷却用水等，用水量约为410m</w:t>
            </w:r>
            <w:r>
              <w:rPr>
                <w:rFonts w:hint="eastAsia"/>
                <w:sz w:val="24"/>
                <w:vertAlign w:val="superscript"/>
              </w:rPr>
              <w:t>3</w:t>
            </w:r>
            <w:r>
              <w:rPr>
                <w:rFonts w:hint="eastAsia"/>
                <w:sz w:val="24"/>
              </w:rPr>
              <w:t>/h，补充新鲜水量约8m</w:t>
            </w:r>
            <w:r>
              <w:rPr>
                <w:rFonts w:hint="eastAsia"/>
                <w:sz w:val="24"/>
                <w:vertAlign w:val="superscript"/>
              </w:rPr>
              <w:t>3</w:t>
            </w:r>
            <w:r>
              <w:rPr>
                <w:rFonts w:hint="eastAsia"/>
                <w:sz w:val="24"/>
              </w:rPr>
              <w:t>/h，主要污染物为石油类和SS，污染物浓度为SS900mg/L，石油类15mg/L。工程设浊废水循环系统，废水经旋流池、化学除油器处理工艺等处理后循环使用，循环系统排出的少量废水</w:t>
            </w:r>
            <w:r>
              <w:rPr>
                <w:sz w:val="24"/>
              </w:rPr>
              <w:t>（约</w:t>
            </w:r>
            <w:r>
              <w:rPr>
                <w:rFonts w:hint="eastAsia"/>
                <w:sz w:val="24"/>
              </w:rPr>
              <w:t>4m</w:t>
            </w:r>
            <w:r>
              <w:rPr>
                <w:rFonts w:hint="eastAsia"/>
                <w:sz w:val="24"/>
                <w:vertAlign w:val="superscript"/>
              </w:rPr>
              <w:t>3</w:t>
            </w:r>
            <w:r>
              <w:rPr>
                <w:rFonts w:hint="eastAsia"/>
                <w:sz w:val="24"/>
              </w:rPr>
              <w:t>/h</w:t>
            </w:r>
            <w:r>
              <w:rPr>
                <w:spacing w:val="10"/>
                <w:sz w:val="24"/>
              </w:rPr>
              <w:t>）</w:t>
            </w:r>
            <w:r>
              <w:rPr>
                <w:rFonts w:hint="eastAsia"/>
                <w:spacing w:val="10"/>
                <w:sz w:val="24"/>
              </w:rPr>
              <w:t>进入</w:t>
            </w:r>
            <w:r>
              <w:rPr>
                <w:spacing w:val="10"/>
                <w:sz w:val="24"/>
              </w:rPr>
              <w:t>衡钢东区污水处理站</w:t>
            </w:r>
            <w:r>
              <w:rPr>
                <w:rFonts w:hint="eastAsia"/>
                <w:spacing w:val="10"/>
                <w:sz w:val="24"/>
              </w:rPr>
              <w:t>净化后循环使用。</w:t>
            </w:r>
          </w:p>
          <w:p w14:paraId="63BCAFB3">
            <w:pPr>
              <w:widowControl/>
              <w:spacing w:line="360" w:lineRule="auto"/>
              <w:ind w:firstLine="480" w:firstLineChars="200"/>
              <w:rPr>
                <w:spacing w:val="10"/>
                <w:sz w:val="24"/>
              </w:rPr>
            </w:pPr>
            <w:r>
              <w:rPr>
                <w:rFonts w:hint="eastAsia"/>
                <w:sz w:val="24"/>
              </w:rPr>
              <w:t>现有工程</w:t>
            </w:r>
            <w:r>
              <w:rPr>
                <w:rFonts w:hint="eastAsia"/>
                <w:spacing w:val="10"/>
                <w:sz w:val="24"/>
              </w:rPr>
              <w:t>热轧生产线水平衡图见图2-5所示。</w:t>
            </w:r>
          </w:p>
          <w:p w14:paraId="1466A0DD">
            <w:pPr>
              <w:pStyle w:val="2"/>
              <w:jc w:val="center"/>
            </w:pPr>
            <w:r>
              <w:object>
                <v:shape id="_x0000_i1029" o:spt="75" type="#_x0000_t75" style="height:159.75pt;width:360pt;" o:ole="t" filled="f" o:preferrelative="t" stroked="f" coordsize="21600,21600">
                  <v:path/>
                  <v:fill on="f" focussize="0,0"/>
                  <v:stroke on="f" joinstyle="miter"/>
                  <v:imagedata r:id="rId19" o:title=""/>
                  <o:lock v:ext="edit" aspectratio="t"/>
                  <w10:wrap type="none"/>
                  <w10:anchorlock/>
                </v:shape>
                <o:OLEObject Type="Embed" ProgID="Visio.Drawing.11" ShapeID="_x0000_i1029" DrawAspect="Content" ObjectID="_1468075729" r:id="rId18">
                  <o:LockedField>false</o:LockedField>
                </o:OLEObject>
              </w:object>
            </w:r>
          </w:p>
          <w:p w14:paraId="02784917">
            <w:pPr>
              <w:pStyle w:val="2"/>
              <w:spacing w:afterLines="50"/>
              <w:jc w:val="center"/>
              <w:rPr>
                <w:rFonts w:ascii="Times New Roman"/>
                <w:b/>
                <w:color w:val="auto"/>
                <w:sz w:val="21"/>
              </w:rPr>
            </w:pPr>
            <w:r>
              <w:rPr>
                <w:rFonts w:hint="eastAsia" w:ascii="Times New Roman"/>
                <w:b/>
                <w:color w:val="auto"/>
                <w:sz w:val="21"/>
              </w:rPr>
              <w:t>图2-5  现有工程热轧生产线水平衡</w:t>
            </w:r>
            <w:r>
              <w:rPr>
                <w:rFonts w:ascii="Times New Roman"/>
                <w:b/>
                <w:color w:val="auto"/>
                <w:sz w:val="21"/>
              </w:rPr>
              <w:t>图</w:t>
            </w:r>
          </w:p>
          <w:p w14:paraId="3B07B04F">
            <w:pPr>
              <w:widowControl/>
              <w:spacing w:line="360" w:lineRule="auto"/>
              <w:ind w:firstLine="482" w:firstLineChars="200"/>
              <w:rPr>
                <w:b/>
                <w:sz w:val="24"/>
              </w:rPr>
            </w:pPr>
            <w:r>
              <w:rPr>
                <w:rFonts w:hint="eastAsia"/>
                <w:b/>
                <w:sz w:val="24"/>
              </w:rPr>
              <w:t>B、热处理生产线</w:t>
            </w:r>
          </w:p>
          <w:p w14:paraId="77143231">
            <w:pPr>
              <w:widowControl/>
              <w:spacing w:line="360" w:lineRule="auto"/>
              <w:ind w:firstLine="480" w:firstLineChars="200"/>
              <w:rPr>
                <w:sz w:val="24"/>
              </w:rPr>
            </w:pPr>
            <w:r>
              <w:rPr>
                <w:rFonts w:hint="eastAsia"/>
                <w:sz w:val="24"/>
              </w:rPr>
              <w:t>现有工程热处理生产线用水主要包括净环水系统、浊环水系统、安全供水系统及其他生产用水。</w:t>
            </w:r>
          </w:p>
          <w:p w14:paraId="51F9E7BE">
            <w:pPr>
              <w:widowControl/>
              <w:spacing w:line="360" w:lineRule="auto"/>
              <w:ind w:firstLine="480" w:firstLineChars="200"/>
              <w:rPr>
                <w:sz w:val="24"/>
              </w:rPr>
            </w:pPr>
            <w:r>
              <w:rPr>
                <w:rFonts w:hint="eastAsia"/>
                <w:sz w:val="24"/>
              </w:rPr>
              <w:t>①净环水系统：主要为淬火炉液压站冷却水、回火炉液压站冷却水、淬火装置液压站冷却水、矫直机液压站、稀油站冷却水、热处理线液压站冷却水及探伤装置用水，用水量约为95m</w:t>
            </w:r>
            <w:r>
              <w:rPr>
                <w:rFonts w:hint="eastAsia"/>
                <w:sz w:val="24"/>
                <w:vertAlign w:val="superscript"/>
              </w:rPr>
              <w:t>3</w:t>
            </w:r>
            <w:r>
              <w:rPr>
                <w:rFonts w:hint="eastAsia"/>
                <w:sz w:val="24"/>
              </w:rPr>
              <w:t>/h，补充新鲜水量约3m</w:t>
            </w:r>
            <w:r>
              <w:rPr>
                <w:rFonts w:hint="eastAsia"/>
                <w:sz w:val="24"/>
                <w:vertAlign w:val="superscript"/>
              </w:rPr>
              <w:t>3</w:t>
            </w:r>
            <w:r>
              <w:rPr>
                <w:rFonts w:hint="eastAsia"/>
                <w:sz w:val="24"/>
              </w:rPr>
              <w:t>/h。工程设置净环水系统，使用后的排水经降温后循环使用，少量</w:t>
            </w:r>
            <w:r>
              <w:rPr>
                <w:sz w:val="24"/>
              </w:rPr>
              <w:t>强制排污水（</w:t>
            </w:r>
            <w:r>
              <w:rPr>
                <w:rFonts w:hint="eastAsia"/>
                <w:sz w:val="24"/>
              </w:rPr>
              <w:t>1m</w:t>
            </w:r>
            <w:r>
              <w:rPr>
                <w:rFonts w:hint="eastAsia"/>
                <w:sz w:val="24"/>
                <w:vertAlign w:val="superscript"/>
              </w:rPr>
              <w:t>3</w:t>
            </w:r>
            <w:r>
              <w:rPr>
                <w:rFonts w:hint="eastAsia"/>
                <w:sz w:val="24"/>
              </w:rPr>
              <w:t>/h</w:t>
            </w:r>
            <w:r>
              <w:rPr>
                <w:sz w:val="24"/>
              </w:rPr>
              <w:t>）进入浊环水系统</w:t>
            </w:r>
            <w:r>
              <w:rPr>
                <w:rFonts w:hint="eastAsia"/>
                <w:sz w:val="24"/>
              </w:rPr>
              <w:t>，净环水仅温度升高，不含其它污染物</w:t>
            </w:r>
            <w:r>
              <w:rPr>
                <w:sz w:val="24"/>
              </w:rPr>
              <w:t>。</w:t>
            </w:r>
          </w:p>
          <w:p w14:paraId="1D0EEC1B">
            <w:pPr>
              <w:widowControl/>
              <w:spacing w:line="360" w:lineRule="auto"/>
              <w:ind w:firstLine="480" w:firstLineChars="200"/>
              <w:rPr>
                <w:sz w:val="24"/>
              </w:rPr>
            </w:pPr>
            <w:r>
              <w:rPr>
                <w:rFonts w:hint="eastAsia"/>
                <w:sz w:val="24"/>
              </w:rPr>
              <w:t>②浊环水系统：主要为淬火用水、高压水除鳞用水、矫直机轧辊冷却水、淬火炉辊道冷却用浊环水、回火炉辊道冷却用浊环水及矫直机冲铁皮用水，总用水量平均2390.1m</w:t>
            </w:r>
            <w:r>
              <w:rPr>
                <w:rFonts w:hint="eastAsia"/>
                <w:sz w:val="24"/>
                <w:vertAlign w:val="superscript"/>
              </w:rPr>
              <w:t>3</w:t>
            </w:r>
            <w:r>
              <w:rPr>
                <w:rFonts w:hint="eastAsia"/>
                <w:sz w:val="24"/>
              </w:rPr>
              <w:t>/h，补充新鲜水量约27m</w:t>
            </w:r>
            <w:r>
              <w:rPr>
                <w:rFonts w:hint="eastAsia"/>
                <w:sz w:val="24"/>
                <w:vertAlign w:val="superscript"/>
              </w:rPr>
              <w:t>3</w:t>
            </w:r>
            <w:r>
              <w:rPr>
                <w:rFonts w:hint="eastAsia"/>
                <w:sz w:val="24"/>
              </w:rPr>
              <w:t>/h。</w:t>
            </w:r>
          </w:p>
          <w:p w14:paraId="590DF983">
            <w:pPr>
              <w:widowControl/>
              <w:spacing w:line="360" w:lineRule="auto"/>
              <w:ind w:firstLine="480" w:firstLineChars="200"/>
              <w:rPr>
                <w:sz w:val="24"/>
              </w:rPr>
            </w:pPr>
            <w:r>
              <w:rPr>
                <w:rFonts w:hint="eastAsia"/>
                <w:sz w:val="24"/>
              </w:rPr>
              <w:t>由于淬火水和其他浊环水对用水的水质要求相近，按工艺要求，采用将其他浊环水和淬火水进行合并处理的方式。淬火用浊环水分为钢管内喷和钢管外淋2个用户，其中钢管内喷用水量平均为500m</w:t>
            </w:r>
            <w:r>
              <w:rPr>
                <w:rFonts w:hint="eastAsia"/>
                <w:sz w:val="24"/>
                <w:vertAlign w:val="superscript"/>
              </w:rPr>
              <w:t>3</w:t>
            </w:r>
            <w:r>
              <w:rPr>
                <w:rFonts w:hint="eastAsia"/>
                <w:sz w:val="24"/>
              </w:rPr>
              <w:t>/h，供水压力位0.8MPa；钢管外淋用水量平均为1800m</w:t>
            </w:r>
            <w:r>
              <w:rPr>
                <w:rFonts w:hint="eastAsia"/>
                <w:sz w:val="24"/>
                <w:vertAlign w:val="superscript"/>
              </w:rPr>
              <w:t>3</w:t>
            </w:r>
            <w:r>
              <w:rPr>
                <w:rFonts w:hint="eastAsia"/>
                <w:sz w:val="24"/>
              </w:rPr>
              <w:t>/h，供水压力位0.2MPa。其他浊环水系统主要供高压水除鳞装置、矫直机、淬火炉辊道冷却、回火炉辊道冷却等用户，用水量平均为90.1m</w:t>
            </w:r>
            <w:r>
              <w:rPr>
                <w:rFonts w:hint="eastAsia"/>
                <w:sz w:val="24"/>
                <w:vertAlign w:val="superscript"/>
              </w:rPr>
              <w:t>3</w:t>
            </w:r>
            <w:r>
              <w:rPr>
                <w:rFonts w:hint="eastAsia"/>
                <w:sz w:val="24"/>
              </w:rPr>
              <w:t>/h。工程设浊废水循环系统，废水经旋流池、化学除油器处理工艺等处理后循环使用，循环系统排出的少量废水</w:t>
            </w:r>
            <w:r>
              <w:rPr>
                <w:sz w:val="24"/>
              </w:rPr>
              <w:t>（</w:t>
            </w:r>
            <w:r>
              <w:rPr>
                <w:rFonts w:hint="eastAsia"/>
                <w:sz w:val="24"/>
              </w:rPr>
              <w:t>8m</w:t>
            </w:r>
            <w:r>
              <w:rPr>
                <w:rFonts w:hint="eastAsia"/>
                <w:sz w:val="24"/>
                <w:vertAlign w:val="superscript"/>
              </w:rPr>
              <w:t>3</w:t>
            </w:r>
            <w:r>
              <w:rPr>
                <w:rFonts w:hint="eastAsia"/>
                <w:sz w:val="24"/>
              </w:rPr>
              <w:t>/h</w:t>
            </w:r>
            <w:r>
              <w:rPr>
                <w:sz w:val="24"/>
              </w:rPr>
              <w:t>）</w:t>
            </w:r>
            <w:r>
              <w:rPr>
                <w:rFonts w:hint="eastAsia"/>
                <w:sz w:val="24"/>
              </w:rPr>
              <w:t>进入</w:t>
            </w:r>
            <w:r>
              <w:rPr>
                <w:sz w:val="24"/>
              </w:rPr>
              <w:t>衡钢东区污水处理站</w:t>
            </w:r>
            <w:r>
              <w:rPr>
                <w:rFonts w:hint="eastAsia"/>
                <w:sz w:val="24"/>
              </w:rPr>
              <w:t>净化后循环使用，主要污染物为石油类和SS，污染物浓度为SS900mg/L，石油类15mg/L。</w:t>
            </w:r>
          </w:p>
          <w:p w14:paraId="59D34922">
            <w:pPr>
              <w:widowControl/>
              <w:spacing w:line="360" w:lineRule="auto"/>
              <w:ind w:firstLine="480" w:firstLineChars="200"/>
              <w:rPr>
                <w:sz w:val="24"/>
              </w:rPr>
            </w:pPr>
            <w:r>
              <w:rPr>
                <w:rFonts w:hint="eastAsia"/>
                <w:sz w:val="24"/>
              </w:rPr>
              <w:t>③安全供水系统：淬火炉和回火炉在停电事故期间需要供给安全水，依托现有89机组设施，用水量约为32 m</w:t>
            </w:r>
            <w:r>
              <w:rPr>
                <w:rFonts w:hint="eastAsia"/>
                <w:sz w:val="24"/>
                <w:vertAlign w:val="superscript"/>
              </w:rPr>
              <w:t>3</w:t>
            </w:r>
            <w:r>
              <w:rPr>
                <w:rFonts w:hint="eastAsia"/>
                <w:sz w:val="24"/>
              </w:rPr>
              <w:t>/h。</w:t>
            </w:r>
          </w:p>
          <w:p w14:paraId="564DA5B1">
            <w:pPr>
              <w:widowControl/>
              <w:spacing w:line="360" w:lineRule="auto"/>
              <w:ind w:firstLine="480" w:firstLineChars="200"/>
            </w:pPr>
            <w:r>
              <w:rPr>
                <w:rFonts w:hint="eastAsia"/>
                <w:sz w:val="24"/>
              </w:rPr>
              <w:t>④其他生产用水：主要供车间洒水和其他用水，用水量分别为0.1m</w:t>
            </w:r>
            <w:r>
              <w:rPr>
                <w:rFonts w:hint="eastAsia"/>
                <w:sz w:val="24"/>
                <w:vertAlign w:val="superscript"/>
              </w:rPr>
              <w:t>3</w:t>
            </w:r>
            <w:r>
              <w:rPr>
                <w:rFonts w:hint="eastAsia"/>
                <w:sz w:val="24"/>
              </w:rPr>
              <w:t>/h和0.1m</w:t>
            </w:r>
            <w:r>
              <w:rPr>
                <w:rFonts w:hint="eastAsia"/>
                <w:sz w:val="24"/>
                <w:vertAlign w:val="superscript"/>
              </w:rPr>
              <w:t>3</w:t>
            </w:r>
            <w:r>
              <w:rPr>
                <w:rFonts w:hint="eastAsia"/>
                <w:sz w:val="24"/>
              </w:rPr>
              <w:t>/h。</w:t>
            </w:r>
          </w:p>
          <w:p w14:paraId="22D60755">
            <w:pPr>
              <w:widowControl/>
              <w:spacing w:line="360" w:lineRule="auto"/>
              <w:ind w:firstLine="456" w:firstLineChars="200"/>
              <w:rPr>
                <w:spacing w:val="-6"/>
                <w:sz w:val="24"/>
              </w:rPr>
            </w:pPr>
            <w:r>
              <w:rPr>
                <w:rFonts w:hint="eastAsia"/>
                <w:spacing w:val="-6"/>
                <w:sz w:val="24"/>
              </w:rPr>
              <w:t>现有工程热处理生产线水平衡图见图2-6所示。</w:t>
            </w:r>
          </w:p>
          <w:p w14:paraId="65F8BE47">
            <w:pPr>
              <w:pStyle w:val="2"/>
              <w:jc w:val="center"/>
            </w:pPr>
            <w:r>
              <w:object>
                <v:shape id="_x0000_i1030" o:spt="75" type="#_x0000_t75" style="height:234pt;width:431.25pt;" o:ole="t" filled="f" o:preferrelative="t" stroked="f" coordsize="21600,21600">
                  <v:path/>
                  <v:fill on="f" focussize="0,0"/>
                  <v:stroke on="f" joinstyle="miter"/>
                  <v:imagedata r:id="rId21" o:title=""/>
                  <o:lock v:ext="edit" aspectratio="t"/>
                  <w10:wrap type="none"/>
                  <w10:anchorlock/>
                </v:shape>
                <o:OLEObject Type="Embed" ProgID="Visio.Drawing.15" ShapeID="_x0000_i1030" DrawAspect="Content" ObjectID="_1468075730" r:id="rId20">
                  <o:LockedField>false</o:LockedField>
                </o:OLEObject>
              </w:object>
            </w:r>
          </w:p>
          <w:p w14:paraId="318EF2DB">
            <w:pPr>
              <w:pStyle w:val="2"/>
              <w:jc w:val="center"/>
              <w:rPr>
                <w:rFonts w:ascii="Times New Roman"/>
                <w:b/>
                <w:color w:val="auto"/>
                <w:sz w:val="21"/>
              </w:rPr>
            </w:pPr>
            <w:r>
              <w:rPr>
                <w:rFonts w:hint="eastAsia" w:ascii="Times New Roman"/>
                <w:b/>
                <w:color w:val="auto"/>
                <w:sz w:val="21"/>
              </w:rPr>
              <w:t>图2-6  现有工程热处理生产线水平衡</w:t>
            </w:r>
            <w:r>
              <w:rPr>
                <w:rFonts w:ascii="Times New Roman"/>
                <w:b/>
                <w:color w:val="auto"/>
                <w:sz w:val="21"/>
              </w:rPr>
              <w:t>图</w:t>
            </w:r>
          </w:p>
          <w:p w14:paraId="1BEFA5A6">
            <w:pPr>
              <w:spacing w:line="360" w:lineRule="auto"/>
              <w:ind w:firstLine="482" w:firstLineChars="200"/>
              <w:jc w:val="left"/>
              <w:rPr>
                <w:b/>
                <w:sz w:val="24"/>
              </w:rPr>
            </w:pPr>
            <w:r>
              <w:rPr>
                <w:rFonts w:hint="eastAsia"/>
                <w:b/>
                <w:sz w:val="24"/>
              </w:rPr>
              <w:t>2、废气</w:t>
            </w:r>
          </w:p>
          <w:p w14:paraId="170EB0BC">
            <w:pPr>
              <w:widowControl/>
              <w:spacing w:line="360" w:lineRule="auto"/>
              <w:ind w:firstLine="480" w:firstLineChars="200"/>
              <w:rPr>
                <w:sz w:val="24"/>
              </w:rPr>
            </w:pPr>
            <w:r>
              <w:rPr>
                <w:sz w:val="24"/>
              </w:rPr>
              <w:t>现有工程生产过程中产生的废气主要为</w:t>
            </w:r>
            <w:r>
              <w:rPr>
                <w:rFonts w:hint="eastAsia"/>
                <w:sz w:val="24"/>
              </w:rPr>
              <w:t>热轧生产线</w:t>
            </w:r>
            <w:r>
              <w:rPr>
                <w:kern w:val="0"/>
                <w:sz w:val="24"/>
              </w:rPr>
              <w:t>环形炉和步进炉</w:t>
            </w:r>
            <w:r>
              <w:rPr>
                <w:sz w:val="24"/>
              </w:rPr>
              <w:t>燃气燃烧废气（主要污染物为SO</w:t>
            </w:r>
            <w:r>
              <w:rPr>
                <w:sz w:val="24"/>
                <w:vertAlign w:val="subscript"/>
              </w:rPr>
              <w:t>2</w:t>
            </w:r>
            <w:r>
              <w:rPr>
                <w:sz w:val="24"/>
              </w:rPr>
              <w:t>、NO</w:t>
            </w:r>
            <w:r>
              <w:rPr>
                <w:sz w:val="24"/>
                <w:vertAlign w:val="subscript"/>
              </w:rPr>
              <w:t>X</w:t>
            </w:r>
            <w:r>
              <w:rPr>
                <w:sz w:val="24"/>
              </w:rPr>
              <w:t>和烟尘）、</w:t>
            </w:r>
            <w:r>
              <w:rPr>
                <w:rFonts w:hint="eastAsia"/>
                <w:sz w:val="24"/>
              </w:rPr>
              <w:t>热处理生产线回火</w:t>
            </w:r>
            <w:r>
              <w:rPr>
                <w:kern w:val="0"/>
                <w:sz w:val="24"/>
              </w:rPr>
              <w:t>炉和淬火炉</w:t>
            </w:r>
            <w:r>
              <w:rPr>
                <w:sz w:val="24"/>
              </w:rPr>
              <w:t>燃气燃烧废气（主要污染物为SO</w:t>
            </w:r>
            <w:r>
              <w:rPr>
                <w:sz w:val="24"/>
                <w:vertAlign w:val="subscript"/>
              </w:rPr>
              <w:t>2</w:t>
            </w:r>
            <w:r>
              <w:rPr>
                <w:sz w:val="24"/>
              </w:rPr>
              <w:t>、NO</w:t>
            </w:r>
            <w:r>
              <w:rPr>
                <w:sz w:val="24"/>
                <w:vertAlign w:val="subscript"/>
              </w:rPr>
              <w:t>X</w:t>
            </w:r>
            <w:r>
              <w:rPr>
                <w:sz w:val="24"/>
              </w:rPr>
              <w:t>和烟尘）、热轧生产工艺中产生的硼砂、石墨粉尘。</w:t>
            </w:r>
          </w:p>
          <w:p w14:paraId="0A303E8F">
            <w:pPr>
              <w:pStyle w:val="2"/>
              <w:spacing w:line="360" w:lineRule="auto"/>
              <w:ind w:firstLine="480" w:firstLineChars="200"/>
              <w:jc w:val="both"/>
              <w:rPr>
                <w:rFonts w:ascii="Times New Roman" w:cs="Times New Roman"/>
              </w:rPr>
            </w:pPr>
            <w:r>
              <w:rPr>
                <w:rFonts w:hint="eastAsia" w:ascii="Times New Roman" w:cs="Times New Roman"/>
              </w:rPr>
              <w:t>（1）有组织废气</w:t>
            </w:r>
          </w:p>
          <w:p w14:paraId="0CE71DEC">
            <w:pPr>
              <w:pStyle w:val="2"/>
              <w:spacing w:line="360" w:lineRule="auto"/>
              <w:ind w:firstLine="480" w:firstLineChars="200"/>
              <w:jc w:val="both"/>
              <w:rPr>
                <w:rFonts w:ascii="Times New Roman" w:cs="Times New Roman"/>
              </w:rPr>
            </w:pPr>
            <w:r>
              <w:rPr>
                <w:rFonts w:ascii="Times New Roman" w:cs="Times New Roman"/>
              </w:rPr>
              <w:t>现有工程加热炉使用燃料均为混合煤气等清洁燃料，热轧生产线环形炉烟气通过1座80m排气筒排放、步进炉烟气通过1座</w:t>
            </w:r>
            <w:r>
              <w:rPr>
                <w:rFonts w:hint="eastAsia" w:ascii="Times New Roman" w:cs="Times New Roman"/>
              </w:rPr>
              <w:t>68</w:t>
            </w:r>
            <w:r>
              <w:rPr>
                <w:rFonts w:ascii="Times New Roman" w:cs="Times New Roman"/>
              </w:rPr>
              <w:t>m排气筒排放；热处理回火炉和淬火炉各燃烧段的烟气经烟道换热器余热回收后，经烟道由排气筒排入大气，排气筒高度均为50米；喷硼砂区废气和连轧管区废气一道经塑烧板除尘器处理后通过18m FQ-3排气筒高空达标排放。</w:t>
            </w:r>
          </w:p>
          <w:p w14:paraId="2C128F8A">
            <w:pPr>
              <w:pStyle w:val="122"/>
              <w:spacing w:before="0" w:beforeAutospacing="0"/>
              <w:ind w:firstLine="480"/>
              <w:rPr>
                <w:kern w:val="2"/>
                <w:sz w:val="24"/>
                <w:szCs w:val="24"/>
              </w:rPr>
            </w:pPr>
            <w:r>
              <w:rPr>
                <w:rFonts w:hAnsi="宋体"/>
                <w:kern w:val="2"/>
                <w:sz w:val="24"/>
                <w:szCs w:val="24"/>
              </w:rPr>
              <w:t>根据</w:t>
            </w:r>
            <w:r>
              <w:rPr>
                <w:rFonts w:hAnsi="宋体"/>
                <w:sz w:val="24"/>
              </w:rPr>
              <w:t>衡阳华菱钢管有限公司</w:t>
            </w:r>
            <w:r>
              <w:rPr>
                <w:rFonts w:hint="eastAsia" w:hAnsi="宋体"/>
                <w:sz w:val="24"/>
              </w:rPr>
              <w:t>89分厂</w:t>
            </w:r>
            <w:r>
              <w:rPr>
                <w:kern w:val="2"/>
                <w:sz w:val="24"/>
                <w:szCs w:val="24"/>
              </w:rPr>
              <w:t>202</w:t>
            </w:r>
            <w:r>
              <w:rPr>
                <w:rFonts w:hint="eastAsia"/>
                <w:kern w:val="2"/>
                <w:sz w:val="24"/>
                <w:szCs w:val="24"/>
              </w:rPr>
              <w:t>4</w:t>
            </w:r>
            <w:r>
              <w:rPr>
                <w:rFonts w:hAnsi="宋体"/>
                <w:kern w:val="2"/>
                <w:sz w:val="24"/>
                <w:szCs w:val="24"/>
              </w:rPr>
              <w:t>年第二季度自行监测报告（</w:t>
            </w:r>
            <w:r>
              <w:rPr>
                <w:rFonts w:hint="eastAsia"/>
                <w:kern w:val="2"/>
                <w:sz w:val="24"/>
                <w:szCs w:val="24"/>
              </w:rPr>
              <w:t>报告编号：HYZA-HJC-2404238</w:t>
            </w:r>
            <w:r>
              <w:rPr>
                <w:rFonts w:hAnsi="宋体"/>
                <w:kern w:val="2"/>
                <w:sz w:val="24"/>
                <w:szCs w:val="24"/>
              </w:rPr>
              <w:t>），废气监测结果见表</w:t>
            </w:r>
            <w:r>
              <w:rPr>
                <w:rFonts w:hint="eastAsia" w:hAnsi="宋体"/>
                <w:kern w:val="2"/>
                <w:sz w:val="24"/>
                <w:szCs w:val="24"/>
              </w:rPr>
              <w:t>2-15。</w:t>
            </w:r>
          </w:p>
          <w:p w14:paraId="41153353">
            <w:pPr>
              <w:pStyle w:val="2"/>
              <w:spacing w:beforeLines="50"/>
              <w:jc w:val="center"/>
              <w:rPr>
                <w:rFonts w:hAnsi="宋体"/>
                <w:b/>
                <w:bCs/>
              </w:rPr>
            </w:pPr>
            <w:r>
              <w:rPr>
                <w:rFonts w:hint="eastAsia" w:ascii="Times New Roman"/>
                <w:b/>
                <w:color w:val="auto"/>
                <w:sz w:val="21"/>
              </w:rPr>
              <w:t>表2-15  现有工程89分厂废气排放口监测结果一览表</w:t>
            </w:r>
          </w:p>
          <w:tbl>
            <w:tblPr>
              <w:tblStyle w:val="32"/>
              <w:tblW w:w="929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1"/>
              <w:gridCol w:w="840"/>
              <w:gridCol w:w="1275"/>
              <w:gridCol w:w="851"/>
              <w:gridCol w:w="992"/>
              <w:gridCol w:w="1134"/>
              <w:gridCol w:w="1134"/>
              <w:gridCol w:w="992"/>
              <w:gridCol w:w="912"/>
            </w:tblGrid>
            <w:tr w14:paraId="24099A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restart"/>
                  <w:vAlign w:val="center"/>
                </w:tcPr>
                <w:p w14:paraId="6BCE28BC">
                  <w:pPr>
                    <w:adjustRightInd w:val="0"/>
                    <w:snapToGrid w:val="0"/>
                    <w:jc w:val="center"/>
                    <w:textAlignment w:val="center"/>
                    <w:rPr>
                      <w:b/>
                      <w:bCs/>
                      <w:szCs w:val="21"/>
                    </w:rPr>
                  </w:pPr>
                  <w:r>
                    <w:rPr>
                      <w:b/>
                      <w:bCs/>
                    </w:rPr>
                    <w:t>监测点位</w:t>
                  </w:r>
                </w:p>
              </w:tc>
              <w:tc>
                <w:tcPr>
                  <w:tcW w:w="2115" w:type="dxa"/>
                  <w:gridSpan w:val="2"/>
                  <w:vMerge w:val="restart"/>
                  <w:vAlign w:val="center"/>
                </w:tcPr>
                <w:p w14:paraId="2347BDAF">
                  <w:pPr>
                    <w:adjustRightInd w:val="0"/>
                    <w:snapToGrid w:val="0"/>
                    <w:jc w:val="center"/>
                    <w:textAlignment w:val="center"/>
                    <w:rPr>
                      <w:b/>
                      <w:bCs/>
                      <w:szCs w:val="21"/>
                    </w:rPr>
                  </w:pPr>
                  <w:r>
                    <w:rPr>
                      <w:b/>
                      <w:bCs/>
                    </w:rPr>
                    <w:t>检测项目</w:t>
                  </w:r>
                </w:p>
              </w:tc>
              <w:tc>
                <w:tcPr>
                  <w:tcW w:w="851" w:type="dxa"/>
                  <w:vMerge w:val="restart"/>
                  <w:vAlign w:val="center"/>
                </w:tcPr>
                <w:p w14:paraId="1CC1C60E">
                  <w:pPr>
                    <w:adjustRightInd w:val="0"/>
                    <w:snapToGrid w:val="0"/>
                    <w:jc w:val="center"/>
                    <w:textAlignment w:val="center"/>
                    <w:rPr>
                      <w:b/>
                      <w:bCs/>
                      <w:szCs w:val="21"/>
                    </w:rPr>
                  </w:pPr>
                  <w:r>
                    <w:rPr>
                      <w:b/>
                      <w:bCs/>
                    </w:rPr>
                    <w:t>单位</w:t>
                  </w:r>
                </w:p>
              </w:tc>
              <w:tc>
                <w:tcPr>
                  <w:tcW w:w="4252" w:type="dxa"/>
                  <w:gridSpan w:val="4"/>
                  <w:vAlign w:val="center"/>
                </w:tcPr>
                <w:p w14:paraId="6413188F">
                  <w:pPr>
                    <w:pStyle w:val="2"/>
                    <w:jc w:val="center"/>
                  </w:pPr>
                  <w:r>
                    <w:rPr>
                      <w:b/>
                      <w:bCs/>
                    </w:rPr>
                    <w:t>检测时间及检测结果</w:t>
                  </w:r>
                </w:p>
              </w:tc>
              <w:tc>
                <w:tcPr>
                  <w:tcW w:w="912" w:type="dxa"/>
                  <w:vMerge w:val="restart"/>
                  <w:vAlign w:val="center"/>
                </w:tcPr>
                <w:p w14:paraId="4C5C5ADC">
                  <w:pPr>
                    <w:adjustRightInd w:val="0"/>
                    <w:snapToGrid w:val="0"/>
                    <w:jc w:val="center"/>
                    <w:textAlignment w:val="center"/>
                    <w:rPr>
                      <w:b/>
                      <w:bCs/>
                    </w:rPr>
                  </w:pPr>
                  <w:r>
                    <w:rPr>
                      <w:b/>
                      <w:bCs/>
                    </w:rPr>
                    <w:t>排放</w:t>
                  </w:r>
                </w:p>
                <w:p w14:paraId="21B99DB0">
                  <w:pPr>
                    <w:pStyle w:val="2"/>
                    <w:jc w:val="center"/>
                  </w:pPr>
                  <w:r>
                    <w:rPr>
                      <w:b/>
                      <w:bCs/>
                    </w:rPr>
                    <w:t>标准</w:t>
                  </w:r>
                </w:p>
              </w:tc>
            </w:tr>
            <w:tr w14:paraId="0252B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6B5DE1FC">
                  <w:pPr>
                    <w:pStyle w:val="2"/>
                    <w:jc w:val="center"/>
                  </w:pPr>
                </w:p>
              </w:tc>
              <w:tc>
                <w:tcPr>
                  <w:tcW w:w="2115" w:type="dxa"/>
                  <w:gridSpan w:val="2"/>
                  <w:vMerge w:val="continue"/>
                  <w:vAlign w:val="center"/>
                </w:tcPr>
                <w:p w14:paraId="4A52CB56">
                  <w:pPr>
                    <w:pStyle w:val="2"/>
                    <w:jc w:val="center"/>
                  </w:pPr>
                </w:p>
              </w:tc>
              <w:tc>
                <w:tcPr>
                  <w:tcW w:w="851" w:type="dxa"/>
                  <w:vMerge w:val="continue"/>
                  <w:vAlign w:val="center"/>
                </w:tcPr>
                <w:p w14:paraId="6CD8D78F">
                  <w:pPr>
                    <w:pStyle w:val="2"/>
                    <w:jc w:val="center"/>
                  </w:pPr>
                </w:p>
              </w:tc>
              <w:tc>
                <w:tcPr>
                  <w:tcW w:w="992" w:type="dxa"/>
                  <w:vAlign w:val="center"/>
                </w:tcPr>
                <w:p w14:paraId="1BFF890E">
                  <w:pPr>
                    <w:adjustRightInd w:val="0"/>
                    <w:snapToGrid w:val="0"/>
                    <w:jc w:val="center"/>
                    <w:rPr>
                      <w:b/>
                      <w:szCs w:val="21"/>
                    </w:rPr>
                  </w:pPr>
                  <w:r>
                    <w:rPr>
                      <w:rFonts w:hint="eastAsia"/>
                      <w:b/>
                      <w:szCs w:val="21"/>
                    </w:rPr>
                    <w:t>第1次</w:t>
                  </w:r>
                </w:p>
              </w:tc>
              <w:tc>
                <w:tcPr>
                  <w:tcW w:w="1134" w:type="dxa"/>
                  <w:vAlign w:val="center"/>
                </w:tcPr>
                <w:p w14:paraId="66BAEA9D">
                  <w:pPr>
                    <w:adjustRightInd w:val="0"/>
                    <w:snapToGrid w:val="0"/>
                    <w:jc w:val="center"/>
                    <w:rPr>
                      <w:b/>
                      <w:szCs w:val="21"/>
                    </w:rPr>
                  </w:pPr>
                  <w:r>
                    <w:rPr>
                      <w:rFonts w:hint="eastAsia"/>
                      <w:b/>
                      <w:szCs w:val="21"/>
                    </w:rPr>
                    <w:t>第2次</w:t>
                  </w:r>
                </w:p>
              </w:tc>
              <w:tc>
                <w:tcPr>
                  <w:tcW w:w="1134" w:type="dxa"/>
                  <w:vAlign w:val="center"/>
                </w:tcPr>
                <w:p w14:paraId="7BDA722A">
                  <w:pPr>
                    <w:adjustRightInd w:val="0"/>
                    <w:snapToGrid w:val="0"/>
                    <w:jc w:val="center"/>
                    <w:rPr>
                      <w:b/>
                      <w:szCs w:val="21"/>
                    </w:rPr>
                  </w:pPr>
                  <w:r>
                    <w:rPr>
                      <w:rFonts w:hint="eastAsia"/>
                      <w:b/>
                      <w:szCs w:val="21"/>
                    </w:rPr>
                    <w:t>第3次</w:t>
                  </w:r>
                </w:p>
              </w:tc>
              <w:tc>
                <w:tcPr>
                  <w:tcW w:w="992" w:type="dxa"/>
                  <w:vAlign w:val="center"/>
                </w:tcPr>
                <w:p w14:paraId="0FD36390">
                  <w:pPr>
                    <w:adjustRightInd w:val="0"/>
                    <w:snapToGrid w:val="0"/>
                    <w:jc w:val="center"/>
                    <w:rPr>
                      <w:b/>
                      <w:szCs w:val="21"/>
                    </w:rPr>
                  </w:pPr>
                  <w:r>
                    <w:rPr>
                      <w:rFonts w:hint="eastAsia"/>
                      <w:b/>
                      <w:szCs w:val="21"/>
                    </w:rPr>
                    <w:t>平均值</w:t>
                  </w:r>
                </w:p>
              </w:tc>
              <w:tc>
                <w:tcPr>
                  <w:tcW w:w="912" w:type="dxa"/>
                  <w:vMerge w:val="continue"/>
                  <w:vAlign w:val="center"/>
                </w:tcPr>
                <w:p w14:paraId="67E6AE7E">
                  <w:pPr>
                    <w:pStyle w:val="2"/>
                    <w:jc w:val="center"/>
                  </w:pPr>
                </w:p>
              </w:tc>
            </w:tr>
            <w:tr w14:paraId="5F53F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restart"/>
                  <w:vAlign w:val="center"/>
                </w:tcPr>
                <w:p w14:paraId="273627CA">
                  <w:pPr>
                    <w:pStyle w:val="2"/>
                    <w:jc w:val="center"/>
                  </w:pPr>
                  <w:r>
                    <w:rPr>
                      <w:rFonts w:hint="eastAsia" w:ascii="Times New Roman" w:cs="Times New Roman"/>
                      <w:color w:val="auto"/>
                      <w:sz w:val="21"/>
                    </w:rPr>
                    <w:t>89分厂步进炉排放口</w:t>
                  </w:r>
                </w:p>
              </w:tc>
              <w:tc>
                <w:tcPr>
                  <w:tcW w:w="2115" w:type="dxa"/>
                  <w:gridSpan w:val="2"/>
                  <w:vAlign w:val="center"/>
                </w:tcPr>
                <w:p w14:paraId="6C2DA28C">
                  <w:pPr>
                    <w:adjustRightInd w:val="0"/>
                    <w:snapToGrid w:val="0"/>
                    <w:jc w:val="center"/>
                    <w:rPr>
                      <w:szCs w:val="21"/>
                    </w:rPr>
                  </w:pPr>
                  <w:r>
                    <w:rPr>
                      <w:rFonts w:hint="eastAsia"/>
                    </w:rPr>
                    <w:t>标干流量</w:t>
                  </w:r>
                </w:p>
              </w:tc>
              <w:tc>
                <w:tcPr>
                  <w:tcW w:w="851" w:type="dxa"/>
                  <w:vAlign w:val="center"/>
                </w:tcPr>
                <w:p w14:paraId="13A2170C">
                  <w:pPr>
                    <w:adjustRightInd w:val="0"/>
                    <w:snapToGrid w:val="0"/>
                    <w:jc w:val="center"/>
                    <w:rPr>
                      <w:szCs w:val="21"/>
                    </w:rPr>
                  </w:pPr>
                  <w:r>
                    <w:rPr>
                      <w:rFonts w:hint="eastAsia"/>
                    </w:rPr>
                    <w:t>m</w:t>
                  </w:r>
                  <w:r>
                    <w:rPr>
                      <w:rFonts w:hint="eastAsia"/>
                      <w:vertAlign w:val="superscript"/>
                    </w:rPr>
                    <w:t>3</w:t>
                  </w:r>
                  <w:r>
                    <w:rPr>
                      <w:rFonts w:hint="eastAsia"/>
                    </w:rPr>
                    <w:t>/h</w:t>
                  </w:r>
                </w:p>
              </w:tc>
              <w:tc>
                <w:tcPr>
                  <w:tcW w:w="992" w:type="dxa"/>
                  <w:vAlign w:val="center"/>
                </w:tcPr>
                <w:p w14:paraId="38510CEA">
                  <w:pPr>
                    <w:adjustRightInd w:val="0"/>
                    <w:snapToGrid w:val="0"/>
                    <w:jc w:val="center"/>
                    <w:rPr>
                      <w:szCs w:val="21"/>
                    </w:rPr>
                  </w:pPr>
                  <w:r>
                    <w:rPr>
                      <w:rFonts w:hint="eastAsia"/>
                      <w:szCs w:val="21"/>
                    </w:rPr>
                    <w:t>43959</w:t>
                  </w:r>
                </w:p>
              </w:tc>
              <w:tc>
                <w:tcPr>
                  <w:tcW w:w="1134" w:type="dxa"/>
                  <w:vAlign w:val="center"/>
                </w:tcPr>
                <w:p w14:paraId="42FCF8BF">
                  <w:pPr>
                    <w:adjustRightInd w:val="0"/>
                    <w:snapToGrid w:val="0"/>
                    <w:jc w:val="center"/>
                    <w:rPr>
                      <w:szCs w:val="21"/>
                    </w:rPr>
                  </w:pPr>
                  <w:r>
                    <w:rPr>
                      <w:rFonts w:hint="eastAsia"/>
                      <w:szCs w:val="21"/>
                    </w:rPr>
                    <w:t>44370</w:t>
                  </w:r>
                </w:p>
              </w:tc>
              <w:tc>
                <w:tcPr>
                  <w:tcW w:w="1134" w:type="dxa"/>
                  <w:vAlign w:val="center"/>
                </w:tcPr>
                <w:p w14:paraId="6BDEA93B">
                  <w:pPr>
                    <w:adjustRightInd w:val="0"/>
                    <w:snapToGrid w:val="0"/>
                    <w:jc w:val="center"/>
                    <w:rPr>
                      <w:szCs w:val="21"/>
                    </w:rPr>
                  </w:pPr>
                  <w:r>
                    <w:rPr>
                      <w:rFonts w:hint="eastAsia"/>
                      <w:szCs w:val="21"/>
                    </w:rPr>
                    <w:t>44374</w:t>
                  </w:r>
                </w:p>
              </w:tc>
              <w:tc>
                <w:tcPr>
                  <w:tcW w:w="992" w:type="dxa"/>
                  <w:vAlign w:val="center"/>
                </w:tcPr>
                <w:p w14:paraId="56C2FC1C">
                  <w:pPr>
                    <w:adjustRightInd w:val="0"/>
                    <w:snapToGrid w:val="0"/>
                    <w:jc w:val="center"/>
                    <w:rPr>
                      <w:szCs w:val="21"/>
                    </w:rPr>
                  </w:pPr>
                  <w:r>
                    <w:rPr>
                      <w:rFonts w:hint="eastAsia"/>
                      <w:szCs w:val="21"/>
                    </w:rPr>
                    <w:t>44234</w:t>
                  </w:r>
                </w:p>
              </w:tc>
              <w:tc>
                <w:tcPr>
                  <w:tcW w:w="912" w:type="dxa"/>
                  <w:vAlign w:val="center"/>
                </w:tcPr>
                <w:p w14:paraId="27235C97">
                  <w:pPr>
                    <w:adjustRightInd w:val="0"/>
                    <w:snapToGrid w:val="0"/>
                    <w:jc w:val="center"/>
                    <w:textAlignment w:val="center"/>
                    <w:rPr>
                      <w:szCs w:val="21"/>
                    </w:rPr>
                  </w:pPr>
                  <w:r>
                    <w:rPr>
                      <w:rFonts w:hint="eastAsia"/>
                    </w:rPr>
                    <w:t>/</w:t>
                  </w:r>
                </w:p>
              </w:tc>
            </w:tr>
            <w:tr w14:paraId="01A57F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1501A5F6">
                  <w:pPr>
                    <w:pStyle w:val="2"/>
                    <w:jc w:val="center"/>
                  </w:pPr>
                </w:p>
              </w:tc>
              <w:tc>
                <w:tcPr>
                  <w:tcW w:w="2115" w:type="dxa"/>
                  <w:gridSpan w:val="2"/>
                  <w:vAlign w:val="center"/>
                </w:tcPr>
                <w:p w14:paraId="788E3C5C">
                  <w:pPr>
                    <w:adjustRightInd w:val="0"/>
                    <w:snapToGrid w:val="0"/>
                    <w:jc w:val="center"/>
                  </w:pPr>
                  <w:r>
                    <w:rPr>
                      <w:rFonts w:hint="eastAsia"/>
                    </w:rPr>
                    <w:t>烟气流量</w:t>
                  </w:r>
                </w:p>
              </w:tc>
              <w:tc>
                <w:tcPr>
                  <w:tcW w:w="851" w:type="dxa"/>
                  <w:vAlign w:val="center"/>
                </w:tcPr>
                <w:p w14:paraId="71D85503">
                  <w:pPr>
                    <w:adjustRightInd w:val="0"/>
                    <w:snapToGrid w:val="0"/>
                    <w:jc w:val="center"/>
                  </w:pPr>
                  <w:r>
                    <w:rPr>
                      <w:rFonts w:hint="eastAsia"/>
                    </w:rPr>
                    <w:t>m</w:t>
                  </w:r>
                  <w:r>
                    <w:rPr>
                      <w:rFonts w:hint="eastAsia"/>
                      <w:vertAlign w:val="superscript"/>
                    </w:rPr>
                    <w:t>3</w:t>
                  </w:r>
                  <w:r>
                    <w:rPr>
                      <w:rFonts w:hint="eastAsia"/>
                    </w:rPr>
                    <w:t>/h</w:t>
                  </w:r>
                </w:p>
              </w:tc>
              <w:tc>
                <w:tcPr>
                  <w:tcW w:w="992" w:type="dxa"/>
                  <w:vAlign w:val="center"/>
                </w:tcPr>
                <w:p w14:paraId="2BF15F7E">
                  <w:pPr>
                    <w:adjustRightInd w:val="0"/>
                    <w:snapToGrid w:val="0"/>
                    <w:jc w:val="center"/>
                    <w:rPr>
                      <w:szCs w:val="21"/>
                    </w:rPr>
                  </w:pPr>
                  <w:r>
                    <w:rPr>
                      <w:rFonts w:hint="eastAsia"/>
                      <w:szCs w:val="21"/>
                    </w:rPr>
                    <w:t>83724</w:t>
                  </w:r>
                </w:p>
              </w:tc>
              <w:tc>
                <w:tcPr>
                  <w:tcW w:w="1134" w:type="dxa"/>
                  <w:vAlign w:val="center"/>
                </w:tcPr>
                <w:p w14:paraId="0246024C">
                  <w:pPr>
                    <w:adjustRightInd w:val="0"/>
                    <w:snapToGrid w:val="0"/>
                    <w:jc w:val="center"/>
                    <w:rPr>
                      <w:szCs w:val="21"/>
                    </w:rPr>
                  </w:pPr>
                  <w:r>
                    <w:rPr>
                      <w:rFonts w:hint="eastAsia"/>
                      <w:szCs w:val="21"/>
                    </w:rPr>
                    <w:t>86975</w:t>
                  </w:r>
                </w:p>
              </w:tc>
              <w:tc>
                <w:tcPr>
                  <w:tcW w:w="1134" w:type="dxa"/>
                  <w:vAlign w:val="center"/>
                </w:tcPr>
                <w:p w14:paraId="3A8AF031">
                  <w:pPr>
                    <w:adjustRightInd w:val="0"/>
                    <w:snapToGrid w:val="0"/>
                    <w:jc w:val="center"/>
                    <w:rPr>
                      <w:szCs w:val="21"/>
                    </w:rPr>
                  </w:pPr>
                  <w:r>
                    <w:rPr>
                      <w:rFonts w:hint="eastAsia"/>
                      <w:szCs w:val="21"/>
                    </w:rPr>
                    <w:t>84333</w:t>
                  </w:r>
                </w:p>
              </w:tc>
              <w:tc>
                <w:tcPr>
                  <w:tcW w:w="992" w:type="dxa"/>
                  <w:vAlign w:val="center"/>
                </w:tcPr>
                <w:p w14:paraId="40049D22">
                  <w:pPr>
                    <w:adjustRightInd w:val="0"/>
                    <w:snapToGrid w:val="0"/>
                    <w:jc w:val="center"/>
                    <w:rPr>
                      <w:szCs w:val="21"/>
                    </w:rPr>
                  </w:pPr>
                  <w:r>
                    <w:rPr>
                      <w:rFonts w:hint="eastAsia"/>
                      <w:szCs w:val="21"/>
                    </w:rPr>
                    <w:t>85011</w:t>
                  </w:r>
                </w:p>
              </w:tc>
              <w:tc>
                <w:tcPr>
                  <w:tcW w:w="912" w:type="dxa"/>
                  <w:vAlign w:val="center"/>
                </w:tcPr>
                <w:p w14:paraId="32FC6693">
                  <w:pPr>
                    <w:adjustRightInd w:val="0"/>
                    <w:snapToGrid w:val="0"/>
                    <w:jc w:val="center"/>
                    <w:textAlignment w:val="center"/>
                    <w:rPr>
                      <w:szCs w:val="21"/>
                    </w:rPr>
                  </w:pPr>
                  <w:r>
                    <w:rPr>
                      <w:rFonts w:hint="eastAsia"/>
                    </w:rPr>
                    <w:t>/</w:t>
                  </w:r>
                </w:p>
              </w:tc>
            </w:tr>
            <w:tr w14:paraId="25F253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0ADBAC06">
                  <w:pPr>
                    <w:pStyle w:val="2"/>
                    <w:jc w:val="center"/>
                  </w:pPr>
                </w:p>
              </w:tc>
              <w:tc>
                <w:tcPr>
                  <w:tcW w:w="2115" w:type="dxa"/>
                  <w:gridSpan w:val="2"/>
                  <w:vAlign w:val="center"/>
                </w:tcPr>
                <w:p w14:paraId="1C833CA8">
                  <w:pPr>
                    <w:adjustRightInd w:val="0"/>
                    <w:snapToGrid w:val="0"/>
                    <w:jc w:val="center"/>
                  </w:pPr>
                  <w:r>
                    <w:rPr>
                      <w:rFonts w:hint="eastAsia"/>
                    </w:rPr>
                    <w:t>烟气流速</w:t>
                  </w:r>
                </w:p>
              </w:tc>
              <w:tc>
                <w:tcPr>
                  <w:tcW w:w="851" w:type="dxa"/>
                  <w:vAlign w:val="center"/>
                </w:tcPr>
                <w:p w14:paraId="2B5E77A7">
                  <w:pPr>
                    <w:adjustRightInd w:val="0"/>
                    <w:snapToGrid w:val="0"/>
                    <w:jc w:val="center"/>
                  </w:pPr>
                  <w:r>
                    <w:rPr>
                      <w:rFonts w:hint="eastAsia"/>
                    </w:rPr>
                    <w:t>m/s</w:t>
                  </w:r>
                </w:p>
              </w:tc>
              <w:tc>
                <w:tcPr>
                  <w:tcW w:w="992" w:type="dxa"/>
                  <w:vAlign w:val="center"/>
                </w:tcPr>
                <w:p w14:paraId="45AA491B">
                  <w:pPr>
                    <w:adjustRightInd w:val="0"/>
                    <w:snapToGrid w:val="0"/>
                    <w:jc w:val="center"/>
                    <w:rPr>
                      <w:szCs w:val="21"/>
                    </w:rPr>
                  </w:pPr>
                  <w:r>
                    <w:rPr>
                      <w:rFonts w:hint="eastAsia"/>
                      <w:szCs w:val="21"/>
                    </w:rPr>
                    <w:t>8.24</w:t>
                  </w:r>
                </w:p>
              </w:tc>
              <w:tc>
                <w:tcPr>
                  <w:tcW w:w="1134" w:type="dxa"/>
                  <w:vAlign w:val="center"/>
                </w:tcPr>
                <w:p w14:paraId="3768F433">
                  <w:pPr>
                    <w:adjustRightInd w:val="0"/>
                    <w:snapToGrid w:val="0"/>
                    <w:jc w:val="center"/>
                    <w:rPr>
                      <w:szCs w:val="21"/>
                    </w:rPr>
                  </w:pPr>
                  <w:r>
                    <w:rPr>
                      <w:rFonts w:hint="eastAsia"/>
                      <w:szCs w:val="21"/>
                    </w:rPr>
                    <w:t>8.56</w:t>
                  </w:r>
                </w:p>
              </w:tc>
              <w:tc>
                <w:tcPr>
                  <w:tcW w:w="1134" w:type="dxa"/>
                  <w:vAlign w:val="center"/>
                </w:tcPr>
                <w:p w14:paraId="42BABB43">
                  <w:pPr>
                    <w:adjustRightInd w:val="0"/>
                    <w:snapToGrid w:val="0"/>
                    <w:jc w:val="center"/>
                    <w:rPr>
                      <w:szCs w:val="21"/>
                    </w:rPr>
                  </w:pPr>
                  <w:r>
                    <w:rPr>
                      <w:rFonts w:hint="eastAsia"/>
                      <w:szCs w:val="21"/>
                    </w:rPr>
                    <w:t>8.30</w:t>
                  </w:r>
                </w:p>
              </w:tc>
              <w:tc>
                <w:tcPr>
                  <w:tcW w:w="992" w:type="dxa"/>
                  <w:vAlign w:val="center"/>
                </w:tcPr>
                <w:p w14:paraId="38C9C2A3">
                  <w:pPr>
                    <w:adjustRightInd w:val="0"/>
                    <w:snapToGrid w:val="0"/>
                    <w:jc w:val="center"/>
                    <w:rPr>
                      <w:szCs w:val="21"/>
                    </w:rPr>
                  </w:pPr>
                  <w:r>
                    <w:rPr>
                      <w:rFonts w:hint="eastAsia"/>
                      <w:szCs w:val="21"/>
                    </w:rPr>
                    <w:t>8.37</w:t>
                  </w:r>
                </w:p>
              </w:tc>
              <w:tc>
                <w:tcPr>
                  <w:tcW w:w="912" w:type="dxa"/>
                  <w:vAlign w:val="center"/>
                </w:tcPr>
                <w:p w14:paraId="7692E199">
                  <w:pPr>
                    <w:adjustRightInd w:val="0"/>
                    <w:snapToGrid w:val="0"/>
                    <w:jc w:val="center"/>
                    <w:textAlignment w:val="center"/>
                    <w:rPr>
                      <w:szCs w:val="21"/>
                    </w:rPr>
                  </w:pPr>
                  <w:r>
                    <w:rPr>
                      <w:rFonts w:hint="eastAsia"/>
                    </w:rPr>
                    <w:t>/</w:t>
                  </w:r>
                </w:p>
              </w:tc>
            </w:tr>
            <w:tr w14:paraId="661AF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788DCB16">
                  <w:pPr>
                    <w:pStyle w:val="2"/>
                    <w:jc w:val="center"/>
                  </w:pPr>
                </w:p>
              </w:tc>
              <w:tc>
                <w:tcPr>
                  <w:tcW w:w="2115" w:type="dxa"/>
                  <w:gridSpan w:val="2"/>
                  <w:vAlign w:val="center"/>
                </w:tcPr>
                <w:p w14:paraId="7FA6F4A0">
                  <w:pPr>
                    <w:adjustRightInd w:val="0"/>
                    <w:snapToGrid w:val="0"/>
                    <w:jc w:val="center"/>
                  </w:pPr>
                  <w:r>
                    <w:rPr>
                      <w:rFonts w:hint="eastAsia"/>
                    </w:rPr>
                    <w:t>烟气温度</w:t>
                  </w:r>
                </w:p>
              </w:tc>
              <w:tc>
                <w:tcPr>
                  <w:tcW w:w="851" w:type="dxa"/>
                  <w:vAlign w:val="center"/>
                </w:tcPr>
                <w:p w14:paraId="59E41630">
                  <w:pPr>
                    <w:adjustRightInd w:val="0"/>
                    <w:snapToGrid w:val="0"/>
                    <w:jc w:val="center"/>
                  </w:pPr>
                  <w:r>
                    <w:rPr>
                      <w:rFonts w:hint="eastAsia"/>
                    </w:rPr>
                    <w:t>℃</w:t>
                  </w:r>
                </w:p>
              </w:tc>
              <w:tc>
                <w:tcPr>
                  <w:tcW w:w="992" w:type="dxa"/>
                  <w:vAlign w:val="center"/>
                </w:tcPr>
                <w:p w14:paraId="077B87F3">
                  <w:pPr>
                    <w:adjustRightInd w:val="0"/>
                    <w:snapToGrid w:val="0"/>
                    <w:jc w:val="center"/>
                    <w:rPr>
                      <w:szCs w:val="21"/>
                    </w:rPr>
                  </w:pPr>
                  <w:r>
                    <w:rPr>
                      <w:rFonts w:hint="eastAsia"/>
                      <w:szCs w:val="21"/>
                    </w:rPr>
                    <w:t>218.4</w:t>
                  </w:r>
                </w:p>
              </w:tc>
              <w:tc>
                <w:tcPr>
                  <w:tcW w:w="1134" w:type="dxa"/>
                  <w:vAlign w:val="center"/>
                </w:tcPr>
                <w:p w14:paraId="1FB59104">
                  <w:pPr>
                    <w:adjustRightInd w:val="0"/>
                    <w:snapToGrid w:val="0"/>
                    <w:jc w:val="center"/>
                    <w:rPr>
                      <w:szCs w:val="21"/>
                    </w:rPr>
                  </w:pPr>
                  <w:r>
                    <w:rPr>
                      <w:rFonts w:hint="eastAsia"/>
                      <w:szCs w:val="21"/>
                    </w:rPr>
                    <w:t>232.4</w:t>
                  </w:r>
                </w:p>
              </w:tc>
              <w:tc>
                <w:tcPr>
                  <w:tcW w:w="1134" w:type="dxa"/>
                  <w:vAlign w:val="center"/>
                </w:tcPr>
                <w:p w14:paraId="45C8DDAD">
                  <w:pPr>
                    <w:adjustRightInd w:val="0"/>
                    <w:snapToGrid w:val="0"/>
                    <w:jc w:val="center"/>
                    <w:rPr>
                      <w:szCs w:val="21"/>
                    </w:rPr>
                  </w:pPr>
                  <w:r>
                    <w:rPr>
                      <w:rFonts w:hint="eastAsia"/>
                      <w:szCs w:val="21"/>
                    </w:rPr>
                    <w:t>216.8</w:t>
                  </w:r>
                </w:p>
              </w:tc>
              <w:tc>
                <w:tcPr>
                  <w:tcW w:w="992" w:type="dxa"/>
                  <w:vAlign w:val="center"/>
                </w:tcPr>
                <w:p w14:paraId="6ABF8A9D">
                  <w:pPr>
                    <w:adjustRightInd w:val="0"/>
                    <w:snapToGrid w:val="0"/>
                    <w:jc w:val="center"/>
                    <w:rPr>
                      <w:szCs w:val="21"/>
                    </w:rPr>
                  </w:pPr>
                  <w:r>
                    <w:rPr>
                      <w:rFonts w:hint="eastAsia"/>
                      <w:szCs w:val="21"/>
                    </w:rPr>
                    <w:t>222.5</w:t>
                  </w:r>
                </w:p>
              </w:tc>
              <w:tc>
                <w:tcPr>
                  <w:tcW w:w="912" w:type="dxa"/>
                  <w:vAlign w:val="center"/>
                </w:tcPr>
                <w:p w14:paraId="6DE914B4">
                  <w:pPr>
                    <w:adjustRightInd w:val="0"/>
                    <w:snapToGrid w:val="0"/>
                    <w:jc w:val="center"/>
                    <w:textAlignment w:val="center"/>
                    <w:rPr>
                      <w:szCs w:val="21"/>
                    </w:rPr>
                  </w:pPr>
                  <w:r>
                    <w:rPr>
                      <w:rFonts w:hint="eastAsia"/>
                    </w:rPr>
                    <w:t>/</w:t>
                  </w:r>
                </w:p>
              </w:tc>
            </w:tr>
            <w:tr w14:paraId="2719B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2D2C6EED">
                  <w:pPr>
                    <w:pStyle w:val="2"/>
                    <w:jc w:val="center"/>
                  </w:pPr>
                </w:p>
              </w:tc>
              <w:tc>
                <w:tcPr>
                  <w:tcW w:w="2115" w:type="dxa"/>
                  <w:gridSpan w:val="2"/>
                  <w:vAlign w:val="center"/>
                </w:tcPr>
                <w:p w14:paraId="71007F02">
                  <w:pPr>
                    <w:adjustRightInd w:val="0"/>
                    <w:snapToGrid w:val="0"/>
                    <w:jc w:val="center"/>
                  </w:pPr>
                  <w:r>
                    <w:rPr>
                      <w:rFonts w:hint="eastAsia"/>
                    </w:rPr>
                    <w:t>烟气湿度</w:t>
                  </w:r>
                </w:p>
              </w:tc>
              <w:tc>
                <w:tcPr>
                  <w:tcW w:w="851" w:type="dxa"/>
                  <w:vAlign w:val="center"/>
                </w:tcPr>
                <w:p w14:paraId="055E766A">
                  <w:pPr>
                    <w:adjustRightInd w:val="0"/>
                    <w:snapToGrid w:val="0"/>
                    <w:jc w:val="center"/>
                  </w:pPr>
                  <w:r>
                    <w:rPr>
                      <w:rFonts w:hint="eastAsia"/>
                    </w:rPr>
                    <w:t>%</w:t>
                  </w:r>
                </w:p>
              </w:tc>
              <w:tc>
                <w:tcPr>
                  <w:tcW w:w="992" w:type="dxa"/>
                  <w:vAlign w:val="center"/>
                </w:tcPr>
                <w:p w14:paraId="3B9AD331">
                  <w:pPr>
                    <w:adjustRightInd w:val="0"/>
                    <w:snapToGrid w:val="0"/>
                    <w:jc w:val="center"/>
                    <w:rPr>
                      <w:szCs w:val="21"/>
                    </w:rPr>
                  </w:pPr>
                  <w:r>
                    <w:rPr>
                      <w:rFonts w:hint="eastAsia"/>
                      <w:szCs w:val="21"/>
                    </w:rPr>
                    <w:t>4.1</w:t>
                  </w:r>
                </w:p>
              </w:tc>
              <w:tc>
                <w:tcPr>
                  <w:tcW w:w="1134" w:type="dxa"/>
                  <w:vAlign w:val="center"/>
                </w:tcPr>
                <w:p w14:paraId="5548421E">
                  <w:pPr>
                    <w:adjustRightInd w:val="0"/>
                    <w:snapToGrid w:val="0"/>
                    <w:jc w:val="center"/>
                    <w:rPr>
                      <w:szCs w:val="21"/>
                    </w:rPr>
                  </w:pPr>
                  <w:r>
                    <w:rPr>
                      <w:rFonts w:hint="eastAsia"/>
                      <w:szCs w:val="21"/>
                    </w:rPr>
                    <w:t>4.1</w:t>
                  </w:r>
                </w:p>
              </w:tc>
              <w:tc>
                <w:tcPr>
                  <w:tcW w:w="1134" w:type="dxa"/>
                  <w:vAlign w:val="center"/>
                </w:tcPr>
                <w:p w14:paraId="125DB5D4">
                  <w:pPr>
                    <w:adjustRightInd w:val="0"/>
                    <w:snapToGrid w:val="0"/>
                    <w:jc w:val="center"/>
                    <w:rPr>
                      <w:szCs w:val="21"/>
                    </w:rPr>
                  </w:pPr>
                  <w:r>
                    <w:rPr>
                      <w:rFonts w:hint="eastAsia"/>
                      <w:szCs w:val="21"/>
                    </w:rPr>
                    <w:t>4.1</w:t>
                  </w:r>
                </w:p>
              </w:tc>
              <w:tc>
                <w:tcPr>
                  <w:tcW w:w="992" w:type="dxa"/>
                  <w:vAlign w:val="center"/>
                </w:tcPr>
                <w:p w14:paraId="65FC584F">
                  <w:pPr>
                    <w:adjustRightInd w:val="0"/>
                    <w:snapToGrid w:val="0"/>
                    <w:jc w:val="center"/>
                    <w:rPr>
                      <w:szCs w:val="21"/>
                    </w:rPr>
                  </w:pPr>
                  <w:r>
                    <w:rPr>
                      <w:rFonts w:hint="eastAsia"/>
                      <w:szCs w:val="21"/>
                    </w:rPr>
                    <w:t>4.1</w:t>
                  </w:r>
                </w:p>
              </w:tc>
              <w:tc>
                <w:tcPr>
                  <w:tcW w:w="912" w:type="dxa"/>
                  <w:vAlign w:val="center"/>
                </w:tcPr>
                <w:p w14:paraId="7818469C">
                  <w:pPr>
                    <w:adjustRightInd w:val="0"/>
                    <w:snapToGrid w:val="0"/>
                    <w:jc w:val="center"/>
                    <w:textAlignment w:val="center"/>
                    <w:rPr>
                      <w:szCs w:val="21"/>
                    </w:rPr>
                  </w:pPr>
                  <w:r>
                    <w:rPr>
                      <w:rFonts w:hint="eastAsia"/>
                    </w:rPr>
                    <w:t>/</w:t>
                  </w:r>
                </w:p>
              </w:tc>
            </w:tr>
            <w:tr w14:paraId="7E07BD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3D7C8194">
                  <w:pPr>
                    <w:pStyle w:val="2"/>
                    <w:jc w:val="center"/>
                  </w:pPr>
                </w:p>
              </w:tc>
              <w:tc>
                <w:tcPr>
                  <w:tcW w:w="2115" w:type="dxa"/>
                  <w:gridSpan w:val="2"/>
                  <w:vAlign w:val="center"/>
                </w:tcPr>
                <w:p w14:paraId="4F7C82BE">
                  <w:pPr>
                    <w:adjustRightInd w:val="0"/>
                    <w:snapToGrid w:val="0"/>
                    <w:jc w:val="center"/>
                  </w:pPr>
                  <w:r>
                    <w:rPr>
                      <w:rFonts w:hint="eastAsia"/>
                    </w:rPr>
                    <w:t>含氧量</w:t>
                  </w:r>
                </w:p>
              </w:tc>
              <w:tc>
                <w:tcPr>
                  <w:tcW w:w="851" w:type="dxa"/>
                  <w:vAlign w:val="center"/>
                </w:tcPr>
                <w:p w14:paraId="40500955">
                  <w:pPr>
                    <w:adjustRightInd w:val="0"/>
                    <w:snapToGrid w:val="0"/>
                    <w:jc w:val="center"/>
                  </w:pPr>
                  <w:r>
                    <w:rPr>
                      <w:rFonts w:hint="eastAsia"/>
                    </w:rPr>
                    <w:t>%</w:t>
                  </w:r>
                </w:p>
              </w:tc>
              <w:tc>
                <w:tcPr>
                  <w:tcW w:w="992" w:type="dxa"/>
                  <w:vAlign w:val="center"/>
                </w:tcPr>
                <w:p w14:paraId="65F845C1">
                  <w:pPr>
                    <w:adjustRightInd w:val="0"/>
                    <w:snapToGrid w:val="0"/>
                    <w:jc w:val="center"/>
                    <w:rPr>
                      <w:szCs w:val="21"/>
                    </w:rPr>
                  </w:pPr>
                  <w:r>
                    <w:rPr>
                      <w:rFonts w:hint="eastAsia"/>
                      <w:szCs w:val="21"/>
                    </w:rPr>
                    <w:t>14.9</w:t>
                  </w:r>
                </w:p>
              </w:tc>
              <w:tc>
                <w:tcPr>
                  <w:tcW w:w="1134" w:type="dxa"/>
                  <w:vAlign w:val="center"/>
                </w:tcPr>
                <w:p w14:paraId="07B26DBF">
                  <w:pPr>
                    <w:adjustRightInd w:val="0"/>
                    <w:snapToGrid w:val="0"/>
                    <w:jc w:val="center"/>
                    <w:rPr>
                      <w:szCs w:val="21"/>
                    </w:rPr>
                  </w:pPr>
                  <w:r>
                    <w:rPr>
                      <w:rFonts w:hint="eastAsia"/>
                      <w:szCs w:val="21"/>
                    </w:rPr>
                    <w:t>14.8</w:t>
                  </w:r>
                </w:p>
              </w:tc>
              <w:tc>
                <w:tcPr>
                  <w:tcW w:w="1134" w:type="dxa"/>
                  <w:vAlign w:val="center"/>
                </w:tcPr>
                <w:p w14:paraId="24D37E3E">
                  <w:pPr>
                    <w:adjustRightInd w:val="0"/>
                    <w:snapToGrid w:val="0"/>
                    <w:jc w:val="center"/>
                    <w:rPr>
                      <w:szCs w:val="21"/>
                    </w:rPr>
                  </w:pPr>
                  <w:r>
                    <w:rPr>
                      <w:rFonts w:hint="eastAsia"/>
                      <w:szCs w:val="21"/>
                    </w:rPr>
                    <w:t>14.8</w:t>
                  </w:r>
                </w:p>
              </w:tc>
              <w:tc>
                <w:tcPr>
                  <w:tcW w:w="992" w:type="dxa"/>
                  <w:vAlign w:val="center"/>
                </w:tcPr>
                <w:p w14:paraId="1CA6FDEF">
                  <w:pPr>
                    <w:adjustRightInd w:val="0"/>
                    <w:snapToGrid w:val="0"/>
                    <w:jc w:val="center"/>
                    <w:rPr>
                      <w:szCs w:val="21"/>
                    </w:rPr>
                  </w:pPr>
                  <w:r>
                    <w:rPr>
                      <w:rFonts w:hint="eastAsia"/>
                      <w:szCs w:val="21"/>
                    </w:rPr>
                    <w:t>14.8</w:t>
                  </w:r>
                </w:p>
              </w:tc>
              <w:tc>
                <w:tcPr>
                  <w:tcW w:w="912" w:type="dxa"/>
                  <w:vAlign w:val="center"/>
                </w:tcPr>
                <w:p w14:paraId="12B68504">
                  <w:pPr>
                    <w:adjustRightInd w:val="0"/>
                    <w:snapToGrid w:val="0"/>
                    <w:jc w:val="center"/>
                    <w:textAlignment w:val="center"/>
                    <w:rPr>
                      <w:szCs w:val="21"/>
                    </w:rPr>
                  </w:pPr>
                  <w:r>
                    <w:rPr>
                      <w:rFonts w:hint="eastAsia"/>
                    </w:rPr>
                    <w:t>/</w:t>
                  </w:r>
                </w:p>
              </w:tc>
            </w:tr>
            <w:tr w14:paraId="4A2EB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2E5D0EE0">
                  <w:pPr>
                    <w:pStyle w:val="2"/>
                    <w:jc w:val="center"/>
                  </w:pPr>
                </w:p>
              </w:tc>
              <w:tc>
                <w:tcPr>
                  <w:tcW w:w="840" w:type="dxa"/>
                  <w:vMerge w:val="restart"/>
                  <w:vAlign w:val="center"/>
                </w:tcPr>
                <w:p w14:paraId="2FA027F4">
                  <w:pPr>
                    <w:adjustRightInd w:val="0"/>
                    <w:snapToGrid w:val="0"/>
                    <w:jc w:val="center"/>
                    <w:rPr>
                      <w:szCs w:val="21"/>
                    </w:rPr>
                  </w:pPr>
                  <w:r>
                    <w:t>颗粒物</w:t>
                  </w:r>
                </w:p>
              </w:tc>
              <w:tc>
                <w:tcPr>
                  <w:tcW w:w="1275" w:type="dxa"/>
                  <w:vAlign w:val="center"/>
                </w:tcPr>
                <w:p w14:paraId="7EB9248D">
                  <w:pPr>
                    <w:adjustRightInd w:val="0"/>
                    <w:snapToGrid w:val="0"/>
                    <w:jc w:val="center"/>
                    <w:textAlignment w:val="center"/>
                    <w:rPr>
                      <w:szCs w:val="21"/>
                    </w:rPr>
                  </w:pPr>
                  <w:r>
                    <w:rPr>
                      <w:rFonts w:hint="eastAsia"/>
                    </w:rPr>
                    <w:t>实测</w:t>
                  </w:r>
                  <w:r>
                    <w:t>浓度</w:t>
                  </w:r>
                </w:p>
              </w:tc>
              <w:tc>
                <w:tcPr>
                  <w:tcW w:w="851" w:type="dxa"/>
                  <w:vAlign w:val="center"/>
                </w:tcPr>
                <w:p w14:paraId="3963D551">
                  <w:pPr>
                    <w:adjustRightInd w:val="0"/>
                    <w:snapToGrid w:val="0"/>
                    <w:jc w:val="center"/>
                    <w:textAlignment w:val="center"/>
                    <w:rPr>
                      <w:szCs w:val="21"/>
                    </w:rPr>
                  </w:pPr>
                  <w:r>
                    <w:t>mg/m</w:t>
                  </w:r>
                  <w:r>
                    <w:rPr>
                      <w:rFonts w:hint="eastAsia"/>
                      <w:vertAlign w:val="superscript"/>
                    </w:rPr>
                    <w:t>3</w:t>
                  </w:r>
                </w:p>
              </w:tc>
              <w:tc>
                <w:tcPr>
                  <w:tcW w:w="992" w:type="dxa"/>
                  <w:vAlign w:val="center"/>
                </w:tcPr>
                <w:p w14:paraId="75BE5B84">
                  <w:pPr>
                    <w:adjustRightInd w:val="0"/>
                    <w:snapToGrid w:val="0"/>
                    <w:jc w:val="center"/>
                    <w:rPr>
                      <w:szCs w:val="21"/>
                    </w:rPr>
                  </w:pPr>
                  <w:r>
                    <w:rPr>
                      <w:rFonts w:hint="eastAsia"/>
                      <w:szCs w:val="21"/>
                    </w:rPr>
                    <w:t>3.0</w:t>
                  </w:r>
                </w:p>
              </w:tc>
              <w:tc>
                <w:tcPr>
                  <w:tcW w:w="1134" w:type="dxa"/>
                  <w:vAlign w:val="center"/>
                </w:tcPr>
                <w:p w14:paraId="160E1578">
                  <w:pPr>
                    <w:adjustRightInd w:val="0"/>
                    <w:snapToGrid w:val="0"/>
                    <w:jc w:val="center"/>
                    <w:rPr>
                      <w:szCs w:val="21"/>
                    </w:rPr>
                  </w:pPr>
                  <w:r>
                    <w:rPr>
                      <w:rFonts w:hint="eastAsia"/>
                      <w:szCs w:val="21"/>
                    </w:rPr>
                    <w:t>6.5</w:t>
                  </w:r>
                </w:p>
              </w:tc>
              <w:tc>
                <w:tcPr>
                  <w:tcW w:w="1134" w:type="dxa"/>
                  <w:vAlign w:val="center"/>
                </w:tcPr>
                <w:p w14:paraId="74CC227B">
                  <w:pPr>
                    <w:adjustRightInd w:val="0"/>
                    <w:snapToGrid w:val="0"/>
                    <w:jc w:val="center"/>
                    <w:rPr>
                      <w:szCs w:val="21"/>
                    </w:rPr>
                  </w:pPr>
                  <w:r>
                    <w:rPr>
                      <w:rFonts w:hint="eastAsia"/>
                      <w:szCs w:val="21"/>
                    </w:rPr>
                    <w:t>7.0</w:t>
                  </w:r>
                </w:p>
              </w:tc>
              <w:tc>
                <w:tcPr>
                  <w:tcW w:w="992" w:type="dxa"/>
                  <w:vAlign w:val="center"/>
                </w:tcPr>
                <w:p w14:paraId="5DCFA9E1">
                  <w:pPr>
                    <w:adjustRightInd w:val="0"/>
                    <w:snapToGrid w:val="0"/>
                    <w:jc w:val="center"/>
                    <w:rPr>
                      <w:szCs w:val="21"/>
                    </w:rPr>
                  </w:pPr>
                  <w:r>
                    <w:rPr>
                      <w:rFonts w:hint="eastAsia"/>
                      <w:szCs w:val="21"/>
                    </w:rPr>
                    <w:t>5.5</w:t>
                  </w:r>
                </w:p>
              </w:tc>
              <w:tc>
                <w:tcPr>
                  <w:tcW w:w="912" w:type="dxa"/>
                  <w:vAlign w:val="center"/>
                </w:tcPr>
                <w:p w14:paraId="463B9F2B">
                  <w:pPr>
                    <w:adjustRightInd w:val="0"/>
                    <w:snapToGrid w:val="0"/>
                    <w:jc w:val="center"/>
                    <w:textAlignment w:val="center"/>
                    <w:rPr>
                      <w:szCs w:val="21"/>
                    </w:rPr>
                  </w:pPr>
                  <w:r>
                    <w:rPr>
                      <w:rFonts w:hint="eastAsia"/>
                      <w:szCs w:val="21"/>
                    </w:rPr>
                    <w:t>/</w:t>
                  </w:r>
                </w:p>
              </w:tc>
            </w:tr>
            <w:tr w14:paraId="475260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34055662">
                  <w:pPr>
                    <w:pStyle w:val="2"/>
                    <w:jc w:val="center"/>
                  </w:pPr>
                </w:p>
              </w:tc>
              <w:tc>
                <w:tcPr>
                  <w:tcW w:w="840" w:type="dxa"/>
                  <w:vMerge w:val="continue"/>
                  <w:vAlign w:val="center"/>
                </w:tcPr>
                <w:p w14:paraId="21CD518B">
                  <w:pPr>
                    <w:adjustRightInd w:val="0"/>
                    <w:snapToGrid w:val="0"/>
                    <w:jc w:val="center"/>
                  </w:pPr>
                </w:p>
              </w:tc>
              <w:tc>
                <w:tcPr>
                  <w:tcW w:w="1275" w:type="dxa"/>
                  <w:vAlign w:val="center"/>
                </w:tcPr>
                <w:p w14:paraId="54577349">
                  <w:pPr>
                    <w:adjustRightInd w:val="0"/>
                    <w:snapToGrid w:val="0"/>
                    <w:jc w:val="center"/>
                    <w:textAlignment w:val="center"/>
                    <w:rPr>
                      <w:szCs w:val="21"/>
                    </w:rPr>
                  </w:pPr>
                  <w:r>
                    <w:rPr>
                      <w:szCs w:val="21"/>
                    </w:rPr>
                    <w:t>折算浓度</w:t>
                  </w:r>
                </w:p>
              </w:tc>
              <w:tc>
                <w:tcPr>
                  <w:tcW w:w="851" w:type="dxa"/>
                  <w:vAlign w:val="center"/>
                </w:tcPr>
                <w:p w14:paraId="6919DB94">
                  <w:pPr>
                    <w:adjustRightInd w:val="0"/>
                    <w:snapToGrid w:val="0"/>
                    <w:jc w:val="center"/>
                    <w:textAlignment w:val="center"/>
                    <w:rPr>
                      <w:szCs w:val="21"/>
                    </w:rPr>
                  </w:pPr>
                  <w:r>
                    <w:t>mg/m</w:t>
                  </w:r>
                  <w:r>
                    <w:rPr>
                      <w:rFonts w:hint="eastAsia"/>
                      <w:vertAlign w:val="superscript"/>
                    </w:rPr>
                    <w:t>3</w:t>
                  </w:r>
                </w:p>
              </w:tc>
              <w:tc>
                <w:tcPr>
                  <w:tcW w:w="992" w:type="dxa"/>
                  <w:vAlign w:val="center"/>
                </w:tcPr>
                <w:p w14:paraId="1CCFBBDB">
                  <w:pPr>
                    <w:adjustRightInd w:val="0"/>
                    <w:snapToGrid w:val="0"/>
                    <w:jc w:val="center"/>
                    <w:rPr>
                      <w:szCs w:val="21"/>
                    </w:rPr>
                  </w:pPr>
                  <w:r>
                    <w:rPr>
                      <w:rFonts w:hint="eastAsia"/>
                      <w:szCs w:val="21"/>
                    </w:rPr>
                    <w:t>6.4</w:t>
                  </w:r>
                </w:p>
              </w:tc>
              <w:tc>
                <w:tcPr>
                  <w:tcW w:w="1134" w:type="dxa"/>
                  <w:vAlign w:val="center"/>
                </w:tcPr>
                <w:p w14:paraId="370BD2D3">
                  <w:pPr>
                    <w:adjustRightInd w:val="0"/>
                    <w:snapToGrid w:val="0"/>
                    <w:jc w:val="center"/>
                    <w:rPr>
                      <w:szCs w:val="21"/>
                    </w:rPr>
                  </w:pPr>
                  <w:r>
                    <w:rPr>
                      <w:rFonts w:hint="eastAsia"/>
                      <w:szCs w:val="21"/>
                    </w:rPr>
                    <w:t>13.6</w:t>
                  </w:r>
                </w:p>
              </w:tc>
              <w:tc>
                <w:tcPr>
                  <w:tcW w:w="1134" w:type="dxa"/>
                  <w:vAlign w:val="center"/>
                </w:tcPr>
                <w:p w14:paraId="538766EB">
                  <w:pPr>
                    <w:adjustRightInd w:val="0"/>
                    <w:snapToGrid w:val="0"/>
                    <w:jc w:val="center"/>
                    <w:rPr>
                      <w:szCs w:val="21"/>
                    </w:rPr>
                  </w:pPr>
                  <w:r>
                    <w:rPr>
                      <w:rFonts w:hint="eastAsia"/>
                      <w:szCs w:val="21"/>
                    </w:rPr>
                    <w:t>14.7</w:t>
                  </w:r>
                </w:p>
              </w:tc>
              <w:tc>
                <w:tcPr>
                  <w:tcW w:w="992" w:type="dxa"/>
                  <w:vAlign w:val="center"/>
                </w:tcPr>
                <w:p w14:paraId="61ECBCA6">
                  <w:pPr>
                    <w:adjustRightInd w:val="0"/>
                    <w:snapToGrid w:val="0"/>
                    <w:jc w:val="center"/>
                    <w:rPr>
                      <w:szCs w:val="21"/>
                    </w:rPr>
                  </w:pPr>
                  <w:r>
                    <w:rPr>
                      <w:rFonts w:hint="eastAsia"/>
                      <w:szCs w:val="21"/>
                    </w:rPr>
                    <w:t>11.6</w:t>
                  </w:r>
                </w:p>
              </w:tc>
              <w:tc>
                <w:tcPr>
                  <w:tcW w:w="912" w:type="dxa"/>
                  <w:vAlign w:val="center"/>
                </w:tcPr>
                <w:p w14:paraId="7DA9881E">
                  <w:pPr>
                    <w:adjustRightInd w:val="0"/>
                    <w:snapToGrid w:val="0"/>
                    <w:jc w:val="center"/>
                    <w:textAlignment w:val="center"/>
                  </w:pPr>
                  <w:r>
                    <w:rPr>
                      <w:rFonts w:hint="eastAsia"/>
                    </w:rPr>
                    <w:t>15</w:t>
                  </w:r>
                </w:p>
              </w:tc>
            </w:tr>
            <w:tr w14:paraId="44203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29B2F9B7">
                  <w:pPr>
                    <w:pStyle w:val="2"/>
                    <w:jc w:val="center"/>
                  </w:pPr>
                </w:p>
              </w:tc>
              <w:tc>
                <w:tcPr>
                  <w:tcW w:w="840" w:type="dxa"/>
                  <w:vMerge w:val="restart"/>
                  <w:vAlign w:val="center"/>
                </w:tcPr>
                <w:p w14:paraId="5D904B97">
                  <w:pPr>
                    <w:adjustRightInd w:val="0"/>
                    <w:snapToGrid w:val="0"/>
                    <w:jc w:val="center"/>
                  </w:pPr>
                  <w:r>
                    <w:t>氮氧化物</w:t>
                  </w:r>
                </w:p>
              </w:tc>
              <w:tc>
                <w:tcPr>
                  <w:tcW w:w="1275" w:type="dxa"/>
                  <w:vAlign w:val="center"/>
                </w:tcPr>
                <w:p w14:paraId="2D6E7A58">
                  <w:pPr>
                    <w:adjustRightInd w:val="0"/>
                    <w:snapToGrid w:val="0"/>
                    <w:jc w:val="center"/>
                    <w:textAlignment w:val="center"/>
                    <w:rPr>
                      <w:szCs w:val="21"/>
                    </w:rPr>
                  </w:pPr>
                  <w:r>
                    <w:rPr>
                      <w:rFonts w:hint="eastAsia"/>
                    </w:rPr>
                    <w:t>实测</w:t>
                  </w:r>
                  <w:r>
                    <w:t>浓度</w:t>
                  </w:r>
                </w:p>
              </w:tc>
              <w:tc>
                <w:tcPr>
                  <w:tcW w:w="851" w:type="dxa"/>
                  <w:vAlign w:val="center"/>
                </w:tcPr>
                <w:p w14:paraId="34523D79">
                  <w:pPr>
                    <w:adjustRightInd w:val="0"/>
                    <w:snapToGrid w:val="0"/>
                    <w:jc w:val="center"/>
                    <w:textAlignment w:val="center"/>
                    <w:rPr>
                      <w:szCs w:val="21"/>
                    </w:rPr>
                  </w:pPr>
                  <w:r>
                    <w:t>mg/m</w:t>
                  </w:r>
                  <w:r>
                    <w:rPr>
                      <w:rFonts w:hint="eastAsia"/>
                      <w:vertAlign w:val="superscript"/>
                    </w:rPr>
                    <w:t>3</w:t>
                  </w:r>
                </w:p>
              </w:tc>
              <w:tc>
                <w:tcPr>
                  <w:tcW w:w="992" w:type="dxa"/>
                  <w:vAlign w:val="center"/>
                </w:tcPr>
                <w:p w14:paraId="7FDB1EDF">
                  <w:pPr>
                    <w:adjustRightInd w:val="0"/>
                    <w:snapToGrid w:val="0"/>
                    <w:jc w:val="center"/>
                    <w:rPr>
                      <w:szCs w:val="21"/>
                    </w:rPr>
                  </w:pPr>
                  <w:r>
                    <w:rPr>
                      <w:rFonts w:hint="eastAsia"/>
                      <w:szCs w:val="21"/>
                    </w:rPr>
                    <w:t>87</w:t>
                  </w:r>
                </w:p>
              </w:tc>
              <w:tc>
                <w:tcPr>
                  <w:tcW w:w="1134" w:type="dxa"/>
                  <w:vAlign w:val="center"/>
                </w:tcPr>
                <w:p w14:paraId="4E39EAB3">
                  <w:pPr>
                    <w:adjustRightInd w:val="0"/>
                    <w:snapToGrid w:val="0"/>
                    <w:jc w:val="center"/>
                    <w:rPr>
                      <w:szCs w:val="21"/>
                    </w:rPr>
                  </w:pPr>
                  <w:r>
                    <w:rPr>
                      <w:rFonts w:hint="eastAsia"/>
                      <w:szCs w:val="21"/>
                    </w:rPr>
                    <w:t>85</w:t>
                  </w:r>
                </w:p>
              </w:tc>
              <w:tc>
                <w:tcPr>
                  <w:tcW w:w="1134" w:type="dxa"/>
                  <w:vAlign w:val="center"/>
                </w:tcPr>
                <w:p w14:paraId="32D4C078">
                  <w:pPr>
                    <w:adjustRightInd w:val="0"/>
                    <w:snapToGrid w:val="0"/>
                    <w:jc w:val="center"/>
                    <w:rPr>
                      <w:szCs w:val="21"/>
                    </w:rPr>
                  </w:pPr>
                  <w:r>
                    <w:rPr>
                      <w:rFonts w:hint="eastAsia"/>
                      <w:szCs w:val="21"/>
                    </w:rPr>
                    <w:t>85</w:t>
                  </w:r>
                </w:p>
              </w:tc>
              <w:tc>
                <w:tcPr>
                  <w:tcW w:w="992" w:type="dxa"/>
                  <w:vAlign w:val="center"/>
                </w:tcPr>
                <w:p w14:paraId="690556A3">
                  <w:pPr>
                    <w:adjustRightInd w:val="0"/>
                    <w:snapToGrid w:val="0"/>
                    <w:jc w:val="center"/>
                    <w:rPr>
                      <w:szCs w:val="21"/>
                    </w:rPr>
                  </w:pPr>
                  <w:r>
                    <w:rPr>
                      <w:rFonts w:hint="eastAsia"/>
                      <w:szCs w:val="21"/>
                    </w:rPr>
                    <w:t>86</w:t>
                  </w:r>
                </w:p>
              </w:tc>
              <w:tc>
                <w:tcPr>
                  <w:tcW w:w="912" w:type="dxa"/>
                  <w:vAlign w:val="center"/>
                </w:tcPr>
                <w:p w14:paraId="6592F947">
                  <w:pPr>
                    <w:adjustRightInd w:val="0"/>
                    <w:snapToGrid w:val="0"/>
                    <w:jc w:val="center"/>
                    <w:textAlignment w:val="center"/>
                  </w:pPr>
                  <w:r>
                    <w:rPr>
                      <w:rFonts w:hint="eastAsia"/>
                    </w:rPr>
                    <w:t>/</w:t>
                  </w:r>
                </w:p>
              </w:tc>
            </w:tr>
            <w:tr w14:paraId="1C5B5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5250DA1E">
                  <w:pPr>
                    <w:pStyle w:val="2"/>
                    <w:jc w:val="center"/>
                  </w:pPr>
                </w:p>
              </w:tc>
              <w:tc>
                <w:tcPr>
                  <w:tcW w:w="840" w:type="dxa"/>
                  <w:vMerge w:val="continue"/>
                  <w:vAlign w:val="center"/>
                </w:tcPr>
                <w:p w14:paraId="50E974BA">
                  <w:pPr>
                    <w:adjustRightInd w:val="0"/>
                    <w:snapToGrid w:val="0"/>
                    <w:jc w:val="center"/>
                  </w:pPr>
                </w:p>
              </w:tc>
              <w:tc>
                <w:tcPr>
                  <w:tcW w:w="1275" w:type="dxa"/>
                  <w:vAlign w:val="center"/>
                </w:tcPr>
                <w:p w14:paraId="2B7BE936">
                  <w:pPr>
                    <w:adjustRightInd w:val="0"/>
                    <w:snapToGrid w:val="0"/>
                    <w:jc w:val="center"/>
                    <w:textAlignment w:val="center"/>
                    <w:rPr>
                      <w:szCs w:val="21"/>
                    </w:rPr>
                  </w:pPr>
                  <w:r>
                    <w:rPr>
                      <w:szCs w:val="21"/>
                    </w:rPr>
                    <w:t>折算浓度</w:t>
                  </w:r>
                </w:p>
              </w:tc>
              <w:tc>
                <w:tcPr>
                  <w:tcW w:w="851" w:type="dxa"/>
                  <w:vAlign w:val="center"/>
                </w:tcPr>
                <w:p w14:paraId="652E3A08">
                  <w:pPr>
                    <w:adjustRightInd w:val="0"/>
                    <w:snapToGrid w:val="0"/>
                    <w:jc w:val="center"/>
                    <w:textAlignment w:val="center"/>
                    <w:rPr>
                      <w:szCs w:val="21"/>
                    </w:rPr>
                  </w:pPr>
                  <w:r>
                    <w:t>mg/m</w:t>
                  </w:r>
                  <w:r>
                    <w:rPr>
                      <w:rFonts w:hint="eastAsia"/>
                      <w:vertAlign w:val="superscript"/>
                    </w:rPr>
                    <w:t>3</w:t>
                  </w:r>
                </w:p>
              </w:tc>
              <w:tc>
                <w:tcPr>
                  <w:tcW w:w="992" w:type="dxa"/>
                  <w:vAlign w:val="center"/>
                </w:tcPr>
                <w:p w14:paraId="360FB894">
                  <w:pPr>
                    <w:adjustRightInd w:val="0"/>
                    <w:snapToGrid w:val="0"/>
                    <w:jc w:val="center"/>
                    <w:rPr>
                      <w:szCs w:val="21"/>
                    </w:rPr>
                  </w:pPr>
                  <w:r>
                    <w:rPr>
                      <w:rFonts w:hint="eastAsia"/>
                      <w:szCs w:val="21"/>
                    </w:rPr>
                    <w:t>186</w:t>
                  </w:r>
                </w:p>
              </w:tc>
              <w:tc>
                <w:tcPr>
                  <w:tcW w:w="1134" w:type="dxa"/>
                  <w:vAlign w:val="center"/>
                </w:tcPr>
                <w:p w14:paraId="3F6E4505">
                  <w:pPr>
                    <w:adjustRightInd w:val="0"/>
                    <w:snapToGrid w:val="0"/>
                    <w:jc w:val="center"/>
                    <w:rPr>
                      <w:szCs w:val="21"/>
                    </w:rPr>
                  </w:pPr>
                  <w:r>
                    <w:rPr>
                      <w:rFonts w:hint="eastAsia"/>
                      <w:szCs w:val="21"/>
                    </w:rPr>
                    <w:t>178</w:t>
                  </w:r>
                </w:p>
              </w:tc>
              <w:tc>
                <w:tcPr>
                  <w:tcW w:w="1134" w:type="dxa"/>
                  <w:vAlign w:val="center"/>
                </w:tcPr>
                <w:p w14:paraId="3A4E1BFE">
                  <w:pPr>
                    <w:adjustRightInd w:val="0"/>
                    <w:snapToGrid w:val="0"/>
                    <w:jc w:val="center"/>
                    <w:rPr>
                      <w:szCs w:val="21"/>
                    </w:rPr>
                  </w:pPr>
                  <w:r>
                    <w:rPr>
                      <w:rFonts w:hint="eastAsia"/>
                      <w:szCs w:val="21"/>
                    </w:rPr>
                    <w:t>178</w:t>
                  </w:r>
                </w:p>
              </w:tc>
              <w:tc>
                <w:tcPr>
                  <w:tcW w:w="992" w:type="dxa"/>
                  <w:vAlign w:val="center"/>
                </w:tcPr>
                <w:p w14:paraId="26E5AD04">
                  <w:pPr>
                    <w:adjustRightInd w:val="0"/>
                    <w:snapToGrid w:val="0"/>
                    <w:jc w:val="center"/>
                    <w:rPr>
                      <w:szCs w:val="21"/>
                    </w:rPr>
                  </w:pPr>
                  <w:r>
                    <w:rPr>
                      <w:rFonts w:hint="eastAsia"/>
                      <w:szCs w:val="21"/>
                    </w:rPr>
                    <w:t>181</w:t>
                  </w:r>
                </w:p>
              </w:tc>
              <w:tc>
                <w:tcPr>
                  <w:tcW w:w="912" w:type="dxa"/>
                  <w:vAlign w:val="center"/>
                </w:tcPr>
                <w:p w14:paraId="04905940">
                  <w:pPr>
                    <w:adjustRightInd w:val="0"/>
                    <w:snapToGrid w:val="0"/>
                    <w:jc w:val="center"/>
                    <w:textAlignment w:val="center"/>
                  </w:pPr>
                  <w:r>
                    <w:rPr>
                      <w:rFonts w:hint="eastAsia"/>
                    </w:rPr>
                    <w:t>300</w:t>
                  </w:r>
                </w:p>
              </w:tc>
            </w:tr>
            <w:tr w14:paraId="2E1B63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2E87FDDF">
                  <w:pPr>
                    <w:pStyle w:val="2"/>
                    <w:jc w:val="center"/>
                  </w:pPr>
                </w:p>
              </w:tc>
              <w:tc>
                <w:tcPr>
                  <w:tcW w:w="840" w:type="dxa"/>
                  <w:vMerge w:val="restart"/>
                  <w:vAlign w:val="center"/>
                </w:tcPr>
                <w:p w14:paraId="2461A899">
                  <w:pPr>
                    <w:adjustRightInd w:val="0"/>
                    <w:snapToGrid w:val="0"/>
                    <w:jc w:val="center"/>
                  </w:pPr>
                  <w:r>
                    <w:t>二氧化硫</w:t>
                  </w:r>
                </w:p>
              </w:tc>
              <w:tc>
                <w:tcPr>
                  <w:tcW w:w="1275" w:type="dxa"/>
                  <w:vAlign w:val="center"/>
                </w:tcPr>
                <w:p w14:paraId="22835976">
                  <w:pPr>
                    <w:adjustRightInd w:val="0"/>
                    <w:snapToGrid w:val="0"/>
                    <w:jc w:val="center"/>
                    <w:textAlignment w:val="center"/>
                    <w:rPr>
                      <w:szCs w:val="21"/>
                    </w:rPr>
                  </w:pPr>
                  <w:r>
                    <w:rPr>
                      <w:rFonts w:hint="eastAsia"/>
                    </w:rPr>
                    <w:t>实测</w:t>
                  </w:r>
                  <w:r>
                    <w:t>浓度</w:t>
                  </w:r>
                </w:p>
              </w:tc>
              <w:tc>
                <w:tcPr>
                  <w:tcW w:w="851" w:type="dxa"/>
                  <w:vAlign w:val="center"/>
                </w:tcPr>
                <w:p w14:paraId="5A61C939">
                  <w:pPr>
                    <w:adjustRightInd w:val="0"/>
                    <w:snapToGrid w:val="0"/>
                    <w:jc w:val="center"/>
                    <w:textAlignment w:val="center"/>
                    <w:rPr>
                      <w:szCs w:val="21"/>
                    </w:rPr>
                  </w:pPr>
                  <w:r>
                    <w:t>mg/m</w:t>
                  </w:r>
                  <w:r>
                    <w:rPr>
                      <w:rFonts w:hint="eastAsia"/>
                      <w:vertAlign w:val="superscript"/>
                    </w:rPr>
                    <w:t>3</w:t>
                  </w:r>
                </w:p>
              </w:tc>
              <w:tc>
                <w:tcPr>
                  <w:tcW w:w="992" w:type="dxa"/>
                  <w:vAlign w:val="center"/>
                </w:tcPr>
                <w:p w14:paraId="5B04F36C">
                  <w:pPr>
                    <w:adjustRightInd w:val="0"/>
                    <w:snapToGrid w:val="0"/>
                    <w:jc w:val="center"/>
                    <w:rPr>
                      <w:szCs w:val="21"/>
                    </w:rPr>
                  </w:pPr>
                  <w:r>
                    <w:rPr>
                      <w:rFonts w:hint="eastAsia"/>
                      <w:szCs w:val="21"/>
                    </w:rPr>
                    <w:t>ND</w:t>
                  </w:r>
                </w:p>
              </w:tc>
              <w:tc>
                <w:tcPr>
                  <w:tcW w:w="1134" w:type="dxa"/>
                  <w:vAlign w:val="center"/>
                </w:tcPr>
                <w:p w14:paraId="600F8D2B">
                  <w:pPr>
                    <w:jc w:val="center"/>
                  </w:pPr>
                  <w:r>
                    <w:rPr>
                      <w:rFonts w:hint="eastAsia"/>
                      <w:szCs w:val="21"/>
                    </w:rPr>
                    <w:t>ND</w:t>
                  </w:r>
                </w:p>
              </w:tc>
              <w:tc>
                <w:tcPr>
                  <w:tcW w:w="1134" w:type="dxa"/>
                  <w:vAlign w:val="center"/>
                </w:tcPr>
                <w:p w14:paraId="7C0ED681">
                  <w:pPr>
                    <w:jc w:val="center"/>
                  </w:pPr>
                  <w:r>
                    <w:rPr>
                      <w:rFonts w:hint="eastAsia"/>
                      <w:szCs w:val="21"/>
                    </w:rPr>
                    <w:t>ND</w:t>
                  </w:r>
                </w:p>
              </w:tc>
              <w:tc>
                <w:tcPr>
                  <w:tcW w:w="992" w:type="dxa"/>
                  <w:vAlign w:val="center"/>
                </w:tcPr>
                <w:p w14:paraId="4399D359">
                  <w:pPr>
                    <w:jc w:val="center"/>
                  </w:pPr>
                  <w:r>
                    <w:rPr>
                      <w:rFonts w:hint="eastAsia"/>
                      <w:szCs w:val="21"/>
                    </w:rPr>
                    <w:t>ND</w:t>
                  </w:r>
                </w:p>
              </w:tc>
              <w:tc>
                <w:tcPr>
                  <w:tcW w:w="912" w:type="dxa"/>
                  <w:vAlign w:val="center"/>
                </w:tcPr>
                <w:p w14:paraId="316F40F0">
                  <w:pPr>
                    <w:adjustRightInd w:val="0"/>
                    <w:snapToGrid w:val="0"/>
                    <w:jc w:val="center"/>
                    <w:textAlignment w:val="center"/>
                  </w:pPr>
                  <w:r>
                    <w:rPr>
                      <w:rFonts w:hint="eastAsia"/>
                    </w:rPr>
                    <w:t>/</w:t>
                  </w:r>
                </w:p>
              </w:tc>
            </w:tr>
            <w:tr w14:paraId="3E12D7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2030A405">
                  <w:pPr>
                    <w:pStyle w:val="2"/>
                    <w:jc w:val="center"/>
                  </w:pPr>
                </w:p>
              </w:tc>
              <w:tc>
                <w:tcPr>
                  <w:tcW w:w="840" w:type="dxa"/>
                  <w:vMerge w:val="continue"/>
                  <w:vAlign w:val="center"/>
                </w:tcPr>
                <w:p w14:paraId="46CA8856">
                  <w:pPr>
                    <w:adjustRightInd w:val="0"/>
                    <w:snapToGrid w:val="0"/>
                    <w:jc w:val="center"/>
                  </w:pPr>
                </w:p>
              </w:tc>
              <w:tc>
                <w:tcPr>
                  <w:tcW w:w="1275" w:type="dxa"/>
                  <w:vAlign w:val="center"/>
                </w:tcPr>
                <w:p w14:paraId="43543244">
                  <w:pPr>
                    <w:adjustRightInd w:val="0"/>
                    <w:snapToGrid w:val="0"/>
                    <w:jc w:val="center"/>
                    <w:textAlignment w:val="center"/>
                    <w:rPr>
                      <w:szCs w:val="21"/>
                    </w:rPr>
                  </w:pPr>
                  <w:r>
                    <w:rPr>
                      <w:szCs w:val="21"/>
                    </w:rPr>
                    <w:t>折算浓度</w:t>
                  </w:r>
                </w:p>
              </w:tc>
              <w:tc>
                <w:tcPr>
                  <w:tcW w:w="851" w:type="dxa"/>
                  <w:vAlign w:val="center"/>
                </w:tcPr>
                <w:p w14:paraId="7FE5CA72">
                  <w:pPr>
                    <w:adjustRightInd w:val="0"/>
                    <w:snapToGrid w:val="0"/>
                    <w:jc w:val="center"/>
                    <w:textAlignment w:val="center"/>
                    <w:rPr>
                      <w:szCs w:val="21"/>
                    </w:rPr>
                  </w:pPr>
                  <w:r>
                    <w:t>mg/m</w:t>
                  </w:r>
                  <w:r>
                    <w:rPr>
                      <w:rFonts w:hint="eastAsia"/>
                      <w:vertAlign w:val="superscript"/>
                    </w:rPr>
                    <w:t>3</w:t>
                  </w:r>
                </w:p>
              </w:tc>
              <w:tc>
                <w:tcPr>
                  <w:tcW w:w="992" w:type="dxa"/>
                  <w:vAlign w:val="center"/>
                </w:tcPr>
                <w:p w14:paraId="576ECB5A">
                  <w:pPr>
                    <w:jc w:val="center"/>
                  </w:pPr>
                  <w:r>
                    <w:rPr>
                      <w:rFonts w:hint="eastAsia"/>
                    </w:rPr>
                    <w:t>/</w:t>
                  </w:r>
                </w:p>
              </w:tc>
              <w:tc>
                <w:tcPr>
                  <w:tcW w:w="1134" w:type="dxa"/>
                  <w:vAlign w:val="center"/>
                </w:tcPr>
                <w:p w14:paraId="1C8CAB85">
                  <w:pPr>
                    <w:jc w:val="center"/>
                  </w:pPr>
                  <w:r>
                    <w:rPr>
                      <w:rFonts w:hint="eastAsia"/>
                    </w:rPr>
                    <w:t>/</w:t>
                  </w:r>
                </w:p>
              </w:tc>
              <w:tc>
                <w:tcPr>
                  <w:tcW w:w="1134" w:type="dxa"/>
                  <w:vAlign w:val="center"/>
                </w:tcPr>
                <w:p w14:paraId="18544A5A">
                  <w:pPr>
                    <w:jc w:val="center"/>
                  </w:pPr>
                  <w:r>
                    <w:rPr>
                      <w:rFonts w:hint="eastAsia"/>
                    </w:rPr>
                    <w:t>/</w:t>
                  </w:r>
                </w:p>
              </w:tc>
              <w:tc>
                <w:tcPr>
                  <w:tcW w:w="992" w:type="dxa"/>
                  <w:vAlign w:val="center"/>
                </w:tcPr>
                <w:p w14:paraId="3D55AF38">
                  <w:pPr>
                    <w:jc w:val="center"/>
                  </w:pPr>
                  <w:r>
                    <w:rPr>
                      <w:rFonts w:hint="eastAsia"/>
                    </w:rPr>
                    <w:t>/</w:t>
                  </w:r>
                </w:p>
              </w:tc>
              <w:tc>
                <w:tcPr>
                  <w:tcW w:w="912" w:type="dxa"/>
                  <w:vAlign w:val="center"/>
                </w:tcPr>
                <w:p w14:paraId="5FDEBCAD">
                  <w:pPr>
                    <w:adjustRightInd w:val="0"/>
                    <w:snapToGrid w:val="0"/>
                    <w:jc w:val="center"/>
                    <w:textAlignment w:val="center"/>
                    <w:rPr>
                      <w:szCs w:val="21"/>
                    </w:rPr>
                  </w:pPr>
                  <w:r>
                    <w:rPr>
                      <w:rFonts w:hint="eastAsia"/>
                    </w:rPr>
                    <w:t>150</w:t>
                  </w:r>
                </w:p>
              </w:tc>
            </w:tr>
            <w:tr w14:paraId="6E6D2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restart"/>
                  <w:vAlign w:val="center"/>
                </w:tcPr>
                <w:p w14:paraId="22878A1A">
                  <w:pPr>
                    <w:pStyle w:val="2"/>
                    <w:jc w:val="center"/>
                    <w:rPr>
                      <w:rFonts w:ascii="Times New Roman" w:cs="Times New Roman"/>
                      <w:color w:val="auto"/>
                      <w:sz w:val="21"/>
                    </w:rPr>
                  </w:pPr>
                  <w:r>
                    <w:rPr>
                      <w:rFonts w:hint="eastAsia" w:ascii="Times New Roman" w:cs="Times New Roman"/>
                      <w:color w:val="auto"/>
                      <w:sz w:val="21"/>
                    </w:rPr>
                    <w:t>小口径高锅管回火炉</w:t>
                  </w:r>
                </w:p>
              </w:tc>
              <w:tc>
                <w:tcPr>
                  <w:tcW w:w="2115" w:type="dxa"/>
                  <w:gridSpan w:val="2"/>
                  <w:vAlign w:val="center"/>
                </w:tcPr>
                <w:p w14:paraId="03DDA8AB">
                  <w:pPr>
                    <w:adjustRightInd w:val="0"/>
                    <w:snapToGrid w:val="0"/>
                    <w:jc w:val="center"/>
                    <w:rPr>
                      <w:szCs w:val="21"/>
                    </w:rPr>
                  </w:pPr>
                  <w:r>
                    <w:rPr>
                      <w:rFonts w:hint="eastAsia"/>
                    </w:rPr>
                    <w:t>标干流量</w:t>
                  </w:r>
                </w:p>
              </w:tc>
              <w:tc>
                <w:tcPr>
                  <w:tcW w:w="851" w:type="dxa"/>
                  <w:vAlign w:val="center"/>
                </w:tcPr>
                <w:p w14:paraId="0D40384F">
                  <w:pPr>
                    <w:adjustRightInd w:val="0"/>
                    <w:snapToGrid w:val="0"/>
                    <w:jc w:val="center"/>
                    <w:rPr>
                      <w:szCs w:val="21"/>
                    </w:rPr>
                  </w:pPr>
                  <w:r>
                    <w:rPr>
                      <w:rFonts w:hint="eastAsia"/>
                    </w:rPr>
                    <w:t>m</w:t>
                  </w:r>
                  <w:r>
                    <w:rPr>
                      <w:rFonts w:hint="eastAsia"/>
                      <w:vertAlign w:val="superscript"/>
                    </w:rPr>
                    <w:t>3</w:t>
                  </w:r>
                  <w:r>
                    <w:rPr>
                      <w:rFonts w:hint="eastAsia"/>
                    </w:rPr>
                    <w:t>/h</w:t>
                  </w:r>
                </w:p>
              </w:tc>
              <w:tc>
                <w:tcPr>
                  <w:tcW w:w="992" w:type="dxa"/>
                  <w:vAlign w:val="center"/>
                </w:tcPr>
                <w:p w14:paraId="2A5FF8D7">
                  <w:pPr>
                    <w:jc w:val="center"/>
                  </w:pPr>
                  <w:r>
                    <w:rPr>
                      <w:rFonts w:hint="eastAsia"/>
                    </w:rPr>
                    <w:t>11232</w:t>
                  </w:r>
                </w:p>
              </w:tc>
              <w:tc>
                <w:tcPr>
                  <w:tcW w:w="1134" w:type="dxa"/>
                  <w:vAlign w:val="center"/>
                </w:tcPr>
                <w:p w14:paraId="0297A934">
                  <w:pPr>
                    <w:jc w:val="center"/>
                  </w:pPr>
                  <w:r>
                    <w:rPr>
                      <w:rFonts w:hint="eastAsia"/>
                    </w:rPr>
                    <w:t>12006</w:t>
                  </w:r>
                </w:p>
              </w:tc>
              <w:tc>
                <w:tcPr>
                  <w:tcW w:w="1134" w:type="dxa"/>
                  <w:vAlign w:val="center"/>
                </w:tcPr>
                <w:p w14:paraId="36B70EEC">
                  <w:pPr>
                    <w:jc w:val="center"/>
                  </w:pPr>
                  <w:r>
                    <w:rPr>
                      <w:rFonts w:hint="eastAsia"/>
                    </w:rPr>
                    <w:t>11453</w:t>
                  </w:r>
                </w:p>
              </w:tc>
              <w:tc>
                <w:tcPr>
                  <w:tcW w:w="992" w:type="dxa"/>
                  <w:vAlign w:val="center"/>
                </w:tcPr>
                <w:p w14:paraId="6AA26CEE">
                  <w:pPr>
                    <w:jc w:val="center"/>
                  </w:pPr>
                  <w:r>
                    <w:rPr>
                      <w:rFonts w:hint="eastAsia"/>
                    </w:rPr>
                    <w:t>11564</w:t>
                  </w:r>
                </w:p>
              </w:tc>
              <w:tc>
                <w:tcPr>
                  <w:tcW w:w="912" w:type="dxa"/>
                  <w:vAlign w:val="center"/>
                </w:tcPr>
                <w:p w14:paraId="319D072A">
                  <w:pPr>
                    <w:adjustRightInd w:val="0"/>
                    <w:snapToGrid w:val="0"/>
                    <w:jc w:val="center"/>
                    <w:textAlignment w:val="center"/>
                    <w:rPr>
                      <w:szCs w:val="21"/>
                    </w:rPr>
                  </w:pPr>
                  <w:r>
                    <w:rPr>
                      <w:rFonts w:hint="eastAsia"/>
                    </w:rPr>
                    <w:t>/</w:t>
                  </w:r>
                </w:p>
              </w:tc>
            </w:tr>
            <w:tr w14:paraId="7448C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7561B2B4">
                  <w:pPr>
                    <w:pStyle w:val="2"/>
                    <w:jc w:val="center"/>
                    <w:rPr>
                      <w:rFonts w:ascii="Times New Roman" w:cs="Times New Roman"/>
                      <w:color w:val="auto"/>
                      <w:sz w:val="21"/>
                    </w:rPr>
                  </w:pPr>
                </w:p>
              </w:tc>
              <w:tc>
                <w:tcPr>
                  <w:tcW w:w="2115" w:type="dxa"/>
                  <w:gridSpan w:val="2"/>
                  <w:vAlign w:val="center"/>
                </w:tcPr>
                <w:p w14:paraId="07C5D402">
                  <w:pPr>
                    <w:adjustRightInd w:val="0"/>
                    <w:snapToGrid w:val="0"/>
                    <w:jc w:val="center"/>
                  </w:pPr>
                  <w:r>
                    <w:rPr>
                      <w:rFonts w:hint="eastAsia"/>
                    </w:rPr>
                    <w:t>烟气流量</w:t>
                  </w:r>
                </w:p>
              </w:tc>
              <w:tc>
                <w:tcPr>
                  <w:tcW w:w="851" w:type="dxa"/>
                  <w:vAlign w:val="center"/>
                </w:tcPr>
                <w:p w14:paraId="41763F44">
                  <w:pPr>
                    <w:adjustRightInd w:val="0"/>
                    <w:snapToGrid w:val="0"/>
                    <w:jc w:val="center"/>
                  </w:pPr>
                  <w:r>
                    <w:rPr>
                      <w:rFonts w:hint="eastAsia"/>
                    </w:rPr>
                    <w:t>m</w:t>
                  </w:r>
                  <w:r>
                    <w:rPr>
                      <w:rFonts w:hint="eastAsia"/>
                      <w:vertAlign w:val="superscript"/>
                    </w:rPr>
                    <w:t>3</w:t>
                  </w:r>
                  <w:r>
                    <w:rPr>
                      <w:rFonts w:hint="eastAsia"/>
                    </w:rPr>
                    <w:t>/h</w:t>
                  </w:r>
                </w:p>
              </w:tc>
              <w:tc>
                <w:tcPr>
                  <w:tcW w:w="992" w:type="dxa"/>
                  <w:vAlign w:val="center"/>
                </w:tcPr>
                <w:p w14:paraId="6CB826D1">
                  <w:pPr>
                    <w:jc w:val="center"/>
                  </w:pPr>
                  <w:r>
                    <w:rPr>
                      <w:rFonts w:hint="eastAsia"/>
                    </w:rPr>
                    <w:t>15797</w:t>
                  </w:r>
                </w:p>
              </w:tc>
              <w:tc>
                <w:tcPr>
                  <w:tcW w:w="1134" w:type="dxa"/>
                  <w:vAlign w:val="center"/>
                </w:tcPr>
                <w:p w14:paraId="1589A796">
                  <w:pPr>
                    <w:jc w:val="center"/>
                  </w:pPr>
                  <w:r>
                    <w:rPr>
                      <w:rFonts w:hint="eastAsia"/>
                    </w:rPr>
                    <w:t>17100</w:t>
                  </w:r>
                </w:p>
              </w:tc>
              <w:tc>
                <w:tcPr>
                  <w:tcW w:w="1134" w:type="dxa"/>
                  <w:vAlign w:val="center"/>
                </w:tcPr>
                <w:p w14:paraId="70F70D6A">
                  <w:pPr>
                    <w:jc w:val="center"/>
                  </w:pPr>
                  <w:r>
                    <w:rPr>
                      <w:rFonts w:hint="eastAsia"/>
                    </w:rPr>
                    <w:t>16123</w:t>
                  </w:r>
                </w:p>
              </w:tc>
              <w:tc>
                <w:tcPr>
                  <w:tcW w:w="992" w:type="dxa"/>
                  <w:vAlign w:val="center"/>
                </w:tcPr>
                <w:p w14:paraId="4EE3B7F5">
                  <w:pPr>
                    <w:jc w:val="center"/>
                  </w:pPr>
                  <w:r>
                    <w:rPr>
                      <w:rFonts w:hint="eastAsia"/>
                    </w:rPr>
                    <w:t>16340</w:t>
                  </w:r>
                </w:p>
              </w:tc>
              <w:tc>
                <w:tcPr>
                  <w:tcW w:w="912" w:type="dxa"/>
                  <w:vAlign w:val="center"/>
                </w:tcPr>
                <w:p w14:paraId="4C5227E9">
                  <w:pPr>
                    <w:adjustRightInd w:val="0"/>
                    <w:snapToGrid w:val="0"/>
                    <w:jc w:val="center"/>
                    <w:textAlignment w:val="center"/>
                    <w:rPr>
                      <w:szCs w:val="21"/>
                    </w:rPr>
                  </w:pPr>
                  <w:r>
                    <w:rPr>
                      <w:rFonts w:hint="eastAsia"/>
                    </w:rPr>
                    <w:t>/</w:t>
                  </w:r>
                </w:p>
              </w:tc>
            </w:tr>
            <w:tr w14:paraId="41CEE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50807E64">
                  <w:pPr>
                    <w:pStyle w:val="2"/>
                    <w:jc w:val="center"/>
                    <w:rPr>
                      <w:rFonts w:ascii="Times New Roman" w:cs="Times New Roman"/>
                      <w:color w:val="auto"/>
                      <w:sz w:val="21"/>
                    </w:rPr>
                  </w:pPr>
                </w:p>
              </w:tc>
              <w:tc>
                <w:tcPr>
                  <w:tcW w:w="2115" w:type="dxa"/>
                  <w:gridSpan w:val="2"/>
                  <w:vAlign w:val="center"/>
                </w:tcPr>
                <w:p w14:paraId="19F1F606">
                  <w:pPr>
                    <w:adjustRightInd w:val="0"/>
                    <w:snapToGrid w:val="0"/>
                    <w:jc w:val="center"/>
                  </w:pPr>
                  <w:r>
                    <w:rPr>
                      <w:rFonts w:hint="eastAsia"/>
                    </w:rPr>
                    <w:t>烟气流速</w:t>
                  </w:r>
                </w:p>
              </w:tc>
              <w:tc>
                <w:tcPr>
                  <w:tcW w:w="851" w:type="dxa"/>
                  <w:vAlign w:val="center"/>
                </w:tcPr>
                <w:p w14:paraId="3DDF130E">
                  <w:pPr>
                    <w:adjustRightInd w:val="0"/>
                    <w:snapToGrid w:val="0"/>
                    <w:jc w:val="center"/>
                  </w:pPr>
                  <w:r>
                    <w:rPr>
                      <w:rFonts w:hint="eastAsia"/>
                    </w:rPr>
                    <w:t>m/s</w:t>
                  </w:r>
                </w:p>
              </w:tc>
              <w:tc>
                <w:tcPr>
                  <w:tcW w:w="992" w:type="dxa"/>
                  <w:vAlign w:val="center"/>
                </w:tcPr>
                <w:p w14:paraId="3E23706D">
                  <w:pPr>
                    <w:jc w:val="center"/>
                  </w:pPr>
                  <w:r>
                    <w:rPr>
                      <w:rFonts w:hint="eastAsia"/>
                    </w:rPr>
                    <w:t>0.97</w:t>
                  </w:r>
                </w:p>
              </w:tc>
              <w:tc>
                <w:tcPr>
                  <w:tcW w:w="1134" w:type="dxa"/>
                  <w:vAlign w:val="center"/>
                </w:tcPr>
                <w:p w14:paraId="289F0667">
                  <w:pPr>
                    <w:jc w:val="center"/>
                  </w:pPr>
                  <w:r>
                    <w:rPr>
                      <w:rFonts w:hint="eastAsia"/>
                    </w:rPr>
                    <w:t>1.05</w:t>
                  </w:r>
                </w:p>
              </w:tc>
              <w:tc>
                <w:tcPr>
                  <w:tcW w:w="1134" w:type="dxa"/>
                  <w:vAlign w:val="center"/>
                </w:tcPr>
                <w:p w14:paraId="791E615E">
                  <w:pPr>
                    <w:jc w:val="center"/>
                  </w:pPr>
                  <w:r>
                    <w:rPr>
                      <w:rFonts w:hint="eastAsia"/>
                    </w:rPr>
                    <w:t>0.99</w:t>
                  </w:r>
                </w:p>
              </w:tc>
              <w:tc>
                <w:tcPr>
                  <w:tcW w:w="992" w:type="dxa"/>
                  <w:vAlign w:val="center"/>
                </w:tcPr>
                <w:p w14:paraId="2E4C8A80">
                  <w:pPr>
                    <w:jc w:val="center"/>
                  </w:pPr>
                  <w:r>
                    <w:rPr>
                      <w:rFonts w:hint="eastAsia"/>
                    </w:rPr>
                    <w:t>1.00</w:t>
                  </w:r>
                </w:p>
              </w:tc>
              <w:tc>
                <w:tcPr>
                  <w:tcW w:w="912" w:type="dxa"/>
                  <w:vAlign w:val="center"/>
                </w:tcPr>
                <w:p w14:paraId="1C6F9F4D">
                  <w:pPr>
                    <w:adjustRightInd w:val="0"/>
                    <w:snapToGrid w:val="0"/>
                    <w:jc w:val="center"/>
                    <w:textAlignment w:val="center"/>
                    <w:rPr>
                      <w:szCs w:val="21"/>
                    </w:rPr>
                  </w:pPr>
                  <w:r>
                    <w:rPr>
                      <w:rFonts w:hint="eastAsia"/>
                    </w:rPr>
                    <w:t>/</w:t>
                  </w:r>
                </w:p>
              </w:tc>
            </w:tr>
            <w:tr w14:paraId="340E8A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7536D041">
                  <w:pPr>
                    <w:pStyle w:val="2"/>
                    <w:jc w:val="center"/>
                    <w:rPr>
                      <w:rFonts w:ascii="Times New Roman" w:cs="Times New Roman"/>
                      <w:color w:val="auto"/>
                      <w:sz w:val="21"/>
                    </w:rPr>
                  </w:pPr>
                </w:p>
              </w:tc>
              <w:tc>
                <w:tcPr>
                  <w:tcW w:w="2115" w:type="dxa"/>
                  <w:gridSpan w:val="2"/>
                  <w:vAlign w:val="center"/>
                </w:tcPr>
                <w:p w14:paraId="77AA5513">
                  <w:pPr>
                    <w:adjustRightInd w:val="0"/>
                    <w:snapToGrid w:val="0"/>
                    <w:jc w:val="center"/>
                  </w:pPr>
                  <w:r>
                    <w:rPr>
                      <w:rFonts w:hint="eastAsia"/>
                    </w:rPr>
                    <w:t>烟气温度</w:t>
                  </w:r>
                </w:p>
              </w:tc>
              <w:tc>
                <w:tcPr>
                  <w:tcW w:w="851" w:type="dxa"/>
                  <w:vAlign w:val="center"/>
                </w:tcPr>
                <w:p w14:paraId="3524CA7B">
                  <w:pPr>
                    <w:adjustRightInd w:val="0"/>
                    <w:snapToGrid w:val="0"/>
                    <w:jc w:val="center"/>
                  </w:pPr>
                  <w:r>
                    <w:rPr>
                      <w:rFonts w:hint="eastAsia"/>
                    </w:rPr>
                    <w:t>℃</w:t>
                  </w:r>
                </w:p>
              </w:tc>
              <w:tc>
                <w:tcPr>
                  <w:tcW w:w="992" w:type="dxa"/>
                  <w:vAlign w:val="center"/>
                </w:tcPr>
                <w:p w14:paraId="34A2D809">
                  <w:pPr>
                    <w:jc w:val="center"/>
                  </w:pPr>
                  <w:r>
                    <w:rPr>
                      <w:rFonts w:hint="eastAsia"/>
                    </w:rPr>
                    <w:t>88.4</w:t>
                  </w:r>
                </w:p>
              </w:tc>
              <w:tc>
                <w:tcPr>
                  <w:tcW w:w="1134" w:type="dxa"/>
                  <w:vAlign w:val="center"/>
                </w:tcPr>
                <w:p w14:paraId="291AE2A3">
                  <w:pPr>
                    <w:jc w:val="center"/>
                  </w:pPr>
                  <w:r>
                    <w:rPr>
                      <w:rFonts w:hint="eastAsia"/>
                    </w:rPr>
                    <w:t>92.9</w:t>
                  </w:r>
                </w:p>
              </w:tc>
              <w:tc>
                <w:tcPr>
                  <w:tcW w:w="1134" w:type="dxa"/>
                  <w:vAlign w:val="center"/>
                </w:tcPr>
                <w:p w14:paraId="2B552BA6">
                  <w:pPr>
                    <w:jc w:val="center"/>
                  </w:pPr>
                  <w:r>
                    <w:rPr>
                      <w:rFonts w:hint="eastAsia"/>
                    </w:rPr>
                    <w:t>88.5</w:t>
                  </w:r>
                </w:p>
              </w:tc>
              <w:tc>
                <w:tcPr>
                  <w:tcW w:w="992" w:type="dxa"/>
                  <w:vAlign w:val="center"/>
                </w:tcPr>
                <w:p w14:paraId="3D879F5E">
                  <w:pPr>
                    <w:jc w:val="center"/>
                  </w:pPr>
                  <w:r>
                    <w:rPr>
                      <w:rFonts w:hint="eastAsia"/>
                    </w:rPr>
                    <w:t>89.9</w:t>
                  </w:r>
                </w:p>
              </w:tc>
              <w:tc>
                <w:tcPr>
                  <w:tcW w:w="912" w:type="dxa"/>
                  <w:vAlign w:val="center"/>
                </w:tcPr>
                <w:p w14:paraId="42CE82AB">
                  <w:pPr>
                    <w:adjustRightInd w:val="0"/>
                    <w:snapToGrid w:val="0"/>
                    <w:jc w:val="center"/>
                    <w:textAlignment w:val="center"/>
                    <w:rPr>
                      <w:szCs w:val="21"/>
                    </w:rPr>
                  </w:pPr>
                  <w:r>
                    <w:rPr>
                      <w:rFonts w:hint="eastAsia"/>
                    </w:rPr>
                    <w:t>/</w:t>
                  </w:r>
                </w:p>
              </w:tc>
            </w:tr>
            <w:tr w14:paraId="3E64BD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6238F2F0">
                  <w:pPr>
                    <w:pStyle w:val="2"/>
                    <w:jc w:val="center"/>
                    <w:rPr>
                      <w:rFonts w:ascii="Times New Roman" w:cs="Times New Roman"/>
                      <w:color w:val="auto"/>
                      <w:sz w:val="21"/>
                    </w:rPr>
                  </w:pPr>
                </w:p>
              </w:tc>
              <w:tc>
                <w:tcPr>
                  <w:tcW w:w="2115" w:type="dxa"/>
                  <w:gridSpan w:val="2"/>
                  <w:vAlign w:val="center"/>
                </w:tcPr>
                <w:p w14:paraId="2E29DB89">
                  <w:pPr>
                    <w:adjustRightInd w:val="0"/>
                    <w:snapToGrid w:val="0"/>
                    <w:jc w:val="center"/>
                  </w:pPr>
                  <w:r>
                    <w:rPr>
                      <w:rFonts w:hint="eastAsia"/>
                    </w:rPr>
                    <w:t>烟气湿度</w:t>
                  </w:r>
                </w:p>
              </w:tc>
              <w:tc>
                <w:tcPr>
                  <w:tcW w:w="851" w:type="dxa"/>
                  <w:vAlign w:val="center"/>
                </w:tcPr>
                <w:p w14:paraId="09B445A1">
                  <w:pPr>
                    <w:adjustRightInd w:val="0"/>
                    <w:snapToGrid w:val="0"/>
                    <w:jc w:val="center"/>
                  </w:pPr>
                  <w:r>
                    <w:rPr>
                      <w:rFonts w:hint="eastAsia"/>
                    </w:rPr>
                    <w:t>%</w:t>
                  </w:r>
                </w:p>
              </w:tc>
              <w:tc>
                <w:tcPr>
                  <w:tcW w:w="992" w:type="dxa"/>
                  <w:vAlign w:val="center"/>
                </w:tcPr>
                <w:p w14:paraId="25A223B5">
                  <w:pPr>
                    <w:jc w:val="center"/>
                  </w:pPr>
                  <w:r>
                    <w:rPr>
                      <w:rFonts w:hint="eastAsia"/>
                    </w:rPr>
                    <w:t>5.1</w:t>
                  </w:r>
                </w:p>
              </w:tc>
              <w:tc>
                <w:tcPr>
                  <w:tcW w:w="1134" w:type="dxa"/>
                  <w:vAlign w:val="center"/>
                </w:tcPr>
                <w:p w14:paraId="70251507">
                  <w:pPr>
                    <w:jc w:val="center"/>
                  </w:pPr>
                  <w:r>
                    <w:rPr>
                      <w:rFonts w:hint="eastAsia"/>
                    </w:rPr>
                    <w:t>5.1</w:t>
                  </w:r>
                </w:p>
              </w:tc>
              <w:tc>
                <w:tcPr>
                  <w:tcW w:w="1134" w:type="dxa"/>
                  <w:vAlign w:val="center"/>
                </w:tcPr>
                <w:p w14:paraId="43492173">
                  <w:pPr>
                    <w:jc w:val="center"/>
                  </w:pPr>
                  <w:r>
                    <w:rPr>
                      <w:rFonts w:hint="eastAsia"/>
                    </w:rPr>
                    <w:t>5.1</w:t>
                  </w:r>
                </w:p>
              </w:tc>
              <w:tc>
                <w:tcPr>
                  <w:tcW w:w="992" w:type="dxa"/>
                  <w:vAlign w:val="center"/>
                </w:tcPr>
                <w:p w14:paraId="73785CD4">
                  <w:pPr>
                    <w:jc w:val="center"/>
                  </w:pPr>
                  <w:r>
                    <w:rPr>
                      <w:rFonts w:hint="eastAsia"/>
                    </w:rPr>
                    <w:t>5.1</w:t>
                  </w:r>
                </w:p>
              </w:tc>
              <w:tc>
                <w:tcPr>
                  <w:tcW w:w="912" w:type="dxa"/>
                  <w:vAlign w:val="center"/>
                </w:tcPr>
                <w:p w14:paraId="29CCED47">
                  <w:pPr>
                    <w:adjustRightInd w:val="0"/>
                    <w:snapToGrid w:val="0"/>
                    <w:jc w:val="center"/>
                    <w:textAlignment w:val="center"/>
                    <w:rPr>
                      <w:szCs w:val="21"/>
                    </w:rPr>
                  </w:pPr>
                  <w:r>
                    <w:rPr>
                      <w:rFonts w:hint="eastAsia"/>
                    </w:rPr>
                    <w:t>/</w:t>
                  </w:r>
                </w:p>
              </w:tc>
            </w:tr>
            <w:tr w14:paraId="1B1C03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6C80C0CD">
                  <w:pPr>
                    <w:pStyle w:val="2"/>
                    <w:jc w:val="center"/>
                    <w:rPr>
                      <w:rFonts w:ascii="Times New Roman" w:cs="Times New Roman"/>
                      <w:color w:val="auto"/>
                      <w:sz w:val="21"/>
                    </w:rPr>
                  </w:pPr>
                </w:p>
              </w:tc>
              <w:tc>
                <w:tcPr>
                  <w:tcW w:w="2115" w:type="dxa"/>
                  <w:gridSpan w:val="2"/>
                  <w:vAlign w:val="center"/>
                </w:tcPr>
                <w:p w14:paraId="1744B038">
                  <w:pPr>
                    <w:adjustRightInd w:val="0"/>
                    <w:snapToGrid w:val="0"/>
                    <w:jc w:val="center"/>
                  </w:pPr>
                  <w:r>
                    <w:rPr>
                      <w:rFonts w:hint="eastAsia"/>
                    </w:rPr>
                    <w:t>含氧量</w:t>
                  </w:r>
                </w:p>
              </w:tc>
              <w:tc>
                <w:tcPr>
                  <w:tcW w:w="851" w:type="dxa"/>
                  <w:vAlign w:val="center"/>
                </w:tcPr>
                <w:p w14:paraId="42E87AC6">
                  <w:pPr>
                    <w:adjustRightInd w:val="0"/>
                    <w:snapToGrid w:val="0"/>
                    <w:jc w:val="center"/>
                  </w:pPr>
                  <w:r>
                    <w:rPr>
                      <w:rFonts w:hint="eastAsia"/>
                    </w:rPr>
                    <w:t>%</w:t>
                  </w:r>
                </w:p>
              </w:tc>
              <w:tc>
                <w:tcPr>
                  <w:tcW w:w="992" w:type="dxa"/>
                  <w:vAlign w:val="center"/>
                </w:tcPr>
                <w:p w14:paraId="13535DEA">
                  <w:pPr>
                    <w:jc w:val="center"/>
                  </w:pPr>
                  <w:r>
                    <w:rPr>
                      <w:rFonts w:hint="eastAsia"/>
                    </w:rPr>
                    <w:t>10.1</w:t>
                  </w:r>
                </w:p>
              </w:tc>
              <w:tc>
                <w:tcPr>
                  <w:tcW w:w="1134" w:type="dxa"/>
                  <w:vAlign w:val="center"/>
                </w:tcPr>
                <w:p w14:paraId="05C5F26E">
                  <w:pPr>
                    <w:jc w:val="center"/>
                  </w:pPr>
                  <w:r>
                    <w:rPr>
                      <w:rFonts w:hint="eastAsia"/>
                    </w:rPr>
                    <w:t>10.2</w:t>
                  </w:r>
                </w:p>
              </w:tc>
              <w:tc>
                <w:tcPr>
                  <w:tcW w:w="1134" w:type="dxa"/>
                  <w:vAlign w:val="center"/>
                </w:tcPr>
                <w:p w14:paraId="1A00B421">
                  <w:pPr>
                    <w:jc w:val="center"/>
                  </w:pPr>
                  <w:r>
                    <w:rPr>
                      <w:rFonts w:hint="eastAsia"/>
                    </w:rPr>
                    <w:t>10.3</w:t>
                  </w:r>
                </w:p>
              </w:tc>
              <w:tc>
                <w:tcPr>
                  <w:tcW w:w="992" w:type="dxa"/>
                  <w:vAlign w:val="center"/>
                </w:tcPr>
                <w:p w14:paraId="3ED9EFFD">
                  <w:pPr>
                    <w:jc w:val="center"/>
                  </w:pPr>
                  <w:r>
                    <w:rPr>
                      <w:rFonts w:hint="eastAsia"/>
                    </w:rPr>
                    <w:t>10.2</w:t>
                  </w:r>
                </w:p>
              </w:tc>
              <w:tc>
                <w:tcPr>
                  <w:tcW w:w="912" w:type="dxa"/>
                  <w:vAlign w:val="center"/>
                </w:tcPr>
                <w:p w14:paraId="1AF28D0F">
                  <w:pPr>
                    <w:adjustRightInd w:val="0"/>
                    <w:snapToGrid w:val="0"/>
                    <w:jc w:val="center"/>
                    <w:textAlignment w:val="center"/>
                    <w:rPr>
                      <w:szCs w:val="21"/>
                    </w:rPr>
                  </w:pPr>
                  <w:r>
                    <w:rPr>
                      <w:rFonts w:hint="eastAsia"/>
                    </w:rPr>
                    <w:t>/</w:t>
                  </w:r>
                </w:p>
              </w:tc>
            </w:tr>
            <w:tr w14:paraId="2DE3F9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6EFAE267">
                  <w:pPr>
                    <w:pStyle w:val="2"/>
                    <w:jc w:val="center"/>
                    <w:rPr>
                      <w:rFonts w:ascii="Times New Roman" w:cs="Times New Roman"/>
                      <w:color w:val="auto"/>
                      <w:sz w:val="21"/>
                    </w:rPr>
                  </w:pPr>
                </w:p>
              </w:tc>
              <w:tc>
                <w:tcPr>
                  <w:tcW w:w="840" w:type="dxa"/>
                  <w:vMerge w:val="restart"/>
                  <w:vAlign w:val="center"/>
                </w:tcPr>
                <w:p w14:paraId="6A31227B">
                  <w:pPr>
                    <w:adjustRightInd w:val="0"/>
                    <w:snapToGrid w:val="0"/>
                    <w:jc w:val="center"/>
                    <w:rPr>
                      <w:szCs w:val="21"/>
                    </w:rPr>
                  </w:pPr>
                  <w:r>
                    <w:t>颗粒物</w:t>
                  </w:r>
                </w:p>
              </w:tc>
              <w:tc>
                <w:tcPr>
                  <w:tcW w:w="1275" w:type="dxa"/>
                  <w:vAlign w:val="center"/>
                </w:tcPr>
                <w:p w14:paraId="3D8FED81">
                  <w:pPr>
                    <w:adjustRightInd w:val="0"/>
                    <w:snapToGrid w:val="0"/>
                    <w:jc w:val="center"/>
                    <w:textAlignment w:val="center"/>
                    <w:rPr>
                      <w:szCs w:val="21"/>
                    </w:rPr>
                  </w:pPr>
                  <w:r>
                    <w:rPr>
                      <w:rFonts w:hint="eastAsia"/>
                    </w:rPr>
                    <w:t>实测</w:t>
                  </w:r>
                  <w:r>
                    <w:t>浓度</w:t>
                  </w:r>
                </w:p>
              </w:tc>
              <w:tc>
                <w:tcPr>
                  <w:tcW w:w="851" w:type="dxa"/>
                  <w:vAlign w:val="center"/>
                </w:tcPr>
                <w:p w14:paraId="03B226DD">
                  <w:pPr>
                    <w:adjustRightInd w:val="0"/>
                    <w:snapToGrid w:val="0"/>
                    <w:jc w:val="center"/>
                    <w:textAlignment w:val="center"/>
                    <w:rPr>
                      <w:szCs w:val="21"/>
                    </w:rPr>
                  </w:pPr>
                  <w:r>
                    <w:t>mg/m</w:t>
                  </w:r>
                  <w:r>
                    <w:rPr>
                      <w:rFonts w:hint="eastAsia"/>
                      <w:vertAlign w:val="superscript"/>
                    </w:rPr>
                    <w:t>3</w:t>
                  </w:r>
                </w:p>
              </w:tc>
              <w:tc>
                <w:tcPr>
                  <w:tcW w:w="992" w:type="dxa"/>
                  <w:vAlign w:val="center"/>
                </w:tcPr>
                <w:p w14:paraId="4ABB8A5E">
                  <w:pPr>
                    <w:jc w:val="center"/>
                  </w:pPr>
                  <w:r>
                    <w:rPr>
                      <w:rFonts w:hint="eastAsia"/>
                    </w:rPr>
                    <w:t>3.5</w:t>
                  </w:r>
                </w:p>
              </w:tc>
              <w:tc>
                <w:tcPr>
                  <w:tcW w:w="1134" w:type="dxa"/>
                  <w:vAlign w:val="center"/>
                </w:tcPr>
                <w:p w14:paraId="0C3D0DFD">
                  <w:pPr>
                    <w:jc w:val="center"/>
                  </w:pPr>
                  <w:r>
                    <w:rPr>
                      <w:rFonts w:hint="eastAsia"/>
                    </w:rPr>
                    <w:t>3.0</w:t>
                  </w:r>
                </w:p>
              </w:tc>
              <w:tc>
                <w:tcPr>
                  <w:tcW w:w="1134" w:type="dxa"/>
                  <w:vAlign w:val="center"/>
                </w:tcPr>
                <w:p w14:paraId="771A3469">
                  <w:pPr>
                    <w:jc w:val="center"/>
                  </w:pPr>
                  <w:r>
                    <w:rPr>
                      <w:rFonts w:hint="eastAsia"/>
                    </w:rPr>
                    <w:t>3.0</w:t>
                  </w:r>
                </w:p>
              </w:tc>
              <w:tc>
                <w:tcPr>
                  <w:tcW w:w="992" w:type="dxa"/>
                  <w:vAlign w:val="center"/>
                </w:tcPr>
                <w:p w14:paraId="2A60C6EA">
                  <w:pPr>
                    <w:jc w:val="center"/>
                  </w:pPr>
                  <w:r>
                    <w:rPr>
                      <w:rFonts w:hint="eastAsia"/>
                    </w:rPr>
                    <w:t>3.2</w:t>
                  </w:r>
                </w:p>
              </w:tc>
              <w:tc>
                <w:tcPr>
                  <w:tcW w:w="912" w:type="dxa"/>
                  <w:vAlign w:val="center"/>
                </w:tcPr>
                <w:p w14:paraId="2C2514FF">
                  <w:pPr>
                    <w:adjustRightInd w:val="0"/>
                    <w:snapToGrid w:val="0"/>
                    <w:jc w:val="center"/>
                    <w:textAlignment w:val="center"/>
                    <w:rPr>
                      <w:szCs w:val="21"/>
                    </w:rPr>
                  </w:pPr>
                  <w:r>
                    <w:rPr>
                      <w:rFonts w:hint="eastAsia"/>
                      <w:szCs w:val="21"/>
                    </w:rPr>
                    <w:t>/</w:t>
                  </w:r>
                </w:p>
              </w:tc>
            </w:tr>
            <w:tr w14:paraId="26A84F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68526757">
                  <w:pPr>
                    <w:pStyle w:val="2"/>
                    <w:jc w:val="center"/>
                    <w:rPr>
                      <w:rFonts w:ascii="Times New Roman" w:cs="Times New Roman"/>
                      <w:color w:val="auto"/>
                      <w:sz w:val="21"/>
                    </w:rPr>
                  </w:pPr>
                </w:p>
              </w:tc>
              <w:tc>
                <w:tcPr>
                  <w:tcW w:w="840" w:type="dxa"/>
                  <w:vMerge w:val="continue"/>
                  <w:vAlign w:val="center"/>
                </w:tcPr>
                <w:p w14:paraId="6E8A320D">
                  <w:pPr>
                    <w:adjustRightInd w:val="0"/>
                    <w:snapToGrid w:val="0"/>
                    <w:jc w:val="center"/>
                  </w:pPr>
                </w:p>
              </w:tc>
              <w:tc>
                <w:tcPr>
                  <w:tcW w:w="1275" w:type="dxa"/>
                  <w:vAlign w:val="center"/>
                </w:tcPr>
                <w:p w14:paraId="6D1190BE">
                  <w:pPr>
                    <w:adjustRightInd w:val="0"/>
                    <w:snapToGrid w:val="0"/>
                    <w:jc w:val="center"/>
                    <w:textAlignment w:val="center"/>
                    <w:rPr>
                      <w:szCs w:val="21"/>
                    </w:rPr>
                  </w:pPr>
                  <w:r>
                    <w:rPr>
                      <w:szCs w:val="21"/>
                    </w:rPr>
                    <w:t>折算浓度</w:t>
                  </w:r>
                </w:p>
              </w:tc>
              <w:tc>
                <w:tcPr>
                  <w:tcW w:w="851" w:type="dxa"/>
                  <w:vAlign w:val="center"/>
                </w:tcPr>
                <w:p w14:paraId="139B7E4B">
                  <w:pPr>
                    <w:adjustRightInd w:val="0"/>
                    <w:snapToGrid w:val="0"/>
                    <w:jc w:val="center"/>
                    <w:textAlignment w:val="center"/>
                    <w:rPr>
                      <w:szCs w:val="21"/>
                    </w:rPr>
                  </w:pPr>
                  <w:r>
                    <w:t>mg/m</w:t>
                  </w:r>
                  <w:r>
                    <w:rPr>
                      <w:rFonts w:hint="eastAsia"/>
                      <w:vertAlign w:val="superscript"/>
                    </w:rPr>
                    <w:t>3</w:t>
                  </w:r>
                </w:p>
              </w:tc>
              <w:tc>
                <w:tcPr>
                  <w:tcW w:w="992" w:type="dxa"/>
                  <w:vAlign w:val="center"/>
                </w:tcPr>
                <w:p w14:paraId="2CCC3249">
                  <w:pPr>
                    <w:jc w:val="center"/>
                  </w:pPr>
                  <w:r>
                    <w:rPr>
                      <w:rFonts w:hint="eastAsia"/>
                    </w:rPr>
                    <w:t>1.9</w:t>
                  </w:r>
                </w:p>
              </w:tc>
              <w:tc>
                <w:tcPr>
                  <w:tcW w:w="1134" w:type="dxa"/>
                  <w:vAlign w:val="center"/>
                </w:tcPr>
                <w:p w14:paraId="1FF0CB23">
                  <w:pPr>
                    <w:jc w:val="center"/>
                  </w:pPr>
                  <w:r>
                    <w:rPr>
                      <w:rFonts w:hint="eastAsia"/>
                    </w:rPr>
                    <w:t>1.7</w:t>
                  </w:r>
                </w:p>
              </w:tc>
              <w:tc>
                <w:tcPr>
                  <w:tcW w:w="1134" w:type="dxa"/>
                  <w:vAlign w:val="center"/>
                </w:tcPr>
                <w:p w14:paraId="70388DEC">
                  <w:pPr>
                    <w:jc w:val="center"/>
                  </w:pPr>
                  <w:r>
                    <w:rPr>
                      <w:rFonts w:hint="eastAsia"/>
                    </w:rPr>
                    <w:t>1.7</w:t>
                  </w:r>
                </w:p>
              </w:tc>
              <w:tc>
                <w:tcPr>
                  <w:tcW w:w="992" w:type="dxa"/>
                  <w:vAlign w:val="center"/>
                </w:tcPr>
                <w:p w14:paraId="2D84D0A9">
                  <w:pPr>
                    <w:jc w:val="center"/>
                  </w:pPr>
                  <w:r>
                    <w:rPr>
                      <w:rFonts w:hint="eastAsia"/>
                    </w:rPr>
                    <w:t>1.8</w:t>
                  </w:r>
                </w:p>
              </w:tc>
              <w:tc>
                <w:tcPr>
                  <w:tcW w:w="912" w:type="dxa"/>
                  <w:vAlign w:val="center"/>
                </w:tcPr>
                <w:p w14:paraId="670FF573">
                  <w:pPr>
                    <w:adjustRightInd w:val="0"/>
                    <w:snapToGrid w:val="0"/>
                    <w:jc w:val="center"/>
                    <w:textAlignment w:val="center"/>
                  </w:pPr>
                  <w:r>
                    <w:rPr>
                      <w:rFonts w:hint="eastAsia"/>
                    </w:rPr>
                    <w:t>15</w:t>
                  </w:r>
                </w:p>
              </w:tc>
            </w:tr>
            <w:tr w14:paraId="346C6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3D6F3B9B">
                  <w:pPr>
                    <w:pStyle w:val="2"/>
                    <w:jc w:val="center"/>
                    <w:rPr>
                      <w:rFonts w:ascii="Times New Roman" w:cs="Times New Roman"/>
                      <w:color w:val="auto"/>
                      <w:sz w:val="21"/>
                    </w:rPr>
                  </w:pPr>
                </w:p>
              </w:tc>
              <w:tc>
                <w:tcPr>
                  <w:tcW w:w="840" w:type="dxa"/>
                  <w:vMerge w:val="restart"/>
                  <w:vAlign w:val="center"/>
                </w:tcPr>
                <w:p w14:paraId="77D19F15">
                  <w:pPr>
                    <w:adjustRightInd w:val="0"/>
                    <w:snapToGrid w:val="0"/>
                    <w:jc w:val="center"/>
                  </w:pPr>
                  <w:r>
                    <w:t>氮氧化物</w:t>
                  </w:r>
                </w:p>
              </w:tc>
              <w:tc>
                <w:tcPr>
                  <w:tcW w:w="1275" w:type="dxa"/>
                  <w:vAlign w:val="center"/>
                </w:tcPr>
                <w:p w14:paraId="3943D339">
                  <w:pPr>
                    <w:adjustRightInd w:val="0"/>
                    <w:snapToGrid w:val="0"/>
                    <w:jc w:val="center"/>
                    <w:textAlignment w:val="center"/>
                    <w:rPr>
                      <w:szCs w:val="21"/>
                    </w:rPr>
                  </w:pPr>
                  <w:r>
                    <w:rPr>
                      <w:rFonts w:hint="eastAsia"/>
                    </w:rPr>
                    <w:t>实测</w:t>
                  </w:r>
                  <w:r>
                    <w:t>浓度</w:t>
                  </w:r>
                </w:p>
              </w:tc>
              <w:tc>
                <w:tcPr>
                  <w:tcW w:w="851" w:type="dxa"/>
                  <w:vAlign w:val="center"/>
                </w:tcPr>
                <w:p w14:paraId="4F34C6FB">
                  <w:pPr>
                    <w:adjustRightInd w:val="0"/>
                    <w:snapToGrid w:val="0"/>
                    <w:jc w:val="center"/>
                    <w:textAlignment w:val="center"/>
                    <w:rPr>
                      <w:szCs w:val="21"/>
                    </w:rPr>
                  </w:pPr>
                  <w:r>
                    <w:t>mg/m</w:t>
                  </w:r>
                  <w:r>
                    <w:rPr>
                      <w:rFonts w:hint="eastAsia"/>
                      <w:vertAlign w:val="superscript"/>
                    </w:rPr>
                    <w:t>3</w:t>
                  </w:r>
                </w:p>
              </w:tc>
              <w:tc>
                <w:tcPr>
                  <w:tcW w:w="992" w:type="dxa"/>
                  <w:vAlign w:val="center"/>
                </w:tcPr>
                <w:p w14:paraId="623CD8EA">
                  <w:pPr>
                    <w:jc w:val="center"/>
                  </w:pPr>
                  <w:r>
                    <w:rPr>
                      <w:rFonts w:hint="eastAsia"/>
                    </w:rPr>
                    <w:t>32</w:t>
                  </w:r>
                </w:p>
              </w:tc>
              <w:tc>
                <w:tcPr>
                  <w:tcW w:w="1134" w:type="dxa"/>
                  <w:vAlign w:val="center"/>
                </w:tcPr>
                <w:p w14:paraId="757B5496">
                  <w:pPr>
                    <w:jc w:val="center"/>
                  </w:pPr>
                  <w:r>
                    <w:rPr>
                      <w:rFonts w:hint="eastAsia"/>
                    </w:rPr>
                    <w:t>40</w:t>
                  </w:r>
                </w:p>
              </w:tc>
              <w:tc>
                <w:tcPr>
                  <w:tcW w:w="1134" w:type="dxa"/>
                  <w:vAlign w:val="center"/>
                </w:tcPr>
                <w:p w14:paraId="79AC4BD2">
                  <w:pPr>
                    <w:jc w:val="center"/>
                  </w:pPr>
                  <w:r>
                    <w:rPr>
                      <w:rFonts w:hint="eastAsia"/>
                    </w:rPr>
                    <w:t>36</w:t>
                  </w:r>
                </w:p>
              </w:tc>
              <w:tc>
                <w:tcPr>
                  <w:tcW w:w="992" w:type="dxa"/>
                  <w:vAlign w:val="center"/>
                </w:tcPr>
                <w:p w14:paraId="49E65286">
                  <w:pPr>
                    <w:jc w:val="center"/>
                  </w:pPr>
                  <w:r>
                    <w:rPr>
                      <w:rFonts w:hint="eastAsia"/>
                    </w:rPr>
                    <w:t>36</w:t>
                  </w:r>
                </w:p>
              </w:tc>
              <w:tc>
                <w:tcPr>
                  <w:tcW w:w="912" w:type="dxa"/>
                  <w:vAlign w:val="center"/>
                </w:tcPr>
                <w:p w14:paraId="317FDB74">
                  <w:pPr>
                    <w:adjustRightInd w:val="0"/>
                    <w:snapToGrid w:val="0"/>
                    <w:jc w:val="center"/>
                    <w:textAlignment w:val="center"/>
                  </w:pPr>
                  <w:r>
                    <w:rPr>
                      <w:rFonts w:hint="eastAsia"/>
                    </w:rPr>
                    <w:t>/</w:t>
                  </w:r>
                </w:p>
              </w:tc>
            </w:tr>
            <w:tr w14:paraId="640DE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342F41F9">
                  <w:pPr>
                    <w:pStyle w:val="2"/>
                    <w:jc w:val="center"/>
                    <w:rPr>
                      <w:rFonts w:ascii="Times New Roman" w:cs="Times New Roman"/>
                      <w:color w:val="auto"/>
                      <w:sz w:val="21"/>
                    </w:rPr>
                  </w:pPr>
                </w:p>
              </w:tc>
              <w:tc>
                <w:tcPr>
                  <w:tcW w:w="840" w:type="dxa"/>
                  <w:vMerge w:val="continue"/>
                  <w:vAlign w:val="center"/>
                </w:tcPr>
                <w:p w14:paraId="7837304A">
                  <w:pPr>
                    <w:adjustRightInd w:val="0"/>
                    <w:snapToGrid w:val="0"/>
                    <w:jc w:val="center"/>
                  </w:pPr>
                </w:p>
              </w:tc>
              <w:tc>
                <w:tcPr>
                  <w:tcW w:w="1275" w:type="dxa"/>
                  <w:vAlign w:val="center"/>
                </w:tcPr>
                <w:p w14:paraId="558D09B5">
                  <w:pPr>
                    <w:adjustRightInd w:val="0"/>
                    <w:snapToGrid w:val="0"/>
                    <w:jc w:val="center"/>
                    <w:textAlignment w:val="center"/>
                    <w:rPr>
                      <w:szCs w:val="21"/>
                    </w:rPr>
                  </w:pPr>
                  <w:r>
                    <w:rPr>
                      <w:szCs w:val="21"/>
                    </w:rPr>
                    <w:t>折算浓度</w:t>
                  </w:r>
                </w:p>
              </w:tc>
              <w:tc>
                <w:tcPr>
                  <w:tcW w:w="851" w:type="dxa"/>
                  <w:vAlign w:val="center"/>
                </w:tcPr>
                <w:p w14:paraId="49C71001">
                  <w:pPr>
                    <w:adjustRightInd w:val="0"/>
                    <w:snapToGrid w:val="0"/>
                    <w:jc w:val="center"/>
                    <w:textAlignment w:val="center"/>
                    <w:rPr>
                      <w:szCs w:val="21"/>
                    </w:rPr>
                  </w:pPr>
                  <w:r>
                    <w:t>mg/m</w:t>
                  </w:r>
                  <w:r>
                    <w:rPr>
                      <w:rFonts w:hint="eastAsia"/>
                      <w:vertAlign w:val="superscript"/>
                    </w:rPr>
                    <w:t>3</w:t>
                  </w:r>
                </w:p>
              </w:tc>
              <w:tc>
                <w:tcPr>
                  <w:tcW w:w="992" w:type="dxa"/>
                  <w:vAlign w:val="center"/>
                </w:tcPr>
                <w:p w14:paraId="208FCE97">
                  <w:pPr>
                    <w:jc w:val="center"/>
                  </w:pPr>
                  <w:r>
                    <w:rPr>
                      <w:rFonts w:hint="eastAsia"/>
                    </w:rPr>
                    <w:t>17</w:t>
                  </w:r>
                </w:p>
              </w:tc>
              <w:tc>
                <w:tcPr>
                  <w:tcW w:w="1134" w:type="dxa"/>
                  <w:vAlign w:val="center"/>
                </w:tcPr>
                <w:p w14:paraId="4F7053F0">
                  <w:pPr>
                    <w:jc w:val="center"/>
                  </w:pPr>
                  <w:r>
                    <w:rPr>
                      <w:rFonts w:hint="eastAsia"/>
                    </w:rPr>
                    <w:t>22</w:t>
                  </w:r>
                </w:p>
              </w:tc>
              <w:tc>
                <w:tcPr>
                  <w:tcW w:w="1134" w:type="dxa"/>
                  <w:vAlign w:val="center"/>
                </w:tcPr>
                <w:p w14:paraId="011A3471">
                  <w:pPr>
                    <w:jc w:val="center"/>
                  </w:pPr>
                  <w:r>
                    <w:rPr>
                      <w:rFonts w:hint="eastAsia"/>
                    </w:rPr>
                    <w:t>20</w:t>
                  </w:r>
                </w:p>
              </w:tc>
              <w:tc>
                <w:tcPr>
                  <w:tcW w:w="992" w:type="dxa"/>
                  <w:vAlign w:val="center"/>
                </w:tcPr>
                <w:p w14:paraId="619EFFCC">
                  <w:pPr>
                    <w:jc w:val="center"/>
                  </w:pPr>
                  <w:r>
                    <w:rPr>
                      <w:rFonts w:hint="eastAsia"/>
                    </w:rPr>
                    <w:t>20</w:t>
                  </w:r>
                </w:p>
              </w:tc>
              <w:tc>
                <w:tcPr>
                  <w:tcW w:w="912" w:type="dxa"/>
                  <w:vAlign w:val="center"/>
                </w:tcPr>
                <w:p w14:paraId="2483A0B3">
                  <w:pPr>
                    <w:adjustRightInd w:val="0"/>
                    <w:snapToGrid w:val="0"/>
                    <w:jc w:val="center"/>
                    <w:textAlignment w:val="center"/>
                  </w:pPr>
                  <w:r>
                    <w:rPr>
                      <w:rFonts w:hint="eastAsia"/>
                    </w:rPr>
                    <w:t>200</w:t>
                  </w:r>
                </w:p>
              </w:tc>
            </w:tr>
            <w:tr w14:paraId="4E440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5015D281">
                  <w:pPr>
                    <w:pStyle w:val="2"/>
                    <w:jc w:val="center"/>
                    <w:rPr>
                      <w:rFonts w:ascii="Times New Roman" w:cs="Times New Roman"/>
                      <w:color w:val="auto"/>
                      <w:sz w:val="21"/>
                    </w:rPr>
                  </w:pPr>
                </w:p>
              </w:tc>
              <w:tc>
                <w:tcPr>
                  <w:tcW w:w="840" w:type="dxa"/>
                  <w:vMerge w:val="restart"/>
                  <w:vAlign w:val="center"/>
                </w:tcPr>
                <w:p w14:paraId="4B3B6358">
                  <w:pPr>
                    <w:adjustRightInd w:val="0"/>
                    <w:snapToGrid w:val="0"/>
                    <w:jc w:val="center"/>
                  </w:pPr>
                  <w:r>
                    <w:t>二氧化硫</w:t>
                  </w:r>
                </w:p>
              </w:tc>
              <w:tc>
                <w:tcPr>
                  <w:tcW w:w="1275" w:type="dxa"/>
                  <w:vAlign w:val="center"/>
                </w:tcPr>
                <w:p w14:paraId="66486117">
                  <w:pPr>
                    <w:adjustRightInd w:val="0"/>
                    <w:snapToGrid w:val="0"/>
                    <w:jc w:val="center"/>
                    <w:textAlignment w:val="center"/>
                    <w:rPr>
                      <w:szCs w:val="21"/>
                    </w:rPr>
                  </w:pPr>
                  <w:r>
                    <w:rPr>
                      <w:rFonts w:hint="eastAsia"/>
                    </w:rPr>
                    <w:t>实测</w:t>
                  </w:r>
                  <w:r>
                    <w:t>浓度</w:t>
                  </w:r>
                </w:p>
              </w:tc>
              <w:tc>
                <w:tcPr>
                  <w:tcW w:w="851" w:type="dxa"/>
                  <w:vAlign w:val="center"/>
                </w:tcPr>
                <w:p w14:paraId="1B43A94F">
                  <w:pPr>
                    <w:adjustRightInd w:val="0"/>
                    <w:snapToGrid w:val="0"/>
                    <w:jc w:val="center"/>
                    <w:textAlignment w:val="center"/>
                    <w:rPr>
                      <w:szCs w:val="21"/>
                    </w:rPr>
                  </w:pPr>
                  <w:r>
                    <w:t>mg/m</w:t>
                  </w:r>
                  <w:r>
                    <w:rPr>
                      <w:rFonts w:hint="eastAsia"/>
                      <w:vertAlign w:val="superscript"/>
                    </w:rPr>
                    <w:t>3</w:t>
                  </w:r>
                </w:p>
              </w:tc>
              <w:tc>
                <w:tcPr>
                  <w:tcW w:w="992" w:type="dxa"/>
                  <w:vAlign w:val="center"/>
                </w:tcPr>
                <w:p w14:paraId="3DDFF332">
                  <w:pPr>
                    <w:adjustRightInd w:val="0"/>
                    <w:snapToGrid w:val="0"/>
                    <w:jc w:val="center"/>
                    <w:rPr>
                      <w:szCs w:val="21"/>
                    </w:rPr>
                  </w:pPr>
                  <w:r>
                    <w:rPr>
                      <w:rFonts w:hint="eastAsia"/>
                      <w:szCs w:val="21"/>
                    </w:rPr>
                    <w:t>ND</w:t>
                  </w:r>
                </w:p>
              </w:tc>
              <w:tc>
                <w:tcPr>
                  <w:tcW w:w="1134" w:type="dxa"/>
                  <w:vAlign w:val="center"/>
                </w:tcPr>
                <w:p w14:paraId="42338D05">
                  <w:pPr>
                    <w:jc w:val="center"/>
                  </w:pPr>
                  <w:r>
                    <w:rPr>
                      <w:rFonts w:hint="eastAsia"/>
                      <w:szCs w:val="21"/>
                    </w:rPr>
                    <w:t>ND</w:t>
                  </w:r>
                </w:p>
              </w:tc>
              <w:tc>
                <w:tcPr>
                  <w:tcW w:w="1134" w:type="dxa"/>
                  <w:vAlign w:val="center"/>
                </w:tcPr>
                <w:p w14:paraId="55D91EC9">
                  <w:pPr>
                    <w:jc w:val="center"/>
                  </w:pPr>
                  <w:r>
                    <w:rPr>
                      <w:rFonts w:hint="eastAsia"/>
                      <w:szCs w:val="21"/>
                    </w:rPr>
                    <w:t>ND</w:t>
                  </w:r>
                </w:p>
              </w:tc>
              <w:tc>
                <w:tcPr>
                  <w:tcW w:w="992" w:type="dxa"/>
                  <w:vAlign w:val="center"/>
                </w:tcPr>
                <w:p w14:paraId="1D459ECC">
                  <w:pPr>
                    <w:jc w:val="center"/>
                  </w:pPr>
                  <w:r>
                    <w:rPr>
                      <w:rFonts w:hint="eastAsia"/>
                      <w:szCs w:val="21"/>
                    </w:rPr>
                    <w:t>ND</w:t>
                  </w:r>
                </w:p>
              </w:tc>
              <w:tc>
                <w:tcPr>
                  <w:tcW w:w="912" w:type="dxa"/>
                  <w:vAlign w:val="center"/>
                </w:tcPr>
                <w:p w14:paraId="714BA32E">
                  <w:pPr>
                    <w:adjustRightInd w:val="0"/>
                    <w:snapToGrid w:val="0"/>
                    <w:jc w:val="center"/>
                    <w:textAlignment w:val="center"/>
                  </w:pPr>
                  <w:r>
                    <w:rPr>
                      <w:rFonts w:hint="eastAsia"/>
                    </w:rPr>
                    <w:t>/</w:t>
                  </w:r>
                </w:p>
              </w:tc>
            </w:tr>
            <w:tr w14:paraId="62CF79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11E486CD">
                  <w:pPr>
                    <w:pStyle w:val="2"/>
                    <w:jc w:val="center"/>
                    <w:rPr>
                      <w:rFonts w:ascii="Times New Roman" w:cs="Times New Roman"/>
                      <w:color w:val="auto"/>
                      <w:sz w:val="21"/>
                    </w:rPr>
                  </w:pPr>
                </w:p>
              </w:tc>
              <w:tc>
                <w:tcPr>
                  <w:tcW w:w="840" w:type="dxa"/>
                  <w:vMerge w:val="continue"/>
                  <w:vAlign w:val="center"/>
                </w:tcPr>
                <w:p w14:paraId="15DEB5D1">
                  <w:pPr>
                    <w:adjustRightInd w:val="0"/>
                    <w:snapToGrid w:val="0"/>
                    <w:jc w:val="center"/>
                  </w:pPr>
                </w:p>
              </w:tc>
              <w:tc>
                <w:tcPr>
                  <w:tcW w:w="1275" w:type="dxa"/>
                  <w:vAlign w:val="center"/>
                </w:tcPr>
                <w:p w14:paraId="36648AB9">
                  <w:pPr>
                    <w:adjustRightInd w:val="0"/>
                    <w:snapToGrid w:val="0"/>
                    <w:jc w:val="center"/>
                    <w:textAlignment w:val="center"/>
                    <w:rPr>
                      <w:szCs w:val="21"/>
                    </w:rPr>
                  </w:pPr>
                  <w:r>
                    <w:rPr>
                      <w:szCs w:val="21"/>
                    </w:rPr>
                    <w:t>折算浓度</w:t>
                  </w:r>
                </w:p>
              </w:tc>
              <w:tc>
                <w:tcPr>
                  <w:tcW w:w="851" w:type="dxa"/>
                  <w:vAlign w:val="center"/>
                </w:tcPr>
                <w:p w14:paraId="086EBA14">
                  <w:pPr>
                    <w:adjustRightInd w:val="0"/>
                    <w:snapToGrid w:val="0"/>
                    <w:jc w:val="center"/>
                    <w:textAlignment w:val="center"/>
                    <w:rPr>
                      <w:szCs w:val="21"/>
                    </w:rPr>
                  </w:pPr>
                  <w:r>
                    <w:t>mg/m</w:t>
                  </w:r>
                  <w:r>
                    <w:rPr>
                      <w:rFonts w:hint="eastAsia"/>
                      <w:vertAlign w:val="superscript"/>
                    </w:rPr>
                    <w:t>3</w:t>
                  </w:r>
                </w:p>
              </w:tc>
              <w:tc>
                <w:tcPr>
                  <w:tcW w:w="992" w:type="dxa"/>
                  <w:vAlign w:val="center"/>
                </w:tcPr>
                <w:p w14:paraId="0AF05F33">
                  <w:pPr>
                    <w:jc w:val="center"/>
                  </w:pPr>
                  <w:r>
                    <w:rPr>
                      <w:rFonts w:hint="eastAsia"/>
                    </w:rPr>
                    <w:t>/</w:t>
                  </w:r>
                </w:p>
              </w:tc>
              <w:tc>
                <w:tcPr>
                  <w:tcW w:w="1134" w:type="dxa"/>
                  <w:vAlign w:val="center"/>
                </w:tcPr>
                <w:p w14:paraId="35D934F6">
                  <w:pPr>
                    <w:jc w:val="center"/>
                  </w:pPr>
                  <w:r>
                    <w:rPr>
                      <w:rFonts w:hint="eastAsia"/>
                    </w:rPr>
                    <w:t>/</w:t>
                  </w:r>
                </w:p>
              </w:tc>
              <w:tc>
                <w:tcPr>
                  <w:tcW w:w="1134" w:type="dxa"/>
                  <w:vAlign w:val="center"/>
                </w:tcPr>
                <w:p w14:paraId="31D6AAE0">
                  <w:pPr>
                    <w:jc w:val="center"/>
                  </w:pPr>
                  <w:r>
                    <w:rPr>
                      <w:rFonts w:hint="eastAsia"/>
                    </w:rPr>
                    <w:t>/</w:t>
                  </w:r>
                </w:p>
              </w:tc>
              <w:tc>
                <w:tcPr>
                  <w:tcW w:w="992" w:type="dxa"/>
                  <w:vAlign w:val="center"/>
                </w:tcPr>
                <w:p w14:paraId="0F57B71E">
                  <w:pPr>
                    <w:jc w:val="center"/>
                  </w:pPr>
                  <w:r>
                    <w:rPr>
                      <w:rFonts w:hint="eastAsia"/>
                    </w:rPr>
                    <w:t>/</w:t>
                  </w:r>
                </w:p>
              </w:tc>
              <w:tc>
                <w:tcPr>
                  <w:tcW w:w="912" w:type="dxa"/>
                  <w:vAlign w:val="center"/>
                </w:tcPr>
                <w:p w14:paraId="35C25507">
                  <w:pPr>
                    <w:adjustRightInd w:val="0"/>
                    <w:snapToGrid w:val="0"/>
                    <w:jc w:val="center"/>
                    <w:textAlignment w:val="center"/>
                    <w:rPr>
                      <w:szCs w:val="21"/>
                    </w:rPr>
                  </w:pPr>
                  <w:r>
                    <w:rPr>
                      <w:rFonts w:hint="eastAsia"/>
                    </w:rPr>
                    <w:t>100</w:t>
                  </w:r>
                </w:p>
              </w:tc>
            </w:tr>
            <w:tr w14:paraId="274C8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restart"/>
                  <w:vAlign w:val="center"/>
                </w:tcPr>
                <w:p w14:paraId="7ECE4274">
                  <w:pPr>
                    <w:pStyle w:val="2"/>
                    <w:jc w:val="center"/>
                    <w:rPr>
                      <w:rFonts w:ascii="Times New Roman" w:cs="Times New Roman"/>
                      <w:color w:val="auto"/>
                      <w:sz w:val="21"/>
                    </w:rPr>
                  </w:pPr>
                  <w:r>
                    <w:rPr>
                      <w:rFonts w:hint="eastAsia" w:ascii="Times New Roman" w:cs="Times New Roman"/>
                      <w:color w:val="auto"/>
                      <w:sz w:val="21"/>
                    </w:rPr>
                    <w:t>小口径高锅管淬火炉</w:t>
                  </w:r>
                </w:p>
              </w:tc>
              <w:tc>
                <w:tcPr>
                  <w:tcW w:w="2115" w:type="dxa"/>
                  <w:gridSpan w:val="2"/>
                  <w:vAlign w:val="center"/>
                </w:tcPr>
                <w:p w14:paraId="6A1C63E3">
                  <w:pPr>
                    <w:adjustRightInd w:val="0"/>
                    <w:snapToGrid w:val="0"/>
                    <w:jc w:val="center"/>
                    <w:rPr>
                      <w:szCs w:val="21"/>
                    </w:rPr>
                  </w:pPr>
                  <w:r>
                    <w:rPr>
                      <w:rFonts w:hint="eastAsia"/>
                    </w:rPr>
                    <w:t>标干流量</w:t>
                  </w:r>
                </w:p>
              </w:tc>
              <w:tc>
                <w:tcPr>
                  <w:tcW w:w="851" w:type="dxa"/>
                  <w:vAlign w:val="center"/>
                </w:tcPr>
                <w:p w14:paraId="3FC3204B">
                  <w:pPr>
                    <w:adjustRightInd w:val="0"/>
                    <w:snapToGrid w:val="0"/>
                    <w:jc w:val="center"/>
                    <w:rPr>
                      <w:szCs w:val="21"/>
                    </w:rPr>
                  </w:pPr>
                  <w:r>
                    <w:rPr>
                      <w:rFonts w:hint="eastAsia"/>
                    </w:rPr>
                    <w:t>m</w:t>
                  </w:r>
                  <w:r>
                    <w:rPr>
                      <w:rFonts w:hint="eastAsia"/>
                      <w:vertAlign w:val="superscript"/>
                    </w:rPr>
                    <w:t>3</w:t>
                  </w:r>
                  <w:r>
                    <w:rPr>
                      <w:rFonts w:hint="eastAsia"/>
                    </w:rPr>
                    <w:t>/h</w:t>
                  </w:r>
                </w:p>
              </w:tc>
              <w:tc>
                <w:tcPr>
                  <w:tcW w:w="992" w:type="dxa"/>
                  <w:vAlign w:val="center"/>
                </w:tcPr>
                <w:p w14:paraId="2297B9A8">
                  <w:pPr>
                    <w:jc w:val="center"/>
                  </w:pPr>
                  <w:r>
                    <w:rPr>
                      <w:rFonts w:hint="eastAsia"/>
                    </w:rPr>
                    <w:t>17522</w:t>
                  </w:r>
                </w:p>
              </w:tc>
              <w:tc>
                <w:tcPr>
                  <w:tcW w:w="1134" w:type="dxa"/>
                  <w:vAlign w:val="center"/>
                </w:tcPr>
                <w:p w14:paraId="5C464A29">
                  <w:pPr>
                    <w:jc w:val="center"/>
                  </w:pPr>
                  <w:r>
                    <w:rPr>
                      <w:rFonts w:hint="eastAsia"/>
                    </w:rPr>
                    <w:t>16995</w:t>
                  </w:r>
                </w:p>
              </w:tc>
              <w:tc>
                <w:tcPr>
                  <w:tcW w:w="1134" w:type="dxa"/>
                  <w:vAlign w:val="center"/>
                </w:tcPr>
                <w:p w14:paraId="63C4A2ED">
                  <w:pPr>
                    <w:jc w:val="center"/>
                  </w:pPr>
                  <w:r>
                    <w:rPr>
                      <w:rFonts w:hint="eastAsia"/>
                    </w:rPr>
                    <w:t>17938</w:t>
                  </w:r>
                </w:p>
              </w:tc>
              <w:tc>
                <w:tcPr>
                  <w:tcW w:w="992" w:type="dxa"/>
                  <w:vAlign w:val="center"/>
                </w:tcPr>
                <w:p w14:paraId="363E9DD1">
                  <w:pPr>
                    <w:jc w:val="center"/>
                  </w:pPr>
                  <w:r>
                    <w:rPr>
                      <w:rFonts w:hint="eastAsia"/>
                    </w:rPr>
                    <w:t>17485</w:t>
                  </w:r>
                </w:p>
              </w:tc>
              <w:tc>
                <w:tcPr>
                  <w:tcW w:w="912" w:type="dxa"/>
                  <w:vAlign w:val="center"/>
                </w:tcPr>
                <w:p w14:paraId="0DAD48B6">
                  <w:pPr>
                    <w:adjustRightInd w:val="0"/>
                    <w:snapToGrid w:val="0"/>
                    <w:jc w:val="center"/>
                    <w:textAlignment w:val="center"/>
                    <w:rPr>
                      <w:szCs w:val="21"/>
                    </w:rPr>
                  </w:pPr>
                  <w:r>
                    <w:rPr>
                      <w:rFonts w:hint="eastAsia"/>
                    </w:rPr>
                    <w:t>/</w:t>
                  </w:r>
                </w:p>
              </w:tc>
            </w:tr>
            <w:tr w14:paraId="4343FC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2FCE9E18">
                  <w:pPr>
                    <w:pStyle w:val="2"/>
                    <w:jc w:val="center"/>
                    <w:rPr>
                      <w:rFonts w:ascii="Times New Roman" w:cs="Times New Roman"/>
                      <w:color w:val="auto"/>
                      <w:sz w:val="21"/>
                    </w:rPr>
                  </w:pPr>
                </w:p>
              </w:tc>
              <w:tc>
                <w:tcPr>
                  <w:tcW w:w="2115" w:type="dxa"/>
                  <w:gridSpan w:val="2"/>
                  <w:vAlign w:val="center"/>
                </w:tcPr>
                <w:p w14:paraId="0EAE7905">
                  <w:pPr>
                    <w:adjustRightInd w:val="0"/>
                    <w:snapToGrid w:val="0"/>
                    <w:jc w:val="center"/>
                  </w:pPr>
                  <w:r>
                    <w:rPr>
                      <w:rFonts w:hint="eastAsia"/>
                    </w:rPr>
                    <w:t>烟气流量</w:t>
                  </w:r>
                </w:p>
              </w:tc>
              <w:tc>
                <w:tcPr>
                  <w:tcW w:w="851" w:type="dxa"/>
                  <w:vAlign w:val="center"/>
                </w:tcPr>
                <w:p w14:paraId="5258B80D">
                  <w:pPr>
                    <w:adjustRightInd w:val="0"/>
                    <w:snapToGrid w:val="0"/>
                    <w:jc w:val="center"/>
                  </w:pPr>
                  <w:r>
                    <w:rPr>
                      <w:rFonts w:hint="eastAsia"/>
                    </w:rPr>
                    <w:t>m</w:t>
                  </w:r>
                  <w:r>
                    <w:rPr>
                      <w:rFonts w:hint="eastAsia"/>
                      <w:vertAlign w:val="superscript"/>
                    </w:rPr>
                    <w:t>3</w:t>
                  </w:r>
                  <w:r>
                    <w:rPr>
                      <w:rFonts w:hint="eastAsia"/>
                    </w:rPr>
                    <w:t>/h</w:t>
                  </w:r>
                </w:p>
              </w:tc>
              <w:tc>
                <w:tcPr>
                  <w:tcW w:w="992" w:type="dxa"/>
                  <w:vAlign w:val="center"/>
                </w:tcPr>
                <w:p w14:paraId="2FFC918F">
                  <w:pPr>
                    <w:jc w:val="center"/>
                  </w:pPr>
                  <w:r>
                    <w:rPr>
                      <w:rFonts w:hint="eastAsia"/>
                    </w:rPr>
                    <w:t>24755</w:t>
                  </w:r>
                </w:p>
              </w:tc>
              <w:tc>
                <w:tcPr>
                  <w:tcW w:w="1134" w:type="dxa"/>
                  <w:vAlign w:val="center"/>
                </w:tcPr>
                <w:p w14:paraId="6B18BC40">
                  <w:pPr>
                    <w:jc w:val="center"/>
                  </w:pPr>
                  <w:r>
                    <w:rPr>
                      <w:rFonts w:hint="eastAsia"/>
                    </w:rPr>
                    <w:t>24266</w:t>
                  </w:r>
                </w:p>
              </w:tc>
              <w:tc>
                <w:tcPr>
                  <w:tcW w:w="1134" w:type="dxa"/>
                  <w:vAlign w:val="center"/>
                </w:tcPr>
                <w:p w14:paraId="1AF0C30A">
                  <w:pPr>
                    <w:jc w:val="center"/>
                  </w:pPr>
                  <w:r>
                    <w:rPr>
                      <w:rFonts w:hint="eastAsia"/>
                    </w:rPr>
                    <w:t>25569</w:t>
                  </w:r>
                </w:p>
              </w:tc>
              <w:tc>
                <w:tcPr>
                  <w:tcW w:w="992" w:type="dxa"/>
                  <w:vAlign w:val="center"/>
                </w:tcPr>
                <w:p w14:paraId="1AE8BA04">
                  <w:pPr>
                    <w:jc w:val="center"/>
                  </w:pPr>
                  <w:r>
                    <w:rPr>
                      <w:rFonts w:hint="eastAsia"/>
                    </w:rPr>
                    <w:t>24863</w:t>
                  </w:r>
                </w:p>
              </w:tc>
              <w:tc>
                <w:tcPr>
                  <w:tcW w:w="912" w:type="dxa"/>
                  <w:vAlign w:val="center"/>
                </w:tcPr>
                <w:p w14:paraId="25FC601E">
                  <w:pPr>
                    <w:adjustRightInd w:val="0"/>
                    <w:snapToGrid w:val="0"/>
                    <w:jc w:val="center"/>
                    <w:textAlignment w:val="center"/>
                    <w:rPr>
                      <w:szCs w:val="21"/>
                    </w:rPr>
                  </w:pPr>
                  <w:r>
                    <w:rPr>
                      <w:rFonts w:hint="eastAsia"/>
                    </w:rPr>
                    <w:t>/</w:t>
                  </w:r>
                </w:p>
              </w:tc>
            </w:tr>
            <w:tr w14:paraId="0CCB2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47A241D3">
                  <w:pPr>
                    <w:pStyle w:val="2"/>
                    <w:jc w:val="center"/>
                    <w:rPr>
                      <w:rFonts w:ascii="Times New Roman" w:cs="Times New Roman"/>
                      <w:color w:val="auto"/>
                      <w:sz w:val="21"/>
                    </w:rPr>
                  </w:pPr>
                </w:p>
              </w:tc>
              <w:tc>
                <w:tcPr>
                  <w:tcW w:w="2115" w:type="dxa"/>
                  <w:gridSpan w:val="2"/>
                  <w:vAlign w:val="center"/>
                </w:tcPr>
                <w:p w14:paraId="5E6C3C3E">
                  <w:pPr>
                    <w:adjustRightInd w:val="0"/>
                    <w:snapToGrid w:val="0"/>
                    <w:jc w:val="center"/>
                  </w:pPr>
                  <w:r>
                    <w:rPr>
                      <w:rFonts w:hint="eastAsia"/>
                    </w:rPr>
                    <w:t>烟气流速</w:t>
                  </w:r>
                </w:p>
              </w:tc>
              <w:tc>
                <w:tcPr>
                  <w:tcW w:w="851" w:type="dxa"/>
                  <w:vAlign w:val="center"/>
                </w:tcPr>
                <w:p w14:paraId="37A2E9A7">
                  <w:pPr>
                    <w:adjustRightInd w:val="0"/>
                    <w:snapToGrid w:val="0"/>
                    <w:jc w:val="center"/>
                  </w:pPr>
                  <w:r>
                    <w:rPr>
                      <w:rFonts w:hint="eastAsia"/>
                    </w:rPr>
                    <w:t>m/s</w:t>
                  </w:r>
                </w:p>
              </w:tc>
              <w:tc>
                <w:tcPr>
                  <w:tcW w:w="992" w:type="dxa"/>
                  <w:vAlign w:val="center"/>
                </w:tcPr>
                <w:p w14:paraId="6C0F4777">
                  <w:pPr>
                    <w:jc w:val="center"/>
                  </w:pPr>
                  <w:r>
                    <w:rPr>
                      <w:rFonts w:hint="eastAsia"/>
                    </w:rPr>
                    <w:t>1.52</w:t>
                  </w:r>
                </w:p>
              </w:tc>
              <w:tc>
                <w:tcPr>
                  <w:tcW w:w="1134" w:type="dxa"/>
                  <w:vAlign w:val="center"/>
                </w:tcPr>
                <w:p w14:paraId="407FC33F">
                  <w:pPr>
                    <w:jc w:val="center"/>
                  </w:pPr>
                  <w:r>
                    <w:rPr>
                      <w:rFonts w:hint="eastAsia"/>
                    </w:rPr>
                    <w:t>1.49</w:t>
                  </w:r>
                </w:p>
              </w:tc>
              <w:tc>
                <w:tcPr>
                  <w:tcW w:w="1134" w:type="dxa"/>
                  <w:vAlign w:val="center"/>
                </w:tcPr>
                <w:p w14:paraId="2E5C8888">
                  <w:pPr>
                    <w:jc w:val="center"/>
                  </w:pPr>
                  <w:r>
                    <w:rPr>
                      <w:rFonts w:hint="eastAsia"/>
                    </w:rPr>
                    <w:t>1.57</w:t>
                  </w:r>
                </w:p>
              </w:tc>
              <w:tc>
                <w:tcPr>
                  <w:tcW w:w="992" w:type="dxa"/>
                  <w:vAlign w:val="center"/>
                </w:tcPr>
                <w:p w14:paraId="26F0A657">
                  <w:pPr>
                    <w:jc w:val="center"/>
                  </w:pPr>
                  <w:r>
                    <w:rPr>
                      <w:rFonts w:hint="eastAsia"/>
                    </w:rPr>
                    <w:t>1.53</w:t>
                  </w:r>
                </w:p>
              </w:tc>
              <w:tc>
                <w:tcPr>
                  <w:tcW w:w="912" w:type="dxa"/>
                  <w:vAlign w:val="center"/>
                </w:tcPr>
                <w:p w14:paraId="2420A75A">
                  <w:pPr>
                    <w:adjustRightInd w:val="0"/>
                    <w:snapToGrid w:val="0"/>
                    <w:jc w:val="center"/>
                    <w:textAlignment w:val="center"/>
                    <w:rPr>
                      <w:szCs w:val="21"/>
                    </w:rPr>
                  </w:pPr>
                  <w:r>
                    <w:rPr>
                      <w:rFonts w:hint="eastAsia"/>
                    </w:rPr>
                    <w:t>/</w:t>
                  </w:r>
                </w:p>
              </w:tc>
            </w:tr>
            <w:tr w14:paraId="7E370F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6C8A3A18">
                  <w:pPr>
                    <w:pStyle w:val="2"/>
                    <w:jc w:val="center"/>
                    <w:rPr>
                      <w:rFonts w:ascii="Times New Roman" w:cs="Times New Roman"/>
                      <w:color w:val="auto"/>
                      <w:sz w:val="21"/>
                    </w:rPr>
                  </w:pPr>
                </w:p>
              </w:tc>
              <w:tc>
                <w:tcPr>
                  <w:tcW w:w="2115" w:type="dxa"/>
                  <w:gridSpan w:val="2"/>
                  <w:vAlign w:val="center"/>
                </w:tcPr>
                <w:p w14:paraId="00FCCA58">
                  <w:pPr>
                    <w:adjustRightInd w:val="0"/>
                    <w:snapToGrid w:val="0"/>
                    <w:jc w:val="center"/>
                  </w:pPr>
                  <w:r>
                    <w:rPr>
                      <w:rFonts w:hint="eastAsia"/>
                    </w:rPr>
                    <w:t>烟气温度</w:t>
                  </w:r>
                </w:p>
              </w:tc>
              <w:tc>
                <w:tcPr>
                  <w:tcW w:w="851" w:type="dxa"/>
                  <w:vAlign w:val="center"/>
                </w:tcPr>
                <w:p w14:paraId="5FC67485">
                  <w:pPr>
                    <w:adjustRightInd w:val="0"/>
                    <w:snapToGrid w:val="0"/>
                    <w:jc w:val="center"/>
                  </w:pPr>
                  <w:r>
                    <w:rPr>
                      <w:rFonts w:hint="eastAsia"/>
                    </w:rPr>
                    <w:t>℃</w:t>
                  </w:r>
                </w:p>
              </w:tc>
              <w:tc>
                <w:tcPr>
                  <w:tcW w:w="992" w:type="dxa"/>
                  <w:vAlign w:val="center"/>
                </w:tcPr>
                <w:p w14:paraId="27B4F9BD">
                  <w:pPr>
                    <w:jc w:val="center"/>
                  </w:pPr>
                  <w:r>
                    <w:rPr>
                      <w:rFonts w:hint="eastAsia"/>
                    </w:rPr>
                    <w:t>92.3</w:t>
                  </w:r>
                </w:p>
              </w:tc>
              <w:tc>
                <w:tcPr>
                  <w:tcW w:w="1134" w:type="dxa"/>
                  <w:vAlign w:val="center"/>
                </w:tcPr>
                <w:p w14:paraId="0CC6C190">
                  <w:pPr>
                    <w:jc w:val="center"/>
                  </w:pPr>
                  <w:r>
                    <w:rPr>
                      <w:rFonts w:hint="eastAsia"/>
                    </w:rPr>
                    <w:t>96.0</w:t>
                  </w:r>
                </w:p>
              </w:tc>
              <w:tc>
                <w:tcPr>
                  <w:tcW w:w="1134" w:type="dxa"/>
                  <w:vAlign w:val="center"/>
                </w:tcPr>
                <w:p w14:paraId="5F6F7F7F">
                  <w:pPr>
                    <w:jc w:val="center"/>
                  </w:pPr>
                  <w:r>
                    <w:rPr>
                      <w:rFonts w:hint="eastAsia"/>
                    </w:rPr>
                    <w:t>95.3</w:t>
                  </w:r>
                </w:p>
              </w:tc>
              <w:tc>
                <w:tcPr>
                  <w:tcW w:w="992" w:type="dxa"/>
                  <w:vAlign w:val="center"/>
                </w:tcPr>
                <w:p w14:paraId="5116F260">
                  <w:pPr>
                    <w:jc w:val="center"/>
                  </w:pPr>
                  <w:r>
                    <w:rPr>
                      <w:rFonts w:hint="eastAsia"/>
                    </w:rPr>
                    <w:t>94.5</w:t>
                  </w:r>
                </w:p>
              </w:tc>
              <w:tc>
                <w:tcPr>
                  <w:tcW w:w="912" w:type="dxa"/>
                  <w:vAlign w:val="center"/>
                </w:tcPr>
                <w:p w14:paraId="0B5B7A46">
                  <w:pPr>
                    <w:adjustRightInd w:val="0"/>
                    <w:snapToGrid w:val="0"/>
                    <w:jc w:val="center"/>
                    <w:textAlignment w:val="center"/>
                    <w:rPr>
                      <w:szCs w:val="21"/>
                    </w:rPr>
                  </w:pPr>
                  <w:r>
                    <w:rPr>
                      <w:rFonts w:hint="eastAsia"/>
                    </w:rPr>
                    <w:t>/</w:t>
                  </w:r>
                </w:p>
              </w:tc>
            </w:tr>
            <w:tr w14:paraId="4E885D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62FC2B27">
                  <w:pPr>
                    <w:pStyle w:val="2"/>
                    <w:jc w:val="center"/>
                    <w:rPr>
                      <w:rFonts w:ascii="Times New Roman" w:cs="Times New Roman"/>
                      <w:color w:val="auto"/>
                      <w:sz w:val="21"/>
                    </w:rPr>
                  </w:pPr>
                </w:p>
              </w:tc>
              <w:tc>
                <w:tcPr>
                  <w:tcW w:w="2115" w:type="dxa"/>
                  <w:gridSpan w:val="2"/>
                  <w:vAlign w:val="center"/>
                </w:tcPr>
                <w:p w14:paraId="6AD1418C">
                  <w:pPr>
                    <w:adjustRightInd w:val="0"/>
                    <w:snapToGrid w:val="0"/>
                    <w:jc w:val="center"/>
                  </w:pPr>
                  <w:r>
                    <w:rPr>
                      <w:rFonts w:hint="eastAsia"/>
                    </w:rPr>
                    <w:t>烟气湿度</w:t>
                  </w:r>
                </w:p>
              </w:tc>
              <w:tc>
                <w:tcPr>
                  <w:tcW w:w="851" w:type="dxa"/>
                  <w:vAlign w:val="center"/>
                </w:tcPr>
                <w:p w14:paraId="5A465E7D">
                  <w:pPr>
                    <w:adjustRightInd w:val="0"/>
                    <w:snapToGrid w:val="0"/>
                    <w:jc w:val="center"/>
                  </w:pPr>
                  <w:r>
                    <w:rPr>
                      <w:rFonts w:hint="eastAsia"/>
                    </w:rPr>
                    <w:t>%</w:t>
                  </w:r>
                </w:p>
              </w:tc>
              <w:tc>
                <w:tcPr>
                  <w:tcW w:w="992" w:type="dxa"/>
                  <w:vAlign w:val="center"/>
                </w:tcPr>
                <w:p w14:paraId="62655B24">
                  <w:pPr>
                    <w:jc w:val="center"/>
                  </w:pPr>
                  <w:r>
                    <w:rPr>
                      <w:rFonts w:hint="eastAsia"/>
                    </w:rPr>
                    <w:t>4.6</w:t>
                  </w:r>
                </w:p>
              </w:tc>
              <w:tc>
                <w:tcPr>
                  <w:tcW w:w="1134" w:type="dxa"/>
                  <w:vAlign w:val="center"/>
                </w:tcPr>
                <w:p w14:paraId="4634DEB4">
                  <w:pPr>
                    <w:jc w:val="center"/>
                  </w:pPr>
                  <w:r>
                    <w:rPr>
                      <w:rFonts w:hint="eastAsia"/>
                    </w:rPr>
                    <w:t>4.6</w:t>
                  </w:r>
                </w:p>
              </w:tc>
              <w:tc>
                <w:tcPr>
                  <w:tcW w:w="1134" w:type="dxa"/>
                  <w:vAlign w:val="center"/>
                </w:tcPr>
                <w:p w14:paraId="30D59AA5">
                  <w:pPr>
                    <w:jc w:val="center"/>
                  </w:pPr>
                  <w:r>
                    <w:rPr>
                      <w:rFonts w:hint="eastAsia"/>
                    </w:rPr>
                    <w:t>4.6</w:t>
                  </w:r>
                </w:p>
              </w:tc>
              <w:tc>
                <w:tcPr>
                  <w:tcW w:w="992" w:type="dxa"/>
                  <w:vAlign w:val="center"/>
                </w:tcPr>
                <w:p w14:paraId="43893596">
                  <w:pPr>
                    <w:jc w:val="center"/>
                  </w:pPr>
                  <w:r>
                    <w:rPr>
                      <w:rFonts w:hint="eastAsia"/>
                    </w:rPr>
                    <w:t>4.6</w:t>
                  </w:r>
                </w:p>
              </w:tc>
              <w:tc>
                <w:tcPr>
                  <w:tcW w:w="912" w:type="dxa"/>
                  <w:vAlign w:val="center"/>
                </w:tcPr>
                <w:p w14:paraId="1C8E890F">
                  <w:pPr>
                    <w:adjustRightInd w:val="0"/>
                    <w:snapToGrid w:val="0"/>
                    <w:jc w:val="center"/>
                    <w:textAlignment w:val="center"/>
                    <w:rPr>
                      <w:szCs w:val="21"/>
                    </w:rPr>
                  </w:pPr>
                  <w:r>
                    <w:rPr>
                      <w:rFonts w:hint="eastAsia"/>
                    </w:rPr>
                    <w:t>/</w:t>
                  </w:r>
                </w:p>
              </w:tc>
            </w:tr>
            <w:tr w14:paraId="07ABEB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22699B2C">
                  <w:pPr>
                    <w:pStyle w:val="2"/>
                    <w:jc w:val="center"/>
                    <w:rPr>
                      <w:rFonts w:ascii="Times New Roman" w:cs="Times New Roman"/>
                      <w:color w:val="auto"/>
                      <w:sz w:val="21"/>
                    </w:rPr>
                  </w:pPr>
                </w:p>
              </w:tc>
              <w:tc>
                <w:tcPr>
                  <w:tcW w:w="2115" w:type="dxa"/>
                  <w:gridSpan w:val="2"/>
                  <w:vAlign w:val="center"/>
                </w:tcPr>
                <w:p w14:paraId="45D411EF">
                  <w:pPr>
                    <w:adjustRightInd w:val="0"/>
                    <w:snapToGrid w:val="0"/>
                    <w:jc w:val="center"/>
                  </w:pPr>
                  <w:r>
                    <w:rPr>
                      <w:rFonts w:hint="eastAsia"/>
                    </w:rPr>
                    <w:t>含氧量</w:t>
                  </w:r>
                </w:p>
              </w:tc>
              <w:tc>
                <w:tcPr>
                  <w:tcW w:w="851" w:type="dxa"/>
                  <w:vAlign w:val="center"/>
                </w:tcPr>
                <w:p w14:paraId="539CA619">
                  <w:pPr>
                    <w:adjustRightInd w:val="0"/>
                    <w:snapToGrid w:val="0"/>
                    <w:jc w:val="center"/>
                  </w:pPr>
                  <w:r>
                    <w:rPr>
                      <w:rFonts w:hint="eastAsia"/>
                    </w:rPr>
                    <w:t>%</w:t>
                  </w:r>
                </w:p>
              </w:tc>
              <w:tc>
                <w:tcPr>
                  <w:tcW w:w="992" w:type="dxa"/>
                  <w:vAlign w:val="center"/>
                </w:tcPr>
                <w:p w14:paraId="1C032AE9">
                  <w:pPr>
                    <w:jc w:val="center"/>
                  </w:pPr>
                  <w:r>
                    <w:rPr>
                      <w:rFonts w:hint="eastAsia"/>
                    </w:rPr>
                    <w:t>8.7</w:t>
                  </w:r>
                </w:p>
              </w:tc>
              <w:tc>
                <w:tcPr>
                  <w:tcW w:w="1134" w:type="dxa"/>
                  <w:vAlign w:val="center"/>
                </w:tcPr>
                <w:p w14:paraId="19A7F44C">
                  <w:pPr>
                    <w:jc w:val="center"/>
                  </w:pPr>
                  <w:r>
                    <w:rPr>
                      <w:rFonts w:hint="eastAsia"/>
                    </w:rPr>
                    <w:t>8.8</w:t>
                  </w:r>
                </w:p>
              </w:tc>
              <w:tc>
                <w:tcPr>
                  <w:tcW w:w="1134" w:type="dxa"/>
                  <w:vAlign w:val="center"/>
                </w:tcPr>
                <w:p w14:paraId="409818AE">
                  <w:pPr>
                    <w:jc w:val="center"/>
                  </w:pPr>
                  <w:r>
                    <w:rPr>
                      <w:rFonts w:hint="eastAsia"/>
                    </w:rPr>
                    <w:t>9.2</w:t>
                  </w:r>
                </w:p>
              </w:tc>
              <w:tc>
                <w:tcPr>
                  <w:tcW w:w="992" w:type="dxa"/>
                  <w:vAlign w:val="center"/>
                </w:tcPr>
                <w:p w14:paraId="040E3D9E">
                  <w:pPr>
                    <w:jc w:val="center"/>
                  </w:pPr>
                  <w:r>
                    <w:rPr>
                      <w:rFonts w:hint="eastAsia"/>
                    </w:rPr>
                    <w:t>8.9</w:t>
                  </w:r>
                </w:p>
              </w:tc>
              <w:tc>
                <w:tcPr>
                  <w:tcW w:w="912" w:type="dxa"/>
                  <w:vAlign w:val="center"/>
                </w:tcPr>
                <w:p w14:paraId="295C0A52">
                  <w:pPr>
                    <w:adjustRightInd w:val="0"/>
                    <w:snapToGrid w:val="0"/>
                    <w:jc w:val="center"/>
                    <w:textAlignment w:val="center"/>
                    <w:rPr>
                      <w:szCs w:val="21"/>
                    </w:rPr>
                  </w:pPr>
                  <w:r>
                    <w:rPr>
                      <w:rFonts w:hint="eastAsia"/>
                    </w:rPr>
                    <w:t>/</w:t>
                  </w:r>
                </w:p>
              </w:tc>
            </w:tr>
            <w:tr w14:paraId="1710A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56B9E8BD">
                  <w:pPr>
                    <w:pStyle w:val="2"/>
                    <w:jc w:val="center"/>
                    <w:rPr>
                      <w:rFonts w:ascii="Times New Roman" w:cs="Times New Roman"/>
                      <w:color w:val="auto"/>
                      <w:sz w:val="21"/>
                    </w:rPr>
                  </w:pPr>
                </w:p>
              </w:tc>
              <w:tc>
                <w:tcPr>
                  <w:tcW w:w="840" w:type="dxa"/>
                  <w:vMerge w:val="restart"/>
                  <w:vAlign w:val="center"/>
                </w:tcPr>
                <w:p w14:paraId="4AD9BCFA">
                  <w:pPr>
                    <w:adjustRightInd w:val="0"/>
                    <w:snapToGrid w:val="0"/>
                    <w:jc w:val="center"/>
                    <w:rPr>
                      <w:szCs w:val="21"/>
                    </w:rPr>
                  </w:pPr>
                  <w:r>
                    <w:t>颗粒物</w:t>
                  </w:r>
                </w:p>
              </w:tc>
              <w:tc>
                <w:tcPr>
                  <w:tcW w:w="1275" w:type="dxa"/>
                  <w:vAlign w:val="center"/>
                </w:tcPr>
                <w:p w14:paraId="16538C74">
                  <w:pPr>
                    <w:adjustRightInd w:val="0"/>
                    <w:snapToGrid w:val="0"/>
                    <w:jc w:val="center"/>
                    <w:textAlignment w:val="center"/>
                    <w:rPr>
                      <w:szCs w:val="21"/>
                    </w:rPr>
                  </w:pPr>
                  <w:r>
                    <w:rPr>
                      <w:rFonts w:hint="eastAsia"/>
                    </w:rPr>
                    <w:t>实测</w:t>
                  </w:r>
                  <w:r>
                    <w:t>浓度</w:t>
                  </w:r>
                </w:p>
              </w:tc>
              <w:tc>
                <w:tcPr>
                  <w:tcW w:w="851" w:type="dxa"/>
                  <w:vAlign w:val="center"/>
                </w:tcPr>
                <w:p w14:paraId="00CF6A6D">
                  <w:pPr>
                    <w:adjustRightInd w:val="0"/>
                    <w:snapToGrid w:val="0"/>
                    <w:jc w:val="center"/>
                    <w:textAlignment w:val="center"/>
                    <w:rPr>
                      <w:szCs w:val="21"/>
                    </w:rPr>
                  </w:pPr>
                  <w:r>
                    <w:t>mg/m</w:t>
                  </w:r>
                  <w:r>
                    <w:rPr>
                      <w:rFonts w:hint="eastAsia"/>
                      <w:vertAlign w:val="superscript"/>
                    </w:rPr>
                    <w:t>3</w:t>
                  </w:r>
                </w:p>
              </w:tc>
              <w:tc>
                <w:tcPr>
                  <w:tcW w:w="992" w:type="dxa"/>
                  <w:vAlign w:val="center"/>
                </w:tcPr>
                <w:p w14:paraId="44AE782B">
                  <w:pPr>
                    <w:jc w:val="center"/>
                  </w:pPr>
                  <w:r>
                    <w:rPr>
                      <w:rFonts w:hint="eastAsia"/>
                    </w:rPr>
                    <w:t>3.2</w:t>
                  </w:r>
                </w:p>
              </w:tc>
              <w:tc>
                <w:tcPr>
                  <w:tcW w:w="1134" w:type="dxa"/>
                  <w:vAlign w:val="center"/>
                </w:tcPr>
                <w:p w14:paraId="6CC2D99E">
                  <w:pPr>
                    <w:jc w:val="center"/>
                  </w:pPr>
                  <w:r>
                    <w:rPr>
                      <w:rFonts w:hint="eastAsia"/>
                    </w:rPr>
                    <w:t>3.2</w:t>
                  </w:r>
                </w:p>
              </w:tc>
              <w:tc>
                <w:tcPr>
                  <w:tcW w:w="1134" w:type="dxa"/>
                  <w:vAlign w:val="center"/>
                </w:tcPr>
                <w:p w14:paraId="39A8172C">
                  <w:pPr>
                    <w:jc w:val="center"/>
                  </w:pPr>
                  <w:r>
                    <w:rPr>
                      <w:rFonts w:hint="eastAsia"/>
                    </w:rPr>
                    <w:t>3.4</w:t>
                  </w:r>
                </w:p>
              </w:tc>
              <w:tc>
                <w:tcPr>
                  <w:tcW w:w="992" w:type="dxa"/>
                  <w:vAlign w:val="center"/>
                </w:tcPr>
                <w:p w14:paraId="73DB8D8C">
                  <w:pPr>
                    <w:jc w:val="center"/>
                  </w:pPr>
                  <w:r>
                    <w:rPr>
                      <w:rFonts w:hint="eastAsia"/>
                    </w:rPr>
                    <w:t>3.3</w:t>
                  </w:r>
                </w:p>
              </w:tc>
              <w:tc>
                <w:tcPr>
                  <w:tcW w:w="912" w:type="dxa"/>
                  <w:vAlign w:val="center"/>
                </w:tcPr>
                <w:p w14:paraId="573E0678">
                  <w:pPr>
                    <w:adjustRightInd w:val="0"/>
                    <w:snapToGrid w:val="0"/>
                    <w:jc w:val="center"/>
                    <w:textAlignment w:val="center"/>
                    <w:rPr>
                      <w:szCs w:val="21"/>
                    </w:rPr>
                  </w:pPr>
                  <w:r>
                    <w:rPr>
                      <w:rFonts w:hint="eastAsia"/>
                      <w:szCs w:val="21"/>
                    </w:rPr>
                    <w:t>/</w:t>
                  </w:r>
                </w:p>
              </w:tc>
            </w:tr>
            <w:tr w14:paraId="55524C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6ACE9B44">
                  <w:pPr>
                    <w:pStyle w:val="2"/>
                    <w:jc w:val="center"/>
                    <w:rPr>
                      <w:rFonts w:ascii="Times New Roman" w:cs="Times New Roman"/>
                      <w:color w:val="auto"/>
                      <w:sz w:val="21"/>
                    </w:rPr>
                  </w:pPr>
                </w:p>
              </w:tc>
              <w:tc>
                <w:tcPr>
                  <w:tcW w:w="840" w:type="dxa"/>
                  <w:vMerge w:val="continue"/>
                  <w:vAlign w:val="center"/>
                </w:tcPr>
                <w:p w14:paraId="2A8CD3E6">
                  <w:pPr>
                    <w:adjustRightInd w:val="0"/>
                    <w:snapToGrid w:val="0"/>
                    <w:jc w:val="center"/>
                  </w:pPr>
                </w:p>
              </w:tc>
              <w:tc>
                <w:tcPr>
                  <w:tcW w:w="1275" w:type="dxa"/>
                  <w:vAlign w:val="center"/>
                </w:tcPr>
                <w:p w14:paraId="21A1A2D6">
                  <w:pPr>
                    <w:adjustRightInd w:val="0"/>
                    <w:snapToGrid w:val="0"/>
                    <w:jc w:val="center"/>
                    <w:textAlignment w:val="center"/>
                    <w:rPr>
                      <w:szCs w:val="21"/>
                    </w:rPr>
                  </w:pPr>
                  <w:r>
                    <w:rPr>
                      <w:szCs w:val="21"/>
                    </w:rPr>
                    <w:t>折算浓度</w:t>
                  </w:r>
                </w:p>
              </w:tc>
              <w:tc>
                <w:tcPr>
                  <w:tcW w:w="851" w:type="dxa"/>
                  <w:vAlign w:val="center"/>
                </w:tcPr>
                <w:p w14:paraId="05E02361">
                  <w:pPr>
                    <w:adjustRightInd w:val="0"/>
                    <w:snapToGrid w:val="0"/>
                    <w:jc w:val="center"/>
                    <w:textAlignment w:val="center"/>
                    <w:rPr>
                      <w:szCs w:val="21"/>
                    </w:rPr>
                  </w:pPr>
                  <w:r>
                    <w:t>mg/m</w:t>
                  </w:r>
                  <w:r>
                    <w:rPr>
                      <w:rFonts w:hint="eastAsia"/>
                      <w:vertAlign w:val="superscript"/>
                    </w:rPr>
                    <w:t>3</w:t>
                  </w:r>
                </w:p>
              </w:tc>
              <w:tc>
                <w:tcPr>
                  <w:tcW w:w="992" w:type="dxa"/>
                  <w:vAlign w:val="center"/>
                </w:tcPr>
                <w:p w14:paraId="2D810F91">
                  <w:pPr>
                    <w:jc w:val="center"/>
                  </w:pPr>
                  <w:r>
                    <w:rPr>
                      <w:rFonts w:hint="eastAsia"/>
                    </w:rPr>
                    <w:t>1.6</w:t>
                  </w:r>
                </w:p>
              </w:tc>
              <w:tc>
                <w:tcPr>
                  <w:tcW w:w="1134" w:type="dxa"/>
                  <w:vAlign w:val="center"/>
                </w:tcPr>
                <w:p w14:paraId="4C3388A4">
                  <w:pPr>
                    <w:jc w:val="center"/>
                  </w:pPr>
                  <w:r>
                    <w:rPr>
                      <w:rFonts w:hint="eastAsia"/>
                    </w:rPr>
                    <w:t>1.6</w:t>
                  </w:r>
                </w:p>
              </w:tc>
              <w:tc>
                <w:tcPr>
                  <w:tcW w:w="1134" w:type="dxa"/>
                  <w:vAlign w:val="center"/>
                </w:tcPr>
                <w:p w14:paraId="7CC3143D">
                  <w:pPr>
                    <w:jc w:val="center"/>
                  </w:pPr>
                  <w:r>
                    <w:rPr>
                      <w:rFonts w:hint="eastAsia"/>
                    </w:rPr>
                    <w:t>1.7</w:t>
                  </w:r>
                </w:p>
              </w:tc>
              <w:tc>
                <w:tcPr>
                  <w:tcW w:w="992" w:type="dxa"/>
                  <w:vAlign w:val="center"/>
                </w:tcPr>
                <w:p w14:paraId="348A02E2">
                  <w:pPr>
                    <w:jc w:val="center"/>
                  </w:pPr>
                  <w:r>
                    <w:rPr>
                      <w:rFonts w:hint="eastAsia"/>
                    </w:rPr>
                    <w:t>1.6</w:t>
                  </w:r>
                </w:p>
              </w:tc>
              <w:tc>
                <w:tcPr>
                  <w:tcW w:w="912" w:type="dxa"/>
                  <w:vAlign w:val="center"/>
                </w:tcPr>
                <w:p w14:paraId="09D6B1AD">
                  <w:pPr>
                    <w:adjustRightInd w:val="0"/>
                    <w:snapToGrid w:val="0"/>
                    <w:jc w:val="center"/>
                    <w:textAlignment w:val="center"/>
                  </w:pPr>
                  <w:r>
                    <w:rPr>
                      <w:rFonts w:hint="eastAsia"/>
                    </w:rPr>
                    <w:t>15</w:t>
                  </w:r>
                </w:p>
              </w:tc>
            </w:tr>
            <w:tr w14:paraId="19649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5F6DDA0D">
                  <w:pPr>
                    <w:pStyle w:val="2"/>
                    <w:jc w:val="center"/>
                    <w:rPr>
                      <w:rFonts w:ascii="Times New Roman" w:cs="Times New Roman"/>
                      <w:color w:val="auto"/>
                      <w:sz w:val="21"/>
                    </w:rPr>
                  </w:pPr>
                </w:p>
              </w:tc>
              <w:tc>
                <w:tcPr>
                  <w:tcW w:w="840" w:type="dxa"/>
                  <w:vMerge w:val="restart"/>
                  <w:vAlign w:val="center"/>
                </w:tcPr>
                <w:p w14:paraId="5E55BF57">
                  <w:pPr>
                    <w:adjustRightInd w:val="0"/>
                    <w:snapToGrid w:val="0"/>
                    <w:jc w:val="center"/>
                  </w:pPr>
                  <w:r>
                    <w:t>氮氧化物</w:t>
                  </w:r>
                </w:p>
              </w:tc>
              <w:tc>
                <w:tcPr>
                  <w:tcW w:w="1275" w:type="dxa"/>
                  <w:vAlign w:val="center"/>
                </w:tcPr>
                <w:p w14:paraId="00745834">
                  <w:pPr>
                    <w:adjustRightInd w:val="0"/>
                    <w:snapToGrid w:val="0"/>
                    <w:jc w:val="center"/>
                    <w:textAlignment w:val="center"/>
                    <w:rPr>
                      <w:szCs w:val="21"/>
                    </w:rPr>
                  </w:pPr>
                  <w:r>
                    <w:rPr>
                      <w:rFonts w:hint="eastAsia"/>
                    </w:rPr>
                    <w:t>实测</w:t>
                  </w:r>
                  <w:r>
                    <w:t>浓度</w:t>
                  </w:r>
                </w:p>
              </w:tc>
              <w:tc>
                <w:tcPr>
                  <w:tcW w:w="851" w:type="dxa"/>
                  <w:vAlign w:val="center"/>
                </w:tcPr>
                <w:p w14:paraId="5CE954DE">
                  <w:pPr>
                    <w:adjustRightInd w:val="0"/>
                    <w:snapToGrid w:val="0"/>
                    <w:jc w:val="center"/>
                    <w:textAlignment w:val="center"/>
                    <w:rPr>
                      <w:szCs w:val="21"/>
                    </w:rPr>
                  </w:pPr>
                  <w:r>
                    <w:t>mg/m</w:t>
                  </w:r>
                  <w:r>
                    <w:rPr>
                      <w:rFonts w:hint="eastAsia"/>
                      <w:vertAlign w:val="superscript"/>
                    </w:rPr>
                    <w:t>3</w:t>
                  </w:r>
                </w:p>
              </w:tc>
              <w:tc>
                <w:tcPr>
                  <w:tcW w:w="992" w:type="dxa"/>
                  <w:vAlign w:val="center"/>
                </w:tcPr>
                <w:p w14:paraId="3BEFED50">
                  <w:pPr>
                    <w:jc w:val="center"/>
                  </w:pPr>
                  <w:r>
                    <w:rPr>
                      <w:rFonts w:hint="eastAsia"/>
                    </w:rPr>
                    <w:t>106</w:t>
                  </w:r>
                </w:p>
              </w:tc>
              <w:tc>
                <w:tcPr>
                  <w:tcW w:w="1134" w:type="dxa"/>
                  <w:vAlign w:val="center"/>
                </w:tcPr>
                <w:p w14:paraId="6DAE0190">
                  <w:pPr>
                    <w:jc w:val="center"/>
                  </w:pPr>
                  <w:r>
                    <w:rPr>
                      <w:rFonts w:hint="eastAsia"/>
                    </w:rPr>
                    <w:t>98</w:t>
                  </w:r>
                </w:p>
              </w:tc>
              <w:tc>
                <w:tcPr>
                  <w:tcW w:w="1134" w:type="dxa"/>
                  <w:vAlign w:val="center"/>
                </w:tcPr>
                <w:p w14:paraId="0E473609">
                  <w:pPr>
                    <w:jc w:val="center"/>
                  </w:pPr>
                  <w:r>
                    <w:rPr>
                      <w:rFonts w:hint="eastAsia"/>
                    </w:rPr>
                    <w:t>95</w:t>
                  </w:r>
                </w:p>
              </w:tc>
              <w:tc>
                <w:tcPr>
                  <w:tcW w:w="992" w:type="dxa"/>
                  <w:vAlign w:val="center"/>
                </w:tcPr>
                <w:p w14:paraId="67A8CFDF">
                  <w:pPr>
                    <w:jc w:val="center"/>
                  </w:pPr>
                  <w:r>
                    <w:rPr>
                      <w:rFonts w:hint="eastAsia"/>
                    </w:rPr>
                    <w:t>100</w:t>
                  </w:r>
                </w:p>
              </w:tc>
              <w:tc>
                <w:tcPr>
                  <w:tcW w:w="912" w:type="dxa"/>
                  <w:vAlign w:val="center"/>
                </w:tcPr>
                <w:p w14:paraId="1D2A31D5">
                  <w:pPr>
                    <w:adjustRightInd w:val="0"/>
                    <w:snapToGrid w:val="0"/>
                    <w:jc w:val="center"/>
                    <w:textAlignment w:val="center"/>
                  </w:pPr>
                  <w:r>
                    <w:rPr>
                      <w:rFonts w:hint="eastAsia"/>
                    </w:rPr>
                    <w:t>/</w:t>
                  </w:r>
                </w:p>
              </w:tc>
            </w:tr>
            <w:tr w14:paraId="0DF840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6DE034C0">
                  <w:pPr>
                    <w:pStyle w:val="2"/>
                    <w:jc w:val="center"/>
                    <w:rPr>
                      <w:rFonts w:ascii="Times New Roman" w:cs="Times New Roman"/>
                      <w:color w:val="auto"/>
                      <w:sz w:val="21"/>
                    </w:rPr>
                  </w:pPr>
                </w:p>
              </w:tc>
              <w:tc>
                <w:tcPr>
                  <w:tcW w:w="840" w:type="dxa"/>
                  <w:vMerge w:val="continue"/>
                  <w:vAlign w:val="center"/>
                </w:tcPr>
                <w:p w14:paraId="43305574">
                  <w:pPr>
                    <w:adjustRightInd w:val="0"/>
                    <w:snapToGrid w:val="0"/>
                    <w:jc w:val="center"/>
                  </w:pPr>
                </w:p>
              </w:tc>
              <w:tc>
                <w:tcPr>
                  <w:tcW w:w="1275" w:type="dxa"/>
                  <w:vAlign w:val="center"/>
                </w:tcPr>
                <w:p w14:paraId="720DB619">
                  <w:pPr>
                    <w:adjustRightInd w:val="0"/>
                    <w:snapToGrid w:val="0"/>
                    <w:jc w:val="center"/>
                    <w:textAlignment w:val="center"/>
                    <w:rPr>
                      <w:szCs w:val="21"/>
                    </w:rPr>
                  </w:pPr>
                  <w:r>
                    <w:rPr>
                      <w:szCs w:val="21"/>
                    </w:rPr>
                    <w:t>折算浓度</w:t>
                  </w:r>
                </w:p>
              </w:tc>
              <w:tc>
                <w:tcPr>
                  <w:tcW w:w="851" w:type="dxa"/>
                  <w:vAlign w:val="center"/>
                </w:tcPr>
                <w:p w14:paraId="50965FB2">
                  <w:pPr>
                    <w:adjustRightInd w:val="0"/>
                    <w:snapToGrid w:val="0"/>
                    <w:jc w:val="center"/>
                    <w:textAlignment w:val="center"/>
                    <w:rPr>
                      <w:szCs w:val="21"/>
                    </w:rPr>
                  </w:pPr>
                  <w:r>
                    <w:t>mg/m</w:t>
                  </w:r>
                  <w:r>
                    <w:rPr>
                      <w:rFonts w:hint="eastAsia"/>
                      <w:vertAlign w:val="superscript"/>
                    </w:rPr>
                    <w:t>3</w:t>
                  </w:r>
                </w:p>
              </w:tc>
              <w:tc>
                <w:tcPr>
                  <w:tcW w:w="992" w:type="dxa"/>
                  <w:vAlign w:val="center"/>
                </w:tcPr>
                <w:p w14:paraId="7769930B">
                  <w:pPr>
                    <w:jc w:val="center"/>
                  </w:pPr>
                  <w:r>
                    <w:rPr>
                      <w:rFonts w:hint="eastAsia"/>
                    </w:rPr>
                    <w:t>52</w:t>
                  </w:r>
                </w:p>
              </w:tc>
              <w:tc>
                <w:tcPr>
                  <w:tcW w:w="1134" w:type="dxa"/>
                  <w:vAlign w:val="center"/>
                </w:tcPr>
                <w:p w14:paraId="756072F9">
                  <w:pPr>
                    <w:jc w:val="center"/>
                  </w:pPr>
                  <w:r>
                    <w:rPr>
                      <w:rFonts w:hint="eastAsia"/>
                    </w:rPr>
                    <w:t>48</w:t>
                  </w:r>
                </w:p>
              </w:tc>
              <w:tc>
                <w:tcPr>
                  <w:tcW w:w="1134" w:type="dxa"/>
                  <w:vAlign w:val="center"/>
                </w:tcPr>
                <w:p w14:paraId="2FC4B180">
                  <w:pPr>
                    <w:jc w:val="center"/>
                  </w:pPr>
                  <w:r>
                    <w:rPr>
                      <w:rFonts w:hint="eastAsia"/>
                    </w:rPr>
                    <w:t>48</w:t>
                  </w:r>
                </w:p>
              </w:tc>
              <w:tc>
                <w:tcPr>
                  <w:tcW w:w="992" w:type="dxa"/>
                  <w:vAlign w:val="center"/>
                </w:tcPr>
                <w:p w14:paraId="15456CF6">
                  <w:pPr>
                    <w:jc w:val="center"/>
                  </w:pPr>
                  <w:r>
                    <w:rPr>
                      <w:rFonts w:hint="eastAsia"/>
                    </w:rPr>
                    <w:t>49</w:t>
                  </w:r>
                </w:p>
              </w:tc>
              <w:tc>
                <w:tcPr>
                  <w:tcW w:w="912" w:type="dxa"/>
                  <w:vAlign w:val="center"/>
                </w:tcPr>
                <w:p w14:paraId="4BE64CAB">
                  <w:pPr>
                    <w:adjustRightInd w:val="0"/>
                    <w:snapToGrid w:val="0"/>
                    <w:jc w:val="center"/>
                    <w:textAlignment w:val="center"/>
                  </w:pPr>
                  <w:r>
                    <w:rPr>
                      <w:rFonts w:hint="eastAsia"/>
                    </w:rPr>
                    <w:t>200</w:t>
                  </w:r>
                </w:p>
              </w:tc>
            </w:tr>
            <w:tr w14:paraId="060897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6190CD01">
                  <w:pPr>
                    <w:pStyle w:val="2"/>
                    <w:jc w:val="center"/>
                    <w:rPr>
                      <w:rFonts w:ascii="Times New Roman" w:cs="Times New Roman"/>
                      <w:color w:val="auto"/>
                      <w:sz w:val="21"/>
                    </w:rPr>
                  </w:pPr>
                </w:p>
              </w:tc>
              <w:tc>
                <w:tcPr>
                  <w:tcW w:w="840" w:type="dxa"/>
                  <w:vMerge w:val="restart"/>
                  <w:vAlign w:val="center"/>
                </w:tcPr>
                <w:p w14:paraId="23AC8DB9">
                  <w:pPr>
                    <w:adjustRightInd w:val="0"/>
                    <w:snapToGrid w:val="0"/>
                    <w:jc w:val="center"/>
                  </w:pPr>
                  <w:r>
                    <w:t>二氧化硫</w:t>
                  </w:r>
                </w:p>
              </w:tc>
              <w:tc>
                <w:tcPr>
                  <w:tcW w:w="1275" w:type="dxa"/>
                  <w:vAlign w:val="center"/>
                </w:tcPr>
                <w:p w14:paraId="4C3B7245">
                  <w:pPr>
                    <w:adjustRightInd w:val="0"/>
                    <w:snapToGrid w:val="0"/>
                    <w:jc w:val="center"/>
                    <w:textAlignment w:val="center"/>
                    <w:rPr>
                      <w:szCs w:val="21"/>
                    </w:rPr>
                  </w:pPr>
                  <w:r>
                    <w:rPr>
                      <w:rFonts w:hint="eastAsia"/>
                    </w:rPr>
                    <w:t>实测</w:t>
                  </w:r>
                  <w:r>
                    <w:t>浓度</w:t>
                  </w:r>
                </w:p>
              </w:tc>
              <w:tc>
                <w:tcPr>
                  <w:tcW w:w="851" w:type="dxa"/>
                  <w:vAlign w:val="center"/>
                </w:tcPr>
                <w:p w14:paraId="68BBA54B">
                  <w:pPr>
                    <w:adjustRightInd w:val="0"/>
                    <w:snapToGrid w:val="0"/>
                    <w:jc w:val="center"/>
                    <w:textAlignment w:val="center"/>
                    <w:rPr>
                      <w:szCs w:val="21"/>
                    </w:rPr>
                  </w:pPr>
                  <w:r>
                    <w:t>mg/m</w:t>
                  </w:r>
                  <w:r>
                    <w:rPr>
                      <w:rFonts w:hint="eastAsia"/>
                      <w:vertAlign w:val="superscript"/>
                    </w:rPr>
                    <w:t>3</w:t>
                  </w:r>
                </w:p>
              </w:tc>
              <w:tc>
                <w:tcPr>
                  <w:tcW w:w="992" w:type="dxa"/>
                  <w:vAlign w:val="center"/>
                </w:tcPr>
                <w:p w14:paraId="047D8731">
                  <w:pPr>
                    <w:adjustRightInd w:val="0"/>
                    <w:snapToGrid w:val="0"/>
                    <w:jc w:val="center"/>
                    <w:rPr>
                      <w:szCs w:val="21"/>
                    </w:rPr>
                  </w:pPr>
                  <w:r>
                    <w:rPr>
                      <w:rFonts w:hint="eastAsia"/>
                      <w:szCs w:val="21"/>
                    </w:rPr>
                    <w:t>ND</w:t>
                  </w:r>
                </w:p>
              </w:tc>
              <w:tc>
                <w:tcPr>
                  <w:tcW w:w="1134" w:type="dxa"/>
                  <w:vAlign w:val="center"/>
                </w:tcPr>
                <w:p w14:paraId="7F3EB951">
                  <w:pPr>
                    <w:jc w:val="center"/>
                  </w:pPr>
                  <w:r>
                    <w:rPr>
                      <w:rFonts w:hint="eastAsia"/>
                      <w:szCs w:val="21"/>
                    </w:rPr>
                    <w:t>ND</w:t>
                  </w:r>
                </w:p>
              </w:tc>
              <w:tc>
                <w:tcPr>
                  <w:tcW w:w="1134" w:type="dxa"/>
                  <w:vAlign w:val="center"/>
                </w:tcPr>
                <w:p w14:paraId="0F384C12">
                  <w:pPr>
                    <w:jc w:val="center"/>
                  </w:pPr>
                  <w:r>
                    <w:rPr>
                      <w:rFonts w:hint="eastAsia"/>
                      <w:szCs w:val="21"/>
                    </w:rPr>
                    <w:t>ND</w:t>
                  </w:r>
                </w:p>
              </w:tc>
              <w:tc>
                <w:tcPr>
                  <w:tcW w:w="992" w:type="dxa"/>
                  <w:vAlign w:val="center"/>
                </w:tcPr>
                <w:p w14:paraId="1874EB15">
                  <w:pPr>
                    <w:jc w:val="center"/>
                  </w:pPr>
                  <w:r>
                    <w:rPr>
                      <w:rFonts w:hint="eastAsia"/>
                      <w:szCs w:val="21"/>
                    </w:rPr>
                    <w:t>ND</w:t>
                  </w:r>
                </w:p>
              </w:tc>
              <w:tc>
                <w:tcPr>
                  <w:tcW w:w="912" w:type="dxa"/>
                  <w:vAlign w:val="center"/>
                </w:tcPr>
                <w:p w14:paraId="30AB220B">
                  <w:pPr>
                    <w:adjustRightInd w:val="0"/>
                    <w:snapToGrid w:val="0"/>
                    <w:jc w:val="center"/>
                    <w:textAlignment w:val="center"/>
                  </w:pPr>
                  <w:r>
                    <w:rPr>
                      <w:rFonts w:hint="eastAsia"/>
                    </w:rPr>
                    <w:t>/</w:t>
                  </w:r>
                </w:p>
              </w:tc>
            </w:tr>
            <w:tr w14:paraId="278431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74227B99">
                  <w:pPr>
                    <w:pStyle w:val="2"/>
                    <w:jc w:val="center"/>
                    <w:rPr>
                      <w:rFonts w:ascii="Times New Roman" w:cs="Times New Roman"/>
                      <w:color w:val="auto"/>
                      <w:sz w:val="21"/>
                    </w:rPr>
                  </w:pPr>
                </w:p>
              </w:tc>
              <w:tc>
                <w:tcPr>
                  <w:tcW w:w="840" w:type="dxa"/>
                  <w:vMerge w:val="continue"/>
                  <w:vAlign w:val="center"/>
                </w:tcPr>
                <w:p w14:paraId="52B37AF2">
                  <w:pPr>
                    <w:adjustRightInd w:val="0"/>
                    <w:snapToGrid w:val="0"/>
                    <w:jc w:val="center"/>
                  </w:pPr>
                </w:p>
              </w:tc>
              <w:tc>
                <w:tcPr>
                  <w:tcW w:w="1275" w:type="dxa"/>
                  <w:vAlign w:val="center"/>
                </w:tcPr>
                <w:p w14:paraId="59FA22DA">
                  <w:pPr>
                    <w:adjustRightInd w:val="0"/>
                    <w:snapToGrid w:val="0"/>
                    <w:jc w:val="center"/>
                    <w:textAlignment w:val="center"/>
                    <w:rPr>
                      <w:szCs w:val="21"/>
                    </w:rPr>
                  </w:pPr>
                  <w:r>
                    <w:rPr>
                      <w:szCs w:val="21"/>
                    </w:rPr>
                    <w:t>折算浓度</w:t>
                  </w:r>
                </w:p>
              </w:tc>
              <w:tc>
                <w:tcPr>
                  <w:tcW w:w="851" w:type="dxa"/>
                  <w:vAlign w:val="center"/>
                </w:tcPr>
                <w:p w14:paraId="781C13C4">
                  <w:pPr>
                    <w:adjustRightInd w:val="0"/>
                    <w:snapToGrid w:val="0"/>
                    <w:jc w:val="center"/>
                    <w:textAlignment w:val="center"/>
                    <w:rPr>
                      <w:szCs w:val="21"/>
                    </w:rPr>
                  </w:pPr>
                  <w:r>
                    <w:t>mg/m</w:t>
                  </w:r>
                  <w:r>
                    <w:rPr>
                      <w:rFonts w:hint="eastAsia"/>
                      <w:vertAlign w:val="superscript"/>
                    </w:rPr>
                    <w:t>3</w:t>
                  </w:r>
                </w:p>
              </w:tc>
              <w:tc>
                <w:tcPr>
                  <w:tcW w:w="992" w:type="dxa"/>
                  <w:vAlign w:val="center"/>
                </w:tcPr>
                <w:p w14:paraId="7CBE2FBD">
                  <w:pPr>
                    <w:jc w:val="center"/>
                  </w:pPr>
                  <w:r>
                    <w:rPr>
                      <w:rFonts w:hint="eastAsia"/>
                    </w:rPr>
                    <w:t>/</w:t>
                  </w:r>
                </w:p>
              </w:tc>
              <w:tc>
                <w:tcPr>
                  <w:tcW w:w="1134" w:type="dxa"/>
                  <w:vAlign w:val="center"/>
                </w:tcPr>
                <w:p w14:paraId="30EEB9F0">
                  <w:pPr>
                    <w:jc w:val="center"/>
                  </w:pPr>
                  <w:r>
                    <w:rPr>
                      <w:rFonts w:hint="eastAsia"/>
                    </w:rPr>
                    <w:t>/</w:t>
                  </w:r>
                </w:p>
              </w:tc>
              <w:tc>
                <w:tcPr>
                  <w:tcW w:w="1134" w:type="dxa"/>
                  <w:vAlign w:val="center"/>
                </w:tcPr>
                <w:p w14:paraId="27EADBE1">
                  <w:pPr>
                    <w:jc w:val="center"/>
                  </w:pPr>
                  <w:r>
                    <w:rPr>
                      <w:rFonts w:hint="eastAsia"/>
                    </w:rPr>
                    <w:t>/</w:t>
                  </w:r>
                </w:p>
              </w:tc>
              <w:tc>
                <w:tcPr>
                  <w:tcW w:w="992" w:type="dxa"/>
                  <w:vAlign w:val="center"/>
                </w:tcPr>
                <w:p w14:paraId="345EC8FD">
                  <w:pPr>
                    <w:jc w:val="center"/>
                  </w:pPr>
                  <w:r>
                    <w:rPr>
                      <w:rFonts w:hint="eastAsia"/>
                    </w:rPr>
                    <w:t>/</w:t>
                  </w:r>
                </w:p>
              </w:tc>
              <w:tc>
                <w:tcPr>
                  <w:tcW w:w="912" w:type="dxa"/>
                  <w:vAlign w:val="center"/>
                </w:tcPr>
                <w:p w14:paraId="700C81CC">
                  <w:pPr>
                    <w:adjustRightInd w:val="0"/>
                    <w:snapToGrid w:val="0"/>
                    <w:jc w:val="center"/>
                    <w:textAlignment w:val="center"/>
                    <w:rPr>
                      <w:szCs w:val="21"/>
                    </w:rPr>
                  </w:pPr>
                  <w:r>
                    <w:rPr>
                      <w:rFonts w:hint="eastAsia"/>
                    </w:rPr>
                    <w:t>100</w:t>
                  </w:r>
                </w:p>
              </w:tc>
            </w:tr>
            <w:tr w14:paraId="7F406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restart"/>
                  <w:vAlign w:val="center"/>
                </w:tcPr>
                <w:p w14:paraId="28F070B7">
                  <w:pPr>
                    <w:pStyle w:val="2"/>
                    <w:jc w:val="center"/>
                    <w:rPr>
                      <w:rFonts w:ascii="Times New Roman" w:cs="Times New Roman"/>
                      <w:color w:val="auto"/>
                      <w:sz w:val="21"/>
                    </w:rPr>
                  </w:pPr>
                  <w:r>
                    <w:rPr>
                      <w:rFonts w:hint="eastAsia" w:ascii="Times New Roman" w:cs="Times New Roman"/>
                      <w:color w:val="auto"/>
                      <w:sz w:val="21"/>
                    </w:rPr>
                    <w:t>89分厂环形炉排放口</w:t>
                  </w:r>
                </w:p>
              </w:tc>
              <w:tc>
                <w:tcPr>
                  <w:tcW w:w="2115" w:type="dxa"/>
                  <w:gridSpan w:val="2"/>
                  <w:vAlign w:val="center"/>
                </w:tcPr>
                <w:p w14:paraId="7FCAF408">
                  <w:pPr>
                    <w:adjustRightInd w:val="0"/>
                    <w:snapToGrid w:val="0"/>
                    <w:jc w:val="center"/>
                    <w:rPr>
                      <w:szCs w:val="21"/>
                    </w:rPr>
                  </w:pPr>
                  <w:r>
                    <w:rPr>
                      <w:rFonts w:hint="eastAsia"/>
                    </w:rPr>
                    <w:t>标干流量</w:t>
                  </w:r>
                </w:p>
              </w:tc>
              <w:tc>
                <w:tcPr>
                  <w:tcW w:w="851" w:type="dxa"/>
                  <w:vAlign w:val="center"/>
                </w:tcPr>
                <w:p w14:paraId="0B5F1F32">
                  <w:pPr>
                    <w:adjustRightInd w:val="0"/>
                    <w:snapToGrid w:val="0"/>
                    <w:jc w:val="center"/>
                    <w:rPr>
                      <w:szCs w:val="21"/>
                    </w:rPr>
                  </w:pPr>
                  <w:r>
                    <w:rPr>
                      <w:rFonts w:hint="eastAsia"/>
                    </w:rPr>
                    <w:t>m</w:t>
                  </w:r>
                  <w:r>
                    <w:rPr>
                      <w:rFonts w:hint="eastAsia"/>
                      <w:vertAlign w:val="superscript"/>
                    </w:rPr>
                    <w:t>3</w:t>
                  </w:r>
                  <w:r>
                    <w:rPr>
                      <w:rFonts w:hint="eastAsia"/>
                    </w:rPr>
                    <w:t>/h</w:t>
                  </w:r>
                </w:p>
              </w:tc>
              <w:tc>
                <w:tcPr>
                  <w:tcW w:w="992" w:type="dxa"/>
                  <w:vAlign w:val="center"/>
                </w:tcPr>
                <w:p w14:paraId="3273FD10">
                  <w:pPr>
                    <w:jc w:val="center"/>
                  </w:pPr>
                  <w:r>
                    <w:rPr>
                      <w:rFonts w:hint="eastAsia"/>
                    </w:rPr>
                    <w:t>65412</w:t>
                  </w:r>
                </w:p>
              </w:tc>
              <w:tc>
                <w:tcPr>
                  <w:tcW w:w="1134" w:type="dxa"/>
                  <w:vAlign w:val="center"/>
                </w:tcPr>
                <w:p w14:paraId="5FAD0BD7">
                  <w:pPr>
                    <w:jc w:val="center"/>
                  </w:pPr>
                  <w:r>
                    <w:rPr>
                      <w:rFonts w:hint="eastAsia"/>
                    </w:rPr>
                    <w:t>72376</w:t>
                  </w:r>
                </w:p>
              </w:tc>
              <w:tc>
                <w:tcPr>
                  <w:tcW w:w="1134" w:type="dxa"/>
                  <w:vAlign w:val="center"/>
                </w:tcPr>
                <w:p w14:paraId="68F12842">
                  <w:pPr>
                    <w:jc w:val="center"/>
                  </w:pPr>
                  <w:r>
                    <w:rPr>
                      <w:rFonts w:hint="eastAsia"/>
                    </w:rPr>
                    <w:t>67759</w:t>
                  </w:r>
                </w:p>
              </w:tc>
              <w:tc>
                <w:tcPr>
                  <w:tcW w:w="992" w:type="dxa"/>
                  <w:vAlign w:val="center"/>
                </w:tcPr>
                <w:p w14:paraId="6C02759B">
                  <w:pPr>
                    <w:jc w:val="center"/>
                  </w:pPr>
                  <w:r>
                    <w:rPr>
                      <w:rFonts w:hint="eastAsia"/>
                    </w:rPr>
                    <w:t>68516</w:t>
                  </w:r>
                </w:p>
              </w:tc>
              <w:tc>
                <w:tcPr>
                  <w:tcW w:w="912" w:type="dxa"/>
                  <w:vAlign w:val="center"/>
                </w:tcPr>
                <w:p w14:paraId="2B9954FA">
                  <w:pPr>
                    <w:adjustRightInd w:val="0"/>
                    <w:snapToGrid w:val="0"/>
                    <w:jc w:val="center"/>
                    <w:textAlignment w:val="center"/>
                    <w:rPr>
                      <w:szCs w:val="21"/>
                    </w:rPr>
                  </w:pPr>
                  <w:r>
                    <w:rPr>
                      <w:rFonts w:hint="eastAsia"/>
                    </w:rPr>
                    <w:t>/</w:t>
                  </w:r>
                </w:p>
              </w:tc>
            </w:tr>
            <w:tr w14:paraId="095DD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18311167">
                  <w:pPr>
                    <w:pStyle w:val="2"/>
                    <w:jc w:val="center"/>
                    <w:rPr>
                      <w:rFonts w:ascii="Times New Roman" w:cs="Times New Roman"/>
                      <w:color w:val="auto"/>
                      <w:sz w:val="21"/>
                    </w:rPr>
                  </w:pPr>
                </w:p>
              </w:tc>
              <w:tc>
                <w:tcPr>
                  <w:tcW w:w="2115" w:type="dxa"/>
                  <w:gridSpan w:val="2"/>
                  <w:vAlign w:val="center"/>
                </w:tcPr>
                <w:p w14:paraId="4595EF65">
                  <w:pPr>
                    <w:adjustRightInd w:val="0"/>
                    <w:snapToGrid w:val="0"/>
                    <w:jc w:val="center"/>
                  </w:pPr>
                  <w:r>
                    <w:rPr>
                      <w:rFonts w:hint="eastAsia"/>
                    </w:rPr>
                    <w:t>烟气流量</w:t>
                  </w:r>
                </w:p>
              </w:tc>
              <w:tc>
                <w:tcPr>
                  <w:tcW w:w="851" w:type="dxa"/>
                  <w:vAlign w:val="center"/>
                </w:tcPr>
                <w:p w14:paraId="646F7A14">
                  <w:pPr>
                    <w:adjustRightInd w:val="0"/>
                    <w:snapToGrid w:val="0"/>
                    <w:jc w:val="center"/>
                  </w:pPr>
                  <w:r>
                    <w:rPr>
                      <w:rFonts w:hint="eastAsia"/>
                    </w:rPr>
                    <w:t>m</w:t>
                  </w:r>
                  <w:r>
                    <w:rPr>
                      <w:rFonts w:hint="eastAsia"/>
                      <w:vertAlign w:val="superscript"/>
                    </w:rPr>
                    <w:t>3</w:t>
                  </w:r>
                  <w:r>
                    <w:rPr>
                      <w:rFonts w:hint="eastAsia"/>
                    </w:rPr>
                    <w:t>/h</w:t>
                  </w:r>
                </w:p>
              </w:tc>
              <w:tc>
                <w:tcPr>
                  <w:tcW w:w="992" w:type="dxa"/>
                  <w:vAlign w:val="center"/>
                </w:tcPr>
                <w:p w14:paraId="4118DAD6">
                  <w:pPr>
                    <w:jc w:val="center"/>
                  </w:pPr>
                  <w:r>
                    <w:rPr>
                      <w:rFonts w:hint="eastAsia"/>
                    </w:rPr>
                    <w:t>126216</w:t>
                  </w:r>
                </w:p>
              </w:tc>
              <w:tc>
                <w:tcPr>
                  <w:tcW w:w="1134" w:type="dxa"/>
                  <w:vAlign w:val="center"/>
                </w:tcPr>
                <w:p w14:paraId="441EA18F">
                  <w:pPr>
                    <w:jc w:val="center"/>
                  </w:pPr>
                  <w:r>
                    <w:rPr>
                      <w:rFonts w:hint="eastAsia"/>
                    </w:rPr>
                    <w:t>140467</w:t>
                  </w:r>
                </w:p>
              </w:tc>
              <w:tc>
                <w:tcPr>
                  <w:tcW w:w="1134" w:type="dxa"/>
                  <w:vAlign w:val="center"/>
                </w:tcPr>
                <w:p w14:paraId="52011312">
                  <w:pPr>
                    <w:jc w:val="center"/>
                  </w:pPr>
                  <w:r>
                    <w:rPr>
                      <w:rFonts w:hint="eastAsia"/>
                    </w:rPr>
                    <w:t>131306</w:t>
                  </w:r>
                </w:p>
              </w:tc>
              <w:tc>
                <w:tcPr>
                  <w:tcW w:w="992" w:type="dxa"/>
                  <w:vAlign w:val="center"/>
                </w:tcPr>
                <w:p w14:paraId="106B0430">
                  <w:pPr>
                    <w:jc w:val="center"/>
                  </w:pPr>
                  <w:r>
                    <w:rPr>
                      <w:rFonts w:hint="eastAsia"/>
                    </w:rPr>
                    <w:t>132663</w:t>
                  </w:r>
                </w:p>
              </w:tc>
              <w:tc>
                <w:tcPr>
                  <w:tcW w:w="912" w:type="dxa"/>
                  <w:vAlign w:val="center"/>
                </w:tcPr>
                <w:p w14:paraId="5442EB05">
                  <w:pPr>
                    <w:adjustRightInd w:val="0"/>
                    <w:snapToGrid w:val="0"/>
                    <w:jc w:val="center"/>
                    <w:textAlignment w:val="center"/>
                    <w:rPr>
                      <w:szCs w:val="21"/>
                    </w:rPr>
                  </w:pPr>
                  <w:r>
                    <w:rPr>
                      <w:rFonts w:hint="eastAsia"/>
                    </w:rPr>
                    <w:t>/</w:t>
                  </w:r>
                </w:p>
              </w:tc>
            </w:tr>
            <w:tr w14:paraId="1CF34A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009F76A2">
                  <w:pPr>
                    <w:pStyle w:val="2"/>
                    <w:jc w:val="center"/>
                    <w:rPr>
                      <w:rFonts w:ascii="Times New Roman" w:cs="Times New Roman"/>
                      <w:color w:val="auto"/>
                      <w:sz w:val="21"/>
                    </w:rPr>
                  </w:pPr>
                </w:p>
              </w:tc>
              <w:tc>
                <w:tcPr>
                  <w:tcW w:w="2115" w:type="dxa"/>
                  <w:gridSpan w:val="2"/>
                  <w:vAlign w:val="center"/>
                </w:tcPr>
                <w:p w14:paraId="09699612">
                  <w:pPr>
                    <w:adjustRightInd w:val="0"/>
                    <w:snapToGrid w:val="0"/>
                    <w:jc w:val="center"/>
                  </w:pPr>
                  <w:r>
                    <w:rPr>
                      <w:rFonts w:hint="eastAsia"/>
                    </w:rPr>
                    <w:t>烟气流速</w:t>
                  </w:r>
                </w:p>
              </w:tc>
              <w:tc>
                <w:tcPr>
                  <w:tcW w:w="851" w:type="dxa"/>
                  <w:vAlign w:val="center"/>
                </w:tcPr>
                <w:p w14:paraId="5117155A">
                  <w:pPr>
                    <w:adjustRightInd w:val="0"/>
                    <w:snapToGrid w:val="0"/>
                    <w:jc w:val="center"/>
                  </w:pPr>
                  <w:r>
                    <w:rPr>
                      <w:rFonts w:hint="eastAsia"/>
                    </w:rPr>
                    <w:t>m/s</w:t>
                  </w:r>
                </w:p>
              </w:tc>
              <w:tc>
                <w:tcPr>
                  <w:tcW w:w="992" w:type="dxa"/>
                  <w:vAlign w:val="center"/>
                </w:tcPr>
                <w:p w14:paraId="6B3E00B6">
                  <w:pPr>
                    <w:jc w:val="center"/>
                  </w:pPr>
                  <w:r>
                    <w:rPr>
                      <w:rFonts w:hint="eastAsia"/>
                    </w:rPr>
                    <w:t>1.24</w:t>
                  </w:r>
                </w:p>
              </w:tc>
              <w:tc>
                <w:tcPr>
                  <w:tcW w:w="1134" w:type="dxa"/>
                  <w:vAlign w:val="center"/>
                </w:tcPr>
                <w:p w14:paraId="7ED2E323">
                  <w:pPr>
                    <w:jc w:val="center"/>
                  </w:pPr>
                  <w:r>
                    <w:rPr>
                      <w:rFonts w:hint="eastAsia"/>
                    </w:rPr>
                    <w:t>1.38</w:t>
                  </w:r>
                </w:p>
              </w:tc>
              <w:tc>
                <w:tcPr>
                  <w:tcW w:w="1134" w:type="dxa"/>
                  <w:vAlign w:val="center"/>
                </w:tcPr>
                <w:p w14:paraId="6CB041B0">
                  <w:pPr>
                    <w:jc w:val="center"/>
                  </w:pPr>
                  <w:r>
                    <w:rPr>
                      <w:rFonts w:hint="eastAsia"/>
                    </w:rPr>
                    <w:t>1.29</w:t>
                  </w:r>
                </w:p>
              </w:tc>
              <w:tc>
                <w:tcPr>
                  <w:tcW w:w="992" w:type="dxa"/>
                  <w:vAlign w:val="center"/>
                </w:tcPr>
                <w:p w14:paraId="4F55279F">
                  <w:pPr>
                    <w:jc w:val="center"/>
                  </w:pPr>
                  <w:r>
                    <w:rPr>
                      <w:rFonts w:hint="eastAsia"/>
                    </w:rPr>
                    <w:t>1.30</w:t>
                  </w:r>
                </w:p>
              </w:tc>
              <w:tc>
                <w:tcPr>
                  <w:tcW w:w="912" w:type="dxa"/>
                  <w:vAlign w:val="center"/>
                </w:tcPr>
                <w:p w14:paraId="550BB11A">
                  <w:pPr>
                    <w:adjustRightInd w:val="0"/>
                    <w:snapToGrid w:val="0"/>
                    <w:jc w:val="center"/>
                    <w:textAlignment w:val="center"/>
                    <w:rPr>
                      <w:szCs w:val="21"/>
                    </w:rPr>
                  </w:pPr>
                  <w:r>
                    <w:rPr>
                      <w:rFonts w:hint="eastAsia"/>
                    </w:rPr>
                    <w:t>/</w:t>
                  </w:r>
                </w:p>
              </w:tc>
            </w:tr>
            <w:tr w14:paraId="09A314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6B392C27">
                  <w:pPr>
                    <w:pStyle w:val="2"/>
                    <w:jc w:val="center"/>
                    <w:rPr>
                      <w:rFonts w:ascii="Times New Roman" w:cs="Times New Roman"/>
                      <w:color w:val="auto"/>
                      <w:sz w:val="21"/>
                    </w:rPr>
                  </w:pPr>
                </w:p>
              </w:tc>
              <w:tc>
                <w:tcPr>
                  <w:tcW w:w="2115" w:type="dxa"/>
                  <w:gridSpan w:val="2"/>
                  <w:vAlign w:val="center"/>
                </w:tcPr>
                <w:p w14:paraId="6D3E0143">
                  <w:pPr>
                    <w:adjustRightInd w:val="0"/>
                    <w:snapToGrid w:val="0"/>
                    <w:jc w:val="center"/>
                  </w:pPr>
                  <w:r>
                    <w:rPr>
                      <w:rFonts w:hint="eastAsia"/>
                    </w:rPr>
                    <w:t>烟气温度</w:t>
                  </w:r>
                </w:p>
              </w:tc>
              <w:tc>
                <w:tcPr>
                  <w:tcW w:w="851" w:type="dxa"/>
                  <w:vAlign w:val="center"/>
                </w:tcPr>
                <w:p w14:paraId="5F13880C">
                  <w:pPr>
                    <w:adjustRightInd w:val="0"/>
                    <w:snapToGrid w:val="0"/>
                    <w:jc w:val="center"/>
                  </w:pPr>
                  <w:r>
                    <w:rPr>
                      <w:rFonts w:hint="eastAsia"/>
                    </w:rPr>
                    <w:t>℃</w:t>
                  </w:r>
                </w:p>
              </w:tc>
              <w:tc>
                <w:tcPr>
                  <w:tcW w:w="992" w:type="dxa"/>
                  <w:vAlign w:val="center"/>
                </w:tcPr>
                <w:p w14:paraId="2B1F100E">
                  <w:pPr>
                    <w:jc w:val="center"/>
                  </w:pPr>
                  <w:r>
                    <w:rPr>
                      <w:rFonts w:hint="eastAsia"/>
                    </w:rPr>
                    <w:t>243.3</w:t>
                  </w:r>
                </w:p>
              </w:tc>
              <w:tc>
                <w:tcPr>
                  <w:tcW w:w="1134" w:type="dxa"/>
                  <w:vAlign w:val="center"/>
                </w:tcPr>
                <w:p w14:paraId="430EFD9F">
                  <w:pPr>
                    <w:jc w:val="center"/>
                  </w:pPr>
                  <w:r>
                    <w:rPr>
                      <w:rFonts w:hint="eastAsia"/>
                    </w:rPr>
                    <w:t>246.0</w:t>
                  </w:r>
                </w:p>
              </w:tc>
              <w:tc>
                <w:tcPr>
                  <w:tcW w:w="1134" w:type="dxa"/>
                  <w:vAlign w:val="center"/>
                </w:tcPr>
                <w:p w14:paraId="7CEFEEF8">
                  <w:pPr>
                    <w:jc w:val="center"/>
                  </w:pPr>
                  <w:r>
                    <w:rPr>
                      <w:rFonts w:hint="eastAsia"/>
                    </w:rPr>
                    <w:t>244.9</w:t>
                  </w:r>
                </w:p>
              </w:tc>
              <w:tc>
                <w:tcPr>
                  <w:tcW w:w="992" w:type="dxa"/>
                  <w:vAlign w:val="center"/>
                </w:tcPr>
                <w:p w14:paraId="7206089C">
                  <w:pPr>
                    <w:jc w:val="center"/>
                  </w:pPr>
                  <w:r>
                    <w:rPr>
                      <w:rFonts w:hint="eastAsia"/>
                    </w:rPr>
                    <w:t>244.7</w:t>
                  </w:r>
                </w:p>
              </w:tc>
              <w:tc>
                <w:tcPr>
                  <w:tcW w:w="912" w:type="dxa"/>
                  <w:vAlign w:val="center"/>
                </w:tcPr>
                <w:p w14:paraId="251DCDC9">
                  <w:pPr>
                    <w:adjustRightInd w:val="0"/>
                    <w:snapToGrid w:val="0"/>
                    <w:jc w:val="center"/>
                    <w:textAlignment w:val="center"/>
                    <w:rPr>
                      <w:szCs w:val="21"/>
                    </w:rPr>
                  </w:pPr>
                  <w:r>
                    <w:rPr>
                      <w:rFonts w:hint="eastAsia"/>
                    </w:rPr>
                    <w:t>/</w:t>
                  </w:r>
                </w:p>
              </w:tc>
            </w:tr>
            <w:tr w14:paraId="4C2B1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208AFA93">
                  <w:pPr>
                    <w:pStyle w:val="2"/>
                    <w:jc w:val="center"/>
                    <w:rPr>
                      <w:rFonts w:ascii="Times New Roman" w:cs="Times New Roman"/>
                      <w:color w:val="auto"/>
                      <w:sz w:val="21"/>
                    </w:rPr>
                  </w:pPr>
                </w:p>
              </w:tc>
              <w:tc>
                <w:tcPr>
                  <w:tcW w:w="2115" w:type="dxa"/>
                  <w:gridSpan w:val="2"/>
                  <w:vAlign w:val="center"/>
                </w:tcPr>
                <w:p w14:paraId="522B713A">
                  <w:pPr>
                    <w:adjustRightInd w:val="0"/>
                    <w:snapToGrid w:val="0"/>
                    <w:jc w:val="center"/>
                  </w:pPr>
                  <w:r>
                    <w:rPr>
                      <w:rFonts w:hint="eastAsia"/>
                    </w:rPr>
                    <w:t>烟气湿度</w:t>
                  </w:r>
                </w:p>
              </w:tc>
              <w:tc>
                <w:tcPr>
                  <w:tcW w:w="851" w:type="dxa"/>
                  <w:vAlign w:val="center"/>
                </w:tcPr>
                <w:p w14:paraId="297CEA97">
                  <w:pPr>
                    <w:adjustRightInd w:val="0"/>
                    <w:snapToGrid w:val="0"/>
                    <w:jc w:val="center"/>
                  </w:pPr>
                  <w:r>
                    <w:rPr>
                      <w:rFonts w:hint="eastAsia"/>
                    </w:rPr>
                    <w:t>%</w:t>
                  </w:r>
                </w:p>
              </w:tc>
              <w:tc>
                <w:tcPr>
                  <w:tcW w:w="992" w:type="dxa"/>
                  <w:vAlign w:val="center"/>
                </w:tcPr>
                <w:p w14:paraId="58AF9786">
                  <w:pPr>
                    <w:jc w:val="center"/>
                  </w:pPr>
                  <w:r>
                    <w:rPr>
                      <w:rFonts w:hint="eastAsia"/>
                    </w:rPr>
                    <w:t>1.6</w:t>
                  </w:r>
                </w:p>
              </w:tc>
              <w:tc>
                <w:tcPr>
                  <w:tcW w:w="1134" w:type="dxa"/>
                  <w:vAlign w:val="center"/>
                </w:tcPr>
                <w:p w14:paraId="33699312">
                  <w:pPr>
                    <w:jc w:val="center"/>
                  </w:pPr>
                  <w:r>
                    <w:rPr>
                      <w:rFonts w:hint="eastAsia"/>
                    </w:rPr>
                    <w:t>1.6</w:t>
                  </w:r>
                </w:p>
              </w:tc>
              <w:tc>
                <w:tcPr>
                  <w:tcW w:w="1134" w:type="dxa"/>
                  <w:vAlign w:val="center"/>
                </w:tcPr>
                <w:p w14:paraId="57D4BD33">
                  <w:pPr>
                    <w:jc w:val="center"/>
                  </w:pPr>
                  <w:r>
                    <w:rPr>
                      <w:rFonts w:hint="eastAsia"/>
                    </w:rPr>
                    <w:t>1.6</w:t>
                  </w:r>
                </w:p>
              </w:tc>
              <w:tc>
                <w:tcPr>
                  <w:tcW w:w="992" w:type="dxa"/>
                  <w:vAlign w:val="center"/>
                </w:tcPr>
                <w:p w14:paraId="19315918">
                  <w:pPr>
                    <w:jc w:val="center"/>
                  </w:pPr>
                  <w:r>
                    <w:rPr>
                      <w:rFonts w:hint="eastAsia"/>
                    </w:rPr>
                    <w:t>1.6</w:t>
                  </w:r>
                </w:p>
              </w:tc>
              <w:tc>
                <w:tcPr>
                  <w:tcW w:w="912" w:type="dxa"/>
                  <w:vAlign w:val="center"/>
                </w:tcPr>
                <w:p w14:paraId="1F4D5E5E">
                  <w:pPr>
                    <w:adjustRightInd w:val="0"/>
                    <w:snapToGrid w:val="0"/>
                    <w:jc w:val="center"/>
                    <w:textAlignment w:val="center"/>
                    <w:rPr>
                      <w:szCs w:val="21"/>
                    </w:rPr>
                  </w:pPr>
                  <w:r>
                    <w:rPr>
                      <w:rFonts w:hint="eastAsia"/>
                    </w:rPr>
                    <w:t>/</w:t>
                  </w:r>
                </w:p>
              </w:tc>
            </w:tr>
            <w:tr w14:paraId="07B3C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2E6215C2">
                  <w:pPr>
                    <w:pStyle w:val="2"/>
                    <w:jc w:val="center"/>
                    <w:rPr>
                      <w:rFonts w:ascii="Times New Roman" w:cs="Times New Roman"/>
                      <w:color w:val="auto"/>
                      <w:sz w:val="21"/>
                    </w:rPr>
                  </w:pPr>
                </w:p>
              </w:tc>
              <w:tc>
                <w:tcPr>
                  <w:tcW w:w="2115" w:type="dxa"/>
                  <w:gridSpan w:val="2"/>
                  <w:vAlign w:val="center"/>
                </w:tcPr>
                <w:p w14:paraId="4CF40949">
                  <w:pPr>
                    <w:adjustRightInd w:val="0"/>
                    <w:snapToGrid w:val="0"/>
                    <w:jc w:val="center"/>
                  </w:pPr>
                  <w:r>
                    <w:rPr>
                      <w:rFonts w:hint="eastAsia"/>
                    </w:rPr>
                    <w:t>含氧量</w:t>
                  </w:r>
                </w:p>
              </w:tc>
              <w:tc>
                <w:tcPr>
                  <w:tcW w:w="851" w:type="dxa"/>
                  <w:vAlign w:val="center"/>
                </w:tcPr>
                <w:p w14:paraId="17F72B8E">
                  <w:pPr>
                    <w:adjustRightInd w:val="0"/>
                    <w:snapToGrid w:val="0"/>
                    <w:jc w:val="center"/>
                  </w:pPr>
                  <w:r>
                    <w:rPr>
                      <w:rFonts w:hint="eastAsia"/>
                    </w:rPr>
                    <w:t>%</w:t>
                  </w:r>
                </w:p>
              </w:tc>
              <w:tc>
                <w:tcPr>
                  <w:tcW w:w="992" w:type="dxa"/>
                  <w:vAlign w:val="center"/>
                </w:tcPr>
                <w:p w14:paraId="078EC9D8">
                  <w:pPr>
                    <w:jc w:val="center"/>
                  </w:pPr>
                  <w:r>
                    <w:rPr>
                      <w:rFonts w:hint="eastAsia"/>
                    </w:rPr>
                    <w:t>12.4</w:t>
                  </w:r>
                </w:p>
              </w:tc>
              <w:tc>
                <w:tcPr>
                  <w:tcW w:w="1134" w:type="dxa"/>
                  <w:vAlign w:val="center"/>
                </w:tcPr>
                <w:p w14:paraId="4CC3510E">
                  <w:pPr>
                    <w:jc w:val="center"/>
                  </w:pPr>
                  <w:r>
                    <w:rPr>
                      <w:rFonts w:hint="eastAsia"/>
                    </w:rPr>
                    <w:t>12.3</w:t>
                  </w:r>
                </w:p>
              </w:tc>
              <w:tc>
                <w:tcPr>
                  <w:tcW w:w="1134" w:type="dxa"/>
                  <w:vAlign w:val="center"/>
                </w:tcPr>
                <w:p w14:paraId="33D5A892">
                  <w:pPr>
                    <w:jc w:val="center"/>
                  </w:pPr>
                  <w:r>
                    <w:rPr>
                      <w:rFonts w:hint="eastAsia"/>
                    </w:rPr>
                    <w:t>12.3</w:t>
                  </w:r>
                </w:p>
              </w:tc>
              <w:tc>
                <w:tcPr>
                  <w:tcW w:w="992" w:type="dxa"/>
                  <w:vAlign w:val="center"/>
                </w:tcPr>
                <w:p w14:paraId="029A96C3">
                  <w:pPr>
                    <w:jc w:val="center"/>
                  </w:pPr>
                  <w:r>
                    <w:rPr>
                      <w:rFonts w:hint="eastAsia"/>
                    </w:rPr>
                    <w:t>12.3</w:t>
                  </w:r>
                </w:p>
              </w:tc>
              <w:tc>
                <w:tcPr>
                  <w:tcW w:w="912" w:type="dxa"/>
                  <w:vAlign w:val="center"/>
                </w:tcPr>
                <w:p w14:paraId="66BF9849">
                  <w:pPr>
                    <w:adjustRightInd w:val="0"/>
                    <w:snapToGrid w:val="0"/>
                    <w:jc w:val="center"/>
                    <w:textAlignment w:val="center"/>
                    <w:rPr>
                      <w:szCs w:val="21"/>
                    </w:rPr>
                  </w:pPr>
                  <w:r>
                    <w:rPr>
                      <w:rFonts w:hint="eastAsia"/>
                    </w:rPr>
                    <w:t>/</w:t>
                  </w:r>
                </w:p>
              </w:tc>
            </w:tr>
            <w:tr w14:paraId="47DF42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271E8E66">
                  <w:pPr>
                    <w:pStyle w:val="2"/>
                    <w:jc w:val="center"/>
                    <w:rPr>
                      <w:rFonts w:ascii="Times New Roman" w:cs="Times New Roman"/>
                      <w:color w:val="auto"/>
                      <w:sz w:val="21"/>
                    </w:rPr>
                  </w:pPr>
                </w:p>
              </w:tc>
              <w:tc>
                <w:tcPr>
                  <w:tcW w:w="840" w:type="dxa"/>
                  <w:vMerge w:val="restart"/>
                  <w:vAlign w:val="center"/>
                </w:tcPr>
                <w:p w14:paraId="122B689A">
                  <w:pPr>
                    <w:adjustRightInd w:val="0"/>
                    <w:snapToGrid w:val="0"/>
                    <w:jc w:val="center"/>
                    <w:rPr>
                      <w:szCs w:val="21"/>
                    </w:rPr>
                  </w:pPr>
                  <w:r>
                    <w:t>颗粒物</w:t>
                  </w:r>
                </w:p>
              </w:tc>
              <w:tc>
                <w:tcPr>
                  <w:tcW w:w="1275" w:type="dxa"/>
                  <w:vAlign w:val="center"/>
                </w:tcPr>
                <w:p w14:paraId="2BF3BA29">
                  <w:pPr>
                    <w:adjustRightInd w:val="0"/>
                    <w:snapToGrid w:val="0"/>
                    <w:jc w:val="center"/>
                    <w:textAlignment w:val="center"/>
                    <w:rPr>
                      <w:szCs w:val="21"/>
                    </w:rPr>
                  </w:pPr>
                  <w:r>
                    <w:rPr>
                      <w:rFonts w:hint="eastAsia"/>
                    </w:rPr>
                    <w:t>实测</w:t>
                  </w:r>
                  <w:r>
                    <w:t>浓度</w:t>
                  </w:r>
                </w:p>
              </w:tc>
              <w:tc>
                <w:tcPr>
                  <w:tcW w:w="851" w:type="dxa"/>
                  <w:vAlign w:val="center"/>
                </w:tcPr>
                <w:p w14:paraId="5A597066">
                  <w:pPr>
                    <w:adjustRightInd w:val="0"/>
                    <w:snapToGrid w:val="0"/>
                    <w:jc w:val="center"/>
                    <w:textAlignment w:val="center"/>
                    <w:rPr>
                      <w:szCs w:val="21"/>
                    </w:rPr>
                  </w:pPr>
                  <w:r>
                    <w:t>mg/m</w:t>
                  </w:r>
                  <w:r>
                    <w:rPr>
                      <w:rFonts w:hint="eastAsia"/>
                      <w:vertAlign w:val="superscript"/>
                    </w:rPr>
                    <w:t>3</w:t>
                  </w:r>
                </w:p>
              </w:tc>
              <w:tc>
                <w:tcPr>
                  <w:tcW w:w="992" w:type="dxa"/>
                  <w:vAlign w:val="center"/>
                </w:tcPr>
                <w:p w14:paraId="4D678FD2">
                  <w:pPr>
                    <w:jc w:val="center"/>
                  </w:pPr>
                  <w:r>
                    <w:rPr>
                      <w:rFonts w:hint="eastAsia"/>
                    </w:rPr>
                    <w:t>6.5</w:t>
                  </w:r>
                </w:p>
              </w:tc>
              <w:tc>
                <w:tcPr>
                  <w:tcW w:w="1134" w:type="dxa"/>
                  <w:vAlign w:val="center"/>
                </w:tcPr>
                <w:p w14:paraId="4FBF754D">
                  <w:pPr>
                    <w:jc w:val="center"/>
                  </w:pPr>
                  <w:r>
                    <w:rPr>
                      <w:rFonts w:hint="eastAsia"/>
                    </w:rPr>
                    <w:t>9.1</w:t>
                  </w:r>
                </w:p>
              </w:tc>
              <w:tc>
                <w:tcPr>
                  <w:tcW w:w="1134" w:type="dxa"/>
                  <w:vAlign w:val="center"/>
                </w:tcPr>
                <w:p w14:paraId="3B21EBA9">
                  <w:pPr>
                    <w:jc w:val="center"/>
                  </w:pPr>
                  <w:r>
                    <w:rPr>
                      <w:rFonts w:hint="eastAsia"/>
                    </w:rPr>
                    <w:t>7.2</w:t>
                  </w:r>
                </w:p>
              </w:tc>
              <w:tc>
                <w:tcPr>
                  <w:tcW w:w="992" w:type="dxa"/>
                  <w:vAlign w:val="center"/>
                </w:tcPr>
                <w:p w14:paraId="2949B28F">
                  <w:pPr>
                    <w:jc w:val="center"/>
                  </w:pPr>
                  <w:r>
                    <w:rPr>
                      <w:rFonts w:hint="eastAsia"/>
                    </w:rPr>
                    <w:t>7.6</w:t>
                  </w:r>
                </w:p>
              </w:tc>
              <w:tc>
                <w:tcPr>
                  <w:tcW w:w="912" w:type="dxa"/>
                  <w:vAlign w:val="center"/>
                </w:tcPr>
                <w:p w14:paraId="6D0B2D13">
                  <w:pPr>
                    <w:adjustRightInd w:val="0"/>
                    <w:snapToGrid w:val="0"/>
                    <w:jc w:val="center"/>
                    <w:textAlignment w:val="center"/>
                    <w:rPr>
                      <w:szCs w:val="21"/>
                    </w:rPr>
                  </w:pPr>
                  <w:r>
                    <w:rPr>
                      <w:rFonts w:hint="eastAsia"/>
                      <w:szCs w:val="21"/>
                    </w:rPr>
                    <w:t>/</w:t>
                  </w:r>
                </w:p>
              </w:tc>
            </w:tr>
            <w:tr w14:paraId="52287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087821EF">
                  <w:pPr>
                    <w:pStyle w:val="2"/>
                    <w:jc w:val="center"/>
                    <w:rPr>
                      <w:rFonts w:ascii="Times New Roman" w:cs="Times New Roman"/>
                      <w:color w:val="auto"/>
                      <w:sz w:val="21"/>
                    </w:rPr>
                  </w:pPr>
                </w:p>
              </w:tc>
              <w:tc>
                <w:tcPr>
                  <w:tcW w:w="840" w:type="dxa"/>
                  <w:vMerge w:val="continue"/>
                  <w:vAlign w:val="center"/>
                </w:tcPr>
                <w:p w14:paraId="6E7CEBCD">
                  <w:pPr>
                    <w:adjustRightInd w:val="0"/>
                    <w:snapToGrid w:val="0"/>
                    <w:jc w:val="center"/>
                  </w:pPr>
                </w:p>
              </w:tc>
              <w:tc>
                <w:tcPr>
                  <w:tcW w:w="1275" w:type="dxa"/>
                  <w:vAlign w:val="center"/>
                </w:tcPr>
                <w:p w14:paraId="173E848A">
                  <w:pPr>
                    <w:adjustRightInd w:val="0"/>
                    <w:snapToGrid w:val="0"/>
                    <w:jc w:val="center"/>
                    <w:textAlignment w:val="center"/>
                    <w:rPr>
                      <w:szCs w:val="21"/>
                    </w:rPr>
                  </w:pPr>
                  <w:r>
                    <w:rPr>
                      <w:szCs w:val="21"/>
                    </w:rPr>
                    <w:t>折算浓度</w:t>
                  </w:r>
                </w:p>
              </w:tc>
              <w:tc>
                <w:tcPr>
                  <w:tcW w:w="851" w:type="dxa"/>
                  <w:vAlign w:val="center"/>
                </w:tcPr>
                <w:p w14:paraId="43309319">
                  <w:pPr>
                    <w:adjustRightInd w:val="0"/>
                    <w:snapToGrid w:val="0"/>
                    <w:jc w:val="center"/>
                    <w:textAlignment w:val="center"/>
                    <w:rPr>
                      <w:szCs w:val="21"/>
                    </w:rPr>
                  </w:pPr>
                  <w:r>
                    <w:t>mg/m</w:t>
                  </w:r>
                  <w:r>
                    <w:rPr>
                      <w:rFonts w:hint="eastAsia"/>
                      <w:vertAlign w:val="superscript"/>
                    </w:rPr>
                    <w:t>3</w:t>
                  </w:r>
                </w:p>
              </w:tc>
              <w:tc>
                <w:tcPr>
                  <w:tcW w:w="992" w:type="dxa"/>
                  <w:vAlign w:val="center"/>
                </w:tcPr>
                <w:p w14:paraId="5ACC199F">
                  <w:pPr>
                    <w:jc w:val="center"/>
                  </w:pPr>
                  <w:r>
                    <w:rPr>
                      <w:rFonts w:hint="eastAsia"/>
                    </w:rPr>
                    <w:t>9.8</w:t>
                  </w:r>
                </w:p>
              </w:tc>
              <w:tc>
                <w:tcPr>
                  <w:tcW w:w="1134" w:type="dxa"/>
                  <w:vAlign w:val="center"/>
                </w:tcPr>
                <w:p w14:paraId="177243F4">
                  <w:pPr>
                    <w:jc w:val="center"/>
                  </w:pPr>
                  <w:r>
                    <w:rPr>
                      <w:rFonts w:hint="eastAsia"/>
                    </w:rPr>
                    <w:t>13.6</w:t>
                  </w:r>
                </w:p>
              </w:tc>
              <w:tc>
                <w:tcPr>
                  <w:tcW w:w="1134" w:type="dxa"/>
                  <w:vAlign w:val="center"/>
                </w:tcPr>
                <w:p w14:paraId="4DA1CDBC">
                  <w:pPr>
                    <w:jc w:val="center"/>
                  </w:pPr>
                  <w:r>
                    <w:rPr>
                      <w:rFonts w:hint="eastAsia"/>
                    </w:rPr>
                    <w:t>10.8</w:t>
                  </w:r>
                </w:p>
              </w:tc>
              <w:tc>
                <w:tcPr>
                  <w:tcW w:w="992" w:type="dxa"/>
                  <w:vAlign w:val="center"/>
                </w:tcPr>
                <w:p w14:paraId="72A8D3B1">
                  <w:pPr>
                    <w:jc w:val="center"/>
                  </w:pPr>
                  <w:r>
                    <w:rPr>
                      <w:rFonts w:hint="eastAsia"/>
                    </w:rPr>
                    <w:t>11.4</w:t>
                  </w:r>
                </w:p>
              </w:tc>
              <w:tc>
                <w:tcPr>
                  <w:tcW w:w="912" w:type="dxa"/>
                  <w:vAlign w:val="center"/>
                </w:tcPr>
                <w:p w14:paraId="17E254B6">
                  <w:pPr>
                    <w:adjustRightInd w:val="0"/>
                    <w:snapToGrid w:val="0"/>
                    <w:jc w:val="center"/>
                    <w:textAlignment w:val="center"/>
                  </w:pPr>
                  <w:r>
                    <w:rPr>
                      <w:rFonts w:hint="eastAsia"/>
                    </w:rPr>
                    <w:t>15</w:t>
                  </w:r>
                </w:p>
              </w:tc>
            </w:tr>
            <w:tr w14:paraId="17D645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2BFD8C11">
                  <w:pPr>
                    <w:pStyle w:val="2"/>
                    <w:jc w:val="center"/>
                    <w:rPr>
                      <w:rFonts w:ascii="Times New Roman" w:cs="Times New Roman"/>
                      <w:color w:val="auto"/>
                      <w:sz w:val="21"/>
                    </w:rPr>
                  </w:pPr>
                </w:p>
              </w:tc>
              <w:tc>
                <w:tcPr>
                  <w:tcW w:w="840" w:type="dxa"/>
                  <w:vMerge w:val="restart"/>
                  <w:vAlign w:val="center"/>
                </w:tcPr>
                <w:p w14:paraId="522F180E">
                  <w:pPr>
                    <w:adjustRightInd w:val="0"/>
                    <w:snapToGrid w:val="0"/>
                    <w:jc w:val="center"/>
                  </w:pPr>
                  <w:r>
                    <w:t>氮氧化物</w:t>
                  </w:r>
                </w:p>
              </w:tc>
              <w:tc>
                <w:tcPr>
                  <w:tcW w:w="1275" w:type="dxa"/>
                  <w:vAlign w:val="center"/>
                </w:tcPr>
                <w:p w14:paraId="4C8A0B35">
                  <w:pPr>
                    <w:adjustRightInd w:val="0"/>
                    <w:snapToGrid w:val="0"/>
                    <w:jc w:val="center"/>
                    <w:textAlignment w:val="center"/>
                    <w:rPr>
                      <w:szCs w:val="21"/>
                    </w:rPr>
                  </w:pPr>
                  <w:r>
                    <w:rPr>
                      <w:rFonts w:hint="eastAsia"/>
                    </w:rPr>
                    <w:t>实测</w:t>
                  </w:r>
                  <w:r>
                    <w:t>浓度</w:t>
                  </w:r>
                </w:p>
              </w:tc>
              <w:tc>
                <w:tcPr>
                  <w:tcW w:w="851" w:type="dxa"/>
                  <w:vAlign w:val="center"/>
                </w:tcPr>
                <w:p w14:paraId="5CDAF800">
                  <w:pPr>
                    <w:adjustRightInd w:val="0"/>
                    <w:snapToGrid w:val="0"/>
                    <w:jc w:val="center"/>
                    <w:textAlignment w:val="center"/>
                    <w:rPr>
                      <w:szCs w:val="21"/>
                    </w:rPr>
                  </w:pPr>
                  <w:r>
                    <w:t>mg/m</w:t>
                  </w:r>
                  <w:r>
                    <w:rPr>
                      <w:rFonts w:hint="eastAsia"/>
                      <w:vertAlign w:val="superscript"/>
                    </w:rPr>
                    <w:t>3</w:t>
                  </w:r>
                </w:p>
              </w:tc>
              <w:tc>
                <w:tcPr>
                  <w:tcW w:w="992" w:type="dxa"/>
                  <w:vAlign w:val="center"/>
                </w:tcPr>
                <w:p w14:paraId="211D6490">
                  <w:pPr>
                    <w:jc w:val="center"/>
                  </w:pPr>
                  <w:r>
                    <w:rPr>
                      <w:rFonts w:hint="eastAsia"/>
                    </w:rPr>
                    <w:t>55</w:t>
                  </w:r>
                </w:p>
              </w:tc>
              <w:tc>
                <w:tcPr>
                  <w:tcW w:w="1134" w:type="dxa"/>
                  <w:vAlign w:val="center"/>
                </w:tcPr>
                <w:p w14:paraId="6A9ADBF4">
                  <w:pPr>
                    <w:jc w:val="center"/>
                  </w:pPr>
                  <w:r>
                    <w:rPr>
                      <w:rFonts w:hint="eastAsia"/>
                    </w:rPr>
                    <w:t>66</w:t>
                  </w:r>
                </w:p>
              </w:tc>
              <w:tc>
                <w:tcPr>
                  <w:tcW w:w="1134" w:type="dxa"/>
                  <w:vAlign w:val="center"/>
                </w:tcPr>
                <w:p w14:paraId="54C24CF8">
                  <w:pPr>
                    <w:jc w:val="center"/>
                  </w:pPr>
                  <w:r>
                    <w:rPr>
                      <w:rFonts w:hint="eastAsia"/>
                    </w:rPr>
                    <w:t>52</w:t>
                  </w:r>
                </w:p>
              </w:tc>
              <w:tc>
                <w:tcPr>
                  <w:tcW w:w="992" w:type="dxa"/>
                  <w:vAlign w:val="center"/>
                </w:tcPr>
                <w:p w14:paraId="1AC746FB">
                  <w:pPr>
                    <w:jc w:val="center"/>
                  </w:pPr>
                  <w:r>
                    <w:rPr>
                      <w:rFonts w:hint="eastAsia"/>
                    </w:rPr>
                    <w:t>58</w:t>
                  </w:r>
                </w:p>
              </w:tc>
              <w:tc>
                <w:tcPr>
                  <w:tcW w:w="912" w:type="dxa"/>
                  <w:vAlign w:val="center"/>
                </w:tcPr>
                <w:p w14:paraId="1139C620">
                  <w:pPr>
                    <w:adjustRightInd w:val="0"/>
                    <w:snapToGrid w:val="0"/>
                    <w:jc w:val="center"/>
                    <w:textAlignment w:val="center"/>
                  </w:pPr>
                  <w:r>
                    <w:rPr>
                      <w:rFonts w:hint="eastAsia"/>
                    </w:rPr>
                    <w:t>/</w:t>
                  </w:r>
                </w:p>
              </w:tc>
            </w:tr>
            <w:tr w14:paraId="6F9B67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1F1E39D9">
                  <w:pPr>
                    <w:pStyle w:val="2"/>
                    <w:jc w:val="center"/>
                    <w:rPr>
                      <w:rFonts w:ascii="Times New Roman" w:cs="Times New Roman"/>
                      <w:color w:val="auto"/>
                      <w:sz w:val="21"/>
                    </w:rPr>
                  </w:pPr>
                </w:p>
              </w:tc>
              <w:tc>
                <w:tcPr>
                  <w:tcW w:w="840" w:type="dxa"/>
                  <w:vMerge w:val="continue"/>
                  <w:vAlign w:val="center"/>
                </w:tcPr>
                <w:p w14:paraId="560DA745">
                  <w:pPr>
                    <w:adjustRightInd w:val="0"/>
                    <w:snapToGrid w:val="0"/>
                    <w:jc w:val="center"/>
                  </w:pPr>
                </w:p>
              </w:tc>
              <w:tc>
                <w:tcPr>
                  <w:tcW w:w="1275" w:type="dxa"/>
                  <w:vAlign w:val="center"/>
                </w:tcPr>
                <w:p w14:paraId="1BB64C42">
                  <w:pPr>
                    <w:adjustRightInd w:val="0"/>
                    <w:snapToGrid w:val="0"/>
                    <w:jc w:val="center"/>
                    <w:textAlignment w:val="center"/>
                    <w:rPr>
                      <w:szCs w:val="21"/>
                    </w:rPr>
                  </w:pPr>
                  <w:r>
                    <w:rPr>
                      <w:szCs w:val="21"/>
                    </w:rPr>
                    <w:t>折算浓度</w:t>
                  </w:r>
                </w:p>
              </w:tc>
              <w:tc>
                <w:tcPr>
                  <w:tcW w:w="851" w:type="dxa"/>
                  <w:vAlign w:val="center"/>
                </w:tcPr>
                <w:p w14:paraId="2B661FFC">
                  <w:pPr>
                    <w:adjustRightInd w:val="0"/>
                    <w:snapToGrid w:val="0"/>
                    <w:jc w:val="center"/>
                    <w:textAlignment w:val="center"/>
                    <w:rPr>
                      <w:szCs w:val="21"/>
                    </w:rPr>
                  </w:pPr>
                  <w:r>
                    <w:t>mg/m</w:t>
                  </w:r>
                  <w:r>
                    <w:rPr>
                      <w:rFonts w:hint="eastAsia"/>
                      <w:vertAlign w:val="superscript"/>
                    </w:rPr>
                    <w:t>3</w:t>
                  </w:r>
                </w:p>
              </w:tc>
              <w:tc>
                <w:tcPr>
                  <w:tcW w:w="992" w:type="dxa"/>
                  <w:vAlign w:val="center"/>
                </w:tcPr>
                <w:p w14:paraId="070D5A88">
                  <w:pPr>
                    <w:jc w:val="center"/>
                  </w:pPr>
                  <w:r>
                    <w:rPr>
                      <w:rFonts w:hint="eastAsia"/>
                    </w:rPr>
                    <w:t>83</w:t>
                  </w:r>
                </w:p>
              </w:tc>
              <w:tc>
                <w:tcPr>
                  <w:tcW w:w="1134" w:type="dxa"/>
                  <w:vAlign w:val="center"/>
                </w:tcPr>
                <w:p w14:paraId="126894AF">
                  <w:pPr>
                    <w:jc w:val="center"/>
                  </w:pPr>
                  <w:r>
                    <w:rPr>
                      <w:rFonts w:hint="eastAsia"/>
                    </w:rPr>
                    <w:t>99</w:t>
                  </w:r>
                </w:p>
              </w:tc>
              <w:tc>
                <w:tcPr>
                  <w:tcW w:w="1134" w:type="dxa"/>
                  <w:vAlign w:val="center"/>
                </w:tcPr>
                <w:p w14:paraId="6811E7F9">
                  <w:pPr>
                    <w:jc w:val="center"/>
                  </w:pPr>
                  <w:r>
                    <w:rPr>
                      <w:rFonts w:hint="eastAsia"/>
                    </w:rPr>
                    <w:t>78</w:t>
                  </w:r>
                </w:p>
              </w:tc>
              <w:tc>
                <w:tcPr>
                  <w:tcW w:w="992" w:type="dxa"/>
                  <w:vAlign w:val="center"/>
                </w:tcPr>
                <w:p w14:paraId="4771E2A5">
                  <w:pPr>
                    <w:jc w:val="center"/>
                  </w:pPr>
                  <w:r>
                    <w:rPr>
                      <w:rFonts w:hint="eastAsia"/>
                    </w:rPr>
                    <w:t>87</w:t>
                  </w:r>
                </w:p>
              </w:tc>
              <w:tc>
                <w:tcPr>
                  <w:tcW w:w="912" w:type="dxa"/>
                  <w:vAlign w:val="center"/>
                </w:tcPr>
                <w:p w14:paraId="1F183D59">
                  <w:pPr>
                    <w:adjustRightInd w:val="0"/>
                    <w:snapToGrid w:val="0"/>
                    <w:jc w:val="center"/>
                    <w:textAlignment w:val="center"/>
                  </w:pPr>
                  <w:r>
                    <w:rPr>
                      <w:rFonts w:hint="eastAsia"/>
                    </w:rPr>
                    <w:t>300</w:t>
                  </w:r>
                </w:p>
              </w:tc>
            </w:tr>
            <w:tr w14:paraId="0C8834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6AA904FA">
                  <w:pPr>
                    <w:pStyle w:val="2"/>
                    <w:jc w:val="center"/>
                    <w:rPr>
                      <w:rFonts w:ascii="Times New Roman" w:cs="Times New Roman"/>
                      <w:color w:val="auto"/>
                      <w:sz w:val="21"/>
                    </w:rPr>
                  </w:pPr>
                </w:p>
              </w:tc>
              <w:tc>
                <w:tcPr>
                  <w:tcW w:w="840" w:type="dxa"/>
                  <w:vMerge w:val="restart"/>
                  <w:vAlign w:val="center"/>
                </w:tcPr>
                <w:p w14:paraId="78A8D422">
                  <w:pPr>
                    <w:adjustRightInd w:val="0"/>
                    <w:snapToGrid w:val="0"/>
                    <w:jc w:val="center"/>
                  </w:pPr>
                  <w:r>
                    <w:t>二氧化硫</w:t>
                  </w:r>
                </w:p>
              </w:tc>
              <w:tc>
                <w:tcPr>
                  <w:tcW w:w="1275" w:type="dxa"/>
                  <w:vAlign w:val="center"/>
                </w:tcPr>
                <w:p w14:paraId="752EBA99">
                  <w:pPr>
                    <w:adjustRightInd w:val="0"/>
                    <w:snapToGrid w:val="0"/>
                    <w:jc w:val="center"/>
                    <w:textAlignment w:val="center"/>
                    <w:rPr>
                      <w:szCs w:val="21"/>
                    </w:rPr>
                  </w:pPr>
                  <w:r>
                    <w:rPr>
                      <w:rFonts w:hint="eastAsia"/>
                    </w:rPr>
                    <w:t>实测</w:t>
                  </w:r>
                  <w:r>
                    <w:t>浓度</w:t>
                  </w:r>
                </w:p>
              </w:tc>
              <w:tc>
                <w:tcPr>
                  <w:tcW w:w="851" w:type="dxa"/>
                  <w:vAlign w:val="center"/>
                </w:tcPr>
                <w:p w14:paraId="62966F12">
                  <w:pPr>
                    <w:adjustRightInd w:val="0"/>
                    <w:snapToGrid w:val="0"/>
                    <w:jc w:val="center"/>
                    <w:textAlignment w:val="center"/>
                    <w:rPr>
                      <w:szCs w:val="21"/>
                    </w:rPr>
                  </w:pPr>
                  <w:r>
                    <w:t>mg/m</w:t>
                  </w:r>
                  <w:r>
                    <w:rPr>
                      <w:rFonts w:hint="eastAsia"/>
                      <w:vertAlign w:val="superscript"/>
                    </w:rPr>
                    <w:t>3</w:t>
                  </w:r>
                </w:p>
              </w:tc>
              <w:tc>
                <w:tcPr>
                  <w:tcW w:w="992" w:type="dxa"/>
                  <w:vAlign w:val="center"/>
                </w:tcPr>
                <w:p w14:paraId="3023A0D5">
                  <w:pPr>
                    <w:adjustRightInd w:val="0"/>
                    <w:snapToGrid w:val="0"/>
                    <w:jc w:val="center"/>
                    <w:rPr>
                      <w:szCs w:val="21"/>
                    </w:rPr>
                  </w:pPr>
                  <w:r>
                    <w:rPr>
                      <w:rFonts w:hint="eastAsia"/>
                      <w:szCs w:val="21"/>
                    </w:rPr>
                    <w:t>ND</w:t>
                  </w:r>
                </w:p>
              </w:tc>
              <w:tc>
                <w:tcPr>
                  <w:tcW w:w="1134" w:type="dxa"/>
                  <w:vAlign w:val="center"/>
                </w:tcPr>
                <w:p w14:paraId="45E69201">
                  <w:pPr>
                    <w:jc w:val="center"/>
                  </w:pPr>
                  <w:r>
                    <w:rPr>
                      <w:rFonts w:hint="eastAsia"/>
                      <w:szCs w:val="21"/>
                    </w:rPr>
                    <w:t>ND</w:t>
                  </w:r>
                </w:p>
              </w:tc>
              <w:tc>
                <w:tcPr>
                  <w:tcW w:w="1134" w:type="dxa"/>
                  <w:vAlign w:val="center"/>
                </w:tcPr>
                <w:p w14:paraId="4B359C47">
                  <w:pPr>
                    <w:jc w:val="center"/>
                  </w:pPr>
                  <w:r>
                    <w:rPr>
                      <w:rFonts w:hint="eastAsia"/>
                      <w:szCs w:val="21"/>
                    </w:rPr>
                    <w:t>ND</w:t>
                  </w:r>
                </w:p>
              </w:tc>
              <w:tc>
                <w:tcPr>
                  <w:tcW w:w="992" w:type="dxa"/>
                  <w:vAlign w:val="center"/>
                </w:tcPr>
                <w:p w14:paraId="697305B8">
                  <w:pPr>
                    <w:jc w:val="center"/>
                  </w:pPr>
                  <w:r>
                    <w:rPr>
                      <w:rFonts w:hint="eastAsia"/>
                      <w:szCs w:val="21"/>
                    </w:rPr>
                    <w:t>ND</w:t>
                  </w:r>
                </w:p>
              </w:tc>
              <w:tc>
                <w:tcPr>
                  <w:tcW w:w="912" w:type="dxa"/>
                  <w:vAlign w:val="center"/>
                </w:tcPr>
                <w:p w14:paraId="67A68C6F">
                  <w:pPr>
                    <w:adjustRightInd w:val="0"/>
                    <w:snapToGrid w:val="0"/>
                    <w:jc w:val="center"/>
                    <w:textAlignment w:val="center"/>
                  </w:pPr>
                  <w:r>
                    <w:rPr>
                      <w:rFonts w:hint="eastAsia"/>
                    </w:rPr>
                    <w:t>/</w:t>
                  </w:r>
                </w:p>
              </w:tc>
            </w:tr>
            <w:tr w14:paraId="17AC2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414E242E">
                  <w:pPr>
                    <w:pStyle w:val="2"/>
                    <w:jc w:val="center"/>
                    <w:rPr>
                      <w:rFonts w:ascii="Times New Roman" w:cs="Times New Roman"/>
                      <w:color w:val="auto"/>
                      <w:sz w:val="21"/>
                    </w:rPr>
                  </w:pPr>
                </w:p>
              </w:tc>
              <w:tc>
                <w:tcPr>
                  <w:tcW w:w="840" w:type="dxa"/>
                  <w:vMerge w:val="continue"/>
                  <w:vAlign w:val="center"/>
                </w:tcPr>
                <w:p w14:paraId="51D42F51">
                  <w:pPr>
                    <w:adjustRightInd w:val="0"/>
                    <w:snapToGrid w:val="0"/>
                    <w:jc w:val="center"/>
                  </w:pPr>
                </w:p>
              </w:tc>
              <w:tc>
                <w:tcPr>
                  <w:tcW w:w="1275" w:type="dxa"/>
                  <w:vAlign w:val="center"/>
                </w:tcPr>
                <w:p w14:paraId="28BC4483">
                  <w:pPr>
                    <w:adjustRightInd w:val="0"/>
                    <w:snapToGrid w:val="0"/>
                    <w:jc w:val="center"/>
                    <w:textAlignment w:val="center"/>
                    <w:rPr>
                      <w:szCs w:val="21"/>
                    </w:rPr>
                  </w:pPr>
                  <w:r>
                    <w:rPr>
                      <w:szCs w:val="21"/>
                    </w:rPr>
                    <w:t>折算浓度</w:t>
                  </w:r>
                </w:p>
              </w:tc>
              <w:tc>
                <w:tcPr>
                  <w:tcW w:w="851" w:type="dxa"/>
                  <w:vAlign w:val="center"/>
                </w:tcPr>
                <w:p w14:paraId="61528843">
                  <w:pPr>
                    <w:adjustRightInd w:val="0"/>
                    <w:snapToGrid w:val="0"/>
                    <w:jc w:val="center"/>
                    <w:textAlignment w:val="center"/>
                    <w:rPr>
                      <w:szCs w:val="21"/>
                    </w:rPr>
                  </w:pPr>
                  <w:r>
                    <w:t>mg/m</w:t>
                  </w:r>
                  <w:r>
                    <w:rPr>
                      <w:rFonts w:hint="eastAsia"/>
                      <w:vertAlign w:val="superscript"/>
                    </w:rPr>
                    <w:t>3</w:t>
                  </w:r>
                </w:p>
              </w:tc>
              <w:tc>
                <w:tcPr>
                  <w:tcW w:w="992" w:type="dxa"/>
                  <w:vAlign w:val="center"/>
                </w:tcPr>
                <w:p w14:paraId="6384CFC7">
                  <w:pPr>
                    <w:jc w:val="center"/>
                  </w:pPr>
                  <w:r>
                    <w:rPr>
                      <w:rFonts w:hint="eastAsia"/>
                    </w:rPr>
                    <w:t>/</w:t>
                  </w:r>
                </w:p>
              </w:tc>
              <w:tc>
                <w:tcPr>
                  <w:tcW w:w="1134" w:type="dxa"/>
                  <w:vAlign w:val="center"/>
                </w:tcPr>
                <w:p w14:paraId="35B4D2B0">
                  <w:pPr>
                    <w:jc w:val="center"/>
                  </w:pPr>
                  <w:r>
                    <w:rPr>
                      <w:rFonts w:hint="eastAsia"/>
                    </w:rPr>
                    <w:t>/</w:t>
                  </w:r>
                </w:p>
              </w:tc>
              <w:tc>
                <w:tcPr>
                  <w:tcW w:w="1134" w:type="dxa"/>
                  <w:vAlign w:val="center"/>
                </w:tcPr>
                <w:p w14:paraId="5085B4A8">
                  <w:pPr>
                    <w:jc w:val="center"/>
                  </w:pPr>
                  <w:r>
                    <w:rPr>
                      <w:rFonts w:hint="eastAsia"/>
                    </w:rPr>
                    <w:t>/</w:t>
                  </w:r>
                </w:p>
              </w:tc>
              <w:tc>
                <w:tcPr>
                  <w:tcW w:w="992" w:type="dxa"/>
                  <w:vAlign w:val="center"/>
                </w:tcPr>
                <w:p w14:paraId="237E98AA">
                  <w:pPr>
                    <w:jc w:val="center"/>
                  </w:pPr>
                  <w:r>
                    <w:rPr>
                      <w:rFonts w:hint="eastAsia"/>
                    </w:rPr>
                    <w:t>/</w:t>
                  </w:r>
                </w:p>
              </w:tc>
              <w:tc>
                <w:tcPr>
                  <w:tcW w:w="912" w:type="dxa"/>
                  <w:vAlign w:val="center"/>
                </w:tcPr>
                <w:p w14:paraId="53B25CD1">
                  <w:pPr>
                    <w:adjustRightInd w:val="0"/>
                    <w:snapToGrid w:val="0"/>
                    <w:jc w:val="center"/>
                    <w:textAlignment w:val="center"/>
                    <w:rPr>
                      <w:szCs w:val="21"/>
                    </w:rPr>
                  </w:pPr>
                  <w:r>
                    <w:rPr>
                      <w:rFonts w:hint="eastAsia"/>
                    </w:rPr>
                    <w:t>150</w:t>
                  </w:r>
                </w:p>
              </w:tc>
            </w:tr>
            <w:tr w14:paraId="75DE1D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restart"/>
                  <w:vAlign w:val="center"/>
                </w:tcPr>
                <w:p w14:paraId="555ADB7A">
                  <w:pPr>
                    <w:pStyle w:val="2"/>
                    <w:jc w:val="center"/>
                    <w:rPr>
                      <w:rFonts w:ascii="Times New Roman" w:cs="Times New Roman"/>
                      <w:color w:val="auto"/>
                      <w:sz w:val="21"/>
                    </w:rPr>
                  </w:pPr>
                  <w:r>
                    <w:rPr>
                      <w:rFonts w:hint="eastAsia" w:ascii="Times New Roman" w:cs="Times New Roman"/>
                      <w:color w:val="auto"/>
                      <w:sz w:val="21"/>
                    </w:rPr>
                    <w:t>连轧除尘排放口</w:t>
                  </w:r>
                </w:p>
              </w:tc>
              <w:tc>
                <w:tcPr>
                  <w:tcW w:w="2115" w:type="dxa"/>
                  <w:gridSpan w:val="2"/>
                  <w:vAlign w:val="center"/>
                </w:tcPr>
                <w:p w14:paraId="65F47AD6">
                  <w:pPr>
                    <w:adjustRightInd w:val="0"/>
                    <w:snapToGrid w:val="0"/>
                    <w:jc w:val="center"/>
                    <w:rPr>
                      <w:szCs w:val="21"/>
                    </w:rPr>
                  </w:pPr>
                  <w:r>
                    <w:rPr>
                      <w:rFonts w:hint="eastAsia"/>
                    </w:rPr>
                    <w:t>标干流量</w:t>
                  </w:r>
                </w:p>
              </w:tc>
              <w:tc>
                <w:tcPr>
                  <w:tcW w:w="851" w:type="dxa"/>
                  <w:vAlign w:val="center"/>
                </w:tcPr>
                <w:p w14:paraId="29953F2B">
                  <w:pPr>
                    <w:adjustRightInd w:val="0"/>
                    <w:snapToGrid w:val="0"/>
                    <w:jc w:val="center"/>
                    <w:rPr>
                      <w:szCs w:val="21"/>
                    </w:rPr>
                  </w:pPr>
                  <w:r>
                    <w:rPr>
                      <w:rFonts w:hint="eastAsia"/>
                    </w:rPr>
                    <w:t>m</w:t>
                  </w:r>
                  <w:r>
                    <w:rPr>
                      <w:rFonts w:hint="eastAsia"/>
                      <w:vertAlign w:val="superscript"/>
                    </w:rPr>
                    <w:t>3</w:t>
                  </w:r>
                  <w:r>
                    <w:rPr>
                      <w:rFonts w:hint="eastAsia"/>
                    </w:rPr>
                    <w:t>/h</w:t>
                  </w:r>
                </w:p>
              </w:tc>
              <w:tc>
                <w:tcPr>
                  <w:tcW w:w="992" w:type="dxa"/>
                  <w:vAlign w:val="center"/>
                </w:tcPr>
                <w:p w14:paraId="1D5603F3">
                  <w:pPr>
                    <w:jc w:val="center"/>
                  </w:pPr>
                  <w:r>
                    <w:rPr>
                      <w:rFonts w:hint="eastAsia"/>
                    </w:rPr>
                    <w:t>212840</w:t>
                  </w:r>
                </w:p>
              </w:tc>
              <w:tc>
                <w:tcPr>
                  <w:tcW w:w="1134" w:type="dxa"/>
                  <w:vAlign w:val="center"/>
                </w:tcPr>
                <w:p w14:paraId="100B3C10">
                  <w:pPr>
                    <w:jc w:val="center"/>
                  </w:pPr>
                  <w:r>
                    <w:rPr>
                      <w:rFonts w:hint="eastAsia"/>
                    </w:rPr>
                    <w:t>210658</w:t>
                  </w:r>
                </w:p>
              </w:tc>
              <w:tc>
                <w:tcPr>
                  <w:tcW w:w="1134" w:type="dxa"/>
                  <w:vAlign w:val="center"/>
                </w:tcPr>
                <w:p w14:paraId="21AB20D6">
                  <w:pPr>
                    <w:jc w:val="center"/>
                  </w:pPr>
                  <w:r>
                    <w:rPr>
                      <w:rFonts w:hint="eastAsia"/>
                    </w:rPr>
                    <w:t>210418</w:t>
                  </w:r>
                </w:p>
              </w:tc>
              <w:tc>
                <w:tcPr>
                  <w:tcW w:w="992" w:type="dxa"/>
                  <w:vAlign w:val="center"/>
                </w:tcPr>
                <w:p w14:paraId="16785409">
                  <w:pPr>
                    <w:jc w:val="center"/>
                  </w:pPr>
                  <w:r>
                    <w:rPr>
                      <w:rFonts w:hint="eastAsia"/>
                    </w:rPr>
                    <w:t>211305</w:t>
                  </w:r>
                </w:p>
              </w:tc>
              <w:tc>
                <w:tcPr>
                  <w:tcW w:w="912" w:type="dxa"/>
                  <w:vAlign w:val="center"/>
                </w:tcPr>
                <w:p w14:paraId="460820B5">
                  <w:pPr>
                    <w:adjustRightInd w:val="0"/>
                    <w:snapToGrid w:val="0"/>
                    <w:jc w:val="center"/>
                    <w:textAlignment w:val="center"/>
                    <w:rPr>
                      <w:szCs w:val="21"/>
                    </w:rPr>
                  </w:pPr>
                  <w:r>
                    <w:rPr>
                      <w:rFonts w:hint="eastAsia"/>
                    </w:rPr>
                    <w:t>/</w:t>
                  </w:r>
                </w:p>
              </w:tc>
            </w:tr>
            <w:tr w14:paraId="6AE8BE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348A656A">
                  <w:pPr>
                    <w:pStyle w:val="2"/>
                    <w:jc w:val="center"/>
                    <w:rPr>
                      <w:rFonts w:ascii="Times New Roman" w:cs="Times New Roman"/>
                      <w:color w:val="auto"/>
                      <w:sz w:val="21"/>
                    </w:rPr>
                  </w:pPr>
                </w:p>
              </w:tc>
              <w:tc>
                <w:tcPr>
                  <w:tcW w:w="2115" w:type="dxa"/>
                  <w:gridSpan w:val="2"/>
                  <w:vAlign w:val="center"/>
                </w:tcPr>
                <w:p w14:paraId="20FD3374">
                  <w:pPr>
                    <w:adjustRightInd w:val="0"/>
                    <w:snapToGrid w:val="0"/>
                    <w:jc w:val="center"/>
                  </w:pPr>
                  <w:r>
                    <w:rPr>
                      <w:rFonts w:hint="eastAsia"/>
                    </w:rPr>
                    <w:t>烟气流量</w:t>
                  </w:r>
                </w:p>
              </w:tc>
              <w:tc>
                <w:tcPr>
                  <w:tcW w:w="851" w:type="dxa"/>
                  <w:vAlign w:val="center"/>
                </w:tcPr>
                <w:p w14:paraId="51D674BC">
                  <w:pPr>
                    <w:adjustRightInd w:val="0"/>
                    <w:snapToGrid w:val="0"/>
                    <w:jc w:val="center"/>
                  </w:pPr>
                  <w:r>
                    <w:rPr>
                      <w:rFonts w:hint="eastAsia"/>
                    </w:rPr>
                    <w:t>m</w:t>
                  </w:r>
                  <w:r>
                    <w:rPr>
                      <w:rFonts w:hint="eastAsia"/>
                      <w:vertAlign w:val="superscript"/>
                    </w:rPr>
                    <w:t>3</w:t>
                  </w:r>
                  <w:r>
                    <w:rPr>
                      <w:rFonts w:hint="eastAsia"/>
                    </w:rPr>
                    <w:t>/h</w:t>
                  </w:r>
                </w:p>
              </w:tc>
              <w:tc>
                <w:tcPr>
                  <w:tcW w:w="992" w:type="dxa"/>
                  <w:vAlign w:val="center"/>
                </w:tcPr>
                <w:p w14:paraId="73658E4A">
                  <w:pPr>
                    <w:jc w:val="center"/>
                  </w:pPr>
                  <w:r>
                    <w:rPr>
                      <w:rFonts w:hint="eastAsia"/>
                    </w:rPr>
                    <w:t>256999</w:t>
                  </w:r>
                </w:p>
              </w:tc>
              <w:tc>
                <w:tcPr>
                  <w:tcW w:w="1134" w:type="dxa"/>
                  <w:vAlign w:val="center"/>
                </w:tcPr>
                <w:p w14:paraId="4FD2A908">
                  <w:pPr>
                    <w:jc w:val="center"/>
                  </w:pPr>
                  <w:r>
                    <w:rPr>
                      <w:rFonts w:hint="eastAsia"/>
                    </w:rPr>
                    <w:t>253882</w:t>
                  </w:r>
                </w:p>
              </w:tc>
              <w:tc>
                <w:tcPr>
                  <w:tcW w:w="1134" w:type="dxa"/>
                  <w:vAlign w:val="center"/>
                </w:tcPr>
                <w:p w14:paraId="58A3C3AC">
                  <w:pPr>
                    <w:jc w:val="center"/>
                  </w:pPr>
                  <w:r>
                    <w:rPr>
                      <w:rFonts w:hint="eastAsia"/>
                    </w:rPr>
                    <w:t>251457</w:t>
                  </w:r>
                </w:p>
              </w:tc>
              <w:tc>
                <w:tcPr>
                  <w:tcW w:w="992" w:type="dxa"/>
                  <w:vAlign w:val="center"/>
                </w:tcPr>
                <w:p w14:paraId="3E48F139">
                  <w:pPr>
                    <w:jc w:val="center"/>
                  </w:pPr>
                  <w:r>
                    <w:rPr>
                      <w:rFonts w:hint="eastAsia"/>
                    </w:rPr>
                    <w:t>254113</w:t>
                  </w:r>
                </w:p>
              </w:tc>
              <w:tc>
                <w:tcPr>
                  <w:tcW w:w="912" w:type="dxa"/>
                  <w:vAlign w:val="center"/>
                </w:tcPr>
                <w:p w14:paraId="280294FC">
                  <w:pPr>
                    <w:adjustRightInd w:val="0"/>
                    <w:snapToGrid w:val="0"/>
                    <w:jc w:val="center"/>
                    <w:textAlignment w:val="center"/>
                    <w:rPr>
                      <w:szCs w:val="21"/>
                    </w:rPr>
                  </w:pPr>
                  <w:r>
                    <w:rPr>
                      <w:rFonts w:hint="eastAsia"/>
                    </w:rPr>
                    <w:t>/</w:t>
                  </w:r>
                </w:p>
              </w:tc>
            </w:tr>
            <w:tr w14:paraId="6D689E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575B9D64">
                  <w:pPr>
                    <w:pStyle w:val="2"/>
                    <w:jc w:val="center"/>
                    <w:rPr>
                      <w:rFonts w:ascii="Times New Roman" w:cs="Times New Roman"/>
                      <w:color w:val="auto"/>
                      <w:sz w:val="21"/>
                    </w:rPr>
                  </w:pPr>
                </w:p>
              </w:tc>
              <w:tc>
                <w:tcPr>
                  <w:tcW w:w="2115" w:type="dxa"/>
                  <w:gridSpan w:val="2"/>
                  <w:vAlign w:val="center"/>
                </w:tcPr>
                <w:p w14:paraId="3ED7679A">
                  <w:pPr>
                    <w:adjustRightInd w:val="0"/>
                    <w:snapToGrid w:val="0"/>
                    <w:jc w:val="center"/>
                  </w:pPr>
                  <w:r>
                    <w:rPr>
                      <w:rFonts w:hint="eastAsia"/>
                    </w:rPr>
                    <w:t>烟气流速</w:t>
                  </w:r>
                </w:p>
              </w:tc>
              <w:tc>
                <w:tcPr>
                  <w:tcW w:w="851" w:type="dxa"/>
                  <w:vAlign w:val="center"/>
                </w:tcPr>
                <w:p w14:paraId="1BE820A5">
                  <w:pPr>
                    <w:adjustRightInd w:val="0"/>
                    <w:snapToGrid w:val="0"/>
                    <w:jc w:val="center"/>
                  </w:pPr>
                  <w:r>
                    <w:rPr>
                      <w:rFonts w:hint="eastAsia"/>
                    </w:rPr>
                    <w:t>m/s</w:t>
                  </w:r>
                </w:p>
              </w:tc>
              <w:tc>
                <w:tcPr>
                  <w:tcW w:w="992" w:type="dxa"/>
                  <w:vAlign w:val="center"/>
                </w:tcPr>
                <w:p w14:paraId="7AC2C645">
                  <w:pPr>
                    <w:jc w:val="center"/>
                  </w:pPr>
                  <w:r>
                    <w:rPr>
                      <w:rFonts w:hint="eastAsia"/>
                    </w:rPr>
                    <w:t>7.42</w:t>
                  </w:r>
                </w:p>
              </w:tc>
              <w:tc>
                <w:tcPr>
                  <w:tcW w:w="1134" w:type="dxa"/>
                  <w:vAlign w:val="center"/>
                </w:tcPr>
                <w:p w14:paraId="69957C5D">
                  <w:pPr>
                    <w:jc w:val="center"/>
                  </w:pPr>
                  <w:r>
                    <w:rPr>
                      <w:rFonts w:hint="eastAsia"/>
                    </w:rPr>
                    <w:t>7.33</w:t>
                  </w:r>
                </w:p>
              </w:tc>
              <w:tc>
                <w:tcPr>
                  <w:tcW w:w="1134" w:type="dxa"/>
                  <w:vAlign w:val="center"/>
                </w:tcPr>
                <w:p w14:paraId="4CA58760">
                  <w:pPr>
                    <w:jc w:val="center"/>
                  </w:pPr>
                  <w:r>
                    <w:rPr>
                      <w:rFonts w:hint="eastAsia"/>
                    </w:rPr>
                    <w:t>7.26</w:t>
                  </w:r>
                </w:p>
              </w:tc>
              <w:tc>
                <w:tcPr>
                  <w:tcW w:w="992" w:type="dxa"/>
                  <w:vAlign w:val="center"/>
                </w:tcPr>
                <w:p w14:paraId="27141AD1">
                  <w:pPr>
                    <w:jc w:val="center"/>
                  </w:pPr>
                  <w:r>
                    <w:rPr>
                      <w:rFonts w:hint="eastAsia"/>
                    </w:rPr>
                    <w:t>7.34</w:t>
                  </w:r>
                </w:p>
              </w:tc>
              <w:tc>
                <w:tcPr>
                  <w:tcW w:w="912" w:type="dxa"/>
                  <w:vAlign w:val="center"/>
                </w:tcPr>
                <w:p w14:paraId="0F57E8B9">
                  <w:pPr>
                    <w:adjustRightInd w:val="0"/>
                    <w:snapToGrid w:val="0"/>
                    <w:jc w:val="center"/>
                    <w:textAlignment w:val="center"/>
                    <w:rPr>
                      <w:szCs w:val="21"/>
                    </w:rPr>
                  </w:pPr>
                  <w:r>
                    <w:rPr>
                      <w:rFonts w:hint="eastAsia"/>
                    </w:rPr>
                    <w:t>/</w:t>
                  </w:r>
                </w:p>
              </w:tc>
            </w:tr>
            <w:tr w14:paraId="6CD6B4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7D5364E6">
                  <w:pPr>
                    <w:pStyle w:val="2"/>
                    <w:jc w:val="center"/>
                    <w:rPr>
                      <w:rFonts w:ascii="Times New Roman" w:cs="Times New Roman"/>
                      <w:color w:val="auto"/>
                      <w:sz w:val="21"/>
                    </w:rPr>
                  </w:pPr>
                </w:p>
              </w:tc>
              <w:tc>
                <w:tcPr>
                  <w:tcW w:w="2115" w:type="dxa"/>
                  <w:gridSpan w:val="2"/>
                  <w:vAlign w:val="center"/>
                </w:tcPr>
                <w:p w14:paraId="3E82D7BC">
                  <w:pPr>
                    <w:adjustRightInd w:val="0"/>
                    <w:snapToGrid w:val="0"/>
                    <w:jc w:val="center"/>
                  </w:pPr>
                  <w:r>
                    <w:rPr>
                      <w:rFonts w:hint="eastAsia"/>
                    </w:rPr>
                    <w:t>烟气温度</w:t>
                  </w:r>
                </w:p>
              </w:tc>
              <w:tc>
                <w:tcPr>
                  <w:tcW w:w="851" w:type="dxa"/>
                  <w:vAlign w:val="center"/>
                </w:tcPr>
                <w:p w14:paraId="644333E8">
                  <w:pPr>
                    <w:adjustRightInd w:val="0"/>
                    <w:snapToGrid w:val="0"/>
                    <w:jc w:val="center"/>
                  </w:pPr>
                  <w:r>
                    <w:rPr>
                      <w:rFonts w:hint="eastAsia"/>
                    </w:rPr>
                    <w:t>℃</w:t>
                  </w:r>
                </w:p>
              </w:tc>
              <w:tc>
                <w:tcPr>
                  <w:tcW w:w="992" w:type="dxa"/>
                  <w:vAlign w:val="center"/>
                </w:tcPr>
                <w:p w14:paraId="39B69C67">
                  <w:pPr>
                    <w:jc w:val="center"/>
                  </w:pPr>
                  <w:r>
                    <w:rPr>
                      <w:rFonts w:hint="eastAsia"/>
                    </w:rPr>
                    <w:t>46.2</w:t>
                  </w:r>
                </w:p>
              </w:tc>
              <w:tc>
                <w:tcPr>
                  <w:tcW w:w="1134" w:type="dxa"/>
                  <w:vAlign w:val="center"/>
                </w:tcPr>
                <w:p w14:paraId="6364A0C9">
                  <w:pPr>
                    <w:jc w:val="center"/>
                  </w:pPr>
                  <w:r>
                    <w:rPr>
                      <w:rFonts w:hint="eastAsia"/>
                    </w:rPr>
                    <w:t>47.4</w:t>
                  </w:r>
                </w:p>
              </w:tc>
              <w:tc>
                <w:tcPr>
                  <w:tcW w:w="1134" w:type="dxa"/>
                  <w:vAlign w:val="center"/>
                </w:tcPr>
                <w:p w14:paraId="122778B6">
                  <w:pPr>
                    <w:jc w:val="center"/>
                  </w:pPr>
                  <w:r>
                    <w:rPr>
                      <w:rFonts w:hint="eastAsia"/>
                    </w:rPr>
                    <w:t>44.7</w:t>
                  </w:r>
                </w:p>
              </w:tc>
              <w:tc>
                <w:tcPr>
                  <w:tcW w:w="992" w:type="dxa"/>
                  <w:vAlign w:val="center"/>
                </w:tcPr>
                <w:p w14:paraId="4D6743CE">
                  <w:pPr>
                    <w:jc w:val="center"/>
                  </w:pPr>
                  <w:r>
                    <w:rPr>
                      <w:rFonts w:hint="eastAsia"/>
                    </w:rPr>
                    <w:t>46.1</w:t>
                  </w:r>
                </w:p>
              </w:tc>
              <w:tc>
                <w:tcPr>
                  <w:tcW w:w="912" w:type="dxa"/>
                  <w:vAlign w:val="center"/>
                </w:tcPr>
                <w:p w14:paraId="728E86ED">
                  <w:pPr>
                    <w:adjustRightInd w:val="0"/>
                    <w:snapToGrid w:val="0"/>
                    <w:jc w:val="center"/>
                    <w:textAlignment w:val="center"/>
                    <w:rPr>
                      <w:szCs w:val="21"/>
                    </w:rPr>
                  </w:pPr>
                  <w:r>
                    <w:rPr>
                      <w:rFonts w:hint="eastAsia"/>
                      <w:szCs w:val="21"/>
                    </w:rPr>
                    <w:t>/</w:t>
                  </w:r>
                </w:p>
              </w:tc>
            </w:tr>
            <w:tr w14:paraId="568D0C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719B98E9">
                  <w:pPr>
                    <w:pStyle w:val="2"/>
                    <w:jc w:val="center"/>
                    <w:rPr>
                      <w:rFonts w:ascii="Times New Roman" w:cs="Times New Roman"/>
                      <w:color w:val="auto"/>
                      <w:sz w:val="21"/>
                    </w:rPr>
                  </w:pPr>
                </w:p>
              </w:tc>
              <w:tc>
                <w:tcPr>
                  <w:tcW w:w="2115" w:type="dxa"/>
                  <w:gridSpan w:val="2"/>
                  <w:vAlign w:val="center"/>
                </w:tcPr>
                <w:p w14:paraId="0D11F2BA">
                  <w:pPr>
                    <w:adjustRightInd w:val="0"/>
                    <w:snapToGrid w:val="0"/>
                    <w:jc w:val="center"/>
                  </w:pPr>
                  <w:r>
                    <w:rPr>
                      <w:rFonts w:hint="eastAsia"/>
                    </w:rPr>
                    <w:t>烟气湿度</w:t>
                  </w:r>
                </w:p>
              </w:tc>
              <w:tc>
                <w:tcPr>
                  <w:tcW w:w="851" w:type="dxa"/>
                  <w:vAlign w:val="center"/>
                </w:tcPr>
                <w:p w14:paraId="55831A9F">
                  <w:pPr>
                    <w:adjustRightInd w:val="0"/>
                    <w:snapToGrid w:val="0"/>
                    <w:jc w:val="center"/>
                  </w:pPr>
                  <w:r>
                    <w:rPr>
                      <w:rFonts w:hint="eastAsia"/>
                    </w:rPr>
                    <w:t>%</w:t>
                  </w:r>
                </w:p>
              </w:tc>
              <w:tc>
                <w:tcPr>
                  <w:tcW w:w="992" w:type="dxa"/>
                  <w:vAlign w:val="center"/>
                </w:tcPr>
                <w:p w14:paraId="105DC0B7">
                  <w:pPr>
                    <w:jc w:val="center"/>
                  </w:pPr>
                  <w:r>
                    <w:rPr>
                      <w:rFonts w:hint="eastAsia"/>
                    </w:rPr>
                    <w:t>2.1</w:t>
                  </w:r>
                </w:p>
              </w:tc>
              <w:tc>
                <w:tcPr>
                  <w:tcW w:w="1134" w:type="dxa"/>
                  <w:vAlign w:val="center"/>
                </w:tcPr>
                <w:p w14:paraId="131C2DCD">
                  <w:pPr>
                    <w:jc w:val="center"/>
                  </w:pPr>
                  <w:r>
                    <w:rPr>
                      <w:rFonts w:hint="eastAsia"/>
                    </w:rPr>
                    <w:t>2.1</w:t>
                  </w:r>
                </w:p>
              </w:tc>
              <w:tc>
                <w:tcPr>
                  <w:tcW w:w="1134" w:type="dxa"/>
                  <w:vAlign w:val="center"/>
                </w:tcPr>
                <w:p w14:paraId="03D50175">
                  <w:pPr>
                    <w:jc w:val="center"/>
                  </w:pPr>
                  <w:r>
                    <w:rPr>
                      <w:rFonts w:hint="eastAsia"/>
                    </w:rPr>
                    <w:t>2.1</w:t>
                  </w:r>
                </w:p>
              </w:tc>
              <w:tc>
                <w:tcPr>
                  <w:tcW w:w="992" w:type="dxa"/>
                  <w:vAlign w:val="center"/>
                </w:tcPr>
                <w:p w14:paraId="5082681F">
                  <w:pPr>
                    <w:jc w:val="center"/>
                  </w:pPr>
                  <w:r>
                    <w:rPr>
                      <w:rFonts w:hint="eastAsia"/>
                    </w:rPr>
                    <w:t>2.1</w:t>
                  </w:r>
                </w:p>
              </w:tc>
              <w:tc>
                <w:tcPr>
                  <w:tcW w:w="912" w:type="dxa"/>
                  <w:vAlign w:val="center"/>
                </w:tcPr>
                <w:p w14:paraId="2DB1DBBA">
                  <w:pPr>
                    <w:adjustRightInd w:val="0"/>
                    <w:snapToGrid w:val="0"/>
                    <w:jc w:val="center"/>
                    <w:textAlignment w:val="center"/>
                    <w:rPr>
                      <w:szCs w:val="21"/>
                    </w:rPr>
                  </w:pPr>
                  <w:r>
                    <w:rPr>
                      <w:rFonts w:hint="eastAsia"/>
                    </w:rPr>
                    <w:t>/</w:t>
                  </w:r>
                </w:p>
              </w:tc>
            </w:tr>
            <w:tr w14:paraId="0745F1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61" w:type="dxa"/>
                  <w:vMerge w:val="continue"/>
                  <w:vAlign w:val="center"/>
                </w:tcPr>
                <w:p w14:paraId="0B1B1BBB">
                  <w:pPr>
                    <w:pStyle w:val="2"/>
                    <w:jc w:val="center"/>
                    <w:rPr>
                      <w:rFonts w:ascii="Times New Roman" w:cs="Times New Roman"/>
                      <w:color w:val="auto"/>
                      <w:sz w:val="21"/>
                    </w:rPr>
                  </w:pPr>
                </w:p>
              </w:tc>
              <w:tc>
                <w:tcPr>
                  <w:tcW w:w="2115" w:type="dxa"/>
                  <w:gridSpan w:val="2"/>
                  <w:vAlign w:val="center"/>
                </w:tcPr>
                <w:p w14:paraId="1FF50FF1">
                  <w:pPr>
                    <w:adjustRightInd w:val="0"/>
                    <w:snapToGrid w:val="0"/>
                    <w:jc w:val="center"/>
                  </w:pPr>
                  <w:r>
                    <w:rPr>
                      <w:rFonts w:hint="eastAsia"/>
                    </w:rPr>
                    <w:t>颗粒物</w:t>
                  </w:r>
                </w:p>
              </w:tc>
              <w:tc>
                <w:tcPr>
                  <w:tcW w:w="851" w:type="dxa"/>
                  <w:vAlign w:val="center"/>
                </w:tcPr>
                <w:p w14:paraId="696CBC18">
                  <w:pPr>
                    <w:adjustRightInd w:val="0"/>
                    <w:snapToGrid w:val="0"/>
                    <w:jc w:val="center"/>
                  </w:pPr>
                  <w:r>
                    <w:t>mg/m</w:t>
                  </w:r>
                  <w:r>
                    <w:rPr>
                      <w:rFonts w:hint="eastAsia"/>
                      <w:vertAlign w:val="superscript"/>
                    </w:rPr>
                    <w:t>3</w:t>
                  </w:r>
                </w:p>
              </w:tc>
              <w:tc>
                <w:tcPr>
                  <w:tcW w:w="992" w:type="dxa"/>
                  <w:vAlign w:val="center"/>
                </w:tcPr>
                <w:p w14:paraId="1BFA0454">
                  <w:pPr>
                    <w:jc w:val="center"/>
                  </w:pPr>
                  <w:r>
                    <w:rPr>
                      <w:rFonts w:hint="eastAsia"/>
                    </w:rPr>
                    <w:t>1.1</w:t>
                  </w:r>
                </w:p>
              </w:tc>
              <w:tc>
                <w:tcPr>
                  <w:tcW w:w="1134" w:type="dxa"/>
                  <w:vAlign w:val="center"/>
                </w:tcPr>
                <w:p w14:paraId="42908FA7">
                  <w:pPr>
                    <w:jc w:val="center"/>
                  </w:pPr>
                  <w:r>
                    <w:rPr>
                      <w:rFonts w:hint="eastAsia"/>
                    </w:rPr>
                    <w:t>1.1</w:t>
                  </w:r>
                </w:p>
              </w:tc>
              <w:tc>
                <w:tcPr>
                  <w:tcW w:w="1134" w:type="dxa"/>
                  <w:vAlign w:val="center"/>
                </w:tcPr>
                <w:p w14:paraId="351F89DF">
                  <w:pPr>
                    <w:jc w:val="center"/>
                  </w:pPr>
                  <w:r>
                    <w:rPr>
                      <w:rFonts w:hint="eastAsia"/>
                    </w:rPr>
                    <w:t>1.3</w:t>
                  </w:r>
                </w:p>
              </w:tc>
              <w:tc>
                <w:tcPr>
                  <w:tcW w:w="992" w:type="dxa"/>
                  <w:vAlign w:val="center"/>
                </w:tcPr>
                <w:p w14:paraId="392DA9FD">
                  <w:pPr>
                    <w:jc w:val="center"/>
                  </w:pPr>
                  <w:r>
                    <w:rPr>
                      <w:rFonts w:hint="eastAsia"/>
                    </w:rPr>
                    <w:t>1.2</w:t>
                  </w:r>
                </w:p>
              </w:tc>
              <w:tc>
                <w:tcPr>
                  <w:tcW w:w="912" w:type="dxa"/>
                  <w:vAlign w:val="center"/>
                </w:tcPr>
                <w:p w14:paraId="382C32B3">
                  <w:pPr>
                    <w:adjustRightInd w:val="0"/>
                    <w:snapToGrid w:val="0"/>
                    <w:jc w:val="center"/>
                    <w:textAlignment w:val="center"/>
                  </w:pPr>
                  <w:r>
                    <w:rPr>
                      <w:rFonts w:hint="eastAsia"/>
                    </w:rPr>
                    <w:t>20</w:t>
                  </w:r>
                </w:p>
              </w:tc>
            </w:tr>
          </w:tbl>
          <w:p w14:paraId="3B86414F">
            <w:pPr>
              <w:pStyle w:val="2"/>
              <w:spacing w:line="360" w:lineRule="auto"/>
              <w:ind w:firstLine="480" w:firstLineChars="200"/>
              <w:jc w:val="both"/>
              <w:rPr>
                <w:rFonts w:ascii="Times New Roman" w:cs="Times New Roman"/>
              </w:rPr>
            </w:pPr>
            <w:r>
              <w:rPr>
                <w:rFonts w:hint="eastAsia" w:ascii="Times New Roman" w:cs="Times New Roman"/>
              </w:rPr>
              <w:t>由上表可知，现有工程加热炉废气有组织废气排放满足《轧钢工业大气污染物排放标准》（GB28665-2012）表2及修改清单中限值要求。热处理炉废气排放满足《轧钢工业大气污染物排放标准》（GB28665-2012）中表2及其修改清单中限值要求。废气排放满足《轧钢工业大气污染物排放标准》（GB28665-2012）中表2中热轧精轧机限值。</w:t>
            </w:r>
          </w:p>
          <w:p w14:paraId="4FF6B886">
            <w:pPr>
              <w:pStyle w:val="2"/>
              <w:spacing w:line="360" w:lineRule="auto"/>
              <w:ind w:firstLine="480" w:firstLineChars="200"/>
              <w:jc w:val="both"/>
              <w:rPr>
                <w:rFonts w:ascii="Times New Roman" w:cs="Times New Roman"/>
              </w:rPr>
            </w:pPr>
            <w:r>
              <w:rPr>
                <w:rFonts w:hint="eastAsia" w:ascii="Times New Roman" w:cs="Times New Roman"/>
              </w:rPr>
              <w:t>（2）无组织废气</w:t>
            </w:r>
          </w:p>
          <w:p w14:paraId="26D6439D">
            <w:pPr>
              <w:pStyle w:val="2"/>
              <w:spacing w:line="360" w:lineRule="auto"/>
              <w:ind w:firstLine="480" w:firstLineChars="200"/>
              <w:rPr>
                <w:rFonts w:ascii="Times New Roman" w:cs="Times New Roman"/>
              </w:rPr>
            </w:pPr>
            <w:r>
              <w:rPr>
                <w:rFonts w:hint="eastAsia" w:ascii="Times New Roman" w:cs="Times New Roman"/>
              </w:rPr>
              <w:t>根据衡阳华菱钢管有限公司89分厂2024年第二季度自行监测报告（报告编号：HYZA-HJC-2404238）厂界无组织监测结果，89分厂厂界颗粒物浓度为0.134～0.387mg/m</w:t>
            </w:r>
            <w:r>
              <w:rPr>
                <w:rFonts w:hint="eastAsia" w:ascii="Times New Roman" w:cs="Times New Roman"/>
                <w:vertAlign w:val="superscript"/>
              </w:rPr>
              <w:t>3</w:t>
            </w:r>
            <w:r>
              <w:rPr>
                <w:rFonts w:hint="eastAsia" w:ascii="Times New Roman" w:cs="Times New Roman"/>
              </w:rPr>
              <w:t>，满足《轧钢工业大气污染物排放标准》（GB28665-2012）中表4大气污染物无组织排放限值（5.0mg/m</w:t>
            </w:r>
            <w:r>
              <w:rPr>
                <w:rFonts w:hint="eastAsia" w:ascii="Times New Roman" w:cs="Times New Roman"/>
                <w:vertAlign w:val="superscript"/>
              </w:rPr>
              <w:t>3</w:t>
            </w:r>
            <w:r>
              <w:rPr>
                <w:rFonts w:hint="eastAsia" w:ascii="Times New Roman" w:cs="Times New Roman"/>
              </w:rPr>
              <w:t>）要求。</w:t>
            </w:r>
          </w:p>
          <w:p w14:paraId="356D7D3F">
            <w:pPr>
              <w:spacing w:line="360" w:lineRule="auto"/>
              <w:ind w:firstLine="482" w:firstLineChars="200"/>
              <w:jc w:val="left"/>
              <w:rPr>
                <w:b/>
                <w:sz w:val="24"/>
              </w:rPr>
            </w:pPr>
            <w:r>
              <w:rPr>
                <w:rFonts w:hint="eastAsia"/>
                <w:b/>
                <w:sz w:val="24"/>
              </w:rPr>
              <w:t>3、噪声</w:t>
            </w:r>
          </w:p>
          <w:p w14:paraId="4A502FF2">
            <w:pPr>
              <w:pStyle w:val="2"/>
              <w:spacing w:line="360" w:lineRule="auto"/>
              <w:ind w:firstLine="480" w:firstLineChars="200"/>
              <w:rPr>
                <w:rFonts w:ascii="Times New Roman" w:cs="Times New Roman"/>
              </w:rPr>
            </w:pPr>
            <w:r>
              <w:rPr>
                <w:rFonts w:hint="eastAsia" w:ascii="Times New Roman" w:cs="Times New Roman"/>
              </w:rPr>
              <w:t>现有工程噪声主要为主要噪声源来生产设备噪声，以及通风除尘机械、水处理系统各风机、泵等设备在运转过程中产生的噪声。主要通过减震基础、消声器、隔声门窗等措施控制噪声。根据2023年7月26日衡阳华菱连轧管有限公司委托湖南中雁环保科技有限公司对本项目厂界的监测数据，监测结果如下。</w:t>
            </w:r>
          </w:p>
          <w:p w14:paraId="73C5007A">
            <w:pPr>
              <w:pStyle w:val="2"/>
              <w:spacing w:beforeLines="50"/>
              <w:jc w:val="center"/>
              <w:rPr>
                <w:rFonts w:ascii="Times New Roman"/>
                <w:b/>
                <w:color w:val="auto"/>
                <w:sz w:val="21"/>
              </w:rPr>
            </w:pPr>
            <w:r>
              <w:rPr>
                <w:rFonts w:hint="eastAsia" w:ascii="Times New Roman"/>
                <w:b/>
                <w:color w:val="auto"/>
                <w:sz w:val="21"/>
              </w:rPr>
              <w:t>表2-16  现有工程厂界噪声监测结果一览表</w:t>
            </w:r>
          </w:p>
          <w:tbl>
            <w:tblPr>
              <w:tblStyle w:val="32"/>
              <w:tblW w:w="929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22"/>
              <w:gridCol w:w="2323"/>
              <w:gridCol w:w="2323"/>
              <w:gridCol w:w="2323"/>
            </w:tblGrid>
            <w:tr w14:paraId="19DDC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22" w:type="dxa"/>
                  <w:vAlign w:val="center"/>
                </w:tcPr>
                <w:p w14:paraId="47DAC459">
                  <w:pPr>
                    <w:pStyle w:val="2"/>
                    <w:jc w:val="center"/>
                    <w:rPr>
                      <w:rFonts w:ascii="Times New Roman" w:cs="Times New Roman"/>
                      <w:b/>
                      <w:sz w:val="21"/>
                      <w:szCs w:val="21"/>
                    </w:rPr>
                  </w:pPr>
                  <w:r>
                    <w:rPr>
                      <w:rFonts w:ascii="Times New Roman" w:cs="Times New Roman"/>
                      <w:b/>
                      <w:sz w:val="21"/>
                      <w:szCs w:val="21"/>
                    </w:rPr>
                    <w:t>监测点位</w:t>
                  </w:r>
                </w:p>
              </w:tc>
              <w:tc>
                <w:tcPr>
                  <w:tcW w:w="2323" w:type="dxa"/>
                  <w:vAlign w:val="center"/>
                </w:tcPr>
                <w:p w14:paraId="2372DF69">
                  <w:pPr>
                    <w:pStyle w:val="2"/>
                    <w:jc w:val="center"/>
                    <w:rPr>
                      <w:rFonts w:ascii="Times New Roman" w:cs="Times New Roman"/>
                      <w:b/>
                      <w:sz w:val="21"/>
                      <w:szCs w:val="21"/>
                    </w:rPr>
                  </w:pPr>
                  <w:r>
                    <w:rPr>
                      <w:rFonts w:ascii="Times New Roman" w:cs="Times New Roman"/>
                      <w:b/>
                      <w:sz w:val="21"/>
                      <w:szCs w:val="21"/>
                    </w:rPr>
                    <w:t>监测项目</w:t>
                  </w:r>
                </w:p>
              </w:tc>
              <w:tc>
                <w:tcPr>
                  <w:tcW w:w="2323" w:type="dxa"/>
                  <w:vAlign w:val="center"/>
                </w:tcPr>
                <w:p w14:paraId="59E9240B">
                  <w:pPr>
                    <w:pStyle w:val="2"/>
                    <w:jc w:val="center"/>
                    <w:rPr>
                      <w:rFonts w:ascii="Times New Roman" w:cs="Times New Roman"/>
                      <w:b/>
                      <w:sz w:val="21"/>
                      <w:szCs w:val="21"/>
                    </w:rPr>
                  </w:pPr>
                  <w:r>
                    <w:rPr>
                      <w:rFonts w:ascii="Times New Roman" w:cs="Times New Roman"/>
                      <w:b/>
                      <w:sz w:val="21"/>
                      <w:szCs w:val="21"/>
                    </w:rPr>
                    <w:t>昼间</w:t>
                  </w:r>
                </w:p>
              </w:tc>
              <w:tc>
                <w:tcPr>
                  <w:tcW w:w="2323" w:type="dxa"/>
                  <w:vAlign w:val="center"/>
                </w:tcPr>
                <w:p w14:paraId="59B24217">
                  <w:pPr>
                    <w:pStyle w:val="2"/>
                    <w:jc w:val="center"/>
                    <w:rPr>
                      <w:rFonts w:ascii="Times New Roman" w:cs="Times New Roman"/>
                      <w:b/>
                      <w:sz w:val="21"/>
                      <w:szCs w:val="21"/>
                    </w:rPr>
                  </w:pPr>
                  <w:r>
                    <w:rPr>
                      <w:rFonts w:ascii="Times New Roman" w:cs="Times New Roman"/>
                      <w:b/>
                      <w:sz w:val="21"/>
                      <w:szCs w:val="21"/>
                    </w:rPr>
                    <w:t>夜间</w:t>
                  </w:r>
                </w:p>
              </w:tc>
            </w:tr>
            <w:tr w14:paraId="50C04E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22" w:type="dxa"/>
                  <w:vAlign w:val="center"/>
                </w:tcPr>
                <w:p w14:paraId="05E74898">
                  <w:pPr>
                    <w:pStyle w:val="2"/>
                    <w:jc w:val="center"/>
                    <w:rPr>
                      <w:rFonts w:ascii="Times New Roman" w:cs="Times New Roman"/>
                      <w:sz w:val="21"/>
                      <w:szCs w:val="21"/>
                    </w:rPr>
                  </w:pPr>
                  <w:r>
                    <w:rPr>
                      <w:rFonts w:ascii="Times New Roman" w:cs="Times New Roman"/>
                      <w:sz w:val="21"/>
                      <w:szCs w:val="21"/>
                    </w:rPr>
                    <w:t>项目东侧厂界外</w:t>
                  </w:r>
                  <w:r>
                    <w:rPr>
                      <w:rFonts w:hint="eastAsia" w:ascii="Times New Roman" w:cs="Times New Roman"/>
                      <w:sz w:val="21"/>
                      <w:szCs w:val="21"/>
                    </w:rPr>
                    <w:t>1m</w:t>
                  </w:r>
                </w:p>
              </w:tc>
              <w:tc>
                <w:tcPr>
                  <w:tcW w:w="2323" w:type="dxa"/>
                  <w:vMerge w:val="restart"/>
                  <w:vAlign w:val="center"/>
                </w:tcPr>
                <w:p w14:paraId="08C96790">
                  <w:pPr>
                    <w:pStyle w:val="2"/>
                    <w:jc w:val="center"/>
                    <w:rPr>
                      <w:rFonts w:ascii="Times New Roman" w:cs="Times New Roman"/>
                      <w:sz w:val="21"/>
                      <w:szCs w:val="21"/>
                    </w:rPr>
                  </w:pPr>
                  <w:r>
                    <w:rPr>
                      <w:rFonts w:hint="eastAsia" w:ascii="Times New Roman" w:cs="Times New Roman"/>
                      <w:sz w:val="21"/>
                      <w:szCs w:val="21"/>
                    </w:rPr>
                    <w:t>等效连续A声级</w:t>
                  </w:r>
                </w:p>
              </w:tc>
              <w:tc>
                <w:tcPr>
                  <w:tcW w:w="2323" w:type="dxa"/>
                  <w:vAlign w:val="center"/>
                </w:tcPr>
                <w:p w14:paraId="19340DD1">
                  <w:pPr>
                    <w:pStyle w:val="2"/>
                    <w:jc w:val="center"/>
                    <w:rPr>
                      <w:rFonts w:ascii="Times New Roman" w:cs="Times New Roman"/>
                      <w:sz w:val="21"/>
                      <w:szCs w:val="21"/>
                    </w:rPr>
                  </w:pPr>
                  <w:r>
                    <w:rPr>
                      <w:rFonts w:hint="eastAsia" w:ascii="Times New Roman" w:cs="Times New Roman"/>
                      <w:sz w:val="21"/>
                      <w:szCs w:val="21"/>
                    </w:rPr>
                    <w:t>56</w:t>
                  </w:r>
                </w:p>
              </w:tc>
              <w:tc>
                <w:tcPr>
                  <w:tcW w:w="2323" w:type="dxa"/>
                  <w:vAlign w:val="center"/>
                </w:tcPr>
                <w:p w14:paraId="22475811">
                  <w:pPr>
                    <w:pStyle w:val="2"/>
                    <w:jc w:val="center"/>
                    <w:rPr>
                      <w:rFonts w:ascii="Times New Roman" w:cs="Times New Roman"/>
                      <w:sz w:val="21"/>
                      <w:szCs w:val="21"/>
                    </w:rPr>
                  </w:pPr>
                  <w:r>
                    <w:rPr>
                      <w:rFonts w:hint="eastAsia" w:ascii="Times New Roman" w:cs="Times New Roman"/>
                      <w:sz w:val="21"/>
                      <w:szCs w:val="21"/>
                    </w:rPr>
                    <w:t>46</w:t>
                  </w:r>
                </w:p>
              </w:tc>
            </w:tr>
            <w:tr w14:paraId="1C694F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22" w:type="dxa"/>
                  <w:vAlign w:val="center"/>
                </w:tcPr>
                <w:p w14:paraId="6BD557A9">
                  <w:pPr>
                    <w:pStyle w:val="2"/>
                    <w:jc w:val="center"/>
                    <w:rPr>
                      <w:rFonts w:ascii="Times New Roman" w:cs="Times New Roman"/>
                      <w:sz w:val="21"/>
                      <w:szCs w:val="21"/>
                    </w:rPr>
                  </w:pPr>
                  <w:r>
                    <w:rPr>
                      <w:rFonts w:ascii="Times New Roman" w:cs="Times New Roman"/>
                      <w:sz w:val="21"/>
                      <w:szCs w:val="21"/>
                    </w:rPr>
                    <w:t>项目南侧厂界外</w:t>
                  </w:r>
                  <w:r>
                    <w:rPr>
                      <w:rFonts w:hint="eastAsia" w:ascii="Times New Roman" w:cs="Times New Roman"/>
                      <w:sz w:val="21"/>
                      <w:szCs w:val="21"/>
                    </w:rPr>
                    <w:t>1m</w:t>
                  </w:r>
                </w:p>
              </w:tc>
              <w:tc>
                <w:tcPr>
                  <w:tcW w:w="2323" w:type="dxa"/>
                  <w:vMerge w:val="continue"/>
                  <w:vAlign w:val="center"/>
                </w:tcPr>
                <w:p w14:paraId="7C780852">
                  <w:pPr>
                    <w:pStyle w:val="2"/>
                    <w:jc w:val="center"/>
                    <w:rPr>
                      <w:rFonts w:ascii="Times New Roman" w:cs="Times New Roman"/>
                      <w:sz w:val="21"/>
                      <w:szCs w:val="21"/>
                    </w:rPr>
                  </w:pPr>
                </w:p>
              </w:tc>
              <w:tc>
                <w:tcPr>
                  <w:tcW w:w="2323" w:type="dxa"/>
                  <w:vAlign w:val="center"/>
                </w:tcPr>
                <w:p w14:paraId="1A777E07">
                  <w:pPr>
                    <w:pStyle w:val="2"/>
                    <w:jc w:val="center"/>
                    <w:rPr>
                      <w:rFonts w:ascii="Times New Roman" w:cs="Times New Roman"/>
                      <w:sz w:val="21"/>
                      <w:szCs w:val="21"/>
                    </w:rPr>
                  </w:pPr>
                  <w:r>
                    <w:rPr>
                      <w:rFonts w:hint="eastAsia" w:ascii="Times New Roman" w:cs="Times New Roman"/>
                      <w:sz w:val="21"/>
                      <w:szCs w:val="21"/>
                    </w:rPr>
                    <w:t>56</w:t>
                  </w:r>
                </w:p>
              </w:tc>
              <w:tc>
                <w:tcPr>
                  <w:tcW w:w="2323" w:type="dxa"/>
                  <w:vAlign w:val="center"/>
                </w:tcPr>
                <w:p w14:paraId="78672D2F">
                  <w:pPr>
                    <w:pStyle w:val="2"/>
                    <w:jc w:val="center"/>
                    <w:rPr>
                      <w:rFonts w:ascii="Times New Roman" w:cs="Times New Roman"/>
                      <w:sz w:val="21"/>
                      <w:szCs w:val="21"/>
                    </w:rPr>
                  </w:pPr>
                  <w:r>
                    <w:rPr>
                      <w:rFonts w:hint="eastAsia" w:ascii="Times New Roman" w:cs="Times New Roman"/>
                      <w:sz w:val="21"/>
                      <w:szCs w:val="21"/>
                    </w:rPr>
                    <w:t>46</w:t>
                  </w:r>
                </w:p>
              </w:tc>
            </w:tr>
            <w:tr w14:paraId="46D440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22" w:type="dxa"/>
                  <w:vAlign w:val="center"/>
                </w:tcPr>
                <w:p w14:paraId="5D28D280">
                  <w:pPr>
                    <w:pStyle w:val="2"/>
                    <w:jc w:val="center"/>
                    <w:rPr>
                      <w:rFonts w:ascii="Times New Roman" w:cs="Times New Roman"/>
                      <w:sz w:val="21"/>
                      <w:szCs w:val="21"/>
                    </w:rPr>
                  </w:pPr>
                  <w:r>
                    <w:rPr>
                      <w:rFonts w:ascii="Times New Roman" w:cs="Times New Roman"/>
                      <w:sz w:val="21"/>
                      <w:szCs w:val="21"/>
                    </w:rPr>
                    <w:t>项目西侧厂界外</w:t>
                  </w:r>
                  <w:r>
                    <w:rPr>
                      <w:rFonts w:hint="eastAsia" w:ascii="Times New Roman" w:cs="Times New Roman"/>
                      <w:sz w:val="21"/>
                      <w:szCs w:val="21"/>
                    </w:rPr>
                    <w:t>1m</w:t>
                  </w:r>
                </w:p>
              </w:tc>
              <w:tc>
                <w:tcPr>
                  <w:tcW w:w="2323" w:type="dxa"/>
                  <w:vMerge w:val="continue"/>
                  <w:vAlign w:val="center"/>
                </w:tcPr>
                <w:p w14:paraId="5EA43E58">
                  <w:pPr>
                    <w:pStyle w:val="2"/>
                    <w:jc w:val="center"/>
                    <w:rPr>
                      <w:rFonts w:ascii="Times New Roman" w:cs="Times New Roman"/>
                      <w:sz w:val="21"/>
                      <w:szCs w:val="21"/>
                    </w:rPr>
                  </w:pPr>
                </w:p>
              </w:tc>
              <w:tc>
                <w:tcPr>
                  <w:tcW w:w="2323" w:type="dxa"/>
                  <w:vAlign w:val="center"/>
                </w:tcPr>
                <w:p w14:paraId="6990880B">
                  <w:pPr>
                    <w:pStyle w:val="2"/>
                    <w:jc w:val="center"/>
                    <w:rPr>
                      <w:rFonts w:ascii="Times New Roman" w:cs="Times New Roman"/>
                      <w:sz w:val="21"/>
                      <w:szCs w:val="21"/>
                    </w:rPr>
                  </w:pPr>
                  <w:r>
                    <w:rPr>
                      <w:rFonts w:hint="eastAsia" w:ascii="Times New Roman" w:cs="Times New Roman"/>
                      <w:sz w:val="21"/>
                      <w:szCs w:val="21"/>
                    </w:rPr>
                    <w:t>58</w:t>
                  </w:r>
                </w:p>
              </w:tc>
              <w:tc>
                <w:tcPr>
                  <w:tcW w:w="2323" w:type="dxa"/>
                  <w:vAlign w:val="center"/>
                </w:tcPr>
                <w:p w14:paraId="04C86991">
                  <w:pPr>
                    <w:pStyle w:val="2"/>
                    <w:jc w:val="center"/>
                    <w:rPr>
                      <w:rFonts w:ascii="Times New Roman" w:cs="Times New Roman"/>
                      <w:sz w:val="21"/>
                      <w:szCs w:val="21"/>
                    </w:rPr>
                  </w:pPr>
                  <w:r>
                    <w:rPr>
                      <w:rFonts w:hint="eastAsia" w:ascii="Times New Roman" w:cs="Times New Roman"/>
                      <w:sz w:val="21"/>
                      <w:szCs w:val="21"/>
                    </w:rPr>
                    <w:t>48</w:t>
                  </w:r>
                </w:p>
              </w:tc>
            </w:tr>
            <w:tr w14:paraId="62D60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22" w:type="dxa"/>
                  <w:vAlign w:val="center"/>
                </w:tcPr>
                <w:p w14:paraId="2A821B6B">
                  <w:pPr>
                    <w:pStyle w:val="2"/>
                    <w:jc w:val="center"/>
                    <w:rPr>
                      <w:rFonts w:ascii="Times New Roman" w:cs="Times New Roman"/>
                      <w:sz w:val="21"/>
                      <w:szCs w:val="21"/>
                    </w:rPr>
                  </w:pPr>
                  <w:r>
                    <w:rPr>
                      <w:rFonts w:ascii="Times New Roman" w:cs="Times New Roman"/>
                      <w:sz w:val="21"/>
                      <w:szCs w:val="21"/>
                    </w:rPr>
                    <w:t>项目北侧厂界外</w:t>
                  </w:r>
                  <w:r>
                    <w:rPr>
                      <w:rFonts w:hint="eastAsia" w:ascii="Times New Roman" w:cs="Times New Roman"/>
                      <w:sz w:val="21"/>
                      <w:szCs w:val="21"/>
                    </w:rPr>
                    <w:t>1m</w:t>
                  </w:r>
                </w:p>
              </w:tc>
              <w:tc>
                <w:tcPr>
                  <w:tcW w:w="2323" w:type="dxa"/>
                  <w:vMerge w:val="continue"/>
                  <w:vAlign w:val="center"/>
                </w:tcPr>
                <w:p w14:paraId="2C01E494">
                  <w:pPr>
                    <w:pStyle w:val="2"/>
                    <w:jc w:val="center"/>
                    <w:rPr>
                      <w:rFonts w:ascii="Times New Roman" w:cs="Times New Roman"/>
                      <w:sz w:val="21"/>
                      <w:szCs w:val="21"/>
                    </w:rPr>
                  </w:pPr>
                </w:p>
              </w:tc>
              <w:tc>
                <w:tcPr>
                  <w:tcW w:w="2323" w:type="dxa"/>
                  <w:vAlign w:val="center"/>
                </w:tcPr>
                <w:p w14:paraId="64B3CA1B">
                  <w:pPr>
                    <w:pStyle w:val="2"/>
                    <w:jc w:val="center"/>
                    <w:rPr>
                      <w:rFonts w:ascii="Times New Roman" w:cs="Times New Roman"/>
                      <w:sz w:val="21"/>
                      <w:szCs w:val="21"/>
                    </w:rPr>
                  </w:pPr>
                  <w:r>
                    <w:rPr>
                      <w:rFonts w:hint="eastAsia" w:ascii="Times New Roman" w:cs="Times New Roman"/>
                      <w:sz w:val="21"/>
                      <w:szCs w:val="21"/>
                    </w:rPr>
                    <w:t>57</w:t>
                  </w:r>
                </w:p>
              </w:tc>
              <w:tc>
                <w:tcPr>
                  <w:tcW w:w="2323" w:type="dxa"/>
                  <w:vAlign w:val="center"/>
                </w:tcPr>
                <w:p w14:paraId="541E848F">
                  <w:pPr>
                    <w:pStyle w:val="2"/>
                    <w:jc w:val="center"/>
                    <w:rPr>
                      <w:rFonts w:ascii="Times New Roman" w:cs="Times New Roman"/>
                      <w:sz w:val="21"/>
                      <w:szCs w:val="21"/>
                    </w:rPr>
                  </w:pPr>
                  <w:r>
                    <w:rPr>
                      <w:rFonts w:hint="eastAsia" w:ascii="Times New Roman" w:cs="Times New Roman"/>
                      <w:sz w:val="21"/>
                      <w:szCs w:val="21"/>
                    </w:rPr>
                    <w:t>47</w:t>
                  </w:r>
                </w:p>
              </w:tc>
            </w:tr>
            <w:tr w14:paraId="5014E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22" w:type="dxa"/>
                  <w:vAlign w:val="center"/>
                </w:tcPr>
                <w:p w14:paraId="6DBD15EF">
                  <w:pPr>
                    <w:pStyle w:val="2"/>
                    <w:jc w:val="center"/>
                    <w:rPr>
                      <w:rFonts w:ascii="Times New Roman" w:cs="Times New Roman"/>
                      <w:sz w:val="21"/>
                      <w:szCs w:val="21"/>
                    </w:rPr>
                  </w:pPr>
                  <w:r>
                    <w:rPr>
                      <w:rFonts w:hint="eastAsia" w:ascii="Times New Roman" w:cs="Times New Roman"/>
                      <w:sz w:val="21"/>
                      <w:szCs w:val="21"/>
                    </w:rPr>
                    <w:t>GB12348-2008)中的3类标准</w:t>
                  </w:r>
                </w:p>
              </w:tc>
              <w:tc>
                <w:tcPr>
                  <w:tcW w:w="2323" w:type="dxa"/>
                  <w:vMerge w:val="continue"/>
                  <w:vAlign w:val="center"/>
                </w:tcPr>
                <w:p w14:paraId="5EDE46EC">
                  <w:pPr>
                    <w:pStyle w:val="2"/>
                    <w:jc w:val="center"/>
                    <w:rPr>
                      <w:rFonts w:ascii="Times New Roman" w:cs="Times New Roman"/>
                      <w:sz w:val="21"/>
                      <w:szCs w:val="21"/>
                    </w:rPr>
                  </w:pPr>
                </w:p>
              </w:tc>
              <w:tc>
                <w:tcPr>
                  <w:tcW w:w="2323" w:type="dxa"/>
                  <w:vAlign w:val="center"/>
                </w:tcPr>
                <w:p w14:paraId="46391439">
                  <w:pPr>
                    <w:pStyle w:val="2"/>
                    <w:jc w:val="center"/>
                    <w:rPr>
                      <w:rFonts w:ascii="Times New Roman" w:cs="Times New Roman"/>
                      <w:sz w:val="21"/>
                      <w:szCs w:val="21"/>
                    </w:rPr>
                  </w:pPr>
                  <w:r>
                    <w:rPr>
                      <w:rFonts w:hint="eastAsia" w:ascii="Times New Roman" w:cs="Times New Roman"/>
                      <w:sz w:val="21"/>
                      <w:szCs w:val="21"/>
                    </w:rPr>
                    <w:t>65</w:t>
                  </w:r>
                </w:p>
              </w:tc>
              <w:tc>
                <w:tcPr>
                  <w:tcW w:w="2323" w:type="dxa"/>
                  <w:vAlign w:val="center"/>
                </w:tcPr>
                <w:p w14:paraId="27247B65">
                  <w:pPr>
                    <w:pStyle w:val="2"/>
                    <w:jc w:val="center"/>
                    <w:rPr>
                      <w:rFonts w:ascii="Times New Roman" w:cs="Times New Roman"/>
                      <w:sz w:val="21"/>
                      <w:szCs w:val="21"/>
                    </w:rPr>
                  </w:pPr>
                  <w:r>
                    <w:rPr>
                      <w:rFonts w:hint="eastAsia" w:ascii="Times New Roman" w:cs="Times New Roman"/>
                      <w:sz w:val="21"/>
                      <w:szCs w:val="21"/>
                    </w:rPr>
                    <w:t>55</w:t>
                  </w:r>
                </w:p>
              </w:tc>
            </w:tr>
          </w:tbl>
          <w:p w14:paraId="61824B97">
            <w:pPr>
              <w:pStyle w:val="2"/>
              <w:spacing w:line="360" w:lineRule="auto"/>
              <w:ind w:firstLine="480" w:firstLineChars="200"/>
              <w:rPr>
                <w:rFonts w:ascii="Times New Roman" w:cs="Times New Roman"/>
              </w:rPr>
            </w:pPr>
            <w:r>
              <w:rPr>
                <w:rFonts w:hint="eastAsia" w:ascii="Times New Roman" w:cs="Times New Roman"/>
              </w:rPr>
              <w:t>根据监测结果，现有项目厂界噪声能满足《工业企业厂界环境噪声排放标准》（GB12348-2008）中的3类标准要求。</w:t>
            </w:r>
          </w:p>
          <w:p w14:paraId="5E79B56C">
            <w:pPr>
              <w:spacing w:line="360" w:lineRule="auto"/>
              <w:ind w:firstLine="482" w:firstLineChars="200"/>
              <w:jc w:val="left"/>
              <w:rPr>
                <w:b/>
                <w:sz w:val="24"/>
              </w:rPr>
            </w:pPr>
            <w:r>
              <w:rPr>
                <w:rFonts w:hint="eastAsia"/>
                <w:b/>
                <w:sz w:val="24"/>
              </w:rPr>
              <w:t>4、固废</w:t>
            </w:r>
          </w:p>
          <w:p w14:paraId="2BC21167">
            <w:pPr>
              <w:pStyle w:val="2"/>
              <w:spacing w:line="360" w:lineRule="auto"/>
              <w:ind w:firstLine="480" w:firstLineChars="200"/>
              <w:rPr>
                <w:rFonts w:ascii="Times New Roman" w:cs="Times New Roman"/>
              </w:rPr>
            </w:pPr>
            <w:r>
              <w:rPr>
                <w:rFonts w:hint="eastAsia" w:ascii="Times New Roman" w:cs="Times New Roman"/>
              </w:rPr>
              <w:t>现有工程产生的固体废物主要为</w:t>
            </w:r>
            <w:r>
              <w:rPr>
                <w:rFonts w:ascii="Times New Roman" w:cs="Times New Roman"/>
              </w:rPr>
              <w:t>切头、切尾等废钢</w:t>
            </w:r>
            <w:r>
              <w:rPr>
                <w:rFonts w:hint="eastAsia" w:ascii="Times New Roman" w:cs="Times New Roman"/>
              </w:rPr>
              <w:t>；</w:t>
            </w:r>
            <w:r>
              <w:rPr>
                <w:rFonts w:ascii="Times New Roman" w:cs="Times New Roman"/>
              </w:rPr>
              <w:t>氧化铁皮、除尘器收集粉尘；</w:t>
            </w:r>
            <w:r>
              <w:rPr>
                <w:rFonts w:hint="eastAsia" w:ascii="Times New Roman" w:cs="Times New Roman"/>
              </w:rPr>
              <w:t>废耐火材料；</w:t>
            </w:r>
            <w:r>
              <w:rPr>
                <w:rFonts w:ascii="Times New Roman" w:cs="Times New Roman"/>
              </w:rPr>
              <w:t>废润滑油、隔油渣及生活垃圾。</w:t>
            </w:r>
          </w:p>
          <w:p w14:paraId="1E109514">
            <w:pPr>
              <w:pStyle w:val="2"/>
              <w:spacing w:line="360" w:lineRule="auto"/>
              <w:ind w:firstLine="480" w:firstLineChars="200"/>
              <w:rPr>
                <w:rFonts w:ascii="Times New Roman" w:cs="Times New Roman"/>
              </w:rPr>
            </w:pPr>
            <w:r>
              <w:rPr>
                <w:rFonts w:hint="eastAsia" w:ascii="Times New Roman" w:cs="Times New Roman"/>
              </w:rPr>
              <w:t>①</w:t>
            </w:r>
            <w:r>
              <w:rPr>
                <w:rFonts w:ascii="Times New Roman" w:cs="Times New Roman"/>
              </w:rPr>
              <w:t>切头、切尾、废包装带等废钢</w:t>
            </w:r>
          </w:p>
          <w:p w14:paraId="585FF183">
            <w:pPr>
              <w:pStyle w:val="2"/>
              <w:spacing w:line="360" w:lineRule="auto"/>
              <w:ind w:firstLine="480" w:firstLineChars="200"/>
              <w:rPr>
                <w:rFonts w:ascii="Times New Roman" w:cs="Times New Roman"/>
              </w:rPr>
            </w:pPr>
            <w:r>
              <w:rPr>
                <w:rFonts w:hint="eastAsia" w:ascii="Times New Roman" w:cs="Times New Roman"/>
              </w:rPr>
              <w:t>现有工程</w:t>
            </w:r>
            <w:r>
              <w:rPr>
                <w:rFonts w:ascii="Times New Roman" w:cs="Times New Roman"/>
              </w:rPr>
              <w:t>产生切头、切尾等废钢量约为</w:t>
            </w:r>
            <w:r>
              <w:rPr>
                <w:rFonts w:hint="eastAsia" w:ascii="Times New Roman" w:cs="Times New Roman"/>
              </w:rPr>
              <w:t>18400t/a，</w:t>
            </w:r>
            <w:r>
              <w:rPr>
                <w:rFonts w:ascii="Times New Roman" w:cs="Times New Roman"/>
              </w:rPr>
              <w:t>送炼钢厂炼钢综合利用；</w:t>
            </w:r>
          </w:p>
          <w:p w14:paraId="11B987BF">
            <w:pPr>
              <w:pStyle w:val="2"/>
              <w:spacing w:line="360" w:lineRule="auto"/>
              <w:ind w:firstLine="480" w:firstLineChars="200"/>
              <w:rPr>
                <w:rFonts w:ascii="Times New Roman" w:cs="Times New Roman"/>
              </w:rPr>
            </w:pPr>
            <w:r>
              <w:rPr>
                <w:rFonts w:hint="eastAsia" w:ascii="Times New Roman" w:cs="Times New Roman"/>
              </w:rPr>
              <w:t>②</w:t>
            </w:r>
            <w:r>
              <w:rPr>
                <w:rFonts w:ascii="Times New Roman" w:cs="Times New Roman"/>
              </w:rPr>
              <w:t>氧化铁皮、除尘器收集粉尘</w:t>
            </w:r>
          </w:p>
          <w:p w14:paraId="6F2CF3A6">
            <w:pPr>
              <w:pStyle w:val="2"/>
              <w:spacing w:line="360" w:lineRule="auto"/>
              <w:ind w:firstLine="480" w:firstLineChars="200"/>
              <w:rPr>
                <w:rFonts w:ascii="Times New Roman" w:cs="Times New Roman"/>
              </w:rPr>
            </w:pPr>
            <w:r>
              <w:rPr>
                <w:rFonts w:hint="eastAsia" w:ascii="Times New Roman" w:cs="Times New Roman"/>
              </w:rPr>
              <w:t>现有工程</w:t>
            </w:r>
            <w:r>
              <w:rPr>
                <w:rFonts w:ascii="Times New Roman" w:cs="Times New Roman"/>
              </w:rPr>
              <w:t>产生氧化铁皮、除尘器收集粉尘量约为</w:t>
            </w:r>
            <w:r>
              <w:rPr>
                <w:rFonts w:hint="eastAsia" w:ascii="Times New Roman" w:cs="Times New Roman"/>
              </w:rPr>
              <w:t>6100t/a，</w:t>
            </w:r>
            <w:r>
              <w:rPr>
                <w:rFonts w:ascii="Times New Roman" w:cs="Times New Roman"/>
              </w:rPr>
              <w:t>送往烧结系统用作原料；</w:t>
            </w:r>
          </w:p>
          <w:p w14:paraId="0A470A1A">
            <w:pPr>
              <w:pStyle w:val="2"/>
              <w:spacing w:line="360" w:lineRule="auto"/>
              <w:ind w:firstLine="480" w:firstLineChars="200"/>
              <w:rPr>
                <w:rFonts w:ascii="Times New Roman" w:cs="Times New Roman"/>
              </w:rPr>
            </w:pPr>
            <w:r>
              <w:rPr>
                <w:rFonts w:hint="eastAsia" w:ascii="Times New Roman" w:cs="Times New Roman"/>
              </w:rPr>
              <w:t>③废耐火材料</w:t>
            </w:r>
          </w:p>
          <w:p w14:paraId="5D354F39">
            <w:pPr>
              <w:pStyle w:val="2"/>
              <w:spacing w:line="360" w:lineRule="auto"/>
              <w:ind w:firstLine="480" w:firstLineChars="200"/>
              <w:rPr>
                <w:rFonts w:ascii="Times New Roman" w:cs="Times New Roman"/>
              </w:rPr>
            </w:pPr>
            <w:r>
              <w:rPr>
                <w:rFonts w:hint="eastAsia" w:ascii="Times New Roman" w:cs="Times New Roman"/>
              </w:rPr>
              <w:t>现有工程</w:t>
            </w:r>
            <w:r>
              <w:rPr>
                <w:rFonts w:ascii="Times New Roman" w:cs="Times New Roman"/>
              </w:rPr>
              <w:t>产生</w:t>
            </w:r>
            <w:r>
              <w:rPr>
                <w:rFonts w:hint="eastAsia" w:ascii="Times New Roman" w:cs="Times New Roman"/>
              </w:rPr>
              <w:t>废耐火材料</w:t>
            </w:r>
            <w:r>
              <w:rPr>
                <w:rFonts w:ascii="Times New Roman" w:cs="Times New Roman"/>
              </w:rPr>
              <w:t>量约为</w:t>
            </w:r>
            <w:r>
              <w:rPr>
                <w:rFonts w:hint="eastAsia" w:ascii="Times New Roman" w:cs="Times New Roman"/>
              </w:rPr>
              <w:t>10t/a，</w:t>
            </w:r>
            <w:r>
              <w:rPr>
                <w:rFonts w:ascii="Times New Roman" w:cs="Times New Roman"/>
              </w:rPr>
              <w:t>外售用作建筑材料；</w:t>
            </w:r>
          </w:p>
          <w:p w14:paraId="455D2C4B">
            <w:pPr>
              <w:pStyle w:val="2"/>
              <w:spacing w:line="360" w:lineRule="auto"/>
              <w:ind w:firstLine="480" w:firstLineChars="200"/>
              <w:rPr>
                <w:rFonts w:ascii="Times New Roman" w:cs="Times New Roman"/>
              </w:rPr>
            </w:pPr>
            <w:r>
              <w:rPr>
                <w:rFonts w:hint="eastAsia" w:ascii="Times New Roman" w:cs="Times New Roman"/>
              </w:rPr>
              <w:t>④</w:t>
            </w:r>
            <w:r>
              <w:rPr>
                <w:rFonts w:ascii="Times New Roman" w:cs="Times New Roman"/>
              </w:rPr>
              <w:t>废润滑油、隔油渣</w:t>
            </w:r>
          </w:p>
          <w:p w14:paraId="6D0FEE0B">
            <w:pPr>
              <w:pStyle w:val="2"/>
              <w:spacing w:line="360" w:lineRule="auto"/>
              <w:ind w:firstLine="480" w:firstLineChars="200"/>
              <w:rPr>
                <w:rFonts w:ascii="Times New Roman" w:cs="Times New Roman"/>
              </w:rPr>
            </w:pPr>
            <w:r>
              <w:rPr>
                <w:rFonts w:hint="eastAsia" w:ascii="Times New Roman" w:cs="Times New Roman"/>
              </w:rPr>
              <w:t>现有工程</w:t>
            </w:r>
            <w:r>
              <w:rPr>
                <w:rFonts w:ascii="Times New Roman" w:cs="Times New Roman"/>
              </w:rPr>
              <w:t>产生废润滑油、隔油渣量约为</w:t>
            </w:r>
            <w:r>
              <w:rPr>
                <w:rFonts w:hint="eastAsia" w:ascii="Times New Roman" w:cs="Times New Roman"/>
              </w:rPr>
              <w:t>4t/a，</w:t>
            </w:r>
            <w:r>
              <w:rPr>
                <w:rFonts w:ascii="Times New Roman" w:cs="Times New Roman"/>
              </w:rPr>
              <w:t>废润滑油和隔油渣属于《国家危险废物名录》（2016</w:t>
            </w:r>
            <w:r>
              <w:rPr>
                <w:rFonts w:hint="eastAsia" w:ascii="Times New Roman" w:cs="Times New Roman"/>
              </w:rPr>
              <w:t>年版</w:t>
            </w:r>
            <w:r>
              <w:rPr>
                <w:rFonts w:ascii="Times New Roman" w:cs="Times New Roman"/>
              </w:rPr>
              <w:t>）</w:t>
            </w:r>
            <w:r>
              <w:rPr>
                <w:rFonts w:hint="eastAsia" w:ascii="Times New Roman" w:cs="Times New Roman"/>
              </w:rPr>
              <w:t>“</w:t>
            </w:r>
            <w:r>
              <w:rPr>
                <w:rFonts w:ascii="Times New Roman" w:cs="Times New Roman"/>
              </w:rPr>
              <w:t>HW</w:t>
            </w:r>
            <w:r>
              <w:rPr>
                <w:rFonts w:hint="eastAsia" w:ascii="Times New Roman" w:cs="Times New Roman"/>
              </w:rPr>
              <w:t>08”</w:t>
            </w:r>
            <w:r>
              <w:rPr>
                <w:rFonts w:ascii="Times New Roman" w:cs="Times New Roman"/>
              </w:rPr>
              <w:t>内容</w:t>
            </w:r>
            <w:r>
              <w:rPr>
                <w:rFonts w:hint="eastAsia" w:ascii="Times New Roman" w:cs="Times New Roman"/>
              </w:rPr>
              <w:t>，经收集后委托</w:t>
            </w:r>
            <w:r>
              <w:rPr>
                <w:rFonts w:ascii="Times New Roman" w:cs="Times New Roman"/>
              </w:rPr>
              <w:t>有危废资质单位代为处置</w:t>
            </w:r>
            <w:r>
              <w:rPr>
                <w:rFonts w:hint="eastAsia" w:ascii="Times New Roman" w:cs="Times New Roman"/>
              </w:rPr>
              <w:t>。</w:t>
            </w:r>
          </w:p>
          <w:p w14:paraId="65D1C0F9">
            <w:pPr>
              <w:pStyle w:val="2"/>
              <w:spacing w:line="360" w:lineRule="auto"/>
              <w:ind w:firstLine="480" w:firstLineChars="200"/>
              <w:rPr>
                <w:rFonts w:ascii="Times New Roman" w:cs="Times New Roman"/>
              </w:rPr>
            </w:pPr>
            <w:r>
              <w:rPr>
                <w:rFonts w:hint="eastAsia" w:ascii="Times New Roman" w:cs="Times New Roman"/>
              </w:rPr>
              <w:t>⑤生活垃圾</w:t>
            </w:r>
          </w:p>
          <w:p w14:paraId="0DA6D74A">
            <w:pPr>
              <w:pStyle w:val="2"/>
              <w:spacing w:line="360" w:lineRule="auto"/>
              <w:ind w:firstLine="480" w:firstLineChars="200"/>
              <w:rPr>
                <w:rFonts w:ascii="Times New Roman" w:cs="Times New Roman"/>
              </w:rPr>
            </w:pPr>
            <w:r>
              <w:rPr>
                <w:rFonts w:hint="eastAsia" w:ascii="Times New Roman" w:cs="Times New Roman"/>
              </w:rPr>
              <w:t>现有工程</w:t>
            </w:r>
            <w:r>
              <w:rPr>
                <w:rFonts w:ascii="Times New Roman" w:cs="Times New Roman"/>
              </w:rPr>
              <w:t>共有员工</w:t>
            </w:r>
            <w:r>
              <w:rPr>
                <w:rFonts w:hint="eastAsia" w:ascii="Times New Roman" w:cs="Times New Roman"/>
              </w:rPr>
              <w:t>500人，</w:t>
            </w:r>
            <w:r>
              <w:rPr>
                <w:rFonts w:ascii="Times New Roman" w:cs="Times New Roman"/>
              </w:rPr>
              <w:t>生活垃圾产生量</w:t>
            </w:r>
            <w:r>
              <w:rPr>
                <w:rFonts w:hint="eastAsia" w:ascii="Times New Roman" w:cs="Times New Roman"/>
              </w:rPr>
              <w:t>165t/a，</w:t>
            </w:r>
            <w:r>
              <w:rPr>
                <w:rFonts w:ascii="Times New Roman" w:cs="Times New Roman"/>
              </w:rPr>
              <w:t>交由环卫部门统一清运处理。</w:t>
            </w:r>
          </w:p>
          <w:p w14:paraId="6F233DA3">
            <w:pPr>
              <w:adjustRightInd w:val="0"/>
              <w:spacing w:line="360" w:lineRule="auto"/>
              <w:ind w:firstLine="482" w:firstLineChars="200"/>
              <w:rPr>
                <w:rFonts w:hAnsi="宋体"/>
                <w:b/>
                <w:sz w:val="24"/>
              </w:rPr>
            </w:pPr>
            <w:r>
              <w:rPr>
                <w:rFonts w:hint="eastAsia" w:hAnsi="宋体"/>
                <w:b/>
                <w:sz w:val="24"/>
              </w:rPr>
              <w:t>五、污染物排放量</w:t>
            </w:r>
          </w:p>
          <w:p w14:paraId="65527C67">
            <w:pPr>
              <w:adjustRightInd w:val="0"/>
              <w:spacing w:line="360" w:lineRule="auto"/>
              <w:ind w:firstLine="480" w:firstLineChars="200"/>
              <w:rPr>
                <w:rFonts w:hAnsi="宋体"/>
                <w:sz w:val="24"/>
              </w:rPr>
            </w:pPr>
            <w:r>
              <w:rPr>
                <w:rFonts w:hint="eastAsia" w:hAnsi="宋体"/>
                <w:sz w:val="24"/>
              </w:rPr>
              <w:t>根据现有工程情况，主要污染物排放量见表2-17。</w:t>
            </w:r>
          </w:p>
          <w:p w14:paraId="3183924F">
            <w:pPr>
              <w:pStyle w:val="2"/>
              <w:spacing w:beforeLines="50"/>
              <w:jc w:val="center"/>
              <w:rPr>
                <w:rFonts w:ascii="Times New Roman"/>
                <w:b/>
                <w:color w:val="auto"/>
                <w:sz w:val="21"/>
              </w:rPr>
            </w:pPr>
            <w:r>
              <w:rPr>
                <w:rFonts w:hint="eastAsia" w:ascii="Times New Roman"/>
                <w:b/>
                <w:color w:val="auto"/>
                <w:sz w:val="21"/>
              </w:rPr>
              <w:t>表2-17  现有工程污染物产排汇总表</w:t>
            </w:r>
          </w:p>
          <w:tbl>
            <w:tblPr>
              <w:tblStyle w:val="32"/>
              <w:tblW w:w="929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22"/>
              <w:gridCol w:w="2323"/>
              <w:gridCol w:w="1608"/>
              <w:gridCol w:w="3038"/>
            </w:tblGrid>
            <w:tr w14:paraId="363CE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trPr>
              <w:tc>
                <w:tcPr>
                  <w:tcW w:w="4645" w:type="dxa"/>
                  <w:gridSpan w:val="2"/>
                  <w:vAlign w:val="center"/>
                </w:tcPr>
                <w:p w14:paraId="5C4BAFB5">
                  <w:pPr>
                    <w:adjustRightInd w:val="0"/>
                    <w:jc w:val="center"/>
                    <w:rPr>
                      <w:rFonts w:hAnsi="宋体"/>
                      <w:b/>
                      <w:szCs w:val="21"/>
                    </w:rPr>
                  </w:pPr>
                  <w:r>
                    <w:rPr>
                      <w:rFonts w:hint="eastAsia" w:hAnsi="宋体"/>
                      <w:b/>
                      <w:szCs w:val="21"/>
                    </w:rPr>
                    <w:t>污染物</w:t>
                  </w:r>
                </w:p>
              </w:tc>
              <w:tc>
                <w:tcPr>
                  <w:tcW w:w="1608" w:type="dxa"/>
                  <w:vAlign w:val="center"/>
                </w:tcPr>
                <w:p w14:paraId="50A06D0C">
                  <w:pPr>
                    <w:adjustRightInd w:val="0"/>
                    <w:jc w:val="center"/>
                    <w:rPr>
                      <w:rFonts w:hAnsi="宋体"/>
                      <w:b/>
                      <w:szCs w:val="21"/>
                    </w:rPr>
                  </w:pPr>
                  <w:r>
                    <w:rPr>
                      <w:rFonts w:hint="eastAsia" w:hAnsi="宋体"/>
                      <w:b/>
                      <w:szCs w:val="21"/>
                    </w:rPr>
                    <w:t>排放量</w:t>
                  </w:r>
                </w:p>
              </w:tc>
              <w:tc>
                <w:tcPr>
                  <w:tcW w:w="3038" w:type="dxa"/>
                  <w:vAlign w:val="center"/>
                </w:tcPr>
                <w:p w14:paraId="13852DA7">
                  <w:pPr>
                    <w:adjustRightInd w:val="0"/>
                    <w:jc w:val="center"/>
                    <w:rPr>
                      <w:rFonts w:hAnsi="宋体"/>
                      <w:b/>
                      <w:szCs w:val="21"/>
                    </w:rPr>
                  </w:pPr>
                  <w:r>
                    <w:rPr>
                      <w:rFonts w:hint="eastAsia" w:hAnsi="宋体"/>
                      <w:b/>
                      <w:szCs w:val="21"/>
                    </w:rPr>
                    <w:t>去向</w:t>
                  </w:r>
                </w:p>
              </w:tc>
            </w:tr>
            <w:tr w14:paraId="5CC3A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22" w:type="dxa"/>
                  <w:vMerge w:val="restart"/>
                  <w:vAlign w:val="center"/>
                </w:tcPr>
                <w:p w14:paraId="777B4C94">
                  <w:pPr>
                    <w:adjustRightInd w:val="0"/>
                    <w:jc w:val="center"/>
                    <w:rPr>
                      <w:rFonts w:hAnsi="宋体"/>
                      <w:szCs w:val="21"/>
                    </w:rPr>
                  </w:pPr>
                  <w:r>
                    <w:rPr>
                      <w:rFonts w:hint="eastAsia" w:hAnsi="宋体"/>
                      <w:szCs w:val="21"/>
                    </w:rPr>
                    <w:t>废气*</w:t>
                  </w:r>
                </w:p>
              </w:tc>
              <w:tc>
                <w:tcPr>
                  <w:tcW w:w="2323" w:type="dxa"/>
                  <w:vAlign w:val="center"/>
                </w:tcPr>
                <w:p w14:paraId="05FC99D8">
                  <w:pPr>
                    <w:adjustRightInd w:val="0"/>
                    <w:jc w:val="center"/>
                    <w:rPr>
                      <w:rFonts w:hAnsi="宋体"/>
                      <w:szCs w:val="21"/>
                    </w:rPr>
                  </w:pPr>
                  <w:r>
                    <w:rPr>
                      <w:rFonts w:hint="eastAsia" w:hAnsi="宋体"/>
                      <w:szCs w:val="21"/>
                    </w:rPr>
                    <w:t>颗粒物（烟尘）</w:t>
                  </w:r>
                </w:p>
              </w:tc>
              <w:tc>
                <w:tcPr>
                  <w:tcW w:w="1608" w:type="dxa"/>
                  <w:vAlign w:val="center"/>
                </w:tcPr>
                <w:p w14:paraId="78D408AE">
                  <w:pPr>
                    <w:adjustRightInd w:val="0"/>
                    <w:jc w:val="center"/>
                    <w:rPr>
                      <w:rFonts w:hAnsi="宋体"/>
                      <w:szCs w:val="21"/>
                    </w:rPr>
                  </w:pPr>
                  <w:r>
                    <w:rPr>
                      <w:rFonts w:hint="eastAsia" w:hAnsi="宋体"/>
                      <w:szCs w:val="21"/>
                    </w:rPr>
                    <w:t>5.2864</w:t>
                  </w:r>
                </w:p>
              </w:tc>
              <w:tc>
                <w:tcPr>
                  <w:tcW w:w="3038" w:type="dxa"/>
                  <w:vMerge w:val="restart"/>
                  <w:vAlign w:val="center"/>
                </w:tcPr>
                <w:p w14:paraId="2E42FF46">
                  <w:pPr>
                    <w:adjustRightInd w:val="0"/>
                    <w:jc w:val="center"/>
                    <w:rPr>
                      <w:rFonts w:hAnsi="宋体"/>
                      <w:szCs w:val="21"/>
                    </w:rPr>
                  </w:pPr>
                  <w:r>
                    <w:rPr>
                      <w:rFonts w:hint="eastAsia" w:hAnsi="宋体"/>
                      <w:szCs w:val="21"/>
                    </w:rPr>
                    <w:t>直接排放大气</w:t>
                  </w:r>
                </w:p>
              </w:tc>
            </w:tr>
            <w:tr w14:paraId="0DE8D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22" w:type="dxa"/>
                  <w:vMerge w:val="continue"/>
                  <w:vAlign w:val="center"/>
                </w:tcPr>
                <w:p w14:paraId="2E170A2F">
                  <w:pPr>
                    <w:adjustRightInd w:val="0"/>
                    <w:jc w:val="center"/>
                    <w:rPr>
                      <w:rFonts w:hAnsi="宋体"/>
                      <w:szCs w:val="21"/>
                    </w:rPr>
                  </w:pPr>
                </w:p>
              </w:tc>
              <w:tc>
                <w:tcPr>
                  <w:tcW w:w="2323" w:type="dxa"/>
                  <w:vAlign w:val="center"/>
                </w:tcPr>
                <w:p w14:paraId="68629741">
                  <w:pPr>
                    <w:adjustRightInd w:val="0"/>
                    <w:jc w:val="center"/>
                    <w:rPr>
                      <w:rFonts w:hAnsi="宋体"/>
                      <w:szCs w:val="21"/>
                    </w:rPr>
                  </w:pPr>
                  <w:r>
                    <w:rPr>
                      <w:rFonts w:hint="eastAsia" w:hAnsi="宋体"/>
                      <w:szCs w:val="21"/>
                    </w:rPr>
                    <w:t>二氧化硫</w:t>
                  </w:r>
                </w:p>
              </w:tc>
              <w:tc>
                <w:tcPr>
                  <w:tcW w:w="1608" w:type="dxa"/>
                  <w:vAlign w:val="center"/>
                </w:tcPr>
                <w:p w14:paraId="215067BA">
                  <w:pPr>
                    <w:adjustRightInd w:val="0"/>
                    <w:jc w:val="center"/>
                    <w:rPr>
                      <w:rFonts w:hAnsi="宋体"/>
                      <w:szCs w:val="21"/>
                    </w:rPr>
                  </w:pPr>
                  <w:r>
                    <w:rPr>
                      <w:rFonts w:hint="eastAsia" w:hAnsi="宋体"/>
                      <w:szCs w:val="21"/>
                    </w:rPr>
                    <w:t>16.5407</w:t>
                  </w:r>
                </w:p>
              </w:tc>
              <w:tc>
                <w:tcPr>
                  <w:tcW w:w="3038" w:type="dxa"/>
                  <w:vMerge w:val="continue"/>
                  <w:vAlign w:val="center"/>
                </w:tcPr>
                <w:p w14:paraId="5E088584">
                  <w:pPr>
                    <w:adjustRightInd w:val="0"/>
                    <w:jc w:val="center"/>
                    <w:rPr>
                      <w:rFonts w:hAnsi="宋体"/>
                      <w:szCs w:val="21"/>
                    </w:rPr>
                  </w:pPr>
                </w:p>
              </w:tc>
            </w:tr>
            <w:tr w14:paraId="6C9588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22" w:type="dxa"/>
                  <w:vMerge w:val="continue"/>
                  <w:vAlign w:val="center"/>
                </w:tcPr>
                <w:p w14:paraId="64812ACD">
                  <w:pPr>
                    <w:adjustRightInd w:val="0"/>
                    <w:jc w:val="center"/>
                    <w:rPr>
                      <w:rFonts w:hAnsi="宋体"/>
                      <w:szCs w:val="21"/>
                    </w:rPr>
                  </w:pPr>
                </w:p>
              </w:tc>
              <w:tc>
                <w:tcPr>
                  <w:tcW w:w="2323" w:type="dxa"/>
                  <w:vAlign w:val="center"/>
                </w:tcPr>
                <w:p w14:paraId="6C8C85BB">
                  <w:pPr>
                    <w:adjustRightInd w:val="0"/>
                    <w:jc w:val="center"/>
                    <w:rPr>
                      <w:rFonts w:hAnsi="宋体"/>
                      <w:szCs w:val="21"/>
                    </w:rPr>
                  </w:pPr>
                  <w:r>
                    <w:rPr>
                      <w:rFonts w:hint="eastAsia" w:hAnsi="宋体"/>
                      <w:szCs w:val="21"/>
                    </w:rPr>
                    <w:t>氮氧化物</w:t>
                  </w:r>
                </w:p>
              </w:tc>
              <w:tc>
                <w:tcPr>
                  <w:tcW w:w="1608" w:type="dxa"/>
                  <w:vAlign w:val="center"/>
                </w:tcPr>
                <w:p w14:paraId="407F3BD1">
                  <w:pPr>
                    <w:adjustRightInd w:val="0"/>
                    <w:jc w:val="center"/>
                    <w:rPr>
                      <w:rFonts w:hAnsi="宋体"/>
                      <w:szCs w:val="21"/>
                    </w:rPr>
                  </w:pPr>
                  <w:r>
                    <w:rPr>
                      <w:rFonts w:hint="eastAsia" w:hAnsi="宋体"/>
                      <w:szCs w:val="21"/>
                    </w:rPr>
                    <w:t>41.1488</w:t>
                  </w:r>
                </w:p>
              </w:tc>
              <w:tc>
                <w:tcPr>
                  <w:tcW w:w="3038" w:type="dxa"/>
                  <w:vMerge w:val="continue"/>
                  <w:vAlign w:val="center"/>
                </w:tcPr>
                <w:p w14:paraId="2729EFD5">
                  <w:pPr>
                    <w:adjustRightInd w:val="0"/>
                    <w:jc w:val="center"/>
                    <w:rPr>
                      <w:rFonts w:hAnsi="宋体"/>
                      <w:szCs w:val="21"/>
                    </w:rPr>
                  </w:pPr>
                </w:p>
              </w:tc>
            </w:tr>
            <w:tr w14:paraId="2E633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22" w:type="dxa"/>
                  <w:vAlign w:val="center"/>
                </w:tcPr>
                <w:p w14:paraId="43C720C9">
                  <w:pPr>
                    <w:adjustRightInd w:val="0"/>
                    <w:jc w:val="center"/>
                    <w:rPr>
                      <w:rFonts w:hAnsi="宋体"/>
                      <w:szCs w:val="21"/>
                    </w:rPr>
                  </w:pPr>
                  <w:r>
                    <w:rPr>
                      <w:rFonts w:hint="eastAsia" w:hAnsi="宋体"/>
                      <w:szCs w:val="21"/>
                    </w:rPr>
                    <w:t>废水</w:t>
                  </w:r>
                </w:p>
              </w:tc>
              <w:tc>
                <w:tcPr>
                  <w:tcW w:w="2323" w:type="dxa"/>
                  <w:vAlign w:val="center"/>
                </w:tcPr>
                <w:p w14:paraId="5D9C3E02">
                  <w:pPr>
                    <w:adjustRightInd w:val="0"/>
                    <w:jc w:val="center"/>
                    <w:rPr>
                      <w:rFonts w:hAnsi="宋体"/>
                      <w:szCs w:val="21"/>
                    </w:rPr>
                  </w:pPr>
                  <w:r>
                    <w:rPr>
                      <w:rFonts w:hint="eastAsia" w:hAnsi="宋体"/>
                      <w:szCs w:val="21"/>
                    </w:rPr>
                    <w:t>废水量，m</w:t>
                  </w:r>
                  <w:r>
                    <w:rPr>
                      <w:rFonts w:hint="eastAsia" w:hAnsi="宋体"/>
                      <w:szCs w:val="21"/>
                      <w:vertAlign w:val="superscript"/>
                    </w:rPr>
                    <w:t>3</w:t>
                  </w:r>
                  <w:r>
                    <w:rPr>
                      <w:rFonts w:hint="eastAsia" w:hAnsi="宋体"/>
                      <w:szCs w:val="21"/>
                    </w:rPr>
                    <w:t>/a</w:t>
                  </w:r>
                </w:p>
              </w:tc>
              <w:tc>
                <w:tcPr>
                  <w:tcW w:w="1608" w:type="dxa"/>
                  <w:vAlign w:val="center"/>
                </w:tcPr>
                <w:p w14:paraId="6290B6DA">
                  <w:pPr>
                    <w:adjustRightInd w:val="0"/>
                    <w:jc w:val="center"/>
                    <w:rPr>
                      <w:rFonts w:hAnsi="宋体"/>
                      <w:szCs w:val="21"/>
                    </w:rPr>
                  </w:pPr>
                  <w:r>
                    <w:rPr>
                      <w:rFonts w:hint="eastAsia" w:hAnsi="宋体"/>
                      <w:szCs w:val="21"/>
                    </w:rPr>
                    <w:t>93600</w:t>
                  </w:r>
                </w:p>
              </w:tc>
              <w:tc>
                <w:tcPr>
                  <w:tcW w:w="3038" w:type="dxa"/>
                  <w:vAlign w:val="center"/>
                </w:tcPr>
                <w:p w14:paraId="3895DF7C">
                  <w:pPr>
                    <w:adjustRightInd w:val="0"/>
                    <w:jc w:val="center"/>
                    <w:rPr>
                      <w:rFonts w:hAnsi="宋体"/>
                      <w:szCs w:val="21"/>
                    </w:rPr>
                  </w:pPr>
                  <w:r>
                    <w:rPr>
                      <w:rFonts w:hint="eastAsia" w:hAnsi="宋体"/>
                      <w:szCs w:val="21"/>
                    </w:rPr>
                    <w:t>衡钢东区污水处理站</w:t>
                  </w:r>
                </w:p>
              </w:tc>
            </w:tr>
            <w:tr w14:paraId="2559A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22" w:type="dxa"/>
                  <w:vMerge w:val="restart"/>
                  <w:vAlign w:val="center"/>
                </w:tcPr>
                <w:p w14:paraId="208AE761">
                  <w:pPr>
                    <w:adjustRightInd w:val="0"/>
                    <w:jc w:val="center"/>
                    <w:rPr>
                      <w:rFonts w:hAnsi="宋体"/>
                      <w:szCs w:val="21"/>
                    </w:rPr>
                  </w:pPr>
                  <w:r>
                    <w:rPr>
                      <w:rFonts w:hint="eastAsia" w:hAnsi="宋体"/>
                      <w:szCs w:val="21"/>
                    </w:rPr>
                    <w:t>固废</w:t>
                  </w:r>
                </w:p>
              </w:tc>
              <w:tc>
                <w:tcPr>
                  <w:tcW w:w="2323" w:type="dxa"/>
                  <w:vAlign w:val="center"/>
                </w:tcPr>
                <w:p w14:paraId="3DF265DB">
                  <w:pPr>
                    <w:adjustRightInd w:val="0"/>
                    <w:jc w:val="center"/>
                    <w:rPr>
                      <w:rFonts w:hAnsi="宋体"/>
                      <w:szCs w:val="21"/>
                    </w:rPr>
                  </w:pPr>
                  <w:r>
                    <w:t>切头、切尾等废钢</w:t>
                  </w:r>
                </w:p>
              </w:tc>
              <w:tc>
                <w:tcPr>
                  <w:tcW w:w="1608" w:type="dxa"/>
                  <w:vAlign w:val="center"/>
                </w:tcPr>
                <w:p w14:paraId="35BB4530">
                  <w:pPr>
                    <w:adjustRightInd w:val="0"/>
                    <w:jc w:val="center"/>
                    <w:rPr>
                      <w:rFonts w:hAnsi="宋体"/>
                      <w:szCs w:val="21"/>
                    </w:rPr>
                  </w:pPr>
                  <w:r>
                    <w:rPr>
                      <w:rFonts w:hint="eastAsia" w:hAnsi="宋体"/>
                      <w:szCs w:val="21"/>
                    </w:rPr>
                    <w:t>18400</w:t>
                  </w:r>
                </w:p>
              </w:tc>
              <w:tc>
                <w:tcPr>
                  <w:tcW w:w="3038" w:type="dxa"/>
                  <w:vAlign w:val="center"/>
                </w:tcPr>
                <w:p w14:paraId="733D5315">
                  <w:pPr>
                    <w:adjustRightInd w:val="0"/>
                    <w:jc w:val="center"/>
                    <w:rPr>
                      <w:rFonts w:hAnsi="宋体"/>
                      <w:szCs w:val="21"/>
                    </w:rPr>
                  </w:pPr>
                  <w:r>
                    <w:rPr>
                      <w:rFonts w:hint="eastAsia" w:hAnsi="宋体"/>
                      <w:szCs w:val="21"/>
                    </w:rPr>
                    <w:t>送炼钢厂炼钢综合利用</w:t>
                  </w:r>
                </w:p>
              </w:tc>
            </w:tr>
            <w:tr w14:paraId="205CF2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22" w:type="dxa"/>
                  <w:vMerge w:val="continue"/>
                  <w:vAlign w:val="center"/>
                </w:tcPr>
                <w:p w14:paraId="6AA44D6D">
                  <w:pPr>
                    <w:adjustRightInd w:val="0"/>
                    <w:jc w:val="center"/>
                    <w:rPr>
                      <w:rFonts w:hAnsi="宋体"/>
                      <w:szCs w:val="21"/>
                    </w:rPr>
                  </w:pPr>
                </w:p>
              </w:tc>
              <w:tc>
                <w:tcPr>
                  <w:tcW w:w="2323" w:type="dxa"/>
                  <w:vAlign w:val="center"/>
                </w:tcPr>
                <w:p w14:paraId="1E9001F3">
                  <w:pPr>
                    <w:adjustRightInd w:val="0"/>
                    <w:jc w:val="center"/>
                    <w:rPr>
                      <w:rFonts w:hAnsi="宋体"/>
                      <w:szCs w:val="21"/>
                    </w:rPr>
                  </w:pPr>
                  <w:r>
                    <w:rPr>
                      <w:rFonts w:hint="eastAsia" w:hAnsi="宋体"/>
                      <w:szCs w:val="21"/>
                    </w:rPr>
                    <w:t>氧化铁皮、除尘器收集粉尘</w:t>
                  </w:r>
                </w:p>
              </w:tc>
              <w:tc>
                <w:tcPr>
                  <w:tcW w:w="1608" w:type="dxa"/>
                  <w:vAlign w:val="center"/>
                </w:tcPr>
                <w:p w14:paraId="3C93D806">
                  <w:pPr>
                    <w:adjustRightInd w:val="0"/>
                    <w:jc w:val="center"/>
                    <w:rPr>
                      <w:rFonts w:hAnsi="宋体"/>
                      <w:szCs w:val="21"/>
                    </w:rPr>
                  </w:pPr>
                  <w:r>
                    <w:rPr>
                      <w:rFonts w:hint="eastAsia" w:hAnsi="宋体"/>
                      <w:szCs w:val="21"/>
                    </w:rPr>
                    <w:t>6100</w:t>
                  </w:r>
                </w:p>
              </w:tc>
              <w:tc>
                <w:tcPr>
                  <w:tcW w:w="3038" w:type="dxa"/>
                  <w:vAlign w:val="center"/>
                </w:tcPr>
                <w:p w14:paraId="5A75158D">
                  <w:pPr>
                    <w:adjustRightInd w:val="0"/>
                    <w:jc w:val="center"/>
                    <w:rPr>
                      <w:rFonts w:hAnsi="宋体"/>
                      <w:szCs w:val="21"/>
                    </w:rPr>
                  </w:pPr>
                  <w:r>
                    <w:t>送往烧结系统用作原料</w:t>
                  </w:r>
                </w:p>
              </w:tc>
            </w:tr>
            <w:tr w14:paraId="75823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22" w:type="dxa"/>
                  <w:vMerge w:val="continue"/>
                  <w:vAlign w:val="center"/>
                </w:tcPr>
                <w:p w14:paraId="50DDC839">
                  <w:pPr>
                    <w:adjustRightInd w:val="0"/>
                    <w:jc w:val="center"/>
                    <w:rPr>
                      <w:rFonts w:hAnsi="宋体"/>
                      <w:szCs w:val="21"/>
                    </w:rPr>
                  </w:pPr>
                </w:p>
              </w:tc>
              <w:tc>
                <w:tcPr>
                  <w:tcW w:w="2323" w:type="dxa"/>
                  <w:vAlign w:val="center"/>
                </w:tcPr>
                <w:p w14:paraId="3409E85D">
                  <w:pPr>
                    <w:adjustRightInd w:val="0"/>
                    <w:jc w:val="center"/>
                    <w:rPr>
                      <w:rFonts w:hAnsi="宋体"/>
                      <w:szCs w:val="21"/>
                    </w:rPr>
                  </w:pPr>
                  <w:r>
                    <w:rPr>
                      <w:rFonts w:hint="eastAsia" w:hAnsi="宋体"/>
                      <w:szCs w:val="21"/>
                    </w:rPr>
                    <w:t>废耐火材料</w:t>
                  </w:r>
                </w:p>
              </w:tc>
              <w:tc>
                <w:tcPr>
                  <w:tcW w:w="1608" w:type="dxa"/>
                  <w:vAlign w:val="center"/>
                </w:tcPr>
                <w:p w14:paraId="04D9D2F7">
                  <w:pPr>
                    <w:adjustRightInd w:val="0"/>
                    <w:jc w:val="center"/>
                    <w:rPr>
                      <w:rFonts w:hAnsi="宋体"/>
                      <w:szCs w:val="21"/>
                    </w:rPr>
                  </w:pPr>
                  <w:r>
                    <w:rPr>
                      <w:rFonts w:hint="eastAsia" w:hAnsi="宋体"/>
                      <w:szCs w:val="21"/>
                    </w:rPr>
                    <w:t>10</w:t>
                  </w:r>
                </w:p>
              </w:tc>
              <w:tc>
                <w:tcPr>
                  <w:tcW w:w="3038" w:type="dxa"/>
                  <w:vAlign w:val="center"/>
                </w:tcPr>
                <w:p w14:paraId="6B4F630B">
                  <w:pPr>
                    <w:adjustRightInd w:val="0"/>
                    <w:jc w:val="center"/>
                    <w:rPr>
                      <w:rFonts w:hAnsi="宋体"/>
                      <w:szCs w:val="21"/>
                    </w:rPr>
                  </w:pPr>
                  <w:r>
                    <w:t>外售用作建筑材料</w:t>
                  </w:r>
                </w:p>
              </w:tc>
            </w:tr>
            <w:tr w14:paraId="24FE6F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22" w:type="dxa"/>
                  <w:vMerge w:val="continue"/>
                  <w:vAlign w:val="center"/>
                </w:tcPr>
                <w:p w14:paraId="06F9AF35">
                  <w:pPr>
                    <w:adjustRightInd w:val="0"/>
                    <w:jc w:val="center"/>
                    <w:rPr>
                      <w:rFonts w:hAnsi="宋体"/>
                      <w:szCs w:val="21"/>
                    </w:rPr>
                  </w:pPr>
                </w:p>
              </w:tc>
              <w:tc>
                <w:tcPr>
                  <w:tcW w:w="2323" w:type="dxa"/>
                  <w:vAlign w:val="center"/>
                </w:tcPr>
                <w:p w14:paraId="17E3CCAF">
                  <w:pPr>
                    <w:adjustRightInd w:val="0"/>
                    <w:jc w:val="center"/>
                    <w:rPr>
                      <w:rFonts w:hAnsi="宋体"/>
                      <w:szCs w:val="21"/>
                    </w:rPr>
                  </w:pPr>
                  <w:r>
                    <w:t>废润滑油、隔油渣</w:t>
                  </w:r>
                </w:p>
              </w:tc>
              <w:tc>
                <w:tcPr>
                  <w:tcW w:w="1608" w:type="dxa"/>
                  <w:vAlign w:val="center"/>
                </w:tcPr>
                <w:p w14:paraId="728605B6">
                  <w:pPr>
                    <w:adjustRightInd w:val="0"/>
                    <w:jc w:val="center"/>
                    <w:rPr>
                      <w:rFonts w:hAnsi="宋体"/>
                      <w:szCs w:val="21"/>
                    </w:rPr>
                  </w:pPr>
                  <w:r>
                    <w:rPr>
                      <w:rFonts w:hint="eastAsia" w:hAnsi="宋体"/>
                      <w:szCs w:val="21"/>
                    </w:rPr>
                    <w:t>4</w:t>
                  </w:r>
                </w:p>
              </w:tc>
              <w:tc>
                <w:tcPr>
                  <w:tcW w:w="3038" w:type="dxa"/>
                  <w:vAlign w:val="center"/>
                </w:tcPr>
                <w:p w14:paraId="4968B064">
                  <w:pPr>
                    <w:adjustRightInd w:val="0"/>
                    <w:jc w:val="center"/>
                    <w:rPr>
                      <w:rFonts w:hAnsi="宋体"/>
                      <w:szCs w:val="21"/>
                    </w:rPr>
                  </w:pPr>
                  <w:r>
                    <w:rPr>
                      <w:rFonts w:hint="eastAsia" w:hAnsi="宋体"/>
                      <w:szCs w:val="21"/>
                    </w:rPr>
                    <w:t>暂存与危废暂存间，委托有资质单位处置</w:t>
                  </w:r>
                </w:p>
              </w:tc>
            </w:tr>
            <w:tr w14:paraId="5EEC8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22" w:type="dxa"/>
                  <w:vMerge w:val="continue"/>
                  <w:vAlign w:val="center"/>
                </w:tcPr>
                <w:p w14:paraId="4D37D575">
                  <w:pPr>
                    <w:adjustRightInd w:val="0"/>
                    <w:jc w:val="center"/>
                    <w:rPr>
                      <w:rFonts w:hAnsi="宋体"/>
                      <w:szCs w:val="21"/>
                    </w:rPr>
                  </w:pPr>
                </w:p>
              </w:tc>
              <w:tc>
                <w:tcPr>
                  <w:tcW w:w="2323" w:type="dxa"/>
                  <w:vAlign w:val="center"/>
                </w:tcPr>
                <w:p w14:paraId="188223BB">
                  <w:pPr>
                    <w:adjustRightInd w:val="0"/>
                    <w:jc w:val="center"/>
                    <w:rPr>
                      <w:rFonts w:hAnsi="宋体"/>
                      <w:szCs w:val="21"/>
                    </w:rPr>
                  </w:pPr>
                  <w:r>
                    <w:rPr>
                      <w:rFonts w:hint="eastAsia" w:hAnsi="宋体"/>
                      <w:szCs w:val="21"/>
                    </w:rPr>
                    <w:t>生活垃圾</w:t>
                  </w:r>
                </w:p>
              </w:tc>
              <w:tc>
                <w:tcPr>
                  <w:tcW w:w="1608" w:type="dxa"/>
                  <w:vAlign w:val="center"/>
                </w:tcPr>
                <w:p w14:paraId="3DC57994">
                  <w:pPr>
                    <w:adjustRightInd w:val="0"/>
                    <w:jc w:val="center"/>
                    <w:rPr>
                      <w:rFonts w:hAnsi="宋体"/>
                      <w:szCs w:val="21"/>
                    </w:rPr>
                  </w:pPr>
                  <w:r>
                    <w:rPr>
                      <w:rFonts w:hint="eastAsia" w:hAnsi="宋体"/>
                      <w:szCs w:val="21"/>
                    </w:rPr>
                    <w:t>165</w:t>
                  </w:r>
                </w:p>
              </w:tc>
              <w:tc>
                <w:tcPr>
                  <w:tcW w:w="3038" w:type="dxa"/>
                  <w:vAlign w:val="center"/>
                </w:tcPr>
                <w:p w14:paraId="108BE9BF">
                  <w:pPr>
                    <w:adjustRightInd w:val="0"/>
                    <w:jc w:val="center"/>
                    <w:rPr>
                      <w:rFonts w:hAnsi="宋体"/>
                      <w:szCs w:val="21"/>
                    </w:rPr>
                  </w:pPr>
                  <w:r>
                    <w:rPr>
                      <w:rFonts w:hint="eastAsia" w:hAnsi="宋体"/>
                      <w:szCs w:val="21"/>
                    </w:rPr>
                    <w:t>交由环卫部门统一清运处理</w:t>
                  </w:r>
                </w:p>
              </w:tc>
            </w:tr>
            <w:tr w14:paraId="7A097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291" w:type="dxa"/>
                  <w:gridSpan w:val="4"/>
                  <w:vAlign w:val="center"/>
                </w:tcPr>
                <w:p w14:paraId="37778A71">
                  <w:pPr>
                    <w:adjustRightInd w:val="0"/>
                    <w:jc w:val="center"/>
                    <w:rPr>
                      <w:rFonts w:hAnsi="宋体"/>
                      <w:szCs w:val="21"/>
                    </w:rPr>
                  </w:pPr>
                  <w:r>
                    <w:rPr>
                      <w:rFonts w:hint="eastAsia" w:hAnsi="宋体"/>
                      <w:szCs w:val="21"/>
                    </w:rPr>
                    <w:t>*废气排放总量来源于2023年排污许可证执行报告（年报），其中热轧生产线颗粒物3.6745t/a、二氧化硫9.3865t/a、氮氧化物23.2369t/a；热处理线颗粒物1.6119t/a、二氧化硫7.1542t/a、氮氧化物17.9119t/a</w:t>
                  </w:r>
                </w:p>
              </w:tc>
            </w:tr>
          </w:tbl>
          <w:p w14:paraId="62051C5E">
            <w:pPr>
              <w:adjustRightInd w:val="0"/>
              <w:spacing w:line="360" w:lineRule="auto"/>
              <w:ind w:firstLine="482" w:firstLineChars="200"/>
              <w:rPr>
                <w:rFonts w:hAnsi="宋体"/>
                <w:b/>
                <w:sz w:val="24"/>
              </w:rPr>
            </w:pPr>
            <w:r>
              <w:rPr>
                <w:rFonts w:hint="eastAsia" w:hAnsi="宋体"/>
                <w:b/>
                <w:sz w:val="24"/>
              </w:rPr>
              <w:t>六、排污许可执行情况</w:t>
            </w:r>
          </w:p>
          <w:p w14:paraId="15C086B2">
            <w:pPr>
              <w:pStyle w:val="2"/>
              <w:spacing w:line="360" w:lineRule="auto"/>
              <w:ind w:firstLine="480" w:firstLineChars="200"/>
              <w:jc w:val="both"/>
              <w:rPr>
                <w:rFonts w:ascii="Times New Roman" w:cs="Times New Roman"/>
              </w:rPr>
            </w:pPr>
            <w:r>
              <w:rPr>
                <w:rFonts w:ascii="Times New Roman" w:cs="Times New Roman"/>
              </w:rPr>
              <w:t>衡阳华菱钢管有限公司于</w:t>
            </w:r>
            <w:r>
              <w:rPr>
                <w:rFonts w:hint="eastAsia" w:ascii="Times New Roman" w:cs="Times New Roman"/>
              </w:rPr>
              <w:t>2023年11月27日重新申请排污许可证，排污许可编号为914304007580036430001P，有效时间为2021年1月22日至2026年1月21日。</w:t>
            </w:r>
          </w:p>
          <w:p w14:paraId="393500C9">
            <w:pPr>
              <w:pStyle w:val="2"/>
              <w:spacing w:line="360" w:lineRule="auto"/>
              <w:ind w:firstLine="482" w:firstLineChars="200"/>
              <w:jc w:val="both"/>
              <w:rPr>
                <w:rFonts w:ascii="Times New Roman" w:cs="Times New Roman"/>
                <w:b/>
              </w:rPr>
            </w:pPr>
            <w:r>
              <w:rPr>
                <w:rFonts w:hint="eastAsia" w:ascii="Times New Roman" w:cs="Times New Roman"/>
                <w:b/>
              </w:rPr>
              <w:t>1、污染物排放浓度和速率</w:t>
            </w:r>
          </w:p>
          <w:p w14:paraId="71D52C11">
            <w:pPr>
              <w:pStyle w:val="2"/>
              <w:spacing w:line="360" w:lineRule="auto"/>
              <w:ind w:firstLine="480" w:firstLineChars="200"/>
              <w:jc w:val="both"/>
              <w:rPr>
                <w:rFonts w:ascii="Times New Roman" w:cs="Times New Roman"/>
              </w:rPr>
            </w:pPr>
            <w:r>
              <w:rPr>
                <w:rFonts w:hint="eastAsia" w:ascii="Times New Roman" w:cs="Times New Roman"/>
              </w:rPr>
              <w:t>根据企业在线监测情况和委外监测情况，企业各排气筒浓度、无组织废气、噪声监测均达标。</w:t>
            </w:r>
          </w:p>
          <w:p w14:paraId="16C033AF">
            <w:pPr>
              <w:pStyle w:val="2"/>
              <w:spacing w:line="360" w:lineRule="auto"/>
              <w:ind w:firstLine="482" w:firstLineChars="200"/>
              <w:jc w:val="both"/>
              <w:rPr>
                <w:rFonts w:ascii="Times New Roman" w:cs="Times New Roman"/>
                <w:b/>
              </w:rPr>
            </w:pPr>
            <w:r>
              <w:rPr>
                <w:rFonts w:hint="eastAsia" w:ascii="Times New Roman" w:cs="Times New Roman"/>
                <w:b/>
              </w:rPr>
              <w:t>2、环保台账情况</w:t>
            </w:r>
          </w:p>
          <w:p w14:paraId="7A0FF221">
            <w:pPr>
              <w:pStyle w:val="2"/>
              <w:spacing w:line="360" w:lineRule="auto"/>
              <w:ind w:firstLine="480" w:firstLineChars="200"/>
              <w:jc w:val="both"/>
              <w:rPr>
                <w:rFonts w:ascii="Times New Roman" w:cs="Times New Roman"/>
              </w:rPr>
            </w:pPr>
            <w:r>
              <w:rPr>
                <w:rFonts w:hint="eastAsia" w:hAnsi="宋体"/>
              </w:rPr>
              <w:t>企业已设立环保台账及相应管理制度，并有专门的安全环境部门进行管理。</w:t>
            </w:r>
          </w:p>
          <w:p w14:paraId="679BC43B">
            <w:pPr>
              <w:pStyle w:val="2"/>
              <w:spacing w:line="360" w:lineRule="auto"/>
              <w:ind w:firstLine="482" w:firstLineChars="200"/>
              <w:jc w:val="both"/>
              <w:rPr>
                <w:rFonts w:ascii="Times New Roman" w:cs="Times New Roman"/>
                <w:b/>
              </w:rPr>
            </w:pPr>
            <w:r>
              <w:rPr>
                <w:rFonts w:hint="eastAsia" w:ascii="Times New Roman" w:cs="Times New Roman"/>
                <w:b/>
              </w:rPr>
              <w:t>3、自行监测情况</w:t>
            </w:r>
          </w:p>
          <w:p w14:paraId="3CD4F6E4">
            <w:pPr>
              <w:pStyle w:val="2"/>
              <w:spacing w:line="360" w:lineRule="auto"/>
              <w:ind w:firstLine="480" w:firstLineChars="200"/>
              <w:jc w:val="both"/>
              <w:rPr>
                <w:rFonts w:ascii="Times New Roman" w:cs="Times New Roman"/>
              </w:rPr>
            </w:pPr>
            <w:r>
              <w:rPr>
                <w:rFonts w:hint="eastAsia" w:hAnsi="宋体"/>
              </w:rPr>
              <w:t>除在线监测外，企业已委托有资质单位每季度对有组织排气筒污染因子、无组织废气、噪声等进行了监测。</w:t>
            </w:r>
          </w:p>
          <w:p w14:paraId="6BBDEC3E">
            <w:pPr>
              <w:pStyle w:val="2"/>
              <w:spacing w:line="360" w:lineRule="auto"/>
              <w:ind w:firstLine="482" w:firstLineChars="200"/>
              <w:jc w:val="both"/>
              <w:rPr>
                <w:rFonts w:ascii="Times New Roman" w:cs="Times New Roman"/>
                <w:b/>
              </w:rPr>
            </w:pPr>
            <w:r>
              <w:rPr>
                <w:rFonts w:hint="eastAsia" w:ascii="Times New Roman" w:cs="Times New Roman"/>
                <w:b/>
              </w:rPr>
              <w:t>4、周边投诉情况</w:t>
            </w:r>
          </w:p>
          <w:p w14:paraId="19EF7476">
            <w:pPr>
              <w:pStyle w:val="2"/>
              <w:spacing w:line="360" w:lineRule="auto"/>
              <w:ind w:firstLine="480" w:firstLineChars="200"/>
              <w:jc w:val="both"/>
              <w:rPr>
                <w:rFonts w:ascii="Times New Roman" w:cs="Times New Roman"/>
              </w:rPr>
            </w:pPr>
            <w:r>
              <w:rPr>
                <w:rFonts w:hint="eastAsia" w:hAnsi="宋体"/>
              </w:rPr>
              <w:t>近年来，未收到关于</w:t>
            </w:r>
            <w:r>
              <w:rPr>
                <w:rFonts w:ascii="Times New Roman" w:cs="Times New Roman"/>
              </w:rPr>
              <w:t>衡阳华菱钢管有限公司</w:t>
            </w:r>
            <w:r>
              <w:rPr>
                <w:rFonts w:hint="eastAsia" w:hAnsi="宋体"/>
              </w:rPr>
              <w:t>有关环保问题的投诉处理信件。</w:t>
            </w:r>
          </w:p>
          <w:p w14:paraId="07E4BBB7">
            <w:pPr>
              <w:widowControl/>
              <w:spacing w:line="360" w:lineRule="auto"/>
              <w:ind w:firstLine="482" w:firstLineChars="200"/>
              <w:rPr>
                <w:b/>
                <w:sz w:val="24"/>
              </w:rPr>
            </w:pPr>
            <w:r>
              <w:rPr>
                <w:b/>
                <w:sz w:val="24"/>
              </w:rPr>
              <w:t>五、现有工程存在的问题及整改措施内容</w:t>
            </w:r>
          </w:p>
          <w:p w14:paraId="66EC176F">
            <w:pPr>
              <w:pStyle w:val="2"/>
              <w:spacing w:line="360" w:lineRule="auto"/>
              <w:ind w:firstLine="480" w:firstLineChars="200"/>
              <w:jc w:val="both"/>
              <w:rPr>
                <w:rFonts w:ascii="Times New Roman" w:cs="Times New Roman"/>
              </w:rPr>
            </w:pPr>
            <w:r>
              <w:rPr>
                <w:rFonts w:hint="eastAsia" w:hAnsi="宋体"/>
              </w:rPr>
              <w:t>经现场踏勘并对比最新环保要求，现有工程在生产营运期中切实做好了污染防治工作、稳定运行废气收集处理设施、厂区分区防渗以及对排污口进行规范化管理，无明显环保问题，各类污染物长期稳定达标排放，环境风险防范措施落实到位，未曾发生突发环境事件。</w:t>
            </w:r>
          </w:p>
          <w:p w14:paraId="44A127CA">
            <w:pPr>
              <w:pStyle w:val="2"/>
              <w:spacing w:line="360" w:lineRule="auto"/>
              <w:ind w:firstLine="480" w:firstLineChars="200"/>
              <w:jc w:val="both"/>
              <w:rPr>
                <w:rFonts w:ascii="Times New Roman" w:cs="Times New Roman"/>
              </w:rPr>
            </w:pPr>
          </w:p>
          <w:p w14:paraId="78ECAE79"/>
          <w:p w14:paraId="48A6F81D">
            <w:pPr>
              <w:pStyle w:val="2"/>
            </w:pPr>
          </w:p>
          <w:p w14:paraId="01493005">
            <w:pPr>
              <w:pStyle w:val="4"/>
              <w:spacing w:after="0"/>
            </w:pPr>
          </w:p>
          <w:p w14:paraId="3F4759A2"/>
          <w:p w14:paraId="49433D03">
            <w:pPr>
              <w:pStyle w:val="2"/>
            </w:pPr>
          </w:p>
          <w:p w14:paraId="3EC19539">
            <w:pPr>
              <w:pStyle w:val="4"/>
              <w:spacing w:after="0"/>
            </w:pPr>
          </w:p>
          <w:p w14:paraId="33B0D598"/>
          <w:p w14:paraId="43C7E1C3">
            <w:pPr>
              <w:pStyle w:val="2"/>
            </w:pPr>
          </w:p>
          <w:p w14:paraId="4B8BD1F0">
            <w:pPr>
              <w:pStyle w:val="4"/>
              <w:spacing w:after="0"/>
            </w:pPr>
          </w:p>
          <w:p w14:paraId="79245428"/>
          <w:p w14:paraId="37EB93B6">
            <w:pPr>
              <w:pStyle w:val="2"/>
            </w:pPr>
          </w:p>
          <w:p w14:paraId="395F2B7D">
            <w:pPr>
              <w:pStyle w:val="4"/>
              <w:spacing w:after="0"/>
            </w:pPr>
          </w:p>
          <w:p w14:paraId="6E265822"/>
          <w:p w14:paraId="527629EE">
            <w:pPr>
              <w:pStyle w:val="2"/>
            </w:pPr>
          </w:p>
          <w:p w14:paraId="3F0C5C5C">
            <w:pPr>
              <w:pStyle w:val="4"/>
              <w:spacing w:after="0"/>
            </w:pPr>
          </w:p>
          <w:p w14:paraId="55C69680"/>
          <w:p w14:paraId="5B6DA9D1">
            <w:pPr>
              <w:pStyle w:val="4"/>
              <w:spacing w:after="0"/>
            </w:pPr>
          </w:p>
          <w:p w14:paraId="4AE7F77F"/>
        </w:tc>
      </w:tr>
    </w:tbl>
    <w:p w14:paraId="766621CD">
      <w:pPr>
        <w:pStyle w:val="28"/>
        <w:spacing w:before="0" w:beforeAutospacing="0" w:after="0" w:afterAutospacing="0"/>
        <w:jc w:val="center"/>
        <w:rPr>
          <w:rFonts w:ascii="黑体" w:hAnsi="黑体" w:eastAsia="黑体"/>
          <w:snapToGrid w:val="0"/>
          <w:sz w:val="36"/>
          <w:szCs w:val="36"/>
        </w:rPr>
        <w:sectPr>
          <w:pgSz w:w="11906" w:h="16838"/>
          <w:pgMar w:top="1701" w:right="1531" w:bottom="1701" w:left="1531" w:header="851" w:footer="851" w:gutter="0"/>
          <w:cols w:space="720" w:num="1"/>
          <w:docGrid w:linePitch="312" w:charSpace="0"/>
        </w:sectPr>
      </w:pPr>
    </w:p>
    <w:p w14:paraId="375A889B">
      <w:pPr>
        <w:pStyle w:val="28"/>
        <w:adjustRightInd w:val="0"/>
        <w:snapToGrid w:val="0"/>
        <w:spacing w:before="0" w:beforeAutospacing="0" w:after="0" w:afterAutospacing="0" w:line="14" w:lineRule="auto"/>
        <w:jc w:val="center"/>
        <w:outlineLvl w:val="0"/>
        <w:rPr>
          <w:rFonts w:ascii="黑体" w:hAnsi="黑体" w:eastAsia="黑体"/>
          <w:snapToGrid w:val="0"/>
          <w:sz w:val="30"/>
          <w:szCs w:val="30"/>
        </w:rPr>
      </w:pPr>
    </w:p>
    <w:p w14:paraId="722B2298">
      <w:pPr>
        <w:pStyle w:val="28"/>
        <w:spacing w:before="0" w:beforeAutospacing="0" w:after="0" w:afterAutospacing="0"/>
        <w:jc w:val="center"/>
        <w:outlineLvl w:val="0"/>
        <w:rPr>
          <w:rFonts w:ascii="黑体" w:hAnsi="黑体" w:eastAsia="黑体"/>
          <w:snapToGrid w:val="0"/>
          <w:sz w:val="30"/>
          <w:szCs w:val="30"/>
        </w:rPr>
      </w:pPr>
      <w:bookmarkStart w:id="9" w:name="_Toc111712328"/>
      <w:r>
        <w:rPr>
          <w:rFonts w:hint="eastAsia" w:ascii="黑体" w:hAnsi="黑体" w:eastAsia="黑体"/>
          <w:snapToGrid w:val="0"/>
          <w:sz w:val="30"/>
          <w:szCs w:val="30"/>
        </w:rPr>
        <w:t>三、区域环境质量现状、环境保护目标及评价标准</w:t>
      </w:r>
      <w:bookmarkEnd w:id="9"/>
    </w:p>
    <w:tbl>
      <w:tblPr>
        <w:tblStyle w:val="31"/>
        <w:tblW w:w="102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70"/>
        <w:gridCol w:w="9636"/>
      </w:tblGrid>
      <w:tr w14:paraId="43DC3B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82" w:type="pct"/>
            <w:vAlign w:val="center"/>
          </w:tcPr>
          <w:p w14:paraId="6A5EC7C1">
            <w:pPr>
              <w:adjustRightInd w:val="0"/>
              <w:snapToGrid w:val="0"/>
              <w:jc w:val="center"/>
              <w:rPr>
                <w:rFonts w:ascii="宋体" w:hAnsi="宋体" w:cs="宋体"/>
                <w:b/>
                <w:kern w:val="0"/>
                <w:sz w:val="24"/>
              </w:rPr>
            </w:pPr>
            <w:r>
              <w:rPr>
                <w:rFonts w:hint="eastAsia" w:ascii="宋体" w:hAnsi="宋体" w:cs="宋体"/>
                <w:b/>
                <w:kern w:val="0"/>
                <w:sz w:val="24"/>
              </w:rPr>
              <w:t>区域</w:t>
            </w:r>
          </w:p>
          <w:p w14:paraId="4FA6BA18">
            <w:pPr>
              <w:adjustRightInd w:val="0"/>
              <w:snapToGrid w:val="0"/>
              <w:jc w:val="center"/>
              <w:rPr>
                <w:rFonts w:ascii="宋体" w:hAnsi="宋体" w:cs="宋体"/>
                <w:b/>
                <w:kern w:val="0"/>
                <w:sz w:val="24"/>
              </w:rPr>
            </w:pPr>
            <w:r>
              <w:rPr>
                <w:rFonts w:hint="eastAsia" w:ascii="宋体" w:hAnsi="宋体" w:cs="宋体"/>
                <w:b/>
                <w:kern w:val="0"/>
                <w:sz w:val="24"/>
              </w:rPr>
              <w:t>环境</w:t>
            </w:r>
          </w:p>
          <w:p w14:paraId="35B79246">
            <w:pPr>
              <w:adjustRightInd w:val="0"/>
              <w:snapToGrid w:val="0"/>
              <w:jc w:val="center"/>
              <w:rPr>
                <w:rFonts w:ascii="宋体" w:hAnsi="宋体" w:cs="宋体"/>
                <w:b/>
                <w:kern w:val="0"/>
                <w:sz w:val="24"/>
              </w:rPr>
            </w:pPr>
            <w:r>
              <w:rPr>
                <w:rFonts w:hint="eastAsia" w:ascii="宋体" w:hAnsi="宋体" w:cs="宋体"/>
                <w:b/>
                <w:kern w:val="0"/>
                <w:sz w:val="24"/>
              </w:rPr>
              <w:t>质量</w:t>
            </w:r>
          </w:p>
          <w:p w14:paraId="731723E5">
            <w:pPr>
              <w:adjustRightInd w:val="0"/>
              <w:snapToGrid w:val="0"/>
              <w:jc w:val="center"/>
              <w:rPr>
                <w:rFonts w:ascii="宋体" w:hAnsi="宋体" w:cs="宋体"/>
                <w:b/>
                <w:kern w:val="0"/>
                <w:sz w:val="24"/>
              </w:rPr>
            </w:pPr>
            <w:r>
              <w:rPr>
                <w:rFonts w:hint="eastAsia" w:ascii="宋体" w:hAnsi="宋体" w:cs="宋体"/>
                <w:b/>
                <w:kern w:val="0"/>
                <w:sz w:val="24"/>
              </w:rPr>
              <w:t>现状</w:t>
            </w:r>
          </w:p>
        </w:tc>
        <w:tc>
          <w:tcPr>
            <w:tcW w:w="4718" w:type="pct"/>
            <w:vAlign w:val="center"/>
          </w:tcPr>
          <w:p w14:paraId="369FB708">
            <w:pPr>
              <w:adjustRightInd w:val="0"/>
              <w:snapToGrid w:val="0"/>
              <w:spacing w:line="360" w:lineRule="auto"/>
              <w:ind w:firstLine="482" w:firstLineChars="200"/>
              <w:rPr>
                <w:b/>
                <w:sz w:val="24"/>
              </w:rPr>
            </w:pPr>
            <w:r>
              <w:rPr>
                <w:b/>
                <w:sz w:val="24"/>
              </w:rPr>
              <w:t>一、环境空气质量现状</w:t>
            </w:r>
          </w:p>
          <w:p w14:paraId="710156D7">
            <w:pPr>
              <w:spacing w:line="360" w:lineRule="auto"/>
              <w:ind w:firstLine="482" w:firstLineChars="200"/>
              <w:jc w:val="left"/>
              <w:rPr>
                <w:b/>
                <w:sz w:val="24"/>
              </w:rPr>
            </w:pPr>
            <w:r>
              <w:rPr>
                <w:rFonts w:hint="eastAsia"/>
                <w:b/>
                <w:sz w:val="24"/>
              </w:rPr>
              <w:t>1、区域环境质量</w:t>
            </w:r>
          </w:p>
          <w:p w14:paraId="5CC8E736">
            <w:pPr>
              <w:tabs>
                <w:tab w:val="left" w:pos="3544"/>
              </w:tabs>
              <w:adjustRightInd w:val="0"/>
              <w:snapToGrid w:val="0"/>
              <w:spacing w:line="360" w:lineRule="auto"/>
              <w:ind w:firstLine="480" w:firstLineChars="200"/>
              <w:rPr>
                <w:b/>
                <w:bCs/>
                <w:sz w:val="24"/>
              </w:rPr>
            </w:pPr>
            <w:r>
              <w:rPr>
                <w:sz w:val="24"/>
              </w:rPr>
              <w:t>根据《环境影响评价技术导则</w:t>
            </w:r>
            <w:r>
              <w:rPr>
                <w:rFonts w:hint="eastAsia"/>
                <w:sz w:val="24"/>
              </w:rPr>
              <w:t xml:space="preserve">  </w:t>
            </w:r>
            <w:r>
              <w:rPr>
                <w:sz w:val="24"/>
              </w:rPr>
              <w:t>大气环境》（HJ2.2-2018）6.2.1基本污染物环境质量现状数据</w:t>
            </w:r>
            <w:r>
              <w:rPr>
                <w:rFonts w:hint="eastAsia" w:ascii="宋体" w:hAnsi="宋体"/>
                <w:sz w:val="24"/>
              </w:rPr>
              <w:t>“</w:t>
            </w:r>
            <w:r>
              <w:rPr>
                <w:sz w:val="24"/>
              </w:rPr>
              <w:t>采用评价范围内国家或地方环境空气质量监测网中评价基准年连续1年的监测数据，或采用生态环境主管部门公开发布的环境空气质量现状数据</w:t>
            </w:r>
            <w:r>
              <w:rPr>
                <w:rFonts w:hint="eastAsia" w:ascii="宋体" w:hAnsi="宋体"/>
                <w:sz w:val="24"/>
              </w:rPr>
              <w:t>”</w:t>
            </w:r>
            <w:r>
              <w:rPr>
                <w:sz w:val="24"/>
              </w:rPr>
              <w:t>的规定；引用的数据为近3年的数据，满足引用要求。故本次评价收集了项目评价范围内有环境质量标准的评价因子的环境质量监测数据，选取20</w:t>
            </w:r>
            <w:r>
              <w:rPr>
                <w:rFonts w:hint="eastAsia"/>
                <w:sz w:val="24"/>
              </w:rPr>
              <w:t>23</w:t>
            </w:r>
            <w:r>
              <w:rPr>
                <w:sz w:val="24"/>
              </w:rPr>
              <w:t>年为本评价的基准年，根据</w:t>
            </w:r>
            <w:r>
              <w:rPr>
                <w:rFonts w:hint="eastAsia" w:hAnsi="宋体"/>
                <w:kern w:val="0"/>
                <w:sz w:val="24"/>
              </w:rPr>
              <w:t>衡阳市生态环境局《关于2023年12月份及1~12月份全市环境质量状况的通报》</w:t>
            </w:r>
            <w:r>
              <w:rPr>
                <w:sz w:val="24"/>
              </w:rPr>
              <w:t>中相关数据进行判定，其判定结果如下。</w:t>
            </w:r>
          </w:p>
          <w:p w14:paraId="02EF5F79">
            <w:pPr>
              <w:autoSpaceDE w:val="0"/>
              <w:autoSpaceDN w:val="0"/>
              <w:adjustRightInd w:val="0"/>
              <w:spacing w:beforeLines="50"/>
              <w:jc w:val="center"/>
              <w:rPr>
                <w:b/>
                <w:kern w:val="0"/>
                <w:szCs w:val="21"/>
              </w:rPr>
            </w:pPr>
            <w:bookmarkStart w:id="10" w:name="_Ref528415780"/>
            <w:r>
              <w:rPr>
                <w:b/>
                <w:kern w:val="0"/>
                <w:szCs w:val="21"/>
              </w:rPr>
              <w:t>表</w:t>
            </w:r>
            <w:bookmarkEnd w:id="10"/>
            <w:r>
              <w:rPr>
                <w:rFonts w:hint="eastAsia"/>
                <w:b/>
                <w:kern w:val="0"/>
                <w:szCs w:val="21"/>
              </w:rPr>
              <w:t>3</w:t>
            </w:r>
            <w:r>
              <w:rPr>
                <w:b/>
                <w:kern w:val="0"/>
                <w:szCs w:val="21"/>
              </w:rPr>
              <w:t>-1  区域空气质量现状评价表</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52"/>
              <w:gridCol w:w="2975"/>
              <w:gridCol w:w="2100"/>
              <w:gridCol w:w="1925"/>
              <w:gridCol w:w="1338"/>
            </w:tblGrid>
            <w:tr w14:paraId="6B849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0" w:type="pct"/>
                  <w:tcBorders>
                    <w:top w:val="single" w:color="auto" w:sz="12" w:space="0"/>
                    <w:left w:val="single" w:color="auto" w:sz="12" w:space="0"/>
                    <w:bottom w:val="single" w:color="auto" w:sz="6" w:space="0"/>
                    <w:right w:val="single" w:color="auto" w:sz="6" w:space="0"/>
                  </w:tcBorders>
                  <w:vAlign w:val="center"/>
                </w:tcPr>
                <w:p w14:paraId="164D5554">
                  <w:pPr>
                    <w:snapToGrid w:val="0"/>
                    <w:spacing w:line="0" w:lineRule="atLeast"/>
                    <w:jc w:val="center"/>
                    <w:rPr>
                      <w:b/>
                      <w:szCs w:val="21"/>
                    </w:rPr>
                  </w:pPr>
                  <w:r>
                    <w:rPr>
                      <w:b/>
                      <w:szCs w:val="21"/>
                    </w:rPr>
                    <w:t>污染物</w:t>
                  </w:r>
                </w:p>
              </w:tc>
              <w:tc>
                <w:tcPr>
                  <w:tcW w:w="1584" w:type="pct"/>
                  <w:tcBorders>
                    <w:top w:val="single" w:color="auto" w:sz="12" w:space="0"/>
                    <w:left w:val="single" w:color="auto" w:sz="6" w:space="0"/>
                    <w:bottom w:val="single" w:color="auto" w:sz="6" w:space="0"/>
                    <w:right w:val="single" w:color="auto" w:sz="6" w:space="0"/>
                  </w:tcBorders>
                  <w:vAlign w:val="center"/>
                </w:tcPr>
                <w:p w14:paraId="50046E0D">
                  <w:pPr>
                    <w:snapToGrid w:val="0"/>
                    <w:spacing w:line="0" w:lineRule="atLeast"/>
                    <w:jc w:val="center"/>
                    <w:rPr>
                      <w:b/>
                      <w:szCs w:val="21"/>
                    </w:rPr>
                  </w:pPr>
                  <w:r>
                    <w:rPr>
                      <w:b/>
                      <w:szCs w:val="21"/>
                    </w:rPr>
                    <w:t>年评价指标</w:t>
                  </w:r>
                </w:p>
              </w:tc>
              <w:tc>
                <w:tcPr>
                  <w:tcW w:w="1118" w:type="pct"/>
                  <w:tcBorders>
                    <w:top w:val="single" w:color="auto" w:sz="12" w:space="0"/>
                    <w:left w:val="single" w:color="auto" w:sz="6" w:space="0"/>
                    <w:bottom w:val="single" w:color="auto" w:sz="6" w:space="0"/>
                    <w:right w:val="single" w:color="auto" w:sz="6" w:space="0"/>
                  </w:tcBorders>
                  <w:vAlign w:val="center"/>
                </w:tcPr>
                <w:p w14:paraId="22DBB2F1">
                  <w:pPr>
                    <w:snapToGrid w:val="0"/>
                    <w:spacing w:line="0" w:lineRule="atLeast"/>
                    <w:jc w:val="center"/>
                    <w:rPr>
                      <w:b/>
                      <w:szCs w:val="21"/>
                    </w:rPr>
                  </w:pPr>
                  <w:r>
                    <w:rPr>
                      <w:b/>
                      <w:szCs w:val="21"/>
                    </w:rPr>
                    <w:t>现状浓度（</w:t>
                  </w:r>
                  <w:r>
                    <w:rPr>
                      <w:b/>
                    </w:rPr>
                    <w:t>µg/m</w:t>
                  </w:r>
                  <w:r>
                    <w:rPr>
                      <w:b/>
                      <w:vertAlign w:val="superscript"/>
                    </w:rPr>
                    <w:t>3</w:t>
                  </w:r>
                  <w:r>
                    <w:rPr>
                      <w:b/>
                      <w:szCs w:val="21"/>
                    </w:rPr>
                    <w:t>）</w:t>
                  </w:r>
                </w:p>
              </w:tc>
              <w:tc>
                <w:tcPr>
                  <w:tcW w:w="1025" w:type="pct"/>
                  <w:tcBorders>
                    <w:top w:val="single" w:color="auto" w:sz="12" w:space="0"/>
                    <w:left w:val="single" w:color="auto" w:sz="6" w:space="0"/>
                    <w:bottom w:val="single" w:color="auto" w:sz="6" w:space="0"/>
                    <w:right w:val="single" w:color="auto" w:sz="6" w:space="0"/>
                  </w:tcBorders>
                  <w:vAlign w:val="center"/>
                </w:tcPr>
                <w:p w14:paraId="72110CDE">
                  <w:pPr>
                    <w:snapToGrid w:val="0"/>
                    <w:spacing w:line="0" w:lineRule="atLeast"/>
                    <w:jc w:val="center"/>
                    <w:rPr>
                      <w:b/>
                      <w:szCs w:val="21"/>
                    </w:rPr>
                  </w:pPr>
                  <w:r>
                    <w:rPr>
                      <w:b/>
                      <w:szCs w:val="21"/>
                    </w:rPr>
                    <w:t>标准值（</w:t>
                  </w:r>
                  <w:r>
                    <w:rPr>
                      <w:b/>
                    </w:rPr>
                    <w:t>µg/m</w:t>
                  </w:r>
                  <w:r>
                    <w:rPr>
                      <w:b/>
                      <w:vertAlign w:val="superscript"/>
                    </w:rPr>
                    <w:t>3</w:t>
                  </w:r>
                  <w:r>
                    <w:rPr>
                      <w:b/>
                      <w:szCs w:val="21"/>
                    </w:rPr>
                    <w:t>）</w:t>
                  </w:r>
                </w:p>
              </w:tc>
              <w:tc>
                <w:tcPr>
                  <w:tcW w:w="712" w:type="pct"/>
                  <w:tcBorders>
                    <w:top w:val="single" w:color="auto" w:sz="12" w:space="0"/>
                    <w:left w:val="single" w:color="auto" w:sz="6" w:space="0"/>
                    <w:bottom w:val="single" w:color="auto" w:sz="6" w:space="0"/>
                    <w:right w:val="single" w:color="auto" w:sz="12" w:space="0"/>
                  </w:tcBorders>
                  <w:vAlign w:val="center"/>
                </w:tcPr>
                <w:p w14:paraId="59C3AB94">
                  <w:pPr>
                    <w:snapToGrid w:val="0"/>
                    <w:spacing w:line="0" w:lineRule="atLeast"/>
                    <w:jc w:val="center"/>
                    <w:rPr>
                      <w:b/>
                      <w:szCs w:val="21"/>
                    </w:rPr>
                  </w:pPr>
                  <w:r>
                    <w:rPr>
                      <w:b/>
                      <w:szCs w:val="21"/>
                    </w:rPr>
                    <w:t>达标情况</w:t>
                  </w:r>
                </w:p>
              </w:tc>
            </w:tr>
            <w:tr w14:paraId="44464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0" w:type="pct"/>
                  <w:tcBorders>
                    <w:top w:val="single" w:color="auto" w:sz="6" w:space="0"/>
                    <w:left w:val="single" w:color="auto" w:sz="12" w:space="0"/>
                    <w:bottom w:val="single" w:color="auto" w:sz="6" w:space="0"/>
                    <w:right w:val="single" w:color="auto" w:sz="6" w:space="0"/>
                  </w:tcBorders>
                  <w:vAlign w:val="center"/>
                </w:tcPr>
                <w:p w14:paraId="03CF70B0">
                  <w:pPr>
                    <w:snapToGrid w:val="0"/>
                    <w:spacing w:line="0" w:lineRule="atLeast"/>
                    <w:jc w:val="center"/>
                    <w:rPr>
                      <w:szCs w:val="21"/>
                    </w:rPr>
                  </w:pPr>
                  <w:r>
                    <w:rPr>
                      <w:szCs w:val="21"/>
                    </w:rPr>
                    <w:t>SO</w:t>
                  </w:r>
                  <w:r>
                    <w:rPr>
                      <w:szCs w:val="21"/>
                      <w:vertAlign w:val="subscript"/>
                    </w:rPr>
                    <w:t>2</w:t>
                  </w:r>
                </w:p>
              </w:tc>
              <w:tc>
                <w:tcPr>
                  <w:tcW w:w="1584" w:type="pct"/>
                  <w:tcBorders>
                    <w:top w:val="single" w:color="auto" w:sz="6" w:space="0"/>
                    <w:left w:val="single" w:color="auto" w:sz="6" w:space="0"/>
                    <w:bottom w:val="single" w:color="auto" w:sz="6" w:space="0"/>
                    <w:right w:val="single" w:color="auto" w:sz="6" w:space="0"/>
                  </w:tcBorders>
                  <w:vAlign w:val="center"/>
                </w:tcPr>
                <w:p w14:paraId="1F58DBAF">
                  <w:pPr>
                    <w:jc w:val="center"/>
                    <w:rPr>
                      <w:bCs/>
                      <w:szCs w:val="21"/>
                    </w:rPr>
                  </w:pPr>
                  <w:r>
                    <w:rPr>
                      <w:bCs/>
                      <w:szCs w:val="21"/>
                    </w:rPr>
                    <w:t>年平均质量浓度</w:t>
                  </w:r>
                </w:p>
              </w:tc>
              <w:tc>
                <w:tcPr>
                  <w:tcW w:w="1907" w:type="dxa"/>
                  <w:tcBorders>
                    <w:top w:val="single" w:color="auto" w:sz="6" w:space="0"/>
                    <w:left w:val="single" w:color="auto" w:sz="6" w:space="0"/>
                    <w:bottom w:val="single" w:color="auto" w:sz="6" w:space="0"/>
                    <w:right w:val="single" w:color="auto" w:sz="6" w:space="0"/>
                  </w:tcBorders>
                  <w:vAlign w:val="center"/>
                </w:tcPr>
                <w:p w14:paraId="7E1165D2">
                  <w:pPr>
                    <w:jc w:val="center"/>
                    <w:rPr>
                      <w:bCs/>
                      <w:szCs w:val="21"/>
                    </w:rPr>
                  </w:pPr>
                  <w:r>
                    <w:rPr>
                      <w:rFonts w:hint="eastAsia"/>
                      <w:bCs/>
                      <w:szCs w:val="21"/>
                    </w:rPr>
                    <w:t>12</w:t>
                  </w:r>
                </w:p>
              </w:tc>
              <w:tc>
                <w:tcPr>
                  <w:tcW w:w="1025" w:type="pct"/>
                  <w:tcBorders>
                    <w:top w:val="single" w:color="auto" w:sz="6" w:space="0"/>
                    <w:left w:val="single" w:color="auto" w:sz="6" w:space="0"/>
                    <w:bottom w:val="single" w:color="auto" w:sz="6" w:space="0"/>
                    <w:right w:val="single" w:color="auto" w:sz="6" w:space="0"/>
                  </w:tcBorders>
                  <w:vAlign w:val="center"/>
                </w:tcPr>
                <w:p w14:paraId="525D61E2">
                  <w:pPr>
                    <w:jc w:val="center"/>
                    <w:rPr>
                      <w:bCs/>
                      <w:szCs w:val="21"/>
                    </w:rPr>
                  </w:pPr>
                  <w:r>
                    <w:rPr>
                      <w:bCs/>
                      <w:szCs w:val="21"/>
                    </w:rPr>
                    <w:t>60</w:t>
                  </w:r>
                </w:p>
              </w:tc>
              <w:tc>
                <w:tcPr>
                  <w:tcW w:w="712" w:type="pct"/>
                  <w:tcBorders>
                    <w:top w:val="single" w:color="auto" w:sz="6" w:space="0"/>
                    <w:left w:val="single" w:color="auto" w:sz="6" w:space="0"/>
                    <w:bottom w:val="single" w:color="auto" w:sz="6" w:space="0"/>
                    <w:right w:val="single" w:color="auto" w:sz="12" w:space="0"/>
                  </w:tcBorders>
                  <w:vAlign w:val="center"/>
                </w:tcPr>
                <w:p w14:paraId="0C5A27C4">
                  <w:pPr>
                    <w:jc w:val="center"/>
                    <w:rPr>
                      <w:bCs/>
                      <w:szCs w:val="21"/>
                    </w:rPr>
                  </w:pPr>
                  <w:r>
                    <w:rPr>
                      <w:bCs/>
                      <w:szCs w:val="21"/>
                    </w:rPr>
                    <w:t>达标</w:t>
                  </w:r>
                </w:p>
              </w:tc>
            </w:tr>
            <w:tr w14:paraId="1FF12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0" w:type="pct"/>
                  <w:tcBorders>
                    <w:top w:val="single" w:color="auto" w:sz="6" w:space="0"/>
                    <w:left w:val="single" w:color="auto" w:sz="12" w:space="0"/>
                    <w:bottom w:val="single" w:color="auto" w:sz="6" w:space="0"/>
                    <w:right w:val="single" w:color="auto" w:sz="6" w:space="0"/>
                  </w:tcBorders>
                  <w:vAlign w:val="center"/>
                </w:tcPr>
                <w:p w14:paraId="3FCCF89E">
                  <w:pPr>
                    <w:snapToGrid w:val="0"/>
                    <w:spacing w:line="0" w:lineRule="atLeast"/>
                    <w:jc w:val="center"/>
                    <w:rPr>
                      <w:szCs w:val="21"/>
                    </w:rPr>
                  </w:pPr>
                  <w:r>
                    <w:rPr>
                      <w:szCs w:val="21"/>
                    </w:rPr>
                    <w:t>NO</w:t>
                  </w:r>
                  <w:r>
                    <w:rPr>
                      <w:szCs w:val="21"/>
                      <w:vertAlign w:val="subscript"/>
                    </w:rPr>
                    <w:t>2</w:t>
                  </w:r>
                </w:p>
              </w:tc>
              <w:tc>
                <w:tcPr>
                  <w:tcW w:w="1584" w:type="pct"/>
                  <w:tcBorders>
                    <w:top w:val="single" w:color="auto" w:sz="6" w:space="0"/>
                    <w:left w:val="single" w:color="auto" w:sz="6" w:space="0"/>
                    <w:bottom w:val="single" w:color="auto" w:sz="6" w:space="0"/>
                    <w:right w:val="single" w:color="auto" w:sz="6" w:space="0"/>
                  </w:tcBorders>
                  <w:vAlign w:val="center"/>
                </w:tcPr>
                <w:p w14:paraId="3200BB7E">
                  <w:pPr>
                    <w:jc w:val="center"/>
                    <w:rPr>
                      <w:bCs/>
                      <w:szCs w:val="21"/>
                    </w:rPr>
                  </w:pPr>
                  <w:r>
                    <w:rPr>
                      <w:bCs/>
                      <w:szCs w:val="21"/>
                    </w:rPr>
                    <w:t>年平均质量浓度</w:t>
                  </w:r>
                </w:p>
              </w:tc>
              <w:tc>
                <w:tcPr>
                  <w:tcW w:w="1907" w:type="dxa"/>
                  <w:tcBorders>
                    <w:top w:val="single" w:color="auto" w:sz="6" w:space="0"/>
                    <w:left w:val="single" w:color="auto" w:sz="6" w:space="0"/>
                    <w:bottom w:val="single" w:color="auto" w:sz="6" w:space="0"/>
                    <w:right w:val="single" w:color="auto" w:sz="6" w:space="0"/>
                  </w:tcBorders>
                  <w:vAlign w:val="center"/>
                </w:tcPr>
                <w:p w14:paraId="5F526532">
                  <w:pPr>
                    <w:jc w:val="center"/>
                    <w:rPr>
                      <w:bCs/>
                      <w:szCs w:val="21"/>
                    </w:rPr>
                  </w:pPr>
                  <w:r>
                    <w:rPr>
                      <w:rFonts w:hint="eastAsia"/>
                      <w:bCs/>
                      <w:szCs w:val="21"/>
                    </w:rPr>
                    <w:t>20</w:t>
                  </w:r>
                </w:p>
              </w:tc>
              <w:tc>
                <w:tcPr>
                  <w:tcW w:w="1025" w:type="pct"/>
                  <w:tcBorders>
                    <w:top w:val="single" w:color="auto" w:sz="6" w:space="0"/>
                    <w:left w:val="single" w:color="auto" w:sz="6" w:space="0"/>
                    <w:bottom w:val="single" w:color="auto" w:sz="6" w:space="0"/>
                    <w:right w:val="single" w:color="auto" w:sz="6" w:space="0"/>
                  </w:tcBorders>
                  <w:vAlign w:val="center"/>
                </w:tcPr>
                <w:p w14:paraId="041B8184">
                  <w:pPr>
                    <w:jc w:val="center"/>
                    <w:rPr>
                      <w:bCs/>
                      <w:szCs w:val="21"/>
                    </w:rPr>
                  </w:pPr>
                  <w:r>
                    <w:rPr>
                      <w:bCs/>
                      <w:szCs w:val="21"/>
                    </w:rPr>
                    <w:t>40</w:t>
                  </w:r>
                </w:p>
              </w:tc>
              <w:tc>
                <w:tcPr>
                  <w:tcW w:w="712" w:type="pct"/>
                  <w:tcBorders>
                    <w:top w:val="single" w:color="auto" w:sz="6" w:space="0"/>
                    <w:left w:val="single" w:color="auto" w:sz="6" w:space="0"/>
                    <w:bottom w:val="single" w:color="auto" w:sz="6" w:space="0"/>
                    <w:right w:val="single" w:color="auto" w:sz="12" w:space="0"/>
                  </w:tcBorders>
                  <w:vAlign w:val="center"/>
                </w:tcPr>
                <w:p w14:paraId="697744DF">
                  <w:pPr>
                    <w:jc w:val="center"/>
                    <w:rPr>
                      <w:bCs/>
                      <w:szCs w:val="21"/>
                    </w:rPr>
                  </w:pPr>
                  <w:r>
                    <w:rPr>
                      <w:bCs/>
                      <w:szCs w:val="21"/>
                    </w:rPr>
                    <w:t>达标</w:t>
                  </w:r>
                </w:p>
              </w:tc>
            </w:tr>
            <w:tr w14:paraId="0790D6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0" w:type="pct"/>
                  <w:tcBorders>
                    <w:top w:val="single" w:color="auto" w:sz="6" w:space="0"/>
                    <w:left w:val="single" w:color="auto" w:sz="12" w:space="0"/>
                    <w:bottom w:val="single" w:color="auto" w:sz="6" w:space="0"/>
                    <w:right w:val="single" w:color="auto" w:sz="6" w:space="0"/>
                  </w:tcBorders>
                  <w:vAlign w:val="center"/>
                </w:tcPr>
                <w:p w14:paraId="4F77DCA5">
                  <w:pPr>
                    <w:snapToGrid w:val="0"/>
                    <w:spacing w:line="0" w:lineRule="atLeast"/>
                    <w:jc w:val="center"/>
                    <w:rPr>
                      <w:szCs w:val="21"/>
                    </w:rPr>
                  </w:pPr>
                  <w:r>
                    <w:rPr>
                      <w:szCs w:val="21"/>
                    </w:rPr>
                    <w:t>CO</w:t>
                  </w:r>
                </w:p>
              </w:tc>
              <w:tc>
                <w:tcPr>
                  <w:tcW w:w="1584" w:type="pct"/>
                  <w:tcBorders>
                    <w:top w:val="single" w:color="auto" w:sz="6" w:space="0"/>
                    <w:left w:val="single" w:color="auto" w:sz="6" w:space="0"/>
                    <w:bottom w:val="single" w:color="auto" w:sz="6" w:space="0"/>
                    <w:right w:val="single" w:color="auto" w:sz="6" w:space="0"/>
                  </w:tcBorders>
                  <w:vAlign w:val="center"/>
                </w:tcPr>
                <w:p w14:paraId="64A14867">
                  <w:pPr>
                    <w:spacing w:line="280" w:lineRule="exact"/>
                    <w:jc w:val="center"/>
                    <w:rPr>
                      <w:szCs w:val="21"/>
                    </w:rPr>
                  </w:pPr>
                  <w:r>
                    <w:rPr>
                      <w:kern w:val="0"/>
                      <w:szCs w:val="21"/>
                    </w:rPr>
                    <w:t>24小时平均第95百分位数浓度</w:t>
                  </w:r>
                </w:p>
              </w:tc>
              <w:tc>
                <w:tcPr>
                  <w:tcW w:w="1907" w:type="dxa"/>
                  <w:tcBorders>
                    <w:top w:val="single" w:color="auto" w:sz="6" w:space="0"/>
                    <w:left w:val="single" w:color="auto" w:sz="6" w:space="0"/>
                    <w:bottom w:val="single" w:color="auto" w:sz="6" w:space="0"/>
                    <w:right w:val="single" w:color="auto" w:sz="6" w:space="0"/>
                  </w:tcBorders>
                  <w:vAlign w:val="center"/>
                </w:tcPr>
                <w:p w14:paraId="128C0830">
                  <w:pPr>
                    <w:jc w:val="center"/>
                    <w:rPr>
                      <w:szCs w:val="21"/>
                    </w:rPr>
                  </w:pPr>
                  <w:r>
                    <w:rPr>
                      <w:rFonts w:hint="eastAsia"/>
                      <w:szCs w:val="21"/>
                    </w:rPr>
                    <w:t>1400</w:t>
                  </w:r>
                </w:p>
              </w:tc>
              <w:tc>
                <w:tcPr>
                  <w:tcW w:w="1025" w:type="pct"/>
                  <w:tcBorders>
                    <w:top w:val="single" w:color="auto" w:sz="6" w:space="0"/>
                    <w:left w:val="single" w:color="auto" w:sz="6" w:space="0"/>
                    <w:bottom w:val="single" w:color="auto" w:sz="6" w:space="0"/>
                    <w:right w:val="single" w:color="auto" w:sz="6" w:space="0"/>
                  </w:tcBorders>
                  <w:vAlign w:val="center"/>
                </w:tcPr>
                <w:p w14:paraId="0C160602">
                  <w:pPr>
                    <w:jc w:val="center"/>
                    <w:rPr>
                      <w:szCs w:val="21"/>
                    </w:rPr>
                  </w:pPr>
                  <w:r>
                    <w:rPr>
                      <w:szCs w:val="21"/>
                    </w:rPr>
                    <w:t>4000</w:t>
                  </w:r>
                </w:p>
              </w:tc>
              <w:tc>
                <w:tcPr>
                  <w:tcW w:w="712" w:type="pct"/>
                  <w:tcBorders>
                    <w:top w:val="single" w:color="auto" w:sz="6" w:space="0"/>
                    <w:left w:val="single" w:color="auto" w:sz="6" w:space="0"/>
                    <w:bottom w:val="single" w:color="auto" w:sz="6" w:space="0"/>
                    <w:right w:val="single" w:color="auto" w:sz="12" w:space="0"/>
                  </w:tcBorders>
                  <w:vAlign w:val="center"/>
                </w:tcPr>
                <w:p w14:paraId="461B7AB7">
                  <w:pPr>
                    <w:jc w:val="center"/>
                    <w:rPr>
                      <w:szCs w:val="21"/>
                    </w:rPr>
                  </w:pPr>
                  <w:r>
                    <w:rPr>
                      <w:bCs/>
                      <w:szCs w:val="21"/>
                    </w:rPr>
                    <w:t>达标</w:t>
                  </w:r>
                </w:p>
              </w:tc>
            </w:tr>
            <w:tr w14:paraId="00A64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0" w:type="pct"/>
                  <w:tcBorders>
                    <w:top w:val="single" w:color="auto" w:sz="6" w:space="0"/>
                    <w:left w:val="single" w:color="auto" w:sz="12" w:space="0"/>
                    <w:bottom w:val="single" w:color="auto" w:sz="6" w:space="0"/>
                    <w:right w:val="single" w:color="auto" w:sz="6" w:space="0"/>
                  </w:tcBorders>
                  <w:vAlign w:val="center"/>
                </w:tcPr>
                <w:p w14:paraId="694E80C4">
                  <w:pPr>
                    <w:snapToGrid w:val="0"/>
                    <w:spacing w:line="0" w:lineRule="atLeast"/>
                    <w:jc w:val="center"/>
                    <w:rPr>
                      <w:szCs w:val="21"/>
                    </w:rPr>
                  </w:pPr>
                  <w:r>
                    <w:rPr>
                      <w:szCs w:val="21"/>
                    </w:rPr>
                    <w:t>O</w:t>
                  </w:r>
                  <w:r>
                    <w:rPr>
                      <w:szCs w:val="21"/>
                      <w:vertAlign w:val="subscript"/>
                    </w:rPr>
                    <w:t>3</w:t>
                  </w:r>
                </w:p>
              </w:tc>
              <w:tc>
                <w:tcPr>
                  <w:tcW w:w="1584" w:type="pct"/>
                  <w:tcBorders>
                    <w:top w:val="single" w:color="auto" w:sz="6" w:space="0"/>
                    <w:left w:val="single" w:color="auto" w:sz="6" w:space="0"/>
                    <w:bottom w:val="single" w:color="auto" w:sz="6" w:space="0"/>
                    <w:right w:val="single" w:color="auto" w:sz="6" w:space="0"/>
                  </w:tcBorders>
                  <w:vAlign w:val="center"/>
                </w:tcPr>
                <w:p w14:paraId="1BB9E50B">
                  <w:pPr>
                    <w:spacing w:line="280" w:lineRule="exact"/>
                    <w:jc w:val="center"/>
                    <w:rPr>
                      <w:szCs w:val="21"/>
                    </w:rPr>
                  </w:pPr>
                  <w:r>
                    <w:rPr>
                      <w:szCs w:val="21"/>
                    </w:rPr>
                    <w:t>日最大8h滑动平均值的</w:t>
                  </w:r>
                  <w:r>
                    <w:rPr>
                      <w:kern w:val="0"/>
                      <w:szCs w:val="21"/>
                    </w:rPr>
                    <w:t>第90百分位数浓度</w:t>
                  </w:r>
                </w:p>
              </w:tc>
              <w:tc>
                <w:tcPr>
                  <w:tcW w:w="1907" w:type="dxa"/>
                  <w:tcBorders>
                    <w:top w:val="single" w:color="auto" w:sz="6" w:space="0"/>
                    <w:left w:val="single" w:color="auto" w:sz="6" w:space="0"/>
                    <w:bottom w:val="single" w:color="auto" w:sz="6" w:space="0"/>
                    <w:right w:val="single" w:color="auto" w:sz="6" w:space="0"/>
                  </w:tcBorders>
                  <w:vAlign w:val="center"/>
                </w:tcPr>
                <w:p w14:paraId="4B90B4FD">
                  <w:pPr>
                    <w:jc w:val="center"/>
                    <w:rPr>
                      <w:szCs w:val="21"/>
                    </w:rPr>
                  </w:pPr>
                  <w:r>
                    <w:rPr>
                      <w:rFonts w:hint="eastAsia"/>
                      <w:szCs w:val="21"/>
                    </w:rPr>
                    <w:t>138</w:t>
                  </w:r>
                </w:p>
              </w:tc>
              <w:tc>
                <w:tcPr>
                  <w:tcW w:w="1025" w:type="pct"/>
                  <w:tcBorders>
                    <w:top w:val="single" w:color="auto" w:sz="6" w:space="0"/>
                    <w:left w:val="single" w:color="auto" w:sz="6" w:space="0"/>
                    <w:bottom w:val="single" w:color="auto" w:sz="6" w:space="0"/>
                    <w:right w:val="single" w:color="auto" w:sz="6" w:space="0"/>
                  </w:tcBorders>
                  <w:vAlign w:val="center"/>
                </w:tcPr>
                <w:p w14:paraId="5998193E">
                  <w:pPr>
                    <w:jc w:val="center"/>
                    <w:rPr>
                      <w:szCs w:val="21"/>
                    </w:rPr>
                  </w:pPr>
                  <w:r>
                    <w:rPr>
                      <w:szCs w:val="21"/>
                    </w:rPr>
                    <w:t>160</w:t>
                  </w:r>
                </w:p>
              </w:tc>
              <w:tc>
                <w:tcPr>
                  <w:tcW w:w="712" w:type="pct"/>
                  <w:tcBorders>
                    <w:top w:val="single" w:color="auto" w:sz="6" w:space="0"/>
                    <w:left w:val="single" w:color="auto" w:sz="6" w:space="0"/>
                    <w:bottom w:val="single" w:color="auto" w:sz="6" w:space="0"/>
                    <w:right w:val="single" w:color="auto" w:sz="12" w:space="0"/>
                  </w:tcBorders>
                  <w:vAlign w:val="center"/>
                </w:tcPr>
                <w:p w14:paraId="473D419F">
                  <w:pPr>
                    <w:jc w:val="center"/>
                    <w:rPr>
                      <w:szCs w:val="21"/>
                    </w:rPr>
                  </w:pPr>
                  <w:r>
                    <w:rPr>
                      <w:bCs/>
                      <w:szCs w:val="21"/>
                    </w:rPr>
                    <w:t>达标</w:t>
                  </w:r>
                </w:p>
              </w:tc>
            </w:tr>
            <w:tr w14:paraId="16D37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0" w:type="pct"/>
                  <w:tcBorders>
                    <w:top w:val="single" w:color="auto" w:sz="6" w:space="0"/>
                    <w:left w:val="single" w:color="auto" w:sz="12" w:space="0"/>
                    <w:bottom w:val="single" w:color="auto" w:sz="6" w:space="0"/>
                    <w:right w:val="single" w:color="auto" w:sz="6" w:space="0"/>
                  </w:tcBorders>
                  <w:vAlign w:val="center"/>
                </w:tcPr>
                <w:p w14:paraId="5F5CBD16">
                  <w:pPr>
                    <w:snapToGrid w:val="0"/>
                    <w:spacing w:line="0" w:lineRule="atLeast"/>
                    <w:jc w:val="center"/>
                    <w:rPr>
                      <w:szCs w:val="21"/>
                      <w:vertAlign w:val="subscript"/>
                    </w:rPr>
                  </w:pPr>
                  <w:r>
                    <w:rPr>
                      <w:szCs w:val="21"/>
                    </w:rPr>
                    <w:t>PM</w:t>
                  </w:r>
                  <w:r>
                    <w:rPr>
                      <w:szCs w:val="21"/>
                      <w:vertAlign w:val="subscript"/>
                    </w:rPr>
                    <w:t>10</w:t>
                  </w:r>
                </w:p>
              </w:tc>
              <w:tc>
                <w:tcPr>
                  <w:tcW w:w="1584" w:type="pct"/>
                  <w:tcBorders>
                    <w:top w:val="single" w:color="auto" w:sz="6" w:space="0"/>
                    <w:left w:val="single" w:color="auto" w:sz="6" w:space="0"/>
                    <w:bottom w:val="single" w:color="auto" w:sz="6" w:space="0"/>
                    <w:right w:val="single" w:color="auto" w:sz="6" w:space="0"/>
                  </w:tcBorders>
                  <w:vAlign w:val="center"/>
                </w:tcPr>
                <w:p w14:paraId="6300A717">
                  <w:pPr>
                    <w:jc w:val="center"/>
                    <w:rPr>
                      <w:szCs w:val="21"/>
                    </w:rPr>
                  </w:pPr>
                  <w:r>
                    <w:rPr>
                      <w:bCs/>
                      <w:szCs w:val="21"/>
                    </w:rPr>
                    <w:t>年平均质量浓度</w:t>
                  </w:r>
                </w:p>
              </w:tc>
              <w:tc>
                <w:tcPr>
                  <w:tcW w:w="1907" w:type="dxa"/>
                  <w:tcBorders>
                    <w:top w:val="single" w:color="auto" w:sz="6" w:space="0"/>
                    <w:left w:val="single" w:color="auto" w:sz="6" w:space="0"/>
                    <w:bottom w:val="single" w:color="auto" w:sz="6" w:space="0"/>
                    <w:right w:val="single" w:color="auto" w:sz="6" w:space="0"/>
                  </w:tcBorders>
                  <w:vAlign w:val="center"/>
                </w:tcPr>
                <w:p w14:paraId="1ADFC42A">
                  <w:pPr>
                    <w:jc w:val="center"/>
                    <w:rPr>
                      <w:szCs w:val="21"/>
                    </w:rPr>
                  </w:pPr>
                  <w:r>
                    <w:rPr>
                      <w:rFonts w:hint="eastAsia"/>
                      <w:szCs w:val="21"/>
                    </w:rPr>
                    <w:t>55</w:t>
                  </w:r>
                </w:p>
              </w:tc>
              <w:tc>
                <w:tcPr>
                  <w:tcW w:w="1025" w:type="pct"/>
                  <w:tcBorders>
                    <w:top w:val="single" w:color="auto" w:sz="6" w:space="0"/>
                    <w:left w:val="single" w:color="auto" w:sz="6" w:space="0"/>
                    <w:bottom w:val="single" w:color="auto" w:sz="6" w:space="0"/>
                    <w:right w:val="single" w:color="auto" w:sz="6" w:space="0"/>
                  </w:tcBorders>
                  <w:vAlign w:val="center"/>
                </w:tcPr>
                <w:p w14:paraId="2AE637F1">
                  <w:pPr>
                    <w:jc w:val="center"/>
                    <w:rPr>
                      <w:szCs w:val="21"/>
                    </w:rPr>
                  </w:pPr>
                  <w:r>
                    <w:rPr>
                      <w:szCs w:val="21"/>
                    </w:rPr>
                    <w:t>70</w:t>
                  </w:r>
                </w:p>
              </w:tc>
              <w:tc>
                <w:tcPr>
                  <w:tcW w:w="712" w:type="pct"/>
                  <w:tcBorders>
                    <w:top w:val="single" w:color="auto" w:sz="6" w:space="0"/>
                    <w:left w:val="single" w:color="auto" w:sz="6" w:space="0"/>
                    <w:bottom w:val="single" w:color="auto" w:sz="6" w:space="0"/>
                    <w:right w:val="single" w:color="auto" w:sz="12" w:space="0"/>
                  </w:tcBorders>
                  <w:vAlign w:val="center"/>
                </w:tcPr>
                <w:p w14:paraId="4B6F66A6">
                  <w:pPr>
                    <w:jc w:val="center"/>
                    <w:rPr>
                      <w:szCs w:val="21"/>
                    </w:rPr>
                  </w:pPr>
                  <w:r>
                    <w:rPr>
                      <w:szCs w:val="21"/>
                    </w:rPr>
                    <w:t>达标</w:t>
                  </w:r>
                </w:p>
              </w:tc>
            </w:tr>
            <w:tr w14:paraId="5E7BF7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0" w:type="pct"/>
                  <w:tcBorders>
                    <w:top w:val="single" w:color="auto" w:sz="6" w:space="0"/>
                    <w:left w:val="single" w:color="auto" w:sz="12" w:space="0"/>
                    <w:bottom w:val="single" w:color="auto" w:sz="12" w:space="0"/>
                    <w:right w:val="single" w:color="auto" w:sz="6" w:space="0"/>
                  </w:tcBorders>
                  <w:vAlign w:val="center"/>
                </w:tcPr>
                <w:p w14:paraId="05A51B1B">
                  <w:pPr>
                    <w:snapToGrid w:val="0"/>
                    <w:spacing w:line="0" w:lineRule="atLeast"/>
                    <w:jc w:val="center"/>
                    <w:rPr>
                      <w:szCs w:val="21"/>
                      <w:vertAlign w:val="subscript"/>
                    </w:rPr>
                  </w:pPr>
                  <w:r>
                    <w:rPr>
                      <w:szCs w:val="21"/>
                    </w:rPr>
                    <w:t>PM</w:t>
                  </w:r>
                  <w:r>
                    <w:rPr>
                      <w:szCs w:val="21"/>
                      <w:vertAlign w:val="subscript"/>
                    </w:rPr>
                    <w:t>2.5</w:t>
                  </w:r>
                </w:p>
              </w:tc>
              <w:tc>
                <w:tcPr>
                  <w:tcW w:w="1584" w:type="pct"/>
                  <w:tcBorders>
                    <w:top w:val="single" w:color="auto" w:sz="6" w:space="0"/>
                    <w:left w:val="single" w:color="auto" w:sz="6" w:space="0"/>
                    <w:bottom w:val="single" w:color="auto" w:sz="12" w:space="0"/>
                    <w:right w:val="single" w:color="auto" w:sz="6" w:space="0"/>
                  </w:tcBorders>
                  <w:vAlign w:val="center"/>
                </w:tcPr>
                <w:p w14:paraId="56AD3BA2">
                  <w:pPr>
                    <w:snapToGrid w:val="0"/>
                    <w:spacing w:line="0" w:lineRule="atLeast"/>
                    <w:jc w:val="center"/>
                    <w:rPr>
                      <w:szCs w:val="21"/>
                      <w:vertAlign w:val="subscript"/>
                    </w:rPr>
                  </w:pPr>
                  <w:r>
                    <w:rPr>
                      <w:bCs/>
                      <w:szCs w:val="21"/>
                    </w:rPr>
                    <w:t>年平均质量浓度</w:t>
                  </w:r>
                </w:p>
              </w:tc>
              <w:tc>
                <w:tcPr>
                  <w:tcW w:w="1907" w:type="dxa"/>
                  <w:tcBorders>
                    <w:top w:val="single" w:color="auto" w:sz="6" w:space="0"/>
                    <w:left w:val="single" w:color="auto" w:sz="6" w:space="0"/>
                    <w:bottom w:val="single" w:color="auto" w:sz="12" w:space="0"/>
                    <w:right w:val="single" w:color="auto" w:sz="6" w:space="0"/>
                  </w:tcBorders>
                  <w:vAlign w:val="center"/>
                </w:tcPr>
                <w:p w14:paraId="5DDC6C81">
                  <w:pPr>
                    <w:jc w:val="center"/>
                    <w:rPr>
                      <w:szCs w:val="21"/>
                    </w:rPr>
                  </w:pPr>
                  <w:r>
                    <w:rPr>
                      <w:rFonts w:hint="eastAsia"/>
                      <w:szCs w:val="21"/>
                    </w:rPr>
                    <w:t>39</w:t>
                  </w:r>
                </w:p>
              </w:tc>
              <w:tc>
                <w:tcPr>
                  <w:tcW w:w="1025" w:type="pct"/>
                  <w:tcBorders>
                    <w:top w:val="single" w:color="auto" w:sz="6" w:space="0"/>
                    <w:left w:val="single" w:color="auto" w:sz="6" w:space="0"/>
                    <w:bottom w:val="single" w:color="auto" w:sz="12" w:space="0"/>
                    <w:right w:val="single" w:color="auto" w:sz="6" w:space="0"/>
                  </w:tcBorders>
                  <w:vAlign w:val="center"/>
                </w:tcPr>
                <w:p w14:paraId="44DF4901">
                  <w:pPr>
                    <w:jc w:val="center"/>
                    <w:rPr>
                      <w:szCs w:val="21"/>
                    </w:rPr>
                  </w:pPr>
                  <w:r>
                    <w:rPr>
                      <w:szCs w:val="21"/>
                    </w:rPr>
                    <w:t>35</w:t>
                  </w:r>
                </w:p>
              </w:tc>
              <w:tc>
                <w:tcPr>
                  <w:tcW w:w="712" w:type="pct"/>
                  <w:tcBorders>
                    <w:top w:val="single" w:color="auto" w:sz="6" w:space="0"/>
                    <w:left w:val="single" w:color="auto" w:sz="6" w:space="0"/>
                    <w:bottom w:val="single" w:color="auto" w:sz="12" w:space="0"/>
                    <w:right w:val="single" w:color="auto" w:sz="12" w:space="0"/>
                  </w:tcBorders>
                  <w:vAlign w:val="center"/>
                </w:tcPr>
                <w:p w14:paraId="76A30A19">
                  <w:pPr>
                    <w:jc w:val="center"/>
                    <w:rPr>
                      <w:szCs w:val="21"/>
                    </w:rPr>
                  </w:pPr>
                  <w:r>
                    <w:rPr>
                      <w:szCs w:val="21"/>
                    </w:rPr>
                    <w:t>不达标</w:t>
                  </w:r>
                </w:p>
              </w:tc>
            </w:tr>
          </w:tbl>
          <w:p w14:paraId="1268921D">
            <w:pPr>
              <w:tabs>
                <w:tab w:val="left" w:pos="3544"/>
              </w:tabs>
              <w:adjustRightInd w:val="0"/>
              <w:snapToGrid w:val="0"/>
              <w:spacing w:line="360" w:lineRule="auto"/>
              <w:ind w:firstLine="480" w:firstLineChars="200"/>
              <w:rPr>
                <w:sz w:val="24"/>
              </w:rPr>
            </w:pPr>
            <w:r>
              <w:rPr>
                <w:rFonts w:hint="eastAsia"/>
                <w:sz w:val="24"/>
              </w:rPr>
              <w:t>由上表可知，本项目所在区域PM</w:t>
            </w:r>
            <w:r>
              <w:rPr>
                <w:rFonts w:hint="eastAsia"/>
                <w:sz w:val="24"/>
                <w:vertAlign w:val="subscript"/>
              </w:rPr>
              <w:t>10</w:t>
            </w:r>
            <w:r>
              <w:rPr>
                <w:rFonts w:hint="eastAsia"/>
                <w:sz w:val="24"/>
              </w:rPr>
              <w:t>、SO</w:t>
            </w:r>
            <w:r>
              <w:rPr>
                <w:rFonts w:hint="eastAsia"/>
                <w:sz w:val="24"/>
                <w:vertAlign w:val="subscript"/>
              </w:rPr>
              <w:t>2</w:t>
            </w:r>
            <w:r>
              <w:rPr>
                <w:rFonts w:hint="eastAsia"/>
                <w:sz w:val="24"/>
              </w:rPr>
              <w:t>、NO</w:t>
            </w:r>
            <w:r>
              <w:rPr>
                <w:rFonts w:hint="eastAsia"/>
                <w:sz w:val="24"/>
                <w:vertAlign w:val="subscript"/>
              </w:rPr>
              <w:t>2</w:t>
            </w:r>
            <w:r>
              <w:rPr>
                <w:rFonts w:hint="eastAsia"/>
                <w:sz w:val="24"/>
              </w:rPr>
              <w:t>年平均质量浓度、CO24小时平均值的第95百分位数以及O</w:t>
            </w:r>
            <w:r>
              <w:rPr>
                <w:rFonts w:hint="eastAsia"/>
                <w:sz w:val="24"/>
                <w:vertAlign w:val="subscript"/>
              </w:rPr>
              <w:t>3</w:t>
            </w:r>
            <w:r>
              <w:rPr>
                <w:rFonts w:hint="eastAsia"/>
                <w:sz w:val="24"/>
              </w:rPr>
              <w:t>日最大8h滑动平均值的第90百分位数浓度满足《环境空气质量标准》（GB3095-2012）二级标准要求；超标污染物为PM</w:t>
            </w:r>
            <w:r>
              <w:rPr>
                <w:rFonts w:hint="eastAsia"/>
                <w:sz w:val="24"/>
                <w:vertAlign w:val="subscript"/>
              </w:rPr>
              <w:t>2.5</w:t>
            </w:r>
            <w:r>
              <w:rPr>
                <w:rFonts w:hint="eastAsia"/>
                <w:sz w:val="24"/>
              </w:rPr>
              <w:t>。PM</w:t>
            </w:r>
            <w:r>
              <w:rPr>
                <w:rFonts w:hint="eastAsia"/>
                <w:sz w:val="24"/>
                <w:vertAlign w:val="subscript"/>
              </w:rPr>
              <w:t>2.5</w:t>
            </w:r>
            <w:r>
              <w:rPr>
                <w:rFonts w:hint="eastAsia"/>
                <w:sz w:val="24"/>
              </w:rPr>
              <w:t>不满足《环境空气质量标准》（GB3095-2012）二级标准要求。因此，本项目所在评价区域为不达标区。</w:t>
            </w:r>
          </w:p>
          <w:p w14:paraId="00516F05">
            <w:pPr>
              <w:tabs>
                <w:tab w:val="left" w:pos="3544"/>
              </w:tabs>
              <w:adjustRightInd w:val="0"/>
              <w:snapToGrid w:val="0"/>
              <w:spacing w:line="360" w:lineRule="auto"/>
              <w:ind w:firstLine="480" w:firstLineChars="200"/>
              <w:rPr>
                <w:sz w:val="24"/>
              </w:rPr>
            </w:pPr>
            <w:r>
              <w:rPr>
                <w:rFonts w:hint="eastAsia"/>
                <w:sz w:val="24"/>
              </w:rPr>
              <w:t>针对环境空气质量未达标的情况，衡阳市生态环境局于2020年7月制定了《衡阳市大气环境质量限期达标规划（2020-2025）》，明确采取一系列产业和能源结构调整措施、大气污染治理措施，到2025年，环境空气PM2.5年均浓度小于</w:t>
            </w:r>
            <w:r>
              <w:rPr>
                <w:sz w:val="24"/>
              </w:rPr>
              <w:t>35μ</w:t>
            </w:r>
            <w:r>
              <w:rPr>
                <w:rFonts w:hint="eastAsia"/>
                <w:sz w:val="24"/>
              </w:rPr>
              <w:t>g/m</w:t>
            </w:r>
            <w:r>
              <w:rPr>
                <w:rFonts w:hint="eastAsia"/>
                <w:sz w:val="24"/>
                <w:vertAlign w:val="superscript"/>
              </w:rPr>
              <w:t>3</w:t>
            </w:r>
            <w:r>
              <w:rPr>
                <w:rFonts w:hint="eastAsia"/>
                <w:sz w:val="24"/>
              </w:rPr>
              <w:t>，实现环境空气质量全面达标。按照达标规划要求，项目所在区域不达标指标PM2.5年均浓度可达到小于</w:t>
            </w:r>
            <w:r>
              <w:rPr>
                <w:sz w:val="24"/>
              </w:rPr>
              <w:t>35μ</w:t>
            </w:r>
            <w:r>
              <w:rPr>
                <w:rFonts w:hint="eastAsia"/>
                <w:sz w:val="24"/>
              </w:rPr>
              <w:t>g/m</w:t>
            </w:r>
            <w:r>
              <w:rPr>
                <w:rFonts w:hint="eastAsia"/>
                <w:sz w:val="24"/>
                <w:vertAlign w:val="superscript"/>
              </w:rPr>
              <w:t>3</w:t>
            </w:r>
            <w:r>
              <w:rPr>
                <w:rFonts w:hint="eastAsia"/>
                <w:sz w:val="24"/>
              </w:rPr>
              <w:t>的要求，满足《环境空气质量标准》（GB3095-2012）及其修改单中二级标准要求。</w:t>
            </w:r>
          </w:p>
          <w:p w14:paraId="4429B24B">
            <w:pPr>
              <w:spacing w:line="360" w:lineRule="auto"/>
              <w:ind w:firstLine="482" w:firstLineChars="200"/>
              <w:rPr>
                <w:rFonts w:hAnsi="宋体"/>
                <w:b/>
                <w:kern w:val="0"/>
                <w:sz w:val="24"/>
              </w:rPr>
            </w:pPr>
            <w:r>
              <w:rPr>
                <w:rFonts w:hint="eastAsia" w:hAnsi="宋体"/>
                <w:b/>
                <w:kern w:val="0"/>
                <w:sz w:val="24"/>
              </w:rPr>
              <w:t>2、特征监测因子</w:t>
            </w:r>
          </w:p>
          <w:p w14:paraId="3E10F4BE">
            <w:pPr>
              <w:tabs>
                <w:tab w:val="left" w:pos="3544"/>
              </w:tabs>
              <w:adjustRightInd w:val="0"/>
              <w:snapToGrid w:val="0"/>
              <w:spacing w:line="360" w:lineRule="auto"/>
              <w:ind w:firstLine="480" w:firstLineChars="200"/>
              <w:rPr>
                <w:sz w:val="24"/>
              </w:rPr>
            </w:pPr>
            <w:r>
              <w:rPr>
                <w:rFonts w:hint="eastAsia"/>
                <w:sz w:val="24"/>
              </w:rPr>
              <w:t>为进一步了解本项目所在地环境质量现状，本次评价引用衡阳华菱连轧管有限公司委托湖南中雁环保科技有限公司对本项目西侧蒸湘居民点的大气环境监测数据，监测时间为2023年7月26-28日，监测结果如下</w:t>
            </w:r>
            <w:r>
              <w:rPr>
                <w:sz w:val="24"/>
              </w:rPr>
              <w:t>，</w:t>
            </w:r>
            <w:r>
              <w:rPr>
                <w:rFonts w:hint="eastAsia"/>
                <w:sz w:val="24"/>
              </w:rPr>
              <w:t>引用点位检测时间未超过3年，位于本项目2.5km范围内，根据现场调查，该项目周边近期变化较少，区域污染结构未发生明显改变，项目区域自然及社会环境未发生重大变化，因此，引用数据可以代表区域环境空气状况。</w:t>
            </w:r>
            <w:r>
              <w:rPr>
                <w:sz w:val="24"/>
              </w:rPr>
              <w:t>监测结果见表</w:t>
            </w:r>
            <w:r>
              <w:rPr>
                <w:rFonts w:hint="eastAsia"/>
                <w:sz w:val="24"/>
              </w:rPr>
              <w:t>3-2。</w:t>
            </w:r>
          </w:p>
          <w:p w14:paraId="7CA44EBD">
            <w:pPr>
              <w:spacing w:beforeLines="50"/>
              <w:jc w:val="center"/>
              <w:rPr>
                <w:b/>
                <w:bCs/>
                <w:szCs w:val="21"/>
                <w:vertAlign w:val="superscript"/>
              </w:rPr>
            </w:pPr>
            <w:r>
              <w:rPr>
                <w:b/>
                <w:bCs/>
                <w:szCs w:val="21"/>
              </w:rPr>
              <w:t>表</w:t>
            </w:r>
            <w:r>
              <w:rPr>
                <w:rFonts w:hint="eastAsia"/>
                <w:b/>
                <w:bCs/>
                <w:szCs w:val="21"/>
              </w:rPr>
              <w:t>3</w:t>
            </w:r>
            <w:r>
              <w:rPr>
                <w:b/>
                <w:bCs/>
                <w:szCs w:val="21"/>
              </w:rPr>
              <w:t>-</w:t>
            </w:r>
            <w:r>
              <w:rPr>
                <w:rFonts w:hint="eastAsia"/>
                <w:b/>
                <w:bCs/>
                <w:szCs w:val="21"/>
              </w:rPr>
              <w:t>2</w:t>
            </w:r>
            <w:r>
              <w:rPr>
                <w:b/>
                <w:bCs/>
                <w:szCs w:val="21"/>
              </w:rPr>
              <w:t xml:space="preserve">  </w:t>
            </w:r>
            <w:r>
              <w:rPr>
                <w:rFonts w:hint="eastAsia"/>
                <w:b/>
                <w:bCs/>
                <w:szCs w:val="21"/>
              </w:rPr>
              <w:t>特征</w:t>
            </w:r>
            <w:r>
              <w:rPr>
                <w:b/>
                <w:bCs/>
                <w:szCs w:val="21"/>
              </w:rPr>
              <w:t>污染物</w:t>
            </w:r>
            <w:r>
              <w:rPr>
                <w:rFonts w:hint="eastAsia"/>
                <w:b/>
                <w:bCs/>
                <w:szCs w:val="21"/>
              </w:rPr>
              <w:t>监测结果  单位：mg/m</w:t>
            </w:r>
            <w:r>
              <w:rPr>
                <w:rFonts w:hint="eastAsia"/>
                <w:b/>
                <w:bCs/>
                <w:szCs w:val="21"/>
                <w:vertAlign w:val="superscript"/>
              </w:rPr>
              <w:t>3</w:t>
            </w:r>
          </w:p>
          <w:tbl>
            <w:tblPr>
              <w:tblStyle w:val="31"/>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82"/>
              <w:gridCol w:w="1419"/>
              <w:gridCol w:w="1451"/>
              <w:gridCol w:w="1100"/>
              <w:gridCol w:w="1485"/>
              <w:gridCol w:w="1209"/>
              <w:gridCol w:w="1038"/>
            </w:tblGrid>
            <w:tr w14:paraId="1B5D3D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97" w:type="pct"/>
                  <w:vMerge w:val="restart"/>
                  <w:vAlign w:val="center"/>
                </w:tcPr>
                <w:p w14:paraId="5402B1A0">
                  <w:pPr>
                    <w:pStyle w:val="107"/>
                    <w:rPr>
                      <w:b/>
                      <w:bCs/>
                      <w:color w:val="auto"/>
                      <w:szCs w:val="21"/>
                    </w:rPr>
                  </w:pPr>
                  <w:r>
                    <w:rPr>
                      <w:b/>
                      <w:bCs/>
                      <w:color w:val="auto"/>
                      <w:szCs w:val="21"/>
                    </w:rPr>
                    <w:t>点位</w:t>
                  </w:r>
                </w:p>
              </w:tc>
              <w:tc>
                <w:tcPr>
                  <w:tcW w:w="756" w:type="pct"/>
                  <w:vMerge w:val="restart"/>
                  <w:vAlign w:val="center"/>
                </w:tcPr>
                <w:p w14:paraId="655BCEBD">
                  <w:pPr>
                    <w:pStyle w:val="107"/>
                    <w:rPr>
                      <w:b/>
                      <w:bCs/>
                      <w:color w:val="auto"/>
                      <w:szCs w:val="21"/>
                    </w:rPr>
                  </w:pPr>
                  <w:r>
                    <w:rPr>
                      <w:b/>
                      <w:bCs/>
                      <w:color w:val="auto"/>
                      <w:szCs w:val="21"/>
                    </w:rPr>
                    <w:t>检测项目</w:t>
                  </w:r>
                </w:p>
              </w:tc>
              <w:tc>
                <w:tcPr>
                  <w:tcW w:w="2150" w:type="pct"/>
                  <w:gridSpan w:val="3"/>
                  <w:noWrap/>
                  <w:vAlign w:val="center"/>
                </w:tcPr>
                <w:p w14:paraId="5ABC3A9F">
                  <w:pPr>
                    <w:pStyle w:val="107"/>
                    <w:rPr>
                      <w:b/>
                      <w:bCs/>
                      <w:color w:val="auto"/>
                      <w:szCs w:val="21"/>
                    </w:rPr>
                  </w:pPr>
                  <w:r>
                    <w:rPr>
                      <w:b/>
                      <w:bCs/>
                      <w:color w:val="auto"/>
                      <w:szCs w:val="21"/>
                    </w:rPr>
                    <w:t>监测结果</w:t>
                  </w:r>
                </w:p>
              </w:tc>
              <w:tc>
                <w:tcPr>
                  <w:tcW w:w="644" w:type="pct"/>
                  <w:noWrap/>
                  <w:vAlign w:val="center"/>
                </w:tcPr>
                <w:p w14:paraId="16966C47">
                  <w:pPr>
                    <w:pStyle w:val="107"/>
                    <w:rPr>
                      <w:b/>
                      <w:bCs/>
                      <w:color w:val="auto"/>
                      <w:szCs w:val="21"/>
                    </w:rPr>
                  </w:pPr>
                </w:p>
              </w:tc>
              <w:tc>
                <w:tcPr>
                  <w:tcW w:w="553" w:type="pct"/>
                  <w:vAlign w:val="center"/>
                </w:tcPr>
                <w:p w14:paraId="19E47164">
                  <w:pPr>
                    <w:pStyle w:val="107"/>
                    <w:rPr>
                      <w:b/>
                      <w:bCs/>
                      <w:color w:val="auto"/>
                      <w:szCs w:val="21"/>
                    </w:rPr>
                  </w:pPr>
                </w:p>
              </w:tc>
            </w:tr>
            <w:tr w14:paraId="141E6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97" w:type="pct"/>
                  <w:vMerge w:val="continue"/>
                  <w:vAlign w:val="center"/>
                </w:tcPr>
                <w:p w14:paraId="5B1CC8C5">
                  <w:pPr>
                    <w:pStyle w:val="107"/>
                    <w:rPr>
                      <w:b/>
                      <w:bCs/>
                      <w:color w:val="auto"/>
                      <w:szCs w:val="21"/>
                    </w:rPr>
                  </w:pPr>
                </w:p>
              </w:tc>
              <w:tc>
                <w:tcPr>
                  <w:tcW w:w="756" w:type="pct"/>
                  <w:vMerge w:val="continue"/>
                  <w:vAlign w:val="center"/>
                </w:tcPr>
                <w:p w14:paraId="5502FE60">
                  <w:pPr>
                    <w:pStyle w:val="107"/>
                    <w:rPr>
                      <w:b/>
                      <w:bCs/>
                      <w:color w:val="auto"/>
                      <w:szCs w:val="21"/>
                    </w:rPr>
                  </w:pPr>
                </w:p>
              </w:tc>
              <w:tc>
                <w:tcPr>
                  <w:tcW w:w="773" w:type="pct"/>
                  <w:noWrap/>
                  <w:vAlign w:val="center"/>
                </w:tcPr>
                <w:p w14:paraId="5C970746">
                  <w:pPr>
                    <w:pStyle w:val="107"/>
                    <w:rPr>
                      <w:b/>
                      <w:bCs/>
                      <w:color w:val="auto"/>
                      <w:szCs w:val="21"/>
                    </w:rPr>
                  </w:pPr>
                  <w:r>
                    <w:rPr>
                      <w:rFonts w:hint="eastAsia"/>
                      <w:b/>
                      <w:bCs/>
                      <w:color w:val="auto"/>
                      <w:szCs w:val="21"/>
                    </w:rPr>
                    <w:t>2023.7.26</w:t>
                  </w:r>
                </w:p>
              </w:tc>
              <w:tc>
                <w:tcPr>
                  <w:tcW w:w="586" w:type="pct"/>
                  <w:noWrap/>
                  <w:vAlign w:val="center"/>
                </w:tcPr>
                <w:p w14:paraId="69332684">
                  <w:pPr>
                    <w:pStyle w:val="107"/>
                    <w:rPr>
                      <w:b/>
                      <w:bCs/>
                      <w:color w:val="auto"/>
                      <w:szCs w:val="21"/>
                    </w:rPr>
                  </w:pPr>
                  <w:r>
                    <w:rPr>
                      <w:rFonts w:hint="eastAsia"/>
                      <w:b/>
                      <w:bCs/>
                      <w:color w:val="auto"/>
                      <w:szCs w:val="21"/>
                    </w:rPr>
                    <w:t>2023.7.27</w:t>
                  </w:r>
                </w:p>
              </w:tc>
              <w:tc>
                <w:tcPr>
                  <w:tcW w:w="791" w:type="pct"/>
                  <w:noWrap/>
                  <w:vAlign w:val="center"/>
                </w:tcPr>
                <w:p w14:paraId="410A9ECE">
                  <w:pPr>
                    <w:pStyle w:val="107"/>
                    <w:rPr>
                      <w:b/>
                      <w:bCs/>
                      <w:color w:val="auto"/>
                      <w:szCs w:val="21"/>
                    </w:rPr>
                  </w:pPr>
                  <w:r>
                    <w:rPr>
                      <w:rFonts w:hint="eastAsia"/>
                      <w:b/>
                      <w:bCs/>
                      <w:color w:val="auto"/>
                      <w:szCs w:val="21"/>
                    </w:rPr>
                    <w:t>2023.7.28</w:t>
                  </w:r>
                </w:p>
              </w:tc>
              <w:tc>
                <w:tcPr>
                  <w:tcW w:w="644" w:type="pct"/>
                  <w:noWrap/>
                  <w:vAlign w:val="center"/>
                </w:tcPr>
                <w:p w14:paraId="0DEA739A">
                  <w:pPr>
                    <w:pStyle w:val="107"/>
                    <w:rPr>
                      <w:b/>
                      <w:bCs/>
                      <w:color w:val="auto"/>
                      <w:szCs w:val="21"/>
                    </w:rPr>
                  </w:pPr>
                  <w:r>
                    <w:rPr>
                      <w:b/>
                      <w:bCs/>
                      <w:color w:val="auto"/>
                      <w:szCs w:val="21"/>
                    </w:rPr>
                    <w:t>达标情况</w:t>
                  </w:r>
                </w:p>
              </w:tc>
              <w:tc>
                <w:tcPr>
                  <w:tcW w:w="553" w:type="pct"/>
                  <w:vAlign w:val="center"/>
                </w:tcPr>
                <w:p w14:paraId="2A8EAAC7">
                  <w:pPr>
                    <w:pStyle w:val="107"/>
                    <w:rPr>
                      <w:b/>
                      <w:bCs/>
                      <w:color w:val="auto"/>
                      <w:szCs w:val="21"/>
                    </w:rPr>
                  </w:pPr>
                  <w:r>
                    <w:rPr>
                      <w:b/>
                      <w:bCs/>
                      <w:color w:val="auto"/>
                      <w:szCs w:val="21"/>
                    </w:rPr>
                    <w:t>标准值</w:t>
                  </w:r>
                </w:p>
              </w:tc>
            </w:tr>
            <w:tr w14:paraId="10833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97" w:type="pct"/>
                  <w:vAlign w:val="center"/>
                </w:tcPr>
                <w:p w14:paraId="0E6F591A">
                  <w:pPr>
                    <w:pStyle w:val="107"/>
                    <w:rPr>
                      <w:color w:val="auto"/>
                      <w:szCs w:val="21"/>
                    </w:rPr>
                  </w:pPr>
                  <w:r>
                    <w:rPr>
                      <w:color w:val="auto"/>
                      <w:szCs w:val="21"/>
                    </w:rPr>
                    <w:t>G1</w:t>
                  </w:r>
                  <w:r>
                    <w:rPr>
                      <w:rFonts w:hint="eastAsia"/>
                      <w:color w:val="auto"/>
                      <w:szCs w:val="21"/>
                    </w:rPr>
                    <w:t>项目西侧蒸湘区居民点</w:t>
                  </w:r>
                </w:p>
              </w:tc>
              <w:tc>
                <w:tcPr>
                  <w:tcW w:w="756" w:type="pct"/>
                  <w:vAlign w:val="center"/>
                </w:tcPr>
                <w:p w14:paraId="4B2B190B">
                  <w:pPr>
                    <w:pStyle w:val="107"/>
                    <w:rPr>
                      <w:color w:val="auto"/>
                      <w:szCs w:val="21"/>
                    </w:rPr>
                  </w:pPr>
                  <w:r>
                    <w:rPr>
                      <w:color w:val="auto"/>
                      <w:szCs w:val="21"/>
                    </w:rPr>
                    <w:t>TSP（日均值）</w:t>
                  </w:r>
                </w:p>
              </w:tc>
              <w:tc>
                <w:tcPr>
                  <w:tcW w:w="773" w:type="pct"/>
                  <w:noWrap/>
                  <w:vAlign w:val="center"/>
                </w:tcPr>
                <w:p w14:paraId="0DA3483E">
                  <w:pPr>
                    <w:pStyle w:val="107"/>
                    <w:rPr>
                      <w:color w:val="auto"/>
                      <w:szCs w:val="21"/>
                    </w:rPr>
                  </w:pPr>
                  <w:r>
                    <w:rPr>
                      <w:rFonts w:hint="eastAsia"/>
                      <w:color w:val="auto"/>
                      <w:szCs w:val="21"/>
                    </w:rPr>
                    <w:t>0.081</w:t>
                  </w:r>
                </w:p>
              </w:tc>
              <w:tc>
                <w:tcPr>
                  <w:tcW w:w="586" w:type="pct"/>
                  <w:noWrap/>
                  <w:vAlign w:val="center"/>
                </w:tcPr>
                <w:p w14:paraId="427EC21F">
                  <w:pPr>
                    <w:pStyle w:val="107"/>
                    <w:rPr>
                      <w:color w:val="auto"/>
                      <w:szCs w:val="21"/>
                    </w:rPr>
                  </w:pPr>
                  <w:r>
                    <w:rPr>
                      <w:rFonts w:hint="eastAsia"/>
                      <w:color w:val="auto"/>
                      <w:szCs w:val="21"/>
                    </w:rPr>
                    <w:t>0.079</w:t>
                  </w:r>
                </w:p>
              </w:tc>
              <w:tc>
                <w:tcPr>
                  <w:tcW w:w="791" w:type="pct"/>
                  <w:noWrap/>
                  <w:vAlign w:val="center"/>
                </w:tcPr>
                <w:p w14:paraId="3BC4C325">
                  <w:pPr>
                    <w:pStyle w:val="107"/>
                    <w:rPr>
                      <w:color w:val="auto"/>
                      <w:szCs w:val="21"/>
                    </w:rPr>
                  </w:pPr>
                  <w:r>
                    <w:rPr>
                      <w:rFonts w:hint="eastAsia"/>
                      <w:color w:val="auto"/>
                      <w:szCs w:val="21"/>
                    </w:rPr>
                    <w:t>0.088</w:t>
                  </w:r>
                </w:p>
              </w:tc>
              <w:tc>
                <w:tcPr>
                  <w:tcW w:w="644" w:type="pct"/>
                  <w:noWrap/>
                  <w:vAlign w:val="center"/>
                </w:tcPr>
                <w:p w14:paraId="13076C70">
                  <w:pPr>
                    <w:pStyle w:val="107"/>
                    <w:rPr>
                      <w:color w:val="auto"/>
                      <w:szCs w:val="21"/>
                    </w:rPr>
                  </w:pPr>
                  <w:r>
                    <w:rPr>
                      <w:color w:val="auto"/>
                      <w:szCs w:val="21"/>
                    </w:rPr>
                    <w:t>达标</w:t>
                  </w:r>
                </w:p>
              </w:tc>
              <w:tc>
                <w:tcPr>
                  <w:tcW w:w="553" w:type="pct"/>
                  <w:vAlign w:val="center"/>
                </w:tcPr>
                <w:p w14:paraId="50409101">
                  <w:pPr>
                    <w:pStyle w:val="107"/>
                    <w:rPr>
                      <w:color w:val="auto"/>
                      <w:szCs w:val="21"/>
                    </w:rPr>
                  </w:pPr>
                  <w:r>
                    <w:rPr>
                      <w:color w:val="auto"/>
                      <w:szCs w:val="21"/>
                    </w:rPr>
                    <w:t>0.3</w:t>
                  </w:r>
                </w:p>
              </w:tc>
            </w:tr>
          </w:tbl>
          <w:p w14:paraId="12E06F53">
            <w:pPr>
              <w:spacing w:line="360" w:lineRule="auto"/>
              <w:ind w:firstLine="480" w:firstLineChars="200"/>
              <w:rPr>
                <w:rFonts w:hAnsi="宋体"/>
                <w:kern w:val="0"/>
                <w:sz w:val="24"/>
              </w:rPr>
            </w:pPr>
            <w:r>
              <w:rPr>
                <w:rFonts w:hint="eastAsia"/>
                <w:sz w:val="24"/>
              </w:rPr>
              <w:t>从表3-2可知，在监测期间，引用监测点位TSP满足《环境空气质量标准》（GB3095-2012）二级标准</w:t>
            </w:r>
            <w:r>
              <w:rPr>
                <w:rFonts w:hint="eastAsia"/>
                <w:sz w:val="24"/>
                <w:shd w:val="clear" w:color="auto" w:fill="FFFFFF"/>
              </w:rPr>
              <w:t>，表明项目所在地环境空气质量良好。</w:t>
            </w:r>
          </w:p>
          <w:p w14:paraId="66916340">
            <w:pPr>
              <w:pStyle w:val="58"/>
              <w:ind w:firstLine="514"/>
              <w:rPr>
                <w:b/>
              </w:rPr>
            </w:pPr>
            <w:r>
              <w:rPr>
                <w:b/>
                <w:spacing w:val="8"/>
                <w:szCs w:val="24"/>
              </w:rPr>
              <w:t>二、</w:t>
            </w:r>
            <w:r>
              <w:rPr>
                <w:b/>
              </w:rPr>
              <w:t>地表水质量现状</w:t>
            </w:r>
          </w:p>
          <w:p w14:paraId="66AD7743">
            <w:pPr>
              <w:spacing w:line="360" w:lineRule="auto"/>
              <w:ind w:firstLine="480" w:firstLineChars="200"/>
              <w:rPr>
                <w:sz w:val="24"/>
              </w:rPr>
            </w:pPr>
            <w:r>
              <w:rPr>
                <w:rFonts w:hint="eastAsia"/>
                <w:sz w:val="24"/>
              </w:rPr>
              <w:t>根据《环境影响评价技术导则  地表水环境》（HJ2.3-2018）：“6.6.3.2环境现状调查与评价应优先采用国务院生态环境保护主管部门统一发布的水环境状况信息”。</w:t>
            </w:r>
            <w:r>
              <w:rPr>
                <w:rFonts w:hint="eastAsia"/>
                <w:sz w:val="24"/>
                <w:lang w:val="zh-CN"/>
              </w:rPr>
              <w:t>本次地表水环境质量现状评价引用衡阳市生态环境局《关于202</w:t>
            </w:r>
            <w:r>
              <w:rPr>
                <w:rFonts w:hint="eastAsia"/>
                <w:sz w:val="24"/>
              </w:rPr>
              <w:t>3</w:t>
            </w:r>
            <w:r>
              <w:rPr>
                <w:rFonts w:hint="eastAsia"/>
                <w:sz w:val="24"/>
                <w:lang w:val="zh-CN"/>
              </w:rPr>
              <w:t>年12月份及1~12月份全市环境质量状况的通报》中结论，距离本项目最近的地表水监测断面为城北水厂、鱼石村监测断面，其水质监测情况如下图所示</w:t>
            </w:r>
            <w:r>
              <w:rPr>
                <w:rFonts w:hint="eastAsia"/>
                <w:sz w:val="24"/>
              </w:rPr>
              <w:t>。</w:t>
            </w:r>
          </w:p>
          <w:p w14:paraId="26475AB5">
            <w:pPr>
              <w:jc w:val="center"/>
            </w:pPr>
            <w:r>
              <w:drawing>
                <wp:inline distT="0" distB="0" distL="0" distR="0">
                  <wp:extent cx="5962015" cy="2905125"/>
                  <wp:effectExtent l="19050" t="0" r="564"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pic:cNvPicPr>
                            <a:picLocks noChangeAspect="1" noChangeArrowheads="1"/>
                          </pic:cNvPicPr>
                        </pic:nvPicPr>
                        <pic:blipFill>
                          <a:blip r:embed="rId22" cstate="print"/>
                          <a:srcRect/>
                          <a:stretch>
                            <a:fillRect/>
                          </a:stretch>
                        </pic:blipFill>
                        <pic:spPr>
                          <a:xfrm>
                            <a:off x="0" y="0"/>
                            <a:ext cx="5962086" cy="2905125"/>
                          </a:xfrm>
                          <a:prstGeom prst="rect">
                            <a:avLst/>
                          </a:prstGeom>
                          <a:noFill/>
                          <a:ln w="9525">
                            <a:noFill/>
                            <a:miter lim="800000"/>
                            <a:headEnd/>
                            <a:tailEnd/>
                          </a:ln>
                        </pic:spPr>
                      </pic:pic>
                    </a:graphicData>
                  </a:graphic>
                </wp:inline>
              </w:drawing>
            </w:r>
          </w:p>
          <w:p w14:paraId="01797296">
            <w:pPr>
              <w:adjustRightInd w:val="0"/>
              <w:snapToGrid w:val="0"/>
              <w:spacing w:afterLines="50"/>
              <w:jc w:val="center"/>
              <w:rPr>
                <w:b/>
                <w:bCs/>
                <w:szCs w:val="21"/>
              </w:rPr>
            </w:pPr>
            <w:r>
              <w:rPr>
                <w:b/>
                <w:bCs/>
                <w:szCs w:val="21"/>
              </w:rPr>
              <w:t>图</w:t>
            </w:r>
            <w:r>
              <w:rPr>
                <w:rFonts w:hint="eastAsia"/>
                <w:b/>
                <w:bCs/>
                <w:szCs w:val="21"/>
              </w:rPr>
              <w:t>3-1</w:t>
            </w:r>
            <w:r>
              <w:rPr>
                <w:b/>
                <w:bCs/>
                <w:szCs w:val="21"/>
              </w:rPr>
              <w:t xml:space="preserve"> </w:t>
            </w:r>
            <w:r>
              <w:rPr>
                <w:rFonts w:hint="eastAsia"/>
                <w:b/>
                <w:bCs/>
                <w:szCs w:val="21"/>
              </w:rPr>
              <w:t xml:space="preserve"> 2023年1~12月衡阳市地表水水质情况</w:t>
            </w:r>
          </w:p>
          <w:p w14:paraId="02979872">
            <w:pPr>
              <w:pStyle w:val="2"/>
              <w:spacing w:line="360" w:lineRule="auto"/>
              <w:ind w:firstLine="480" w:firstLineChars="200"/>
              <w:jc w:val="both"/>
              <w:rPr>
                <w:rFonts w:ascii="Times New Roman" w:hAnsi="宋体" w:cs="Times New Roman"/>
                <w:bCs/>
                <w:color w:val="auto"/>
              </w:rPr>
            </w:pPr>
            <w:r>
              <w:rPr>
                <w:rFonts w:hint="eastAsia" w:ascii="Times New Roman" w:hAnsi="宋体" w:cs="Times New Roman"/>
                <w:bCs/>
                <w:color w:val="auto"/>
              </w:rPr>
              <w:t>根据上表可知，监测断面水质满足《地表水环境质量标准》（</w:t>
            </w:r>
            <w:r>
              <w:rPr>
                <w:rFonts w:ascii="Times New Roman" w:hAnsi="宋体" w:cs="Times New Roman"/>
                <w:bCs/>
                <w:color w:val="auto"/>
              </w:rPr>
              <w:t>GB3838-2002</w:t>
            </w:r>
            <w:r>
              <w:rPr>
                <w:rFonts w:hint="eastAsia" w:ascii="Times New Roman" w:hAnsi="宋体" w:cs="Times New Roman"/>
                <w:bCs/>
                <w:color w:val="auto"/>
              </w:rPr>
              <w:t>）Ⅲ类标准的要求，项目所在区域地表水环境质量现状较好。</w:t>
            </w:r>
          </w:p>
          <w:p w14:paraId="1E5B8E01">
            <w:pPr>
              <w:pStyle w:val="58"/>
              <w:ind w:firstLine="514"/>
              <w:rPr>
                <w:b/>
              </w:rPr>
            </w:pPr>
            <w:r>
              <w:rPr>
                <w:b/>
                <w:spacing w:val="8"/>
                <w:szCs w:val="24"/>
              </w:rPr>
              <w:t>三、噪声环境</w:t>
            </w:r>
            <w:r>
              <w:rPr>
                <w:b/>
              </w:rPr>
              <w:t>质量现状</w:t>
            </w:r>
          </w:p>
          <w:p w14:paraId="14549938">
            <w:pPr>
              <w:pStyle w:val="2"/>
              <w:spacing w:line="360" w:lineRule="auto"/>
              <w:ind w:firstLine="480" w:firstLineChars="200"/>
              <w:jc w:val="both"/>
              <w:rPr>
                <w:rFonts w:ascii="Times New Roman" w:hAnsi="宋体" w:cs="Times New Roman"/>
                <w:bCs/>
                <w:color w:val="auto"/>
              </w:rPr>
            </w:pPr>
            <w:r>
              <w:rPr>
                <w:rFonts w:ascii="Times New Roman" w:hAnsi="宋体" w:cs="Times New Roman"/>
                <w:bCs/>
                <w:color w:val="auto"/>
              </w:rPr>
              <w:t>根据《建设项目环境影响报告表编制技术指南（污染影响类）（试行）》，厂界外周边50米范围内存在声环境保护目标的建设项目，应监测保护目标声环境质量现状并评价达标情况。</w:t>
            </w:r>
          </w:p>
          <w:p w14:paraId="792FABD9">
            <w:pPr>
              <w:pStyle w:val="2"/>
              <w:spacing w:line="360" w:lineRule="auto"/>
              <w:ind w:firstLine="480" w:firstLineChars="200"/>
              <w:jc w:val="both"/>
              <w:rPr>
                <w:rFonts w:ascii="Times New Roman" w:hAnsi="宋体" w:cs="Times New Roman"/>
                <w:bCs/>
                <w:color w:val="auto"/>
              </w:rPr>
            </w:pPr>
            <w:r>
              <w:rPr>
                <w:rFonts w:hint="eastAsia" w:ascii="Times New Roman" w:hAnsi="宋体" w:cs="Times New Roman"/>
                <w:bCs/>
                <w:color w:val="auto"/>
              </w:rPr>
              <w:t>项目用地</w:t>
            </w:r>
            <w:r>
              <w:rPr>
                <w:rFonts w:ascii="Times New Roman" w:hAnsi="宋体" w:cs="Times New Roman"/>
                <w:bCs/>
                <w:color w:val="auto"/>
              </w:rPr>
              <w:t>周边50m范围内无声环境保护目标，因此不进行声环境质量现状监测与评价。</w:t>
            </w:r>
          </w:p>
          <w:p w14:paraId="39CB6A69">
            <w:pPr>
              <w:pStyle w:val="58"/>
              <w:ind w:firstLine="514"/>
              <w:rPr>
                <w:b/>
              </w:rPr>
            </w:pPr>
            <w:r>
              <w:rPr>
                <w:b/>
                <w:spacing w:val="8"/>
                <w:szCs w:val="24"/>
              </w:rPr>
              <w:t>四、</w:t>
            </w:r>
            <w:r>
              <w:rPr>
                <w:rFonts w:hint="eastAsia"/>
                <w:b/>
              </w:rPr>
              <w:t>生态环境现状</w:t>
            </w:r>
          </w:p>
          <w:p w14:paraId="681E3F59">
            <w:pPr>
              <w:snapToGrid w:val="0"/>
              <w:spacing w:line="360" w:lineRule="auto"/>
              <w:ind w:firstLine="480" w:firstLineChars="200"/>
              <w:rPr>
                <w:sz w:val="24"/>
              </w:rPr>
            </w:pPr>
            <w:r>
              <w:rPr>
                <w:rFonts w:hint="eastAsia"/>
                <w:sz w:val="24"/>
              </w:rPr>
              <w:t>本项目位于湖南省衡阳市蒸湘（区）大栗新村10号（衡阳华菱钢管有限公司89分厂现有厂区内），不新增用地，根据《建设项目环境影响报告表编制技术指南（污染影响类）》（试行），不对生态环境质量现状进行评价分析。</w:t>
            </w:r>
          </w:p>
          <w:p w14:paraId="62E82A38">
            <w:pPr>
              <w:snapToGrid w:val="0"/>
              <w:spacing w:line="360" w:lineRule="auto"/>
              <w:ind w:firstLine="482" w:firstLineChars="200"/>
              <w:rPr>
                <w:b/>
                <w:sz w:val="24"/>
              </w:rPr>
            </w:pPr>
            <w:r>
              <w:rPr>
                <w:rFonts w:hint="eastAsia"/>
                <w:b/>
                <w:sz w:val="24"/>
              </w:rPr>
              <w:t>五、土壤、地下水环境</w:t>
            </w:r>
          </w:p>
          <w:p w14:paraId="06E7D8A1">
            <w:pPr>
              <w:snapToGrid w:val="0"/>
              <w:spacing w:line="360" w:lineRule="auto"/>
              <w:ind w:firstLine="480" w:firstLineChars="200"/>
              <w:rPr>
                <w:sz w:val="24"/>
              </w:rPr>
            </w:pPr>
            <w:r>
              <w:rPr>
                <w:rFonts w:hint="eastAsia"/>
                <w:sz w:val="24"/>
              </w:rPr>
              <w:t>根据《建设项目环境影响报告表编制技术指南（污染影响类）》（试行）可知，地下水、土壤原则上不开展环境质量现状调查。项目厂区用地范围内采取了分区防渗措施，不存在地下水、土壤污染途径，因此，不进行地下水、土壤环境质量现状监测</w:t>
            </w:r>
            <w:r>
              <w:rPr>
                <w:sz w:val="24"/>
              </w:rPr>
              <w:t>。</w:t>
            </w:r>
          </w:p>
          <w:p w14:paraId="6601DE16">
            <w:pPr>
              <w:tabs>
                <w:tab w:val="left" w:pos="3544"/>
              </w:tabs>
              <w:adjustRightInd w:val="0"/>
              <w:snapToGrid w:val="0"/>
              <w:spacing w:line="360" w:lineRule="auto"/>
              <w:ind w:firstLine="482" w:firstLineChars="200"/>
              <w:rPr>
                <w:b/>
                <w:sz w:val="24"/>
              </w:rPr>
            </w:pPr>
            <w:r>
              <w:rPr>
                <w:rFonts w:hint="eastAsia"/>
                <w:b/>
                <w:sz w:val="24"/>
              </w:rPr>
              <w:t>六、电磁辐射</w:t>
            </w:r>
          </w:p>
          <w:p w14:paraId="31BF76EF">
            <w:pPr>
              <w:snapToGrid w:val="0"/>
              <w:spacing w:line="360" w:lineRule="auto"/>
              <w:ind w:firstLine="480" w:firstLineChars="200"/>
              <w:rPr>
                <w:sz w:val="24"/>
              </w:rPr>
            </w:pPr>
            <w:r>
              <w:rPr>
                <w:sz w:val="24"/>
              </w:rPr>
              <w:t>本项目不涉及电磁辐射设备，不进行电磁辐射影响评价，因此无需进行电磁辐射环境现状调查</w:t>
            </w:r>
            <w:r>
              <w:rPr>
                <w:rFonts w:hint="eastAsia"/>
                <w:sz w:val="24"/>
              </w:rPr>
              <w:t>。</w:t>
            </w:r>
          </w:p>
        </w:tc>
      </w:tr>
      <w:tr w14:paraId="7534C7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82" w:type="pct"/>
            <w:vAlign w:val="center"/>
          </w:tcPr>
          <w:p w14:paraId="663A49DE">
            <w:pPr>
              <w:adjustRightInd w:val="0"/>
              <w:snapToGrid w:val="0"/>
              <w:jc w:val="center"/>
              <w:rPr>
                <w:b/>
                <w:kern w:val="0"/>
                <w:sz w:val="24"/>
              </w:rPr>
            </w:pPr>
            <w:r>
              <w:rPr>
                <w:rFonts w:hint="eastAsia"/>
                <w:b/>
                <w:kern w:val="0"/>
                <w:sz w:val="24"/>
              </w:rPr>
              <w:t>环境</w:t>
            </w:r>
          </w:p>
          <w:p w14:paraId="0C48FCE8">
            <w:pPr>
              <w:adjustRightInd w:val="0"/>
              <w:snapToGrid w:val="0"/>
              <w:jc w:val="center"/>
              <w:rPr>
                <w:b/>
                <w:kern w:val="0"/>
                <w:sz w:val="24"/>
              </w:rPr>
            </w:pPr>
            <w:r>
              <w:rPr>
                <w:rFonts w:hint="eastAsia"/>
                <w:b/>
                <w:kern w:val="0"/>
                <w:sz w:val="24"/>
              </w:rPr>
              <w:t>保护</w:t>
            </w:r>
          </w:p>
          <w:p w14:paraId="5B520E2A">
            <w:pPr>
              <w:adjustRightInd w:val="0"/>
              <w:snapToGrid w:val="0"/>
              <w:jc w:val="center"/>
              <w:rPr>
                <w:kern w:val="0"/>
                <w:sz w:val="24"/>
              </w:rPr>
            </w:pPr>
            <w:r>
              <w:rPr>
                <w:rFonts w:hint="eastAsia"/>
                <w:b/>
                <w:kern w:val="0"/>
                <w:sz w:val="24"/>
              </w:rPr>
              <w:t>目标</w:t>
            </w:r>
          </w:p>
        </w:tc>
        <w:tc>
          <w:tcPr>
            <w:tcW w:w="4718" w:type="pct"/>
            <w:vAlign w:val="center"/>
          </w:tcPr>
          <w:p w14:paraId="6BCC09F1">
            <w:pPr>
              <w:adjustRightInd w:val="0"/>
              <w:snapToGrid w:val="0"/>
              <w:spacing w:line="360" w:lineRule="auto"/>
              <w:ind w:firstLine="482" w:firstLineChars="200"/>
              <w:rPr>
                <w:b/>
                <w:kern w:val="0"/>
                <w:sz w:val="24"/>
              </w:rPr>
            </w:pPr>
            <w:r>
              <w:rPr>
                <w:b/>
                <w:kern w:val="0"/>
                <w:sz w:val="24"/>
              </w:rPr>
              <w:t>一、大气环境保护目标</w:t>
            </w:r>
          </w:p>
          <w:p w14:paraId="5A421AF0">
            <w:pPr>
              <w:adjustRightInd w:val="0"/>
              <w:snapToGrid w:val="0"/>
              <w:spacing w:line="360" w:lineRule="auto"/>
              <w:ind w:firstLine="480" w:firstLineChars="200"/>
              <w:rPr>
                <w:kern w:val="0"/>
                <w:sz w:val="24"/>
              </w:rPr>
            </w:pPr>
            <w:r>
              <w:rPr>
                <w:rFonts w:hint="eastAsia"/>
                <w:kern w:val="0"/>
                <w:sz w:val="24"/>
              </w:rPr>
              <w:t>厂界外500m范围内大气环境敏感点主要为居住区等，具体情况见下表，敏感点分布情况见附表3-3及附图。</w:t>
            </w:r>
          </w:p>
          <w:p w14:paraId="4FC8B51D">
            <w:pPr>
              <w:adjustRightInd w:val="0"/>
              <w:snapToGrid w:val="0"/>
              <w:spacing w:beforeLines="50"/>
              <w:jc w:val="center"/>
              <w:rPr>
                <w:b/>
                <w:bCs/>
                <w:szCs w:val="21"/>
              </w:rPr>
            </w:pPr>
            <w:r>
              <w:rPr>
                <w:b/>
                <w:bCs/>
                <w:szCs w:val="21"/>
              </w:rPr>
              <w:t>表</w:t>
            </w:r>
            <w:r>
              <w:rPr>
                <w:rFonts w:hint="eastAsia"/>
                <w:b/>
                <w:bCs/>
                <w:szCs w:val="21"/>
              </w:rPr>
              <w:t xml:space="preserve">3-3 </w:t>
            </w:r>
            <w:r>
              <w:rPr>
                <w:b/>
                <w:bCs/>
                <w:szCs w:val="21"/>
              </w:rPr>
              <w:t xml:space="preserve"> 项目环境敏感保护目标一览表</w:t>
            </w:r>
          </w:p>
          <w:tbl>
            <w:tblPr>
              <w:tblStyle w:val="3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0"/>
              <w:gridCol w:w="1416"/>
              <w:gridCol w:w="1319"/>
              <w:gridCol w:w="1583"/>
              <w:gridCol w:w="648"/>
              <w:gridCol w:w="982"/>
              <w:gridCol w:w="853"/>
              <w:gridCol w:w="1179"/>
            </w:tblGrid>
            <w:tr w14:paraId="32C97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1" w:type="pct"/>
                  <w:vMerge w:val="restart"/>
                  <w:shd w:val="clear" w:color="auto" w:fill="auto"/>
                  <w:vAlign w:val="center"/>
                </w:tcPr>
                <w:p w14:paraId="41D083BA">
                  <w:pPr>
                    <w:autoSpaceDE w:val="0"/>
                    <w:autoSpaceDN w:val="0"/>
                    <w:adjustRightInd w:val="0"/>
                    <w:jc w:val="center"/>
                    <w:rPr>
                      <w:b/>
                      <w:kern w:val="0"/>
                      <w:szCs w:val="21"/>
                    </w:rPr>
                  </w:pPr>
                  <w:r>
                    <w:rPr>
                      <w:b/>
                      <w:kern w:val="0"/>
                      <w:szCs w:val="21"/>
                    </w:rPr>
                    <w:t>名称</w:t>
                  </w:r>
                </w:p>
              </w:tc>
              <w:tc>
                <w:tcPr>
                  <w:tcW w:w="1456" w:type="pct"/>
                  <w:gridSpan w:val="2"/>
                  <w:shd w:val="clear" w:color="auto" w:fill="auto"/>
                  <w:vAlign w:val="center"/>
                </w:tcPr>
                <w:p w14:paraId="4568521A">
                  <w:pPr>
                    <w:autoSpaceDE w:val="0"/>
                    <w:autoSpaceDN w:val="0"/>
                    <w:adjustRightInd w:val="0"/>
                    <w:jc w:val="center"/>
                    <w:rPr>
                      <w:b/>
                      <w:kern w:val="0"/>
                      <w:szCs w:val="21"/>
                    </w:rPr>
                  </w:pPr>
                  <w:r>
                    <w:rPr>
                      <w:b/>
                      <w:kern w:val="0"/>
                      <w:szCs w:val="21"/>
                    </w:rPr>
                    <w:t>坐标</w:t>
                  </w:r>
                  <w:r>
                    <w:rPr>
                      <w:rFonts w:hint="eastAsia"/>
                      <w:b/>
                      <w:kern w:val="0"/>
                      <w:szCs w:val="21"/>
                    </w:rPr>
                    <w:t>/m</w:t>
                  </w:r>
                </w:p>
              </w:tc>
              <w:tc>
                <w:tcPr>
                  <w:tcW w:w="843" w:type="pct"/>
                  <w:vMerge w:val="restart"/>
                  <w:shd w:val="clear" w:color="auto" w:fill="auto"/>
                  <w:vAlign w:val="center"/>
                </w:tcPr>
                <w:p w14:paraId="1F567794">
                  <w:pPr>
                    <w:autoSpaceDE w:val="0"/>
                    <w:autoSpaceDN w:val="0"/>
                    <w:adjustRightInd w:val="0"/>
                    <w:jc w:val="center"/>
                    <w:rPr>
                      <w:b/>
                      <w:kern w:val="0"/>
                      <w:szCs w:val="21"/>
                    </w:rPr>
                  </w:pPr>
                  <w:r>
                    <w:rPr>
                      <w:b/>
                      <w:kern w:val="0"/>
                      <w:szCs w:val="21"/>
                    </w:rPr>
                    <w:t>保护对象</w:t>
                  </w:r>
                </w:p>
              </w:tc>
              <w:tc>
                <w:tcPr>
                  <w:tcW w:w="345" w:type="pct"/>
                  <w:vMerge w:val="restart"/>
                  <w:shd w:val="clear" w:color="auto" w:fill="auto"/>
                  <w:vAlign w:val="center"/>
                </w:tcPr>
                <w:p w14:paraId="2EA8BE3E">
                  <w:pPr>
                    <w:autoSpaceDE w:val="0"/>
                    <w:autoSpaceDN w:val="0"/>
                    <w:adjustRightInd w:val="0"/>
                    <w:jc w:val="center"/>
                    <w:rPr>
                      <w:b/>
                      <w:kern w:val="0"/>
                      <w:szCs w:val="21"/>
                    </w:rPr>
                  </w:pPr>
                  <w:r>
                    <w:rPr>
                      <w:b/>
                      <w:kern w:val="0"/>
                      <w:szCs w:val="21"/>
                    </w:rPr>
                    <w:t>保护内容</w:t>
                  </w:r>
                </w:p>
              </w:tc>
              <w:tc>
                <w:tcPr>
                  <w:tcW w:w="523" w:type="pct"/>
                  <w:vMerge w:val="restart"/>
                  <w:shd w:val="clear" w:color="auto" w:fill="auto"/>
                  <w:vAlign w:val="center"/>
                </w:tcPr>
                <w:p w14:paraId="7E6BB2F6">
                  <w:pPr>
                    <w:autoSpaceDE w:val="0"/>
                    <w:autoSpaceDN w:val="0"/>
                    <w:adjustRightInd w:val="0"/>
                    <w:jc w:val="center"/>
                    <w:rPr>
                      <w:b/>
                      <w:kern w:val="0"/>
                      <w:szCs w:val="21"/>
                    </w:rPr>
                  </w:pPr>
                  <w:r>
                    <w:rPr>
                      <w:b/>
                      <w:kern w:val="0"/>
                      <w:szCs w:val="21"/>
                    </w:rPr>
                    <w:t>环境功能区</w:t>
                  </w:r>
                </w:p>
              </w:tc>
              <w:tc>
                <w:tcPr>
                  <w:tcW w:w="454" w:type="pct"/>
                  <w:vMerge w:val="restart"/>
                  <w:shd w:val="clear" w:color="auto" w:fill="auto"/>
                  <w:vAlign w:val="center"/>
                </w:tcPr>
                <w:p w14:paraId="5742BEFA">
                  <w:pPr>
                    <w:autoSpaceDE w:val="0"/>
                    <w:autoSpaceDN w:val="0"/>
                    <w:adjustRightInd w:val="0"/>
                    <w:jc w:val="center"/>
                    <w:rPr>
                      <w:b/>
                      <w:kern w:val="0"/>
                      <w:szCs w:val="21"/>
                    </w:rPr>
                  </w:pPr>
                  <w:r>
                    <w:rPr>
                      <w:b/>
                      <w:kern w:val="0"/>
                      <w:szCs w:val="21"/>
                    </w:rPr>
                    <w:t>相对厂址方位</w:t>
                  </w:r>
                </w:p>
              </w:tc>
              <w:tc>
                <w:tcPr>
                  <w:tcW w:w="628" w:type="pct"/>
                  <w:vMerge w:val="restart"/>
                  <w:shd w:val="clear" w:color="auto" w:fill="auto"/>
                  <w:vAlign w:val="center"/>
                </w:tcPr>
                <w:p w14:paraId="1879AF8A">
                  <w:pPr>
                    <w:autoSpaceDE w:val="0"/>
                    <w:autoSpaceDN w:val="0"/>
                    <w:adjustRightInd w:val="0"/>
                    <w:jc w:val="center"/>
                    <w:rPr>
                      <w:b/>
                      <w:kern w:val="0"/>
                      <w:szCs w:val="21"/>
                    </w:rPr>
                  </w:pPr>
                  <w:r>
                    <w:rPr>
                      <w:b/>
                      <w:kern w:val="0"/>
                      <w:szCs w:val="21"/>
                    </w:rPr>
                    <w:t>相对</w:t>
                  </w:r>
                  <w:r>
                    <w:rPr>
                      <w:rFonts w:hint="eastAsia"/>
                      <w:b/>
                      <w:kern w:val="0"/>
                      <w:szCs w:val="21"/>
                    </w:rPr>
                    <w:t>热轧生产线</w:t>
                  </w:r>
                  <w:r>
                    <w:rPr>
                      <w:b/>
                      <w:kern w:val="0"/>
                      <w:szCs w:val="21"/>
                    </w:rPr>
                    <w:t>距离</w:t>
                  </w:r>
                  <w:r>
                    <w:rPr>
                      <w:rFonts w:hint="eastAsia"/>
                      <w:b/>
                      <w:kern w:val="0"/>
                      <w:szCs w:val="21"/>
                    </w:rPr>
                    <w:t>/m</w:t>
                  </w:r>
                </w:p>
              </w:tc>
            </w:tr>
            <w:tr w14:paraId="6DFC29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1" w:type="pct"/>
                  <w:vMerge w:val="continue"/>
                  <w:shd w:val="clear" w:color="auto" w:fill="auto"/>
                  <w:vAlign w:val="center"/>
                </w:tcPr>
                <w:p w14:paraId="571A9509">
                  <w:pPr>
                    <w:autoSpaceDE w:val="0"/>
                    <w:autoSpaceDN w:val="0"/>
                    <w:adjustRightInd w:val="0"/>
                    <w:jc w:val="center"/>
                    <w:rPr>
                      <w:b/>
                      <w:kern w:val="0"/>
                      <w:szCs w:val="21"/>
                    </w:rPr>
                  </w:pPr>
                </w:p>
              </w:tc>
              <w:tc>
                <w:tcPr>
                  <w:tcW w:w="754" w:type="pct"/>
                  <w:shd w:val="clear" w:color="auto" w:fill="auto"/>
                  <w:vAlign w:val="center"/>
                </w:tcPr>
                <w:p w14:paraId="58E9318F">
                  <w:pPr>
                    <w:autoSpaceDE w:val="0"/>
                    <w:autoSpaceDN w:val="0"/>
                    <w:adjustRightInd w:val="0"/>
                    <w:jc w:val="center"/>
                    <w:rPr>
                      <w:b/>
                      <w:kern w:val="0"/>
                      <w:szCs w:val="21"/>
                    </w:rPr>
                  </w:pPr>
                  <w:r>
                    <w:rPr>
                      <w:rFonts w:hint="eastAsia"/>
                      <w:b/>
                      <w:kern w:val="0"/>
                      <w:szCs w:val="21"/>
                    </w:rPr>
                    <w:t>X</w:t>
                  </w:r>
                </w:p>
              </w:tc>
              <w:tc>
                <w:tcPr>
                  <w:tcW w:w="702" w:type="pct"/>
                  <w:shd w:val="clear" w:color="auto" w:fill="auto"/>
                  <w:vAlign w:val="center"/>
                </w:tcPr>
                <w:p w14:paraId="7669F3A9">
                  <w:pPr>
                    <w:autoSpaceDE w:val="0"/>
                    <w:autoSpaceDN w:val="0"/>
                    <w:adjustRightInd w:val="0"/>
                    <w:jc w:val="center"/>
                    <w:rPr>
                      <w:b/>
                      <w:kern w:val="0"/>
                      <w:szCs w:val="21"/>
                    </w:rPr>
                  </w:pPr>
                  <w:r>
                    <w:rPr>
                      <w:rFonts w:hint="eastAsia"/>
                      <w:b/>
                      <w:kern w:val="0"/>
                      <w:szCs w:val="21"/>
                    </w:rPr>
                    <w:t>Y</w:t>
                  </w:r>
                </w:p>
              </w:tc>
              <w:tc>
                <w:tcPr>
                  <w:tcW w:w="843" w:type="pct"/>
                  <w:vMerge w:val="continue"/>
                  <w:shd w:val="clear" w:color="auto" w:fill="auto"/>
                  <w:vAlign w:val="center"/>
                </w:tcPr>
                <w:p w14:paraId="39056299">
                  <w:pPr>
                    <w:autoSpaceDE w:val="0"/>
                    <w:autoSpaceDN w:val="0"/>
                    <w:adjustRightInd w:val="0"/>
                    <w:jc w:val="center"/>
                    <w:rPr>
                      <w:b/>
                      <w:kern w:val="0"/>
                      <w:szCs w:val="21"/>
                    </w:rPr>
                  </w:pPr>
                </w:p>
              </w:tc>
              <w:tc>
                <w:tcPr>
                  <w:tcW w:w="345" w:type="pct"/>
                  <w:vMerge w:val="continue"/>
                  <w:shd w:val="clear" w:color="auto" w:fill="auto"/>
                  <w:vAlign w:val="center"/>
                </w:tcPr>
                <w:p w14:paraId="7FE95DC4">
                  <w:pPr>
                    <w:autoSpaceDE w:val="0"/>
                    <w:autoSpaceDN w:val="0"/>
                    <w:adjustRightInd w:val="0"/>
                    <w:jc w:val="center"/>
                    <w:rPr>
                      <w:b/>
                      <w:kern w:val="0"/>
                      <w:szCs w:val="21"/>
                    </w:rPr>
                  </w:pPr>
                </w:p>
              </w:tc>
              <w:tc>
                <w:tcPr>
                  <w:tcW w:w="523" w:type="pct"/>
                  <w:vMerge w:val="continue"/>
                  <w:shd w:val="clear" w:color="auto" w:fill="auto"/>
                  <w:vAlign w:val="center"/>
                </w:tcPr>
                <w:p w14:paraId="01CC6A20">
                  <w:pPr>
                    <w:autoSpaceDE w:val="0"/>
                    <w:autoSpaceDN w:val="0"/>
                    <w:adjustRightInd w:val="0"/>
                    <w:jc w:val="center"/>
                    <w:rPr>
                      <w:b/>
                      <w:kern w:val="0"/>
                      <w:szCs w:val="21"/>
                    </w:rPr>
                  </w:pPr>
                </w:p>
              </w:tc>
              <w:tc>
                <w:tcPr>
                  <w:tcW w:w="454" w:type="pct"/>
                  <w:vMerge w:val="continue"/>
                  <w:shd w:val="clear" w:color="auto" w:fill="auto"/>
                  <w:vAlign w:val="center"/>
                </w:tcPr>
                <w:p w14:paraId="4CB6985E">
                  <w:pPr>
                    <w:autoSpaceDE w:val="0"/>
                    <w:autoSpaceDN w:val="0"/>
                    <w:adjustRightInd w:val="0"/>
                    <w:jc w:val="center"/>
                    <w:rPr>
                      <w:b/>
                      <w:kern w:val="0"/>
                      <w:szCs w:val="21"/>
                    </w:rPr>
                  </w:pPr>
                </w:p>
              </w:tc>
              <w:tc>
                <w:tcPr>
                  <w:tcW w:w="628" w:type="pct"/>
                  <w:vMerge w:val="continue"/>
                  <w:shd w:val="clear" w:color="auto" w:fill="auto"/>
                  <w:vAlign w:val="center"/>
                </w:tcPr>
                <w:p w14:paraId="44F05267">
                  <w:pPr>
                    <w:autoSpaceDE w:val="0"/>
                    <w:autoSpaceDN w:val="0"/>
                    <w:adjustRightInd w:val="0"/>
                    <w:jc w:val="center"/>
                    <w:rPr>
                      <w:b/>
                      <w:kern w:val="0"/>
                      <w:szCs w:val="21"/>
                    </w:rPr>
                  </w:pPr>
                </w:p>
              </w:tc>
            </w:tr>
            <w:tr w14:paraId="485E5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1" w:type="pct"/>
                  <w:shd w:val="clear" w:color="auto" w:fill="auto"/>
                  <w:vAlign w:val="center"/>
                </w:tcPr>
                <w:p w14:paraId="2D4C5B0D">
                  <w:pPr>
                    <w:autoSpaceDE w:val="0"/>
                    <w:autoSpaceDN w:val="0"/>
                    <w:adjustRightInd w:val="0"/>
                    <w:jc w:val="center"/>
                    <w:rPr>
                      <w:kern w:val="0"/>
                      <w:szCs w:val="21"/>
                    </w:rPr>
                  </w:pPr>
                  <w:r>
                    <w:rPr>
                      <w:kern w:val="0"/>
                      <w:szCs w:val="21"/>
                    </w:rPr>
                    <w:t>北塘村八组</w:t>
                  </w:r>
                </w:p>
              </w:tc>
              <w:tc>
                <w:tcPr>
                  <w:tcW w:w="754" w:type="pct"/>
                  <w:shd w:val="clear" w:color="auto" w:fill="auto"/>
                  <w:vAlign w:val="center"/>
                </w:tcPr>
                <w:p w14:paraId="73DFC94B">
                  <w:pPr>
                    <w:autoSpaceDE w:val="0"/>
                    <w:autoSpaceDN w:val="0"/>
                    <w:adjustRightInd w:val="0"/>
                    <w:jc w:val="center"/>
                    <w:rPr>
                      <w:kern w:val="0"/>
                      <w:szCs w:val="21"/>
                    </w:rPr>
                  </w:pPr>
                  <w:r>
                    <w:rPr>
                      <w:rFonts w:eastAsiaTheme="minorEastAsia"/>
                      <w:szCs w:val="21"/>
                    </w:rPr>
                    <w:t>112.</w:t>
                  </w:r>
                  <w:r>
                    <w:rPr>
                      <w:rFonts w:hint="eastAsia" w:eastAsiaTheme="minorEastAsia"/>
                      <w:szCs w:val="21"/>
                    </w:rPr>
                    <w:t>590995</w:t>
                  </w:r>
                  <w:r>
                    <w:rPr>
                      <w:rFonts w:hint="eastAsia"/>
                      <w:kern w:val="0"/>
                      <w:szCs w:val="21"/>
                    </w:rPr>
                    <w:t>°</w:t>
                  </w:r>
                </w:p>
              </w:tc>
              <w:tc>
                <w:tcPr>
                  <w:tcW w:w="702" w:type="pct"/>
                  <w:shd w:val="clear" w:color="auto" w:fill="auto"/>
                  <w:vAlign w:val="center"/>
                </w:tcPr>
                <w:p w14:paraId="7047C2CD">
                  <w:pPr>
                    <w:autoSpaceDE w:val="0"/>
                    <w:autoSpaceDN w:val="0"/>
                    <w:adjustRightInd w:val="0"/>
                    <w:jc w:val="center"/>
                    <w:rPr>
                      <w:kern w:val="0"/>
                      <w:szCs w:val="21"/>
                    </w:rPr>
                  </w:pPr>
                  <w:r>
                    <w:rPr>
                      <w:rFonts w:eastAsiaTheme="minorEastAsia"/>
                      <w:szCs w:val="21"/>
                    </w:rPr>
                    <w:t>2</w:t>
                  </w:r>
                  <w:r>
                    <w:rPr>
                      <w:rFonts w:hint="eastAsia" w:eastAsiaTheme="minorEastAsia"/>
                      <w:szCs w:val="21"/>
                    </w:rPr>
                    <w:t>6.876583</w:t>
                  </w:r>
                  <w:r>
                    <w:rPr>
                      <w:rFonts w:hint="eastAsia"/>
                      <w:kern w:val="0"/>
                      <w:szCs w:val="21"/>
                    </w:rPr>
                    <w:t>°</w:t>
                  </w:r>
                </w:p>
              </w:tc>
              <w:tc>
                <w:tcPr>
                  <w:tcW w:w="843" w:type="pct"/>
                  <w:shd w:val="clear" w:color="auto" w:fill="auto"/>
                  <w:vAlign w:val="center"/>
                </w:tcPr>
                <w:p w14:paraId="1F7C8F40">
                  <w:pPr>
                    <w:autoSpaceDE w:val="0"/>
                    <w:autoSpaceDN w:val="0"/>
                    <w:adjustRightInd w:val="0"/>
                    <w:jc w:val="center"/>
                    <w:rPr>
                      <w:kern w:val="0"/>
                      <w:szCs w:val="21"/>
                    </w:rPr>
                  </w:pPr>
                  <w:r>
                    <w:rPr>
                      <w:rFonts w:eastAsiaTheme="minorEastAsia"/>
                      <w:szCs w:val="21"/>
                    </w:rPr>
                    <w:t>居民</w:t>
                  </w:r>
                  <w:r>
                    <w:rPr>
                      <w:rFonts w:hint="eastAsia" w:eastAsiaTheme="minorEastAsia"/>
                      <w:szCs w:val="21"/>
                    </w:rPr>
                    <w:t>，约200户</w:t>
                  </w:r>
                </w:p>
              </w:tc>
              <w:tc>
                <w:tcPr>
                  <w:tcW w:w="345" w:type="pct"/>
                  <w:shd w:val="clear" w:color="auto" w:fill="auto"/>
                  <w:vAlign w:val="center"/>
                </w:tcPr>
                <w:p w14:paraId="7734D189">
                  <w:pPr>
                    <w:autoSpaceDE w:val="0"/>
                    <w:autoSpaceDN w:val="0"/>
                    <w:adjustRightInd w:val="0"/>
                    <w:jc w:val="center"/>
                    <w:rPr>
                      <w:kern w:val="0"/>
                      <w:szCs w:val="21"/>
                    </w:rPr>
                  </w:pPr>
                  <w:r>
                    <w:rPr>
                      <w:kern w:val="0"/>
                      <w:szCs w:val="21"/>
                    </w:rPr>
                    <w:t>人群</w:t>
                  </w:r>
                </w:p>
              </w:tc>
              <w:tc>
                <w:tcPr>
                  <w:tcW w:w="523" w:type="pct"/>
                  <w:shd w:val="clear" w:color="auto" w:fill="auto"/>
                  <w:vAlign w:val="center"/>
                </w:tcPr>
                <w:p w14:paraId="4F6FA3DE">
                  <w:pPr>
                    <w:autoSpaceDE w:val="0"/>
                    <w:autoSpaceDN w:val="0"/>
                    <w:adjustRightInd w:val="0"/>
                    <w:jc w:val="center"/>
                    <w:rPr>
                      <w:kern w:val="0"/>
                      <w:szCs w:val="21"/>
                    </w:rPr>
                  </w:pPr>
                  <w:r>
                    <w:rPr>
                      <w:kern w:val="0"/>
                      <w:szCs w:val="21"/>
                    </w:rPr>
                    <w:t>二类</w:t>
                  </w:r>
                </w:p>
              </w:tc>
              <w:tc>
                <w:tcPr>
                  <w:tcW w:w="454" w:type="pct"/>
                  <w:shd w:val="clear" w:color="auto" w:fill="auto"/>
                  <w:vAlign w:val="center"/>
                </w:tcPr>
                <w:p w14:paraId="78CCBC85">
                  <w:pPr>
                    <w:autoSpaceDE w:val="0"/>
                    <w:autoSpaceDN w:val="0"/>
                    <w:adjustRightInd w:val="0"/>
                    <w:jc w:val="center"/>
                    <w:rPr>
                      <w:kern w:val="0"/>
                      <w:szCs w:val="21"/>
                    </w:rPr>
                  </w:pPr>
                  <w:r>
                    <w:rPr>
                      <w:rFonts w:hint="eastAsia"/>
                      <w:kern w:val="0"/>
                      <w:szCs w:val="21"/>
                    </w:rPr>
                    <w:t>南</w:t>
                  </w:r>
                </w:p>
              </w:tc>
              <w:tc>
                <w:tcPr>
                  <w:tcW w:w="628" w:type="pct"/>
                  <w:shd w:val="clear" w:color="auto" w:fill="auto"/>
                  <w:vAlign w:val="center"/>
                </w:tcPr>
                <w:p w14:paraId="546C222C">
                  <w:pPr>
                    <w:autoSpaceDE w:val="0"/>
                    <w:autoSpaceDN w:val="0"/>
                    <w:adjustRightInd w:val="0"/>
                    <w:jc w:val="center"/>
                    <w:rPr>
                      <w:kern w:val="0"/>
                      <w:szCs w:val="21"/>
                    </w:rPr>
                  </w:pPr>
                  <w:r>
                    <w:rPr>
                      <w:rFonts w:hint="eastAsia"/>
                      <w:kern w:val="0"/>
                      <w:szCs w:val="21"/>
                    </w:rPr>
                    <w:t>180~500m</w:t>
                  </w:r>
                </w:p>
              </w:tc>
            </w:tr>
            <w:tr w14:paraId="1595A3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1" w:type="pct"/>
                  <w:shd w:val="clear" w:color="auto" w:fill="auto"/>
                  <w:vAlign w:val="center"/>
                </w:tcPr>
                <w:p w14:paraId="30579853">
                  <w:pPr>
                    <w:autoSpaceDE w:val="0"/>
                    <w:autoSpaceDN w:val="0"/>
                    <w:adjustRightInd w:val="0"/>
                    <w:jc w:val="center"/>
                    <w:rPr>
                      <w:kern w:val="0"/>
                      <w:szCs w:val="21"/>
                    </w:rPr>
                  </w:pPr>
                  <w:r>
                    <w:rPr>
                      <w:kern w:val="0"/>
                      <w:szCs w:val="21"/>
                    </w:rPr>
                    <w:t>北塘村七组</w:t>
                  </w:r>
                </w:p>
              </w:tc>
              <w:tc>
                <w:tcPr>
                  <w:tcW w:w="754" w:type="pct"/>
                  <w:shd w:val="clear" w:color="auto" w:fill="auto"/>
                  <w:vAlign w:val="center"/>
                </w:tcPr>
                <w:p w14:paraId="7600EC70">
                  <w:pPr>
                    <w:autoSpaceDE w:val="0"/>
                    <w:autoSpaceDN w:val="0"/>
                    <w:adjustRightInd w:val="0"/>
                    <w:jc w:val="center"/>
                    <w:rPr>
                      <w:kern w:val="0"/>
                      <w:szCs w:val="21"/>
                    </w:rPr>
                  </w:pPr>
                  <w:r>
                    <w:rPr>
                      <w:rFonts w:eastAsiaTheme="minorEastAsia"/>
                      <w:szCs w:val="21"/>
                    </w:rPr>
                    <w:t>112.</w:t>
                  </w:r>
                  <w:r>
                    <w:rPr>
                      <w:rFonts w:hint="eastAsia" w:eastAsiaTheme="minorEastAsia"/>
                      <w:szCs w:val="21"/>
                    </w:rPr>
                    <w:t>583961</w:t>
                  </w:r>
                  <w:r>
                    <w:rPr>
                      <w:rFonts w:hint="eastAsia"/>
                      <w:kern w:val="0"/>
                      <w:szCs w:val="21"/>
                    </w:rPr>
                    <w:t>°</w:t>
                  </w:r>
                </w:p>
              </w:tc>
              <w:tc>
                <w:tcPr>
                  <w:tcW w:w="702" w:type="pct"/>
                  <w:shd w:val="clear" w:color="auto" w:fill="auto"/>
                  <w:vAlign w:val="center"/>
                </w:tcPr>
                <w:p w14:paraId="6EE9A271">
                  <w:pPr>
                    <w:autoSpaceDE w:val="0"/>
                    <w:autoSpaceDN w:val="0"/>
                    <w:adjustRightInd w:val="0"/>
                    <w:jc w:val="center"/>
                    <w:rPr>
                      <w:kern w:val="0"/>
                      <w:szCs w:val="21"/>
                    </w:rPr>
                  </w:pPr>
                  <w:r>
                    <w:rPr>
                      <w:rFonts w:eastAsiaTheme="minorEastAsia"/>
                      <w:szCs w:val="21"/>
                    </w:rPr>
                    <w:t>2</w:t>
                  </w:r>
                  <w:r>
                    <w:rPr>
                      <w:rFonts w:hint="eastAsia" w:eastAsiaTheme="minorEastAsia"/>
                      <w:szCs w:val="21"/>
                    </w:rPr>
                    <w:t>6.876604</w:t>
                  </w:r>
                  <w:r>
                    <w:rPr>
                      <w:rFonts w:hint="eastAsia"/>
                      <w:kern w:val="0"/>
                      <w:szCs w:val="21"/>
                    </w:rPr>
                    <w:t>°</w:t>
                  </w:r>
                </w:p>
              </w:tc>
              <w:tc>
                <w:tcPr>
                  <w:tcW w:w="843" w:type="pct"/>
                  <w:shd w:val="clear" w:color="auto" w:fill="auto"/>
                  <w:vAlign w:val="center"/>
                </w:tcPr>
                <w:p w14:paraId="5A7A7153">
                  <w:pPr>
                    <w:autoSpaceDE w:val="0"/>
                    <w:autoSpaceDN w:val="0"/>
                    <w:adjustRightInd w:val="0"/>
                    <w:jc w:val="center"/>
                    <w:rPr>
                      <w:kern w:val="0"/>
                      <w:szCs w:val="21"/>
                    </w:rPr>
                  </w:pPr>
                  <w:r>
                    <w:rPr>
                      <w:rFonts w:eastAsiaTheme="minorEastAsia"/>
                      <w:szCs w:val="21"/>
                    </w:rPr>
                    <w:t>居民</w:t>
                  </w:r>
                  <w:r>
                    <w:rPr>
                      <w:rFonts w:hint="eastAsia" w:eastAsiaTheme="minorEastAsia"/>
                      <w:szCs w:val="21"/>
                    </w:rPr>
                    <w:t>，约20户</w:t>
                  </w:r>
                </w:p>
              </w:tc>
              <w:tc>
                <w:tcPr>
                  <w:tcW w:w="345" w:type="pct"/>
                  <w:shd w:val="clear" w:color="auto" w:fill="auto"/>
                  <w:vAlign w:val="center"/>
                </w:tcPr>
                <w:p w14:paraId="3F4B7172">
                  <w:pPr>
                    <w:autoSpaceDE w:val="0"/>
                    <w:autoSpaceDN w:val="0"/>
                    <w:adjustRightInd w:val="0"/>
                    <w:jc w:val="center"/>
                    <w:rPr>
                      <w:kern w:val="0"/>
                      <w:szCs w:val="21"/>
                    </w:rPr>
                  </w:pPr>
                  <w:r>
                    <w:rPr>
                      <w:kern w:val="0"/>
                      <w:szCs w:val="21"/>
                    </w:rPr>
                    <w:t>人群</w:t>
                  </w:r>
                </w:p>
              </w:tc>
              <w:tc>
                <w:tcPr>
                  <w:tcW w:w="523" w:type="pct"/>
                  <w:shd w:val="clear" w:color="auto" w:fill="auto"/>
                  <w:vAlign w:val="center"/>
                </w:tcPr>
                <w:p w14:paraId="1C181ABB">
                  <w:pPr>
                    <w:autoSpaceDE w:val="0"/>
                    <w:autoSpaceDN w:val="0"/>
                    <w:adjustRightInd w:val="0"/>
                    <w:jc w:val="center"/>
                    <w:rPr>
                      <w:kern w:val="0"/>
                      <w:szCs w:val="21"/>
                    </w:rPr>
                  </w:pPr>
                  <w:r>
                    <w:rPr>
                      <w:kern w:val="0"/>
                      <w:szCs w:val="21"/>
                    </w:rPr>
                    <w:t>二类</w:t>
                  </w:r>
                </w:p>
              </w:tc>
              <w:tc>
                <w:tcPr>
                  <w:tcW w:w="454" w:type="pct"/>
                  <w:shd w:val="clear" w:color="auto" w:fill="auto"/>
                  <w:vAlign w:val="center"/>
                </w:tcPr>
                <w:p w14:paraId="58AA1F97">
                  <w:pPr>
                    <w:autoSpaceDE w:val="0"/>
                    <w:autoSpaceDN w:val="0"/>
                    <w:adjustRightInd w:val="0"/>
                    <w:jc w:val="center"/>
                    <w:rPr>
                      <w:kern w:val="0"/>
                      <w:szCs w:val="21"/>
                    </w:rPr>
                  </w:pPr>
                  <w:r>
                    <w:rPr>
                      <w:rFonts w:hint="eastAsia"/>
                      <w:kern w:val="0"/>
                      <w:szCs w:val="21"/>
                    </w:rPr>
                    <w:t>西</w:t>
                  </w:r>
                </w:p>
              </w:tc>
              <w:tc>
                <w:tcPr>
                  <w:tcW w:w="628" w:type="pct"/>
                  <w:shd w:val="clear" w:color="auto" w:fill="auto"/>
                  <w:vAlign w:val="center"/>
                </w:tcPr>
                <w:p w14:paraId="6C8153BA">
                  <w:pPr>
                    <w:autoSpaceDE w:val="0"/>
                    <w:autoSpaceDN w:val="0"/>
                    <w:adjustRightInd w:val="0"/>
                    <w:jc w:val="center"/>
                    <w:rPr>
                      <w:kern w:val="0"/>
                      <w:szCs w:val="21"/>
                    </w:rPr>
                  </w:pPr>
                  <w:r>
                    <w:rPr>
                      <w:rFonts w:hint="eastAsia"/>
                      <w:kern w:val="0"/>
                      <w:szCs w:val="21"/>
                    </w:rPr>
                    <w:t>420~500m</w:t>
                  </w:r>
                </w:p>
              </w:tc>
            </w:tr>
            <w:tr w14:paraId="123F7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1" w:type="pct"/>
                  <w:shd w:val="clear" w:color="auto" w:fill="auto"/>
                  <w:vAlign w:val="center"/>
                </w:tcPr>
                <w:p w14:paraId="745E73A3">
                  <w:pPr>
                    <w:autoSpaceDE w:val="0"/>
                    <w:autoSpaceDN w:val="0"/>
                    <w:adjustRightInd w:val="0"/>
                    <w:jc w:val="center"/>
                    <w:rPr>
                      <w:kern w:val="0"/>
                      <w:szCs w:val="21"/>
                    </w:rPr>
                  </w:pPr>
                  <w:r>
                    <w:rPr>
                      <w:kern w:val="0"/>
                      <w:szCs w:val="21"/>
                    </w:rPr>
                    <w:t>北塘虹苑</w:t>
                  </w:r>
                </w:p>
              </w:tc>
              <w:tc>
                <w:tcPr>
                  <w:tcW w:w="754" w:type="pct"/>
                  <w:shd w:val="clear" w:color="auto" w:fill="auto"/>
                  <w:vAlign w:val="center"/>
                </w:tcPr>
                <w:p w14:paraId="4889E503">
                  <w:pPr>
                    <w:autoSpaceDE w:val="0"/>
                    <w:autoSpaceDN w:val="0"/>
                    <w:adjustRightInd w:val="0"/>
                    <w:jc w:val="center"/>
                    <w:rPr>
                      <w:kern w:val="0"/>
                      <w:szCs w:val="21"/>
                    </w:rPr>
                  </w:pPr>
                  <w:r>
                    <w:rPr>
                      <w:rFonts w:eastAsiaTheme="minorEastAsia"/>
                      <w:szCs w:val="21"/>
                    </w:rPr>
                    <w:t>112.</w:t>
                  </w:r>
                  <w:r>
                    <w:rPr>
                      <w:rFonts w:hint="eastAsia" w:eastAsiaTheme="minorEastAsia"/>
                      <w:szCs w:val="21"/>
                    </w:rPr>
                    <w:t>593783</w:t>
                  </w:r>
                  <w:r>
                    <w:rPr>
                      <w:rFonts w:hint="eastAsia"/>
                      <w:kern w:val="0"/>
                      <w:szCs w:val="21"/>
                    </w:rPr>
                    <w:t>°</w:t>
                  </w:r>
                </w:p>
              </w:tc>
              <w:tc>
                <w:tcPr>
                  <w:tcW w:w="702" w:type="pct"/>
                  <w:shd w:val="clear" w:color="auto" w:fill="auto"/>
                  <w:vAlign w:val="center"/>
                </w:tcPr>
                <w:p w14:paraId="3CEA7ED0">
                  <w:pPr>
                    <w:autoSpaceDE w:val="0"/>
                    <w:autoSpaceDN w:val="0"/>
                    <w:adjustRightInd w:val="0"/>
                    <w:jc w:val="center"/>
                    <w:rPr>
                      <w:kern w:val="0"/>
                      <w:szCs w:val="21"/>
                    </w:rPr>
                  </w:pPr>
                  <w:r>
                    <w:rPr>
                      <w:rFonts w:eastAsiaTheme="minorEastAsia"/>
                      <w:szCs w:val="21"/>
                    </w:rPr>
                    <w:t>2</w:t>
                  </w:r>
                  <w:r>
                    <w:rPr>
                      <w:rFonts w:hint="eastAsia" w:eastAsiaTheme="minorEastAsia"/>
                      <w:szCs w:val="21"/>
                    </w:rPr>
                    <w:t>6.877405</w:t>
                  </w:r>
                  <w:r>
                    <w:rPr>
                      <w:rFonts w:hint="eastAsia"/>
                      <w:kern w:val="0"/>
                      <w:szCs w:val="21"/>
                    </w:rPr>
                    <w:t>°</w:t>
                  </w:r>
                </w:p>
              </w:tc>
              <w:tc>
                <w:tcPr>
                  <w:tcW w:w="843" w:type="pct"/>
                  <w:shd w:val="clear" w:color="auto" w:fill="auto"/>
                  <w:vAlign w:val="center"/>
                </w:tcPr>
                <w:p w14:paraId="1EA1A9AC">
                  <w:pPr>
                    <w:autoSpaceDE w:val="0"/>
                    <w:autoSpaceDN w:val="0"/>
                    <w:adjustRightInd w:val="0"/>
                    <w:jc w:val="center"/>
                    <w:rPr>
                      <w:kern w:val="0"/>
                      <w:szCs w:val="21"/>
                    </w:rPr>
                  </w:pPr>
                  <w:r>
                    <w:rPr>
                      <w:rFonts w:eastAsiaTheme="minorEastAsia"/>
                      <w:szCs w:val="21"/>
                    </w:rPr>
                    <w:t>居民</w:t>
                  </w:r>
                  <w:r>
                    <w:rPr>
                      <w:rFonts w:hint="eastAsia" w:eastAsiaTheme="minorEastAsia"/>
                      <w:szCs w:val="21"/>
                    </w:rPr>
                    <w:t>，约300户</w:t>
                  </w:r>
                </w:p>
              </w:tc>
              <w:tc>
                <w:tcPr>
                  <w:tcW w:w="345" w:type="pct"/>
                  <w:shd w:val="clear" w:color="auto" w:fill="auto"/>
                  <w:vAlign w:val="center"/>
                </w:tcPr>
                <w:p w14:paraId="107DBD1E">
                  <w:pPr>
                    <w:autoSpaceDE w:val="0"/>
                    <w:autoSpaceDN w:val="0"/>
                    <w:adjustRightInd w:val="0"/>
                    <w:jc w:val="center"/>
                    <w:rPr>
                      <w:kern w:val="0"/>
                      <w:szCs w:val="21"/>
                    </w:rPr>
                  </w:pPr>
                  <w:r>
                    <w:rPr>
                      <w:kern w:val="0"/>
                      <w:szCs w:val="21"/>
                    </w:rPr>
                    <w:t>人群</w:t>
                  </w:r>
                </w:p>
              </w:tc>
              <w:tc>
                <w:tcPr>
                  <w:tcW w:w="523" w:type="pct"/>
                  <w:shd w:val="clear" w:color="auto" w:fill="auto"/>
                  <w:vAlign w:val="center"/>
                </w:tcPr>
                <w:p w14:paraId="48D12903">
                  <w:pPr>
                    <w:autoSpaceDE w:val="0"/>
                    <w:autoSpaceDN w:val="0"/>
                    <w:adjustRightInd w:val="0"/>
                    <w:jc w:val="center"/>
                    <w:rPr>
                      <w:kern w:val="0"/>
                      <w:szCs w:val="21"/>
                    </w:rPr>
                  </w:pPr>
                  <w:r>
                    <w:rPr>
                      <w:kern w:val="0"/>
                      <w:szCs w:val="21"/>
                    </w:rPr>
                    <w:t>二类</w:t>
                  </w:r>
                </w:p>
              </w:tc>
              <w:tc>
                <w:tcPr>
                  <w:tcW w:w="454" w:type="pct"/>
                  <w:shd w:val="clear" w:color="auto" w:fill="auto"/>
                  <w:vAlign w:val="center"/>
                </w:tcPr>
                <w:p w14:paraId="15DA5895">
                  <w:pPr>
                    <w:autoSpaceDE w:val="0"/>
                    <w:autoSpaceDN w:val="0"/>
                    <w:adjustRightInd w:val="0"/>
                    <w:jc w:val="center"/>
                    <w:rPr>
                      <w:kern w:val="0"/>
                      <w:szCs w:val="21"/>
                    </w:rPr>
                  </w:pPr>
                  <w:r>
                    <w:rPr>
                      <w:rFonts w:hint="eastAsia"/>
                      <w:kern w:val="0"/>
                      <w:szCs w:val="21"/>
                    </w:rPr>
                    <w:t>东</w:t>
                  </w:r>
                </w:p>
              </w:tc>
              <w:tc>
                <w:tcPr>
                  <w:tcW w:w="628" w:type="pct"/>
                  <w:shd w:val="clear" w:color="auto" w:fill="auto"/>
                  <w:vAlign w:val="center"/>
                </w:tcPr>
                <w:p w14:paraId="271AA212">
                  <w:pPr>
                    <w:autoSpaceDE w:val="0"/>
                    <w:autoSpaceDN w:val="0"/>
                    <w:adjustRightInd w:val="0"/>
                    <w:jc w:val="center"/>
                    <w:rPr>
                      <w:kern w:val="0"/>
                      <w:szCs w:val="21"/>
                    </w:rPr>
                  </w:pPr>
                  <w:r>
                    <w:rPr>
                      <w:rFonts w:hint="eastAsia"/>
                      <w:kern w:val="0"/>
                      <w:szCs w:val="21"/>
                    </w:rPr>
                    <w:t>180~310m</w:t>
                  </w:r>
                </w:p>
              </w:tc>
            </w:tr>
            <w:tr w14:paraId="47A49B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1" w:type="pct"/>
                  <w:shd w:val="clear" w:color="auto" w:fill="auto"/>
                  <w:vAlign w:val="center"/>
                </w:tcPr>
                <w:p w14:paraId="39A0974D">
                  <w:pPr>
                    <w:autoSpaceDE w:val="0"/>
                    <w:autoSpaceDN w:val="0"/>
                    <w:adjustRightInd w:val="0"/>
                    <w:jc w:val="center"/>
                    <w:rPr>
                      <w:kern w:val="0"/>
                      <w:szCs w:val="21"/>
                    </w:rPr>
                  </w:pPr>
                  <w:r>
                    <w:rPr>
                      <w:rFonts w:hint="eastAsia"/>
                      <w:kern w:val="0"/>
                      <w:szCs w:val="21"/>
                    </w:rPr>
                    <w:t>湘粤名城</w:t>
                  </w:r>
                </w:p>
              </w:tc>
              <w:tc>
                <w:tcPr>
                  <w:tcW w:w="754" w:type="pct"/>
                  <w:shd w:val="clear" w:color="auto" w:fill="auto"/>
                  <w:vAlign w:val="center"/>
                </w:tcPr>
                <w:p w14:paraId="540765CB">
                  <w:pPr>
                    <w:autoSpaceDE w:val="0"/>
                    <w:autoSpaceDN w:val="0"/>
                    <w:adjustRightInd w:val="0"/>
                    <w:jc w:val="center"/>
                    <w:rPr>
                      <w:kern w:val="0"/>
                      <w:szCs w:val="21"/>
                    </w:rPr>
                  </w:pPr>
                  <w:r>
                    <w:rPr>
                      <w:rFonts w:eastAsiaTheme="minorEastAsia"/>
                      <w:szCs w:val="21"/>
                    </w:rPr>
                    <w:t>112.</w:t>
                  </w:r>
                  <w:r>
                    <w:rPr>
                      <w:rFonts w:hint="eastAsia" w:eastAsiaTheme="minorEastAsia"/>
                      <w:szCs w:val="21"/>
                    </w:rPr>
                    <w:t>594572</w:t>
                  </w:r>
                  <w:r>
                    <w:rPr>
                      <w:rFonts w:hint="eastAsia"/>
                      <w:kern w:val="0"/>
                      <w:szCs w:val="21"/>
                    </w:rPr>
                    <w:t>°</w:t>
                  </w:r>
                </w:p>
              </w:tc>
              <w:tc>
                <w:tcPr>
                  <w:tcW w:w="702" w:type="pct"/>
                  <w:shd w:val="clear" w:color="auto" w:fill="auto"/>
                  <w:vAlign w:val="center"/>
                </w:tcPr>
                <w:p w14:paraId="75228287">
                  <w:pPr>
                    <w:autoSpaceDE w:val="0"/>
                    <w:autoSpaceDN w:val="0"/>
                    <w:adjustRightInd w:val="0"/>
                    <w:jc w:val="center"/>
                    <w:rPr>
                      <w:kern w:val="0"/>
                      <w:szCs w:val="21"/>
                    </w:rPr>
                  </w:pPr>
                  <w:r>
                    <w:rPr>
                      <w:rFonts w:eastAsiaTheme="minorEastAsia"/>
                      <w:szCs w:val="21"/>
                    </w:rPr>
                    <w:t>2</w:t>
                  </w:r>
                  <w:r>
                    <w:rPr>
                      <w:rFonts w:hint="eastAsia" w:eastAsiaTheme="minorEastAsia"/>
                      <w:szCs w:val="21"/>
                    </w:rPr>
                    <w:t>6.879649</w:t>
                  </w:r>
                  <w:r>
                    <w:rPr>
                      <w:rFonts w:hint="eastAsia"/>
                      <w:kern w:val="0"/>
                      <w:szCs w:val="21"/>
                    </w:rPr>
                    <w:t>°</w:t>
                  </w:r>
                </w:p>
              </w:tc>
              <w:tc>
                <w:tcPr>
                  <w:tcW w:w="843" w:type="pct"/>
                  <w:shd w:val="clear" w:color="auto" w:fill="auto"/>
                  <w:vAlign w:val="center"/>
                </w:tcPr>
                <w:p w14:paraId="09464822">
                  <w:pPr>
                    <w:autoSpaceDE w:val="0"/>
                    <w:autoSpaceDN w:val="0"/>
                    <w:adjustRightInd w:val="0"/>
                    <w:jc w:val="center"/>
                    <w:rPr>
                      <w:rFonts w:eastAsiaTheme="minorEastAsia"/>
                      <w:szCs w:val="21"/>
                    </w:rPr>
                  </w:pPr>
                  <w:r>
                    <w:rPr>
                      <w:rFonts w:eastAsiaTheme="minorEastAsia"/>
                      <w:szCs w:val="21"/>
                    </w:rPr>
                    <w:t>居民</w:t>
                  </w:r>
                  <w:r>
                    <w:rPr>
                      <w:rFonts w:hint="eastAsia" w:eastAsiaTheme="minorEastAsia"/>
                      <w:szCs w:val="21"/>
                    </w:rPr>
                    <w:t>，约2000户</w:t>
                  </w:r>
                </w:p>
              </w:tc>
              <w:tc>
                <w:tcPr>
                  <w:tcW w:w="345" w:type="pct"/>
                  <w:shd w:val="clear" w:color="auto" w:fill="auto"/>
                  <w:vAlign w:val="center"/>
                </w:tcPr>
                <w:p w14:paraId="2CC1EFBE">
                  <w:pPr>
                    <w:autoSpaceDE w:val="0"/>
                    <w:autoSpaceDN w:val="0"/>
                    <w:adjustRightInd w:val="0"/>
                    <w:jc w:val="center"/>
                    <w:rPr>
                      <w:kern w:val="0"/>
                      <w:szCs w:val="21"/>
                    </w:rPr>
                  </w:pPr>
                  <w:r>
                    <w:rPr>
                      <w:kern w:val="0"/>
                      <w:szCs w:val="21"/>
                    </w:rPr>
                    <w:t>人群</w:t>
                  </w:r>
                </w:p>
              </w:tc>
              <w:tc>
                <w:tcPr>
                  <w:tcW w:w="523" w:type="pct"/>
                  <w:shd w:val="clear" w:color="auto" w:fill="auto"/>
                  <w:vAlign w:val="center"/>
                </w:tcPr>
                <w:p w14:paraId="4CEAE38B">
                  <w:pPr>
                    <w:autoSpaceDE w:val="0"/>
                    <w:autoSpaceDN w:val="0"/>
                    <w:adjustRightInd w:val="0"/>
                    <w:jc w:val="center"/>
                    <w:rPr>
                      <w:kern w:val="0"/>
                      <w:szCs w:val="21"/>
                    </w:rPr>
                  </w:pPr>
                  <w:r>
                    <w:rPr>
                      <w:kern w:val="0"/>
                      <w:szCs w:val="21"/>
                    </w:rPr>
                    <w:t>二类</w:t>
                  </w:r>
                </w:p>
              </w:tc>
              <w:tc>
                <w:tcPr>
                  <w:tcW w:w="454" w:type="pct"/>
                  <w:shd w:val="clear" w:color="auto" w:fill="auto"/>
                  <w:vAlign w:val="center"/>
                </w:tcPr>
                <w:p w14:paraId="03948B7A">
                  <w:pPr>
                    <w:autoSpaceDE w:val="0"/>
                    <w:autoSpaceDN w:val="0"/>
                    <w:adjustRightInd w:val="0"/>
                    <w:jc w:val="center"/>
                    <w:rPr>
                      <w:kern w:val="0"/>
                      <w:szCs w:val="21"/>
                    </w:rPr>
                  </w:pPr>
                  <w:r>
                    <w:rPr>
                      <w:rFonts w:hint="eastAsia"/>
                      <w:kern w:val="0"/>
                      <w:szCs w:val="21"/>
                    </w:rPr>
                    <w:t>东</w:t>
                  </w:r>
                </w:p>
              </w:tc>
              <w:tc>
                <w:tcPr>
                  <w:tcW w:w="628" w:type="pct"/>
                  <w:shd w:val="clear" w:color="auto" w:fill="auto"/>
                  <w:vAlign w:val="center"/>
                </w:tcPr>
                <w:p w14:paraId="2FA8B1A8">
                  <w:pPr>
                    <w:autoSpaceDE w:val="0"/>
                    <w:autoSpaceDN w:val="0"/>
                    <w:adjustRightInd w:val="0"/>
                    <w:jc w:val="center"/>
                    <w:rPr>
                      <w:kern w:val="0"/>
                      <w:szCs w:val="21"/>
                    </w:rPr>
                  </w:pPr>
                  <w:r>
                    <w:rPr>
                      <w:rFonts w:hint="eastAsia"/>
                      <w:kern w:val="0"/>
                      <w:szCs w:val="21"/>
                    </w:rPr>
                    <w:t>330~500m</w:t>
                  </w:r>
                </w:p>
              </w:tc>
            </w:tr>
          </w:tbl>
          <w:p w14:paraId="1DC76883">
            <w:pPr>
              <w:adjustRightInd w:val="0"/>
              <w:snapToGrid w:val="0"/>
              <w:spacing w:line="360" w:lineRule="auto"/>
              <w:ind w:firstLine="482" w:firstLineChars="200"/>
              <w:rPr>
                <w:b/>
                <w:kern w:val="0"/>
                <w:sz w:val="24"/>
              </w:rPr>
            </w:pPr>
            <w:r>
              <w:rPr>
                <w:b/>
                <w:kern w:val="0"/>
                <w:sz w:val="24"/>
              </w:rPr>
              <w:t>二、水环境保护目标</w:t>
            </w:r>
          </w:p>
          <w:p w14:paraId="19C160E9">
            <w:pPr>
              <w:adjustRightInd w:val="0"/>
              <w:snapToGrid w:val="0"/>
              <w:spacing w:line="360" w:lineRule="auto"/>
              <w:ind w:firstLine="480" w:firstLineChars="200"/>
              <w:rPr>
                <w:kern w:val="0"/>
                <w:sz w:val="24"/>
              </w:rPr>
            </w:pPr>
            <w:r>
              <w:rPr>
                <w:kern w:val="0"/>
                <w:sz w:val="24"/>
              </w:rPr>
              <w:t>项目周边水体为</w:t>
            </w:r>
            <w:r>
              <w:rPr>
                <w:rFonts w:hint="eastAsia"/>
                <w:kern w:val="0"/>
                <w:sz w:val="24"/>
              </w:rPr>
              <w:t>湘江</w:t>
            </w:r>
            <w:r>
              <w:rPr>
                <w:kern w:val="0"/>
                <w:sz w:val="24"/>
              </w:rPr>
              <w:t>，本项目具体的地表水环境保护目标详见下表：</w:t>
            </w:r>
          </w:p>
          <w:p w14:paraId="06AE5952">
            <w:pPr>
              <w:adjustRightInd w:val="0"/>
              <w:snapToGrid w:val="0"/>
              <w:spacing w:beforeLines="50"/>
              <w:jc w:val="center"/>
              <w:rPr>
                <w:b/>
                <w:bCs/>
                <w:szCs w:val="21"/>
              </w:rPr>
            </w:pPr>
            <w:r>
              <w:rPr>
                <w:b/>
                <w:bCs/>
                <w:szCs w:val="21"/>
              </w:rPr>
              <w:t>表3-</w:t>
            </w:r>
            <w:r>
              <w:rPr>
                <w:rFonts w:hint="eastAsia"/>
                <w:b/>
                <w:bCs/>
                <w:szCs w:val="21"/>
              </w:rPr>
              <w:t>4</w:t>
            </w:r>
            <w:r>
              <w:rPr>
                <w:b/>
                <w:bCs/>
                <w:szCs w:val="21"/>
              </w:rPr>
              <w:t xml:space="preserve">  地表水环境保护目标一览表</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72"/>
              <w:gridCol w:w="1814"/>
              <w:gridCol w:w="1369"/>
              <w:gridCol w:w="1369"/>
              <w:gridCol w:w="1540"/>
              <w:gridCol w:w="2226"/>
            </w:tblGrid>
            <w:tr w14:paraId="6E8DE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71" w:type="pct"/>
                  <w:vAlign w:val="center"/>
                </w:tcPr>
                <w:p w14:paraId="39E7B69D">
                  <w:pPr>
                    <w:spacing w:line="0" w:lineRule="atLeast"/>
                    <w:jc w:val="center"/>
                    <w:rPr>
                      <w:b/>
                      <w:szCs w:val="21"/>
                    </w:rPr>
                  </w:pPr>
                  <w:r>
                    <w:rPr>
                      <w:b/>
                      <w:szCs w:val="21"/>
                    </w:rPr>
                    <w:t>类别</w:t>
                  </w:r>
                </w:p>
              </w:tc>
              <w:tc>
                <w:tcPr>
                  <w:tcW w:w="966" w:type="pct"/>
                  <w:vAlign w:val="center"/>
                </w:tcPr>
                <w:p w14:paraId="41A2BB81">
                  <w:pPr>
                    <w:spacing w:line="0" w:lineRule="atLeast"/>
                    <w:jc w:val="center"/>
                    <w:rPr>
                      <w:b/>
                      <w:szCs w:val="21"/>
                    </w:rPr>
                  </w:pPr>
                  <w:r>
                    <w:rPr>
                      <w:b/>
                      <w:szCs w:val="21"/>
                    </w:rPr>
                    <w:t>保护目标</w:t>
                  </w:r>
                </w:p>
              </w:tc>
              <w:tc>
                <w:tcPr>
                  <w:tcW w:w="729" w:type="pct"/>
                  <w:vAlign w:val="center"/>
                </w:tcPr>
                <w:p w14:paraId="6440EEC2">
                  <w:pPr>
                    <w:spacing w:line="0" w:lineRule="atLeast"/>
                    <w:ind w:right="-80" w:rightChars="-38"/>
                    <w:jc w:val="center"/>
                    <w:rPr>
                      <w:b/>
                      <w:szCs w:val="21"/>
                    </w:rPr>
                  </w:pPr>
                  <w:r>
                    <w:rPr>
                      <w:b/>
                      <w:szCs w:val="21"/>
                    </w:rPr>
                    <w:t>规模</w:t>
                  </w:r>
                  <w:r>
                    <w:rPr>
                      <w:rFonts w:hint="eastAsia"/>
                      <w:b/>
                      <w:szCs w:val="21"/>
                    </w:rPr>
                    <w:t>/功能</w:t>
                  </w:r>
                </w:p>
              </w:tc>
              <w:tc>
                <w:tcPr>
                  <w:tcW w:w="729" w:type="pct"/>
                  <w:vAlign w:val="center"/>
                </w:tcPr>
                <w:p w14:paraId="3371D8ED">
                  <w:pPr>
                    <w:spacing w:line="0" w:lineRule="atLeast"/>
                    <w:jc w:val="center"/>
                    <w:rPr>
                      <w:b/>
                      <w:szCs w:val="21"/>
                    </w:rPr>
                  </w:pPr>
                  <w:r>
                    <w:rPr>
                      <w:b/>
                      <w:szCs w:val="21"/>
                    </w:rPr>
                    <w:t>与项目相对位置</w:t>
                  </w:r>
                </w:p>
              </w:tc>
              <w:tc>
                <w:tcPr>
                  <w:tcW w:w="820" w:type="pct"/>
                  <w:vAlign w:val="center"/>
                </w:tcPr>
                <w:p w14:paraId="40975FBC">
                  <w:pPr>
                    <w:spacing w:line="0" w:lineRule="atLeast"/>
                    <w:jc w:val="center"/>
                    <w:rPr>
                      <w:b/>
                      <w:szCs w:val="21"/>
                    </w:rPr>
                  </w:pPr>
                  <w:r>
                    <w:rPr>
                      <w:b/>
                      <w:szCs w:val="21"/>
                    </w:rPr>
                    <w:t>距离项目区最近距离</w:t>
                  </w:r>
                </w:p>
              </w:tc>
              <w:tc>
                <w:tcPr>
                  <w:tcW w:w="1185" w:type="pct"/>
                  <w:vAlign w:val="center"/>
                </w:tcPr>
                <w:p w14:paraId="30233071">
                  <w:pPr>
                    <w:spacing w:line="0" w:lineRule="atLeast"/>
                    <w:jc w:val="center"/>
                    <w:rPr>
                      <w:b/>
                      <w:szCs w:val="21"/>
                    </w:rPr>
                  </w:pPr>
                  <w:r>
                    <w:rPr>
                      <w:b/>
                      <w:szCs w:val="21"/>
                    </w:rPr>
                    <w:t>执行标准</w:t>
                  </w:r>
                </w:p>
              </w:tc>
            </w:tr>
            <w:tr w14:paraId="68C7E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71" w:type="pct"/>
                  <w:vMerge w:val="restart"/>
                  <w:vAlign w:val="center"/>
                </w:tcPr>
                <w:p w14:paraId="694943E3">
                  <w:pPr>
                    <w:spacing w:line="0" w:lineRule="atLeast"/>
                    <w:ind w:left="-78" w:leftChars="-37" w:right="-86" w:rightChars="-41"/>
                    <w:jc w:val="center"/>
                    <w:rPr>
                      <w:szCs w:val="21"/>
                    </w:rPr>
                  </w:pPr>
                  <w:r>
                    <w:rPr>
                      <w:szCs w:val="21"/>
                    </w:rPr>
                    <w:t>水环境</w:t>
                  </w:r>
                </w:p>
              </w:tc>
              <w:tc>
                <w:tcPr>
                  <w:tcW w:w="966" w:type="pct"/>
                  <w:vAlign w:val="center"/>
                </w:tcPr>
                <w:p w14:paraId="49BA3EBE">
                  <w:pPr>
                    <w:jc w:val="center"/>
                    <w:rPr>
                      <w:szCs w:val="21"/>
                    </w:rPr>
                  </w:pPr>
                  <w:r>
                    <w:rPr>
                      <w:rFonts w:hint="eastAsia"/>
                      <w:szCs w:val="21"/>
                    </w:rPr>
                    <w:t>幸福河</w:t>
                  </w:r>
                </w:p>
              </w:tc>
              <w:tc>
                <w:tcPr>
                  <w:tcW w:w="729" w:type="pct"/>
                  <w:vAlign w:val="center"/>
                </w:tcPr>
                <w:p w14:paraId="2A371569">
                  <w:pPr>
                    <w:ind w:firstLine="27" w:firstLineChars="13"/>
                    <w:jc w:val="center"/>
                    <w:rPr>
                      <w:szCs w:val="21"/>
                    </w:rPr>
                  </w:pPr>
                  <w:r>
                    <w:rPr>
                      <w:rFonts w:hint="eastAsia"/>
                    </w:rPr>
                    <w:t>排洪、灌溉</w:t>
                  </w:r>
                </w:p>
              </w:tc>
              <w:tc>
                <w:tcPr>
                  <w:tcW w:w="729" w:type="pct"/>
                  <w:vAlign w:val="center"/>
                </w:tcPr>
                <w:p w14:paraId="4485537C">
                  <w:pPr>
                    <w:jc w:val="center"/>
                    <w:rPr>
                      <w:szCs w:val="21"/>
                    </w:rPr>
                  </w:pPr>
                  <w:r>
                    <w:rPr>
                      <w:rFonts w:hint="eastAsia"/>
                      <w:szCs w:val="21"/>
                    </w:rPr>
                    <w:t>东</w:t>
                  </w:r>
                </w:p>
              </w:tc>
              <w:tc>
                <w:tcPr>
                  <w:tcW w:w="820" w:type="pct"/>
                  <w:vAlign w:val="center"/>
                </w:tcPr>
                <w:p w14:paraId="47E658C3">
                  <w:pPr>
                    <w:jc w:val="center"/>
                    <w:rPr>
                      <w:szCs w:val="21"/>
                    </w:rPr>
                  </w:pPr>
                  <w:r>
                    <w:rPr>
                      <w:rFonts w:hint="eastAsia"/>
                      <w:szCs w:val="21"/>
                    </w:rPr>
                    <w:t>20m</w:t>
                  </w:r>
                </w:p>
              </w:tc>
              <w:tc>
                <w:tcPr>
                  <w:tcW w:w="1185" w:type="pct"/>
                  <w:vMerge w:val="restart"/>
                  <w:vAlign w:val="center"/>
                </w:tcPr>
                <w:p w14:paraId="74EB0256">
                  <w:pPr>
                    <w:spacing w:line="0" w:lineRule="atLeast"/>
                    <w:jc w:val="center"/>
                    <w:rPr>
                      <w:szCs w:val="21"/>
                    </w:rPr>
                  </w:pPr>
                  <w:r>
                    <w:rPr>
                      <w:rFonts w:hint="eastAsia"/>
                      <w:bCs/>
                      <w:szCs w:val="21"/>
                    </w:rPr>
                    <w:t>（GB3838-2002）中Ⅲ类标准</w:t>
                  </w:r>
                </w:p>
              </w:tc>
            </w:tr>
            <w:tr w14:paraId="1FB5C4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71" w:type="pct"/>
                  <w:vMerge w:val="continue"/>
                  <w:vAlign w:val="center"/>
                </w:tcPr>
                <w:p w14:paraId="270930CE">
                  <w:pPr>
                    <w:spacing w:line="0" w:lineRule="atLeast"/>
                    <w:ind w:left="-78" w:leftChars="-37" w:right="-86" w:rightChars="-41"/>
                    <w:jc w:val="center"/>
                    <w:rPr>
                      <w:szCs w:val="21"/>
                    </w:rPr>
                  </w:pPr>
                </w:p>
              </w:tc>
              <w:tc>
                <w:tcPr>
                  <w:tcW w:w="966" w:type="pct"/>
                  <w:vAlign w:val="center"/>
                </w:tcPr>
                <w:p w14:paraId="4C4ED42D">
                  <w:pPr>
                    <w:jc w:val="center"/>
                    <w:rPr>
                      <w:szCs w:val="21"/>
                    </w:rPr>
                  </w:pPr>
                  <w:r>
                    <w:rPr>
                      <w:rFonts w:hint="eastAsia"/>
                      <w:szCs w:val="21"/>
                    </w:rPr>
                    <w:t>湘江</w:t>
                  </w:r>
                </w:p>
              </w:tc>
              <w:tc>
                <w:tcPr>
                  <w:tcW w:w="729" w:type="pct"/>
                  <w:vAlign w:val="center"/>
                </w:tcPr>
                <w:p w14:paraId="6F8D9D3C">
                  <w:pPr>
                    <w:ind w:firstLine="27" w:firstLineChars="13"/>
                    <w:jc w:val="center"/>
                  </w:pPr>
                  <w:r>
                    <w:rPr>
                      <w:rFonts w:hint="eastAsia"/>
                    </w:rPr>
                    <w:t>江河</w:t>
                  </w:r>
                </w:p>
              </w:tc>
              <w:tc>
                <w:tcPr>
                  <w:tcW w:w="729" w:type="pct"/>
                  <w:vAlign w:val="center"/>
                </w:tcPr>
                <w:p w14:paraId="1EAB9286">
                  <w:pPr>
                    <w:jc w:val="center"/>
                    <w:rPr>
                      <w:szCs w:val="21"/>
                    </w:rPr>
                  </w:pPr>
                  <w:r>
                    <w:rPr>
                      <w:rFonts w:hint="eastAsia"/>
                      <w:szCs w:val="21"/>
                    </w:rPr>
                    <w:t>东</w:t>
                  </w:r>
                </w:p>
              </w:tc>
              <w:tc>
                <w:tcPr>
                  <w:tcW w:w="820" w:type="pct"/>
                  <w:vAlign w:val="center"/>
                </w:tcPr>
                <w:p w14:paraId="2B9FAA1B">
                  <w:pPr>
                    <w:jc w:val="center"/>
                    <w:rPr>
                      <w:szCs w:val="21"/>
                    </w:rPr>
                  </w:pPr>
                  <w:r>
                    <w:rPr>
                      <w:rFonts w:hint="eastAsia"/>
                      <w:szCs w:val="21"/>
                    </w:rPr>
                    <w:t>2.2km</w:t>
                  </w:r>
                </w:p>
              </w:tc>
              <w:tc>
                <w:tcPr>
                  <w:tcW w:w="1185" w:type="pct"/>
                  <w:vMerge w:val="continue"/>
                  <w:vAlign w:val="center"/>
                </w:tcPr>
                <w:p w14:paraId="21D15604">
                  <w:pPr>
                    <w:spacing w:line="0" w:lineRule="atLeast"/>
                    <w:jc w:val="center"/>
                    <w:rPr>
                      <w:bCs/>
                      <w:szCs w:val="21"/>
                    </w:rPr>
                  </w:pPr>
                </w:p>
              </w:tc>
            </w:tr>
          </w:tbl>
          <w:p w14:paraId="37CE80C0">
            <w:pPr>
              <w:adjustRightInd w:val="0"/>
              <w:snapToGrid w:val="0"/>
              <w:spacing w:line="360" w:lineRule="auto"/>
              <w:ind w:firstLine="482" w:firstLineChars="200"/>
              <w:rPr>
                <w:b/>
                <w:kern w:val="0"/>
                <w:sz w:val="24"/>
              </w:rPr>
            </w:pPr>
            <w:r>
              <w:rPr>
                <w:rFonts w:hint="eastAsia"/>
                <w:b/>
                <w:kern w:val="0"/>
                <w:sz w:val="24"/>
              </w:rPr>
              <w:t>三、声环境保护目标</w:t>
            </w:r>
          </w:p>
          <w:p w14:paraId="70534B74">
            <w:pPr>
              <w:spacing w:line="360" w:lineRule="auto"/>
              <w:ind w:firstLine="480" w:firstLineChars="200"/>
              <w:rPr>
                <w:sz w:val="24"/>
              </w:rPr>
            </w:pPr>
            <w:r>
              <w:rPr>
                <w:rFonts w:hint="eastAsia"/>
                <w:sz w:val="24"/>
              </w:rPr>
              <w:t>根据对项目所在地实地踏勘，项目厂界外5</w:t>
            </w:r>
            <w:r>
              <w:rPr>
                <w:sz w:val="24"/>
              </w:rPr>
              <w:t>0m</w:t>
            </w:r>
            <w:r>
              <w:rPr>
                <w:rFonts w:hint="eastAsia"/>
                <w:sz w:val="24"/>
              </w:rPr>
              <w:t>范围内无声环境保护目标。</w:t>
            </w:r>
          </w:p>
          <w:p w14:paraId="7521EE6F">
            <w:pPr>
              <w:adjustRightInd w:val="0"/>
              <w:snapToGrid w:val="0"/>
              <w:spacing w:line="360" w:lineRule="auto"/>
              <w:ind w:firstLine="482" w:firstLineChars="200"/>
              <w:rPr>
                <w:b/>
                <w:kern w:val="0"/>
                <w:sz w:val="24"/>
              </w:rPr>
            </w:pPr>
            <w:r>
              <w:rPr>
                <w:rFonts w:hint="eastAsia"/>
                <w:b/>
                <w:kern w:val="0"/>
                <w:sz w:val="24"/>
              </w:rPr>
              <w:t>四、其它环境保护目标</w:t>
            </w:r>
          </w:p>
          <w:p w14:paraId="39C016B7">
            <w:pPr>
              <w:adjustRightInd w:val="0"/>
              <w:snapToGrid w:val="0"/>
              <w:spacing w:line="360" w:lineRule="auto"/>
              <w:ind w:firstLine="480" w:firstLineChars="200"/>
              <w:rPr>
                <w:kern w:val="0"/>
                <w:sz w:val="24"/>
              </w:rPr>
            </w:pPr>
            <w:r>
              <w:rPr>
                <w:rFonts w:hint="eastAsia"/>
                <w:kern w:val="0"/>
                <w:sz w:val="24"/>
              </w:rPr>
              <w:t>项目厂界外500m范围内无地下水集中式使用水水源和热水、矿泉水、温泉等特殊地下水资源，无生态环境保护目标。</w:t>
            </w:r>
          </w:p>
        </w:tc>
      </w:tr>
      <w:tr w14:paraId="5892E4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82" w:type="pct"/>
            <w:tcMar>
              <w:left w:w="28" w:type="dxa"/>
              <w:right w:w="28" w:type="dxa"/>
            </w:tcMar>
            <w:vAlign w:val="center"/>
          </w:tcPr>
          <w:p w14:paraId="1A83E702">
            <w:pPr>
              <w:adjustRightInd w:val="0"/>
              <w:snapToGrid w:val="0"/>
              <w:jc w:val="center"/>
              <w:rPr>
                <w:rFonts w:ascii="宋体" w:hAnsi="宋体" w:cs="宋体"/>
                <w:b/>
                <w:kern w:val="0"/>
                <w:sz w:val="24"/>
              </w:rPr>
            </w:pPr>
            <w:r>
              <w:rPr>
                <w:rFonts w:hint="eastAsia" w:ascii="宋体" w:hAnsi="宋体" w:cs="宋体"/>
                <w:b/>
                <w:kern w:val="0"/>
                <w:sz w:val="24"/>
              </w:rPr>
              <w:t>污染</w:t>
            </w:r>
          </w:p>
          <w:p w14:paraId="38186CA1">
            <w:pPr>
              <w:adjustRightInd w:val="0"/>
              <w:snapToGrid w:val="0"/>
              <w:jc w:val="center"/>
              <w:rPr>
                <w:rFonts w:ascii="宋体" w:hAnsi="宋体" w:cs="宋体"/>
                <w:b/>
                <w:kern w:val="0"/>
                <w:sz w:val="24"/>
              </w:rPr>
            </w:pPr>
            <w:r>
              <w:rPr>
                <w:rFonts w:hint="eastAsia" w:ascii="宋体" w:hAnsi="宋体" w:cs="宋体"/>
                <w:b/>
                <w:kern w:val="0"/>
                <w:sz w:val="24"/>
              </w:rPr>
              <w:t>物排</w:t>
            </w:r>
          </w:p>
          <w:p w14:paraId="05C9E417">
            <w:pPr>
              <w:adjustRightInd w:val="0"/>
              <w:snapToGrid w:val="0"/>
              <w:jc w:val="center"/>
              <w:rPr>
                <w:rFonts w:ascii="宋体" w:hAnsi="宋体" w:cs="宋体"/>
                <w:b/>
                <w:kern w:val="0"/>
                <w:sz w:val="24"/>
              </w:rPr>
            </w:pPr>
            <w:r>
              <w:rPr>
                <w:rFonts w:hint="eastAsia" w:ascii="宋体" w:hAnsi="宋体" w:cs="宋体"/>
                <w:b/>
                <w:kern w:val="0"/>
                <w:sz w:val="24"/>
              </w:rPr>
              <w:t>放控</w:t>
            </w:r>
          </w:p>
          <w:p w14:paraId="7EED2EAD">
            <w:pPr>
              <w:adjustRightInd w:val="0"/>
              <w:snapToGrid w:val="0"/>
              <w:jc w:val="center"/>
              <w:rPr>
                <w:rFonts w:ascii="宋体" w:hAnsi="宋体" w:cs="宋体"/>
                <w:b/>
                <w:kern w:val="0"/>
                <w:sz w:val="24"/>
              </w:rPr>
            </w:pPr>
            <w:r>
              <w:rPr>
                <w:rFonts w:hint="eastAsia" w:ascii="宋体" w:hAnsi="宋体" w:cs="宋体"/>
                <w:b/>
                <w:kern w:val="0"/>
                <w:sz w:val="24"/>
              </w:rPr>
              <w:t>制标</w:t>
            </w:r>
          </w:p>
          <w:p w14:paraId="5020011B">
            <w:pPr>
              <w:adjustRightInd w:val="0"/>
              <w:snapToGrid w:val="0"/>
              <w:jc w:val="center"/>
              <w:rPr>
                <w:rFonts w:ascii="宋体" w:hAnsi="宋体" w:cs="宋体"/>
                <w:b/>
                <w:kern w:val="0"/>
                <w:sz w:val="24"/>
              </w:rPr>
            </w:pPr>
            <w:r>
              <w:rPr>
                <w:rFonts w:hint="eastAsia" w:ascii="宋体" w:hAnsi="宋体" w:cs="宋体"/>
                <w:b/>
                <w:kern w:val="0"/>
                <w:sz w:val="24"/>
              </w:rPr>
              <w:t>准</w:t>
            </w:r>
          </w:p>
        </w:tc>
        <w:tc>
          <w:tcPr>
            <w:tcW w:w="4718" w:type="pct"/>
            <w:vAlign w:val="center"/>
          </w:tcPr>
          <w:p w14:paraId="34F5EC1A">
            <w:pPr>
              <w:adjustRightInd w:val="0"/>
              <w:snapToGrid w:val="0"/>
              <w:spacing w:line="360" w:lineRule="auto"/>
              <w:ind w:firstLine="482" w:firstLineChars="200"/>
              <w:rPr>
                <w:rFonts w:ascii="宋体" w:hAnsi="宋体" w:cs="宋体"/>
                <w:b/>
                <w:kern w:val="0"/>
                <w:sz w:val="24"/>
              </w:rPr>
            </w:pPr>
            <w:r>
              <w:rPr>
                <w:rFonts w:ascii="宋体" w:hAnsi="宋体" w:cs="宋体"/>
                <w:b/>
                <w:kern w:val="0"/>
                <w:sz w:val="24"/>
              </w:rPr>
              <w:t>一、废气</w:t>
            </w:r>
          </w:p>
          <w:p w14:paraId="4198ED02">
            <w:pPr>
              <w:adjustRightInd w:val="0"/>
              <w:snapToGrid w:val="0"/>
              <w:spacing w:line="360" w:lineRule="auto"/>
              <w:ind w:firstLine="480" w:firstLineChars="200"/>
              <w:rPr>
                <w:kern w:val="0"/>
                <w:sz w:val="24"/>
              </w:rPr>
            </w:pPr>
            <w:r>
              <w:rPr>
                <w:rFonts w:hint="eastAsia"/>
                <w:kern w:val="0"/>
                <w:sz w:val="24"/>
              </w:rPr>
              <w:t>根据国家五部委《关于推进实施钢铁行业超低排放的意见（环大气[2019]35号）》等相关文件要求，营运期热轧生产线</w:t>
            </w:r>
            <w:r>
              <w:rPr>
                <w:spacing w:val="10"/>
                <w:sz w:val="24"/>
              </w:rPr>
              <w:t>环形炉、</w:t>
            </w:r>
            <w:r>
              <w:rPr>
                <w:rFonts w:hint="eastAsia"/>
                <w:spacing w:val="10"/>
                <w:sz w:val="24"/>
              </w:rPr>
              <w:t>步进炉</w:t>
            </w:r>
            <w:r>
              <w:rPr>
                <w:rFonts w:hint="eastAsia"/>
                <w:kern w:val="0"/>
                <w:sz w:val="24"/>
              </w:rPr>
              <w:t>废气（颗粒物、二氧化硫、碳氧化物）有组织排放执行《关于推进实施钢铁行业超低排放的意见（环大气[2019]35号）》附件2中钢铁企业超低排放标准；</w:t>
            </w:r>
            <w:r>
              <w:rPr>
                <w:rFonts w:hAnsi="宋体"/>
                <w:spacing w:val="10"/>
                <w:sz w:val="24"/>
              </w:rPr>
              <w:t>喷硼砂</w:t>
            </w:r>
            <w:r>
              <w:rPr>
                <w:rFonts w:hint="eastAsia" w:hAnsi="宋体"/>
                <w:spacing w:val="10"/>
                <w:sz w:val="24"/>
              </w:rPr>
              <w:t>作业</w:t>
            </w:r>
            <w:r>
              <w:rPr>
                <w:rFonts w:hAnsi="宋体"/>
                <w:spacing w:val="10"/>
                <w:sz w:val="24"/>
              </w:rPr>
              <w:t>、连轧管</w:t>
            </w:r>
            <w:r>
              <w:rPr>
                <w:rFonts w:hint="eastAsia" w:hAnsi="宋体"/>
                <w:spacing w:val="10"/>
                <w:sz w:val="24"/>
              </w:rPr>
              <w:t>作业</w:t>
            </w:r>
            <w:r>
              <w:rPr>
                <w:rFonts w:hint="eastAsia"/>
                <w:sz w:val="24"/>
                <w:szCs w:val="21"/>
              </w:rPr>
              <w:t>粉尘（</w:t>
            </w:r>
            <w:r>
              <w:rPr>
                <w:rFonts w:hint="eastAsia"/>
                <w:kern w:val="0"/>
                <w:sz w:val="24"/>
              </w:rPr>
              <w:t>颗粒物</w:t>
            </w:r>
            <w:r>
              <w:rPr>
                <w:rFonts w:hint="eastAsia"/>
                <w:sz w:val="24"/>
                <w:szCs w:val="21"/>
              </w:rPr>
              <w:t>）</w:t>
            </w:r>
            <w:r>
              <w:rPr>
                <w:rFonts w:hint="eastAsia"/>
                <w:kern w:val="0"/>
                <w:sz w:val="24"/>
              </w:rPr>
              <w:t>有组织排放执行《轧钢工业大气污染物排放标准》（GB28665-2012）表3大气污染物特别排放限值；无组织排放颗粒物执行《轧钢工业大气污染物排放标准》（GB28665-2012）表4大气污染物无组织排放浓度限值。</w:t>
            </w:r>
            <w:r>
              <w:rPr>
                <w:kern w:val="0"/>
                <w:sz w:val="24"/>
              </w:rPr>
              <w:t>具体限值见表</w:t>
            </w:r>
            <w:r>
              <w:rPr>
                <w:rFonts w:hint="eastAsia"/>
                <w:kern w:val="0"/>
                <w:sz w:val="24"/>
              </w:rPr>
              <w:t>3-5~3-6。</w:t>
            </w:r>
          </w:p>
          <w:p w14:paraId="7055F64F">
            <w:pPr>
              <w:pStyle w:val="14"/>
              <w:spacing w:beforeLines="50"/>
              <w:rPr>
                <w:rFonts w:ascii="Times New Roman" w:hAnsi="Times New Roman"/>
                <w:color w:val="auto"/>
                <w:sz w:val="21"/>
              </w:rPr>
            </w:pPr>
            <w:r>
              <w:rPr>
                <w:rFonts w:ascii="Times New Roman" w:hAnsi="Times New Roman"/>
                <w:color w:val="auto"/>
                <w:sz w:val="21"/>
              </w:rPr>
              <w:t>表</w:t>
            </w:r>
            <w:r>
              <w:rPr>
                <w:rFonts w:hint="eastAsia" w:ascii="Times New Roman" w:hAnsi="Times New Roman"/>
                <w:color w:val="auto"/>
                <w:sz w:val="21"/>
              </w:rPr>
              <w:t>3-5</w:t>
            </w:r>
            <w:r>
              <w:rPr>
                <w:rFonts w:ascii="Times New Roman" w:hAnsi="Times New Roman"/>
                <w:color w:val="auto"/>
                <w:sz w:val="21"/>
              </w:rPr>
              <w:t xml:space="preserve"> </w:t>
            </w:r>
            <w:r>
              <w:rPr>
                <w:rFonts w:hint="eastAsia" w:ascii="Times New Roman" w:hAnsi="Times New Roman"/>
                <w:color w:val="auto"/>
                <w:sz w:val="21"/>
              </w:rPr>
              <w:t xml:space="preserve"> 钢铁企业有组织废气超低排放浓度限值  单位：</w:t>
            </w:r>
            <w:r>
              <w:rPr>
                <w:rFonts w:ascii="Times New Roman" w:hAnsi="Times New Roman"/>
                <w:color w:val="auto"/>
                <w:sz w:val="21"/>
              </w:rPr>
              <w:t>mg/m</w:t>
            </w:r>
            <w:r>
              <w:rPr>
                <w:rFonts w:ascii="Times New Roman" w:hAnsi="Times New Roman"/>
                <w:color w:val="auto"/>
                <w:sz w:val="21"/>
                <w:vertAlign w:val="superscript"/>
              </w:rPr>
              <w:t>3</w:t>
            </w:r>
          </w:p>
          <w:tbl>
            <w:tblPr>
              <w:tblStyle w:val="3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47"/>
              <w:gridCol w:w="2269"/>
              <w:gridCol w:w="2445"/>
              <w:gridCol w:w="3129"/>
            </w:tblGrid>
            <w:tr w14:paraId="3FCCD0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24" w:type="pct"/>
                  <w:vAlign w:val="center"/>
                </w:tcPr>
                <w:p w14:paraId="0C429F95">
                  <w:pPr>
                    <w:jc w:val="center"/>
                    <w:rPr>
                      <w:b/>
                      <w:szCs w:val="21"/>
                    </w:rPr>
                  </w:pPr>
                  <w:r>
                    <w:rPr>
                      <w:b/>
                      <w:szCs w:val="21"/>
                    </w:rPr>
                    <w:t>序号</w:t>
                  </w:r>
                </w:p>
              </w:tc>
              <w:tc>
                <w:tcPr>
                  <w:tcW w:w="1208" w:type="pct"/>
                  <w:vAlign w:val="center"/>
                </w:tcPr>
                <w:p w14:paraId="12EB5D9A">
                  <w:pPr>
                    <w:jc w:val="center"/>
                    <w:rPr>
                      <w:b/>
                      <w:szCs w:val="21"/>
                    </w:rPr>
                  </w:pPr>
                  <w:r>
                    <w:rPr>
                      <w:b/>
                      <w:szCs w:val="21"/>
                    </w:rPr>
                    <w:t>污染物项目</w:t>
                  </w:r>
                </w:p>
              </w:tc>
              <w:tc>
                <w:tcPr>
                  <w:tcW w:w="1302" w:type="pct"/>
                  <w:vAlign w:val="center"/>
                </w:tcPr>
                <w:p w14:paraId="254A4D52">
                  <w:pPr>
                    <w:jc w:val="center"/>
                    <w:rPr>
                      <w:b/>
                      <w:szCs w:val="21"/>
                    </w:rPr>
                  </w:pPr>
                  <w:r>
                    <w:rPr>
                      <w:b/>
                      <w:szCs w:val="21"/>
                    </w:rPr>
                    <w:t>限值</w:t>
                  </w:r>
                </w:p>
              </w:tc>
              <w:tc>
                <w:tcPr>
                  <w:tcW w:w="1666" w:type="pct"/>
                  <w:vAlign w:val="center"/>
                </w:tcPr>
                <w:p w14:paraId="6DFC790D">
                  <w:pPr>
                    <w:jc w:val="center"/>
                    <w:rPr>
                      <w:b/>
                      <w:szCs w:val="21"/>
                    </w:rPr>
                  </w:pPr>
                  <w:r>
                    <w:rPr>
                      <w:b/>
                      <w:szCs w:val="21"/>
                    </w:rPr>
                    <w:t>污染物</w:t>
                  </w:r>
                  <w:r>
                    <w:rPr>
                      <w:rFonts w:hint="eastAsia"/>
                      <w:b/>
                      <w:szCs w:val="21"/>
                    </w:rPr>
                    <w:t>排放监控位置</w:t>
                  </w:r>
                </w:p>
              </w:tc>
            </w:tr>
            <w:tr w14:paraId="6E00BB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824" w:type="pct"/>
                  <w:vAlign w:val="center"/>
                </w:tcPr>
                <w:p w14:paraId="543DC87F">
                  <w:pPr>
                    <w:jc w:val="center"/>
                    <w:rPr>
                      <w:szCs w:val="21"/>
                    </w:rPr>
                  </w:pPr>
                  <w:r>
                    <w:rPr>
                      <w:rFonts w:hint="eastAsia"/>
                      <w:szCs w:val="21"/>
                    </w:rPr>
                    <w:t>1</w:t>
                  </w:r>
                </w:p>
              </w:tc>
              <w:tc>
                <w:tcPr>
                  <w:tcW w:w="1208" w:type="pct"/>
                  <w:vAlign w:val="center"/>
                </w:tcPr>
                <w:p w14:paraId="2DC83A9A">
                  <w:pPr>
                    <w:jc w:val="center"/>
                    <w:rPr>
                      <w:szCs w:val="21"/>
                    </w:rPr>
                  </w:pPr>
                  <w:r>
                    <w:rPr>
                      <w:szCs w:val="21"/>
                    </w:rPr>
                    <w:t>颗粒物</w:t>
                  </w:r>
                </w:p>
              </w:tc>
              <w:tc>
                <w:tcPr>
                  <w:tcW w:w="1302" w:type="pct"/>
                  <w:vAlign w:val="center"/>
                </w:tcPr>
                <w:p w14:paraId="3FCD8F0B">
                  <w:pPr>
                    <w:jc w:val="center"/>
                    <w:rPr>
                      <w:szCs w:val="21"/>
                    </w:rPr>
                  </w:pPr>
                  <w:r>
                    <w:rPr>
                      <w:rFonts w:hint="eastAsia"/>
                      <w:szCs w:val="21"/>
                    </w:rPr>
                    <w:t>10</w:t>
                  </w:r>
                </w:p>
              </w:tc>
              <w:tc>
                <w:tcPr>
                  <w:tcW w:w="1666" w:type="pct"/>
                  <w:vMerge w:val="restart"/>
                  <w:vAlign w:val="center"/>
                </w:tcPr>
                <w:p w14:paraId="32C981B6">
                  <w:pPr>
                    <w:jc w:val="center"/>
                    <w:rPr>
                      <w:szCs w:val="21"/>
                    </w:rPr>
                  </w:pPr>
                  <w:r>
                    <w:rPr>
                      <w:rFonts w:hint="eastAsia"/>
                      <w:szCs w:val="21"/>
                    </w:rPr>
                    <w:t>车间或生产设施排气筒</w:t>
                  </w:r>
                </w:p>
              </w:tc>
            </w:tr>
            <w:tr w14:paraId="38475D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824" w:type="pct"/>
                  <w:vAlign w:val="center"/>
                </w:tcPr>
                <w:p w14:paraId="564B5936">
                  <w:pPr>
                    <w:jc w:val="center"/>
                    <w:rPr>
                      <w:szCs w:val="21"/>
                    </w:rPr>
                  </w:pPr>
                  <w:r>
                    <w:rPr>
                      <w:rFonts w:hint="eastAsia"/>
                      <w:szCs w:val="21"/>
                    </w:rPr>
                    <w:t>2</w:t>
                  </w:r>
                </w:p>
              </w:tc>
              <w:tc>
                <w:tcPr>
                  <w:tcW w:w="1208" w:type="pct"/>
                  <w:vAlign w:val="center"/>
                </w:tcPr>
                <w:p w14:paraId="5D8F37D0">
                  <w:pPr>
                    <w:jc w:val="center"/>
                    <w:rPr>
                      <w:szCs w:val="21"/>
                    </w:rPr>
                  </w:pPr>
                  <w:r>
                    <w:rPr>
                      <w:szCs w:val="21"/>
                    </w:rPr>
                    <w:t>二氧化硫</w:t>
                  </w:r>
                </w:p>
              </w:tc>
              <w:tc>
                <w:tcPr>
                  <w:tcW w:w="1302" w:type="pct"/>
                  <w:vAlign w:val="center"/>
                </w:tcPr>
                <w:p w14:paraId="41D1C368">
                  <w:pPr>
                    <w:jc w:val="center"/>
                    <w:rPr>
                      <w:szCs w:val="21"/>
                    </w:rPr>
                  </w:pPr>
                  <w:r>
                    <w:rPr>
                      <w:rFonts w:hint="eastAsia"/>
                      <w:szCs w:val="21"/>
                    </w:rPr>
                    <w:t>50</w:t>
                  </w:r>
                </w:p>
              </w:tc>
              <w:tc>
                <w:tcPr>
                  <w:tcW w:w="1666" w:type="pct"/>
                  <w:vMerge w:val="continue"/>
                  <w:vAlign w:val="center"/>
                </w:tcPr>
                <w:p w14:paraId="75AA928E">
                  <w:pPr>
                    <w:jc w:val="center"/>
                    <w:rPr>
                      <w:szCs w:val="21"/>
                    </w:rPr>
                  </w:pPr>
                </w:p>
              </w:tc>
            </w:tr>
            <w:tr w14:paraId="5681C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824" w:type="pct"/>
                  <w:vAlign w:val="center"/>
                </w:tcPr>
                <w:p w14:paraId="07BCC014">
                  <w:pPr>
                    <w:jc w:val="center"/>
                    <w:rPr>
                      <w:szCs w:val="21"/>
                    </w:rPr>
                  </w:pPr>
                  <w:r>
                    <w:rPr>
                      <w:rFonts w:hint="eastAsia"/>
                      <w:szCs w:val="21"/>
                    </w:rPr>
                    <w:t>3</w:t>
                  </w:r>
                </w:p>
              </w:tc>
              <w:tc>
                <w:tcPr>
                  <w:tcW w:w="1208" w:type="pct"/>
                  <w:vAlign w:val="center"/>
                </w:tcPr>
                <w:p w14:paraId="73484854">
                  <w:pPr>
                    <w:jc w:val="center"/>
                    <w:rPr>
                      <w:szCs w:val="21"/>
                    </w:rPr>
                  </w:pPr>
                  <w:r>
                    <w:rPr>
                      <w:szCs w:val="21"/>
                    </w:rPr>
                    <w:t>氮氧化物</w:t>
                  </w:r>
                </w:p>
              </w:tc>
              <w:tc>
                <w:tcPr>
                  <w:tcW w:w="1302" w:type="pct"/>
                  <w:vAlign w:val="center"/>
                </w:tcPr>
                <w:p w14:paraId="07B1EFC7">
                  <w:pPr>
                    <w:jc w:val="center"/>
                    <w:rPr>
                      <w:szCs w:val="21"/>
                    </w:rPr>
                  </w:pPr>
                  <w:r>
                    <w:rPr>
                      <w:rFonts w:hint="eastAsia"/>
                      <w:szCs w:val="21"/>
                    </w:rPr>
                    <w:t>200</w:t>
                  </w:r>
                </w:p>
              </w:tc>
              <w:tc>
                <w:tcPr>
                  <w:tcW w:w="1666" w:type="pct"/>
                  <w:vMerge w:val="continue"/>
                  <w:vAlign w:val="center"/>
                </w:tcPr>
                <w:p w14:paraId="23B405DC">
                  <w:pPr>
                    <w:jc w:val="center"/>
                    <w:rPr>
                      <w:szCs w:val="21"/>
                    </w:rPr>
                  </w:pPr>
                </w:p>
              </w:tc>
            </w:tr>
          </w:tbl>
          <w:p w14:paraId="5A1F81B1">
            <w:pPr>
              <w:pStyle w:val="14"/>
              <w:spacing w:beforeLines="50"/>
              <w:rPr>
                <w:rFonts w:ascii="Times New Roman" w:hAnsi="Times New Roman"/>
                <w:color w:val="auto"/>
                <w:sz w:val="21"/>
              </w:rPr>
            </w:pPr>
            <w:r>
              <w:rPr>
                <w:rFonts w:ascii="Times New Roman" w:hAnsi="Times New Roman"/>
                <w:color w:val="auto"/>
                <w:sz w:val="21"/>
              </w:rPr>
              <w:t>表</w:t>
            </w:r>
            <w:r>
              <w:rPr>
                <w:rFonts w:hint="eastAsia" w:ascii="Times New Roman" w:hAnsi="Times New Roman"/>
                <w:color w:val="auto"/>
                <w:sz w:val="21"/>
              </w:rPr>
              <w:t>3-6</w:t>
            </w:r>
            <w:r>
              <w:rPr>
                <w:rFonts w:ascii="Times New Roman" w:hAnsi="Times New Roman"/>
                <w:color w:val="auto"/>
                <w:sz w:val="21"/>
              </w:rPr>
              <w:t xml:space="preserve"> </w:t>
            </w:r>
            <w:r>
              <w:rPr>
                <w:rFonts w:hint="eastAsia" w:ascii="Times New Roman" w:hAnsi="Times New Roman"/>
                <w:color w:val="auto"/>
                <w:sz w:val="21"/>
              </w:rPr>
              <w:t xml:space="preserve"> 《轧钢工业大气污染物排放标准》  单位：</w:t>
            </w:r>
            <w:r>
              <w:rPr>
                <w:rFonts w:ascii="Times New Roman" w:hAnsi="Times New Roman"/>
                <w:color w:val="auto"/>
                <w:sz w:val="21"/>
              </w:rPr>
              <w:t>mg/m</w:t>
            </w:r>
            <w:r>
              <w:rPr>
                <w:rFonts w:ascii="Times New Roman" w:hAnsi="Times New Roman"/>
                <w:color w:val="auto"/>
                <w:sz w:val="21"/>
                <w:vertAlign w:val="superscript"/>
              </w:rPr>
              <w:t>3</w:t>
            </w:r>
          </w:p>
          <w:tbl>
            <w:tblPr>
              <w:tblStyle w:val="3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64"/>
              <w:gridCol w:w="1399"/>
              <w:gridCol w:w="2836"/>
              <w:gridCol w:w="1134"/>
              <w:gridCol w:w="2457"/>
            </w:tblGrid>
            <w:tr w14:paraId="0C4AF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33" w:type="pct"/>
                  <w:vAlign w:val="center"/>
                </w:tcPr>
                <w:p w14:paraId="32708A7D">
                  <w:pPr>
                    <w:jc w:val="center"/>
                    <w:rPr>
                      <w:b/>
                      <w:szCs w:val="21"/>
                    </w:rPr>
                  </w:pPr>
                  <w:r>
                    <w:rPr>
                      <w:rFonts w:hint="eastAsia"/>
                      <w:b/>
                      <w:szCs w:val="21"/>
                    </w:rPr>
                    <w:t>排放方式</w:t>
                  </w:r>
                </w:p>
              </w:tc>
              <w:tc>
                <w:tcPr>
                  <w:tcW w:w="745" w:type="pct"/>
                  <w:vAlign w:val="center"/>
                </w:tcPr>
                <w:p w14:paraId="3EE4A5D5">
                  <w:pPr>
                    <w:jc w:val="center"/>
                    <w:rPr>
                      <w:b/>
                      <w:szCs w:val="21"/>
                    </w:rPr>
                  </w:pPr>
                  <w:r>
                    <w:rPr>
                      <w:b/>
                      <w:szCs w:val="21"/>
                    </w:rPr>
                    <w:t>污染物项目</w:t>
                  </w:r>
                </w:p>
              </w:tc>
              <w:tc>
                <w:tcPr>
                  <w:tcW w:w="1510" w:type="pct"/>
                  <w:vAlign w:val="center"/>
                </w:tcPr>
                <w:p w14:paraId="0A736622">
                  <w:pPr>
                    <w:jc w:val="center"/>
                    <w:rPr>
                      <w:b/>
                      <w:szCs w:val="21"/>
                    </w:rPr>
                  </w:pPr>
                  <w:r>
                    <w:rPr>
                      <w:b/>
                      <w:szCs w:val="21"/>
                    </w:rPr>
                    <w:t>生产工艺或设施</w:t>
                  </w:r>
                </w:p>
              </w:tc>
              <w:tc>
                <w:tcPr>
                  <w:tcW w:w="604" w:type="pct"/>
                  <w:vAlign w:val="center"/>
                </w:tcPr>
                <w:p w14:paraId="6009369E">
                  <w:pPr>
                    <w:jc w:val="center"/>
                    <w:rPr>
                      <w:b/>
                      <w:szCs w:val="21"/>
                    </w:rPr>
                  </w:pPr>
                  <w:r>
                    <w:rPr>
                      <w:b/>
                      <w:szCs w:val="21"/>
                    </w:rPr>
                    <w:t>排放限值</w:t>
                  </w:r>
                </w:p>
              </w:tc>
              <w:tc>
                <w:tcPr>
                  <w:tcW w:w="1308" w:type="pct"/>
                  <w:vAlign w:val="center"/>
                </w:tcPr>
                <w:p w14:paraId="2D99C6E3">
                  <w:pPr>
                    <w:jc w:val="center"/>
                    <w:rPr>
                      <w:b/>
                      <w:szCs w:val="21"/>
                    </w:rPr>
                  </w:pPr>
                  <w:r>
                    <w:rPr>
                      <w:b/>
                      <w:szCs w:val="21"/>
                    </w:rPr>
                    <w:t>污染物</w:t>
                  </w:r>
                  <w:r>
                    <w:rPr>
                      <w:rFonts w:hint="eastAsia"/>
                      <w:b/>
                      <w:szCs w:val="21"/>
                    </w:rPr>
                    <w:t>排放监控位置</w:t>
                  </w:r>
                </w:p>
              </w:tc>
            </w:tr>
            <w:tr w14:paraId="7AE4BB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33" w:type="pct"/>
                  <w:vAlign w:val="center"/>
                </w:tcPr>
                <w:p w14:paraId="36BD0AE6">
                  <w:pPr>
                    <w:jc w:val="center"/>
                    <w:rPr>
                      <w:szCs w:val="21"/>
                    </w:rPr>
                  </w:pPr>
                  <w:r>
                    <w:rPr>
                      <w:rFonts w:hint="eastAsia"/>
                      <w:szCs w:val="21"/>
                    </w:rPr>
                    <w:t>有组织</w:t>
                  </w:r>
                </w:p>
              </w:tc>
              <w:tc>
                <w:tcPr>
                  <w:tcW w:w="745" w:type="pct"/>
                  <w:vAlign w:val="center"/>
                </w:tcPr>
                <w:p w14:paraId="613C04F1">
                  <w:pPr>
                    <w:jc w:val="center"/>
                    <w:rPr>
                      <w:szCs w:val="21"/>
                    </w:rPr>
                  </w:pPr>
                  <w:r>
                    <w:rPr>
                      <w:szCs w:val="21"/>
                    </w:rPr>
                    <w:t>颗粒物</w:t>
                  </w:r>
                </w:p>
              </w:tc>
              <w:tc>
                <w:tcPr>
                  <w:tcW w:w="1510" w:type="pct"/>
                  <w:vAlign w:val="center"/>
                </w:tcPr>
                <w:p w14:paraId="4334FB20">
                  <w:pPr>
                    <w:jc w:val="center"/>
                    <w:rPr>
                      <w:szCs w:val="21"/>
                    </w:rPr>
                  </w:pPr>
                  <w:r>
                    <w:rPr>
                      <w:rFonts w:hint="eastAsia"/>
                      <w:szCs w:val="21"/>
                    </w:rPr>
                    <w:t>热处理炉、拉矫、精整、抛丸、修磨、焊接机及其他生产设施</w:t>
                  </w:r>
                </w:p>
              </w:tc>
              <w:tc>
                <w:tcPr>
                  <w:tcW w:w="604" w:type="pct"/>
                  <w:vAlign w:val="center"/>
                </w:tcPr>
                <w:p w14:paraId="78DAD33A">
                  <w:pPr>
                    <w:jc w:val="center"/>
                    <w:rPr>
                      <w:szCs w:val="21"/>
                    </w:rPr>
                  </w:pPr>
                  <w:r>
                    <w:rPr>
                      <w:rFonts w:hint="eastAsia"/>
                      <w:szCs w:val="21"/>
                    </w:rPr>
                    <w:t>15</w:t>
                  </w:r>
                </w:p>
              </w:tc>
              <w:tc>
                <w:tcPr>
                  <w:tcW w:w="1308" w:type="pct"/>
                  <w:vAlign w:val="center"/>
                </w:tcPr>
                <w:p w14:paraId="6315A119">
                  <w:pPr>
                    <w:jc w:val="center"/>
                    <w:rPr>
                      <w:szCs w:val="21"/>
                    </w:rPr>
                  </w:pPr>
                  <w:r>
                    <w:rPr>
                      <w:rFonts w:hint="eastAsia"/>
                      <w:szCs w:val="21"/>
                    </w:rPr>
                    <w:t>车间或生产设施排气筒</w:t>
                  </w:r>
                </w:p>
              </w:tc>
            </w:tr>
            <w:tr w14:paraId="72009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33" w:type="pct"/>
                  <w:vAlign w:val="center"/>
                </w:tcPr>
                <w:p w14:paraId="27B741B3">
                  <w:pPr>
                    <w:jc w:val="center"/>
                    <w:rPr>
                      <w:szCs w:val="21"/>
                    </w:rPr>
                  </w:pPr>
                  <w:r>
                    <w:rPr>
                      <w:rFonts w:hint="eastAsia"/>
                      <w:szCs w:val="21"/>
                    </w:rPr>
                    <w:t>无组织</w:t>
                  </w:r>
                </w:p>
              </w:tc>
              <w:tc>
                <w:tcPr>
                  <w:tcW w:w="745" w:type="pct"/>
                  <w:vAlign w:val="center"/>
                </w:tcPr>
                <w:p w14:paraId="568D8FA7">
                  <w:pPr>
                    <w:jc w:val="center"/>
                    <w:rPr>
                      <w:szCs w:val="21"/>
                    </w:rPr>
                  </w:pPr>
                  <w:r>
                    <w:rPr>
                      <w:szCs w:val="21"/>
                    </w:rPr>
                    <w:t>颗粒物</w:t>
                  </w:r>
                </w:p>
              </w:tc>
              <w:tc>
                <w:tcPr>
                  <w:tcW w:w="1510" w:type="pct"/>
                  <w:vAlign w:val="center"/>
                </w:tcPr>
                <w:p w14:paraId="7E227DB4">
                  <w:pPr>
                    <w:jc w:val="center"/>
                    <w:rPr>
                      <w:szCs w:val="21"/>
                    </w:rPr>
                  </w:pPr>
                  <w:r>
                    <w:rPr>
                      <w:rFonts w:hint="eastAsia"/>
                      <w:szCs w:val="21"/>
                    </w:rPr>
                    <w:t>热轧、磨辊、切割、剪切、抛丸</w:t>
                  </w:r>
                </w:p>
              </w:tc>
              <w:tc>
                <w:tcPr>
                  <w:tcW w:w="604" w:type="pct"/>
                  <w:vAlign w:val="center"/>
                </w:tcPr>
                <w:p w14:paraId="52677DCC">
                  <w:pPr>
                    <w:jc w:val="center"/>
                    <w:rPr>
                      <w:szCs w:val="21"/>
                    </w:rPr>
                  </w:pPr>
                  <w:r>
                    <w:rPr>
                      <w:rFonts w:hint="eastAsia"/>
                      <w:szCs w:val="21"/>
                    </w:rPr>
                    <w:t>5</w:t>
                  </w:r>
                </w:p>
              </w:tc>
              <w:tc>
                <w:tcPr>
                  <w:tcW w:w="1308" w:type="pct"/>
                  <w:vAlign w:val="center"/>
                </w:tcPr>
                <w:p w14:paraId="3849327A">
                  <w:pPr>
                    <w:jc w:val="center"/>
                    <w:rPr>
                      <w:szCs w:val="21"/>
                    </w:rPr>
                  </w:pPr>
                  <w:r>
                    <w:rPr>
                      <w:rFonts w:hint="eastAsia"/>
                      <w:szCs w:val="21"/>
                    </w:rPr>
                    <w:t>在厂房外设置监控点</w:t>
                  </w:r>
                </w:p>
              </w:tc>
            </w:tr>
          </w:tbl>
          <w:p w14:paraId="075DFAD5">
            <w:pPr>
              <w:adjustRightInd w:val="0"/>
              <w:snapToGrid w:val="0"/>
              <w:spacing w:line="360" w:lineRule="auto"/>
              <w:ind w:firstLine="482" w:firstLineChars="200"/>
              <w:rPr>
                <w:rFonts w:ascii="宋体" w:hAnsi="宋体" w:cs="宋体"/>
                <w:b/>
                <w:kern w:val="0"/>
                <w:sz w:val="24"/>
              </w:rPr>
            </w:pPr>
            <w:r>
              <w:rPr>
                <w:rFonts w:ascii="宋体" w:hAnsi="宋体" w:cs="宋体"/>
                <w:b/>
                <w:kern w:val="0"/>
                <w:sz w:val="24"/>
              </w:rPr>
              <w:t>二、废水</w:t>
            </w:r>
          </w:p>
          <w:p w14:paraId="7D3C0D13">
            <w:pPr>
              <w:adjustRightInd w:val="0"/>
              <w:snapToGrid w:val="0"/>
              <w:spacing w:line="360" w:lineRule="auto"/>
              <w:ind w:firstLine="480" w:firstLineChars="200"/>
              <w:rPr>
                <w:sz w:val="24"/>
              </w:rPr>
            </w:pPr>
            <w:r>
              <w:rPr>
                <w:rFonts w:hint="eastAsia"/>
                <w:bCs/>
                <w:sz w:val="24"/>
              </w:rPr>
              <w:t>本项目外排废水为生活污水，排入衡钢东区污染处理站污水处理站处理，外排水质执行《钢铁工业水污染物排放标准》（GB13456-2012）中钢铁联合企业排放限值。净环水经冷却处理后循环使用，系统强制排污水进入浊环水系统；浊环水经隔油、沉淀、冷却处理后大部分循环使用，少部分排至衡钢东区污水处理站，净环水反冲洗废水经砂石过滤器处理后回用</w:t>
            </w:r>
            <w:r>
              <w:rPr>
                <w:rFonts w:hint="eastAsia"/>
                <w:kern w:val="0"/>
                <w:sz w:val="24"/>
              </w:rPr>
              <w:t>至浊环水系统</w:t>
            </w:r>
            <w:r>
              <w:rPr>
                <w:rFonts w:hint="eastAsia"/>
                <w:sz w:val="24"/>
              </w:rPr>
              <w:t>。</w:t>
            </w:r>
          </w:p>
          <w:p w14:paraId="657C003F">
            <w:pPr>
              <w:spacing w:beforeLines="50"/>
              <w:jc w:val="center"/>
              <w:rPr>
                <w:b/>
                <w:szCs w:val="21"/>
              </w:rPr>
            </w:pPr>
            <w:r>
              <w:rPr>
                <w:b/>
                <w:szCs w:val="21"/>
              </w:rPr>
              <w:t>表</w:t>
            </w:r>
            <w:r>
              <w:rPr>
                <w:rFonts w:hint="eastAsia"/>
                <w:b/>
                <w:szCs w:val="21"/>
              </w:rPr>
              <w:t>3-7</w:t>
            </w:r>
            <w:r>
              <w:rPr>
                <w:b/>
                <w:szCs w:val="21"/>
              </w:rPr>
              <w:t xml:space="preserve">    钢铁工业水污染物排放标准(摘录)   单位：mg/L</w:t>
            </w:r>
            <w:r>
              <w:rPr>
                <w:rFonts w:hint="eastAsia"/>
                <w:b/>
                <w:szCs w:val="21"/>
              </w:rPr>
              <w:t>（</w:t>
            </w:r>
            <w:r>
              <w:rPr>
                <w:b/>
                <w:szCs w:val="21"/>
              </w:rPr>
              <w:t>pH除外</w:t>
            </w:r>
            <w:r>
              <w:rPr>
                <w:rFonts w:hint="eastAsia"/>
                <w:b/>
                <w:szCs w:val="21"/>
              </w:rPr>
              <w:t>）</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686"/>
              <w:gridCol w:w="4686"/>
            </w:tblGrid>
            <w:tr w14:paraId="556D96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5" w:type="pct"/>
                  <w:vMerge w:val="restart"/>
                  <w:vAlign w:val="center"/>
                </w:tcPr>
                <w:p w14:paraId="7F622108">
                  <w:pPr>
                    <w:pStyle w:val="123"/>
                    <w:spacing w:line="240" w:lineRule="exact"/>
                    <w:rPr>
                      <w:b/>
                    </w:rPr>
                  </w:pPr>
                  <w:r>
                    <w:rPr>
                      <w:b/>
                    </w:rPr>
                    <w:t>序号</w:t>
                  </w:r>
                </w:p>
              </w:tc>
              <w:tc>
                <w:tcPr>
                  <w:tcW w:w="1430" w:type="pct"/>
                  <w:vMerge w:val="restart"/>
                  <w:vAlign w:val="center"/>
                </w:tcPr>
                <w:p w14:paraId="57E1735F">
                  <w:pPr>
                    <w:pStyle w:val="123"/>
                    <w:spacing w:line="240" w:lineRule="exact"/>
                    <w:rPr>
                      <w:b/>
                    </w:rPr>
                  </w:pPr>
                  <w:r>
                    <w:rPr>
                      <w:b/>
                    </w:rPr>
                    <w:t>项目</w:t>
                  </w:r>
                </w:p>
              </w:tc>
              <w:tc>
                <w:tcPr>
                  <w:tcW w:w="2494" w:type="pct"/>
                  <w:vAlign w:val="center"/>
                </w:tcPr>
                <w:p w14:paraId="7A60143D">
                  <w:pPr>
                    <w:pStyle w:val="123"/>
                    <w:spacing w:line="240" w:lineRule="exact"/>
                    <w:rPr>
                      <w:b/>
                    </w:rPr>
                  </w:pPr>
                  <w:r>
                    <w:rPr>
                      <w:b/>
                    </w:rPr>
                    <w:t>最高允许浓度</w:t>
                  </w:r>
                </w:p>
              </w:tc>
            </w:tr>
            <w:tr w14:paraId="6EBF46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5" w:type="pct"/>
                  <w:vMerge w:val="continue"/>
                  <w:vAlign w:val="center"/>
                </w:tcPr>
                <w:p w14:paraId="70B10E97">
                  <w:pPr>
                    <w:pStyle w:val="123"/>
                    <w:spacing w:line="240" w:lineRule="exact"/>
                    <w:rPr>
                      <w:b/>
                    </w:rPr>
                  </w:pPr>
                </w:p>
              </w:tc>
              <w:tc>
                <w:tcPr>
                  <w:tcW w:w="1430" w:type="pct"/>
                  <w:vMerge w:val="continue"/>
                  <w:vAlign w:val="center"/>
                </w:tcPr>
                <w:p w14:paraId="38C3D4FE">
                  <w:pPr>
                    <w:pStyle w:val="123"/>
                    <w:spacing w:line="240" w:lineRule="exact"/>
                    <w:rPr>
                      <w:b/>
                    </w:rPr>
                  </w:pPr>
                </w:p>
              </w:tc>
              <w:tc>
                <w:tcPr>
                  <w:tcW w:w="2496" w:type="pct"/>
                  <w:vAlign w:val="center"/>
                </w:tcPr>
                <w:p w14:paraId="2A3FCB54">
                  <w:pPr>
                    <w:pStyle w:val="123"/>
                    <w:spacing w:line="240" w:lineRule="exact"/>
                    <w:rPr>
                      <w:b/>
                    </w:rPr>
                  </w:pPr>
                  <w:r>
                    <w:rPr>
                      <w:b/>
                    </w:rPr>
                    <w:t>钢铁联合企业</w:t>
                  </w:r>
                </w:p>
              </w:tc>
            </w:tr>
            <w:tr w14:paraId="45736E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5" w:type="pct"/>
                  <w:vAlign w:val="center"/>
                </w:tcPr>
                <w:p w14:paraId="56A53630">
                  <w:pPr>
                    <w:adjustRightInd w:val="0"/>
                    <w:snapToGrid w:val="0"/>
                    <w:spacing w:line="240" w:lineRule="exact"/>
                    <w:jc w:val="center"/>
                    <w:rPr>
                      <w:szCs w:val="21"/>
                    </w:rPr>
                  </w:pPr>
                  <w:r>
                    <w:rPr>
                      <w:szCs w:val="21"/>
                    </w:rPr>
                    <w:t>1</w:t>
                  </w:r>
                </w:p>
              </w:tc>
              <w:tc>
                <w:tcPr>
                  <w:tcW w:w="1430" w:type="pct"/>
                  <w:vAlign w:val="center"/>
                </w:tcPr>
                <w:p w14:paraId="6E702D71">
                  <w:pPr>
                    <w:adjustRightInd w:val="0"/>
                    <w:snapToGrid w:val="0"/>
                    <w:spacing w:line="240" w:lineRule="exact"/>
                    <w:jc w:val="center"/>
                    <w:rPr>
                      <w:szCs w:val="21"/>
                    </w:rPr>
                  </w:pPr>
                  <w:r>
                    <w:rPr>
                      <w:szCs w:val="21"/>
                    </w:rPr>
                    <w:t>pH</w:t>
                  </w:r>
                </w:p>
              </w:tc>
              <w:tc>
                <w:tcPr>
                  <w:tcW w:w="2496" w:type="pct"/>
                  <w:vAlign w:val="center"/>
                </w:tcPr>
                <w:p w14:paraId="48846419">
                  <w:pPr>
                    <w:adjustRightInd w:val="0"/>
                    <w:snapToGrid w:val="0"/>
                    <w:spacing w:line="240" w:lineRule="exact"/>
                    <w:jc w:val="center"/>
                    <w:rPr>
                      <w:szCs w:val="21"/>
                    </w:rPr>
                  </w:pPr>
                  <w:r>
                    <w:rPr>
                      <w:szCs w:val="21"/>
                    </w:rPr>
                    <w:t>6~9</w:t>
                  </w:r>
                </w:p>
              </w:tc>
            </w:tr>
            <w:tr w14:paraId="38B299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5" w:type="pct"/>
                  <w:vAlign w:val="center"/>
                </w:tcPr>
                <w:p w14:paraId="4D05BC84">
                  <w:pPr>
                    <w:adjustRightInd w:val="0"/>
                    <w:snapToGrid w:val="0"/>
                    <w:spacing w:line="240" w:lineRule="exact"/>
                    <w:jc w:val="center"/>
                    <w:rPr>
                      <w:szCs w:val="21"/>
                    </w:rPr>
                  </w:pPr>
                  <w:r>
                    <w:rPr>
                      <w:szCs w:val="21"/>
                    </w:rPr>
                    <w:t>2</w:t>
                  </w:r>
                </w:p>
              </w:tc>
              <w:tc>
                <w:tcPr>
                  <w:tcW w:w="1430" w:type="pct"/>
                  <w:vAlign w:val="center"/>
                </w:tcPr>
                <w:p w14:paraId="6D2D24C9">
                  <w:pPr>
                    <w:adjustRightInd w:val="0"/>
                    <w:snapToGrid w:val="0"/>
                    <w:spacing w:line="240" w:lineRule="exact"/>
                    <w:jc w:val="center"/>
                    <w:rPr>
                      <w:szCs w:val="21"/>
                    </w:rPr>
                  </w:pPr>
                  <w:r>
                    <w:rPr>
                      <w:szCs w:val="21"/>
                    </w:rPr>
                    <w:t>SS</w:t>
                  </w:r>
                </w:p>
              </w:tc>
              <w:tc>
                <w:tcPr>
                  <w:tcW w:w="2496" w:type="pct"/>
                  <w:vAlign w:val="center"/>
                </w:tcPr>
                <w:p w14:paraId="71F09972">
                  <w:pPr>
                    <w:adjustRightInd w:val="0"/>
                    <w:snapToGrid w:val="0"/>
                    <w:spacing w:line="240" w:lineRule="exact"/>
                    <w:jc w:val="center"/>
                    <w:rPr>
                      <w:szCs w:val="21"/>
                    </w:rPr>
                  </w:pPr>
                  <w:r>
                    <w:rPr>
                      <w:szCs w:val="21"/>
                    </w:rPr>
                    <w:t>50</w:t>
                  </w:r>
                </w:p>
              </w:tc>
            </w:tr>
            <w:tr w14:paraId="2899F8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5" w:type="pct"/>
                  <w:vAlign w:val="center"/>
                </w:tcPr>
                <w:p w14:paraId="5579DA11">
                  <w:pPr>
                    <w:adjustRightInd w:val="0"/>
                    <w:snapToGrid w:val="0"/>
                    <w:spacing w:line="240" w:lineRule="exact"/>
                    <w:jc w:val="center"/>
                    <w:rPr>
                      <w:szCs w:val="21"/>
                    </w:rPr>
                  </w:pPr>
                  <w:r>
                    <w:rPr>
                      <w:szCs w:val="21"/>
                    </w:rPr>
                    <w:t>3</w:t>
                  </w:r>
                </w:p>
              </w:tc>
              <w:tc>
                <w:tcPr>
                  <w:tcW w:w="1430" w:type="pct"/>
                  <w:vAlign w:val="center"/>
                </w:tcPr>
                <w:p w14:paraId="6568007F">
                  <w:pPr>
                    <w:adjustRightInd w:val="0"/>
                    <w:snapToGrid w:val="0"/>
                    <w:spacing w:line="240" w:lineRule="exact"/>
                    <w:jc w:val="center"/>
                    <w:rPr>
                      <w:szCs w:val="21"/>
                    </w:rPr>
                  </w:pPr>
                  <w:r>
                    <w:rPr>
                      <w:szCs w:val="21"/>
                    </w:rPr>
                    <w:t>化学需氧量</w:t>
                  </w:r>
                </w:p>
              </w:tc>
              <w:tc>
                <w:tcPr>
                  <w:tcW w:w="2496" w:type="pct"/>
                  <w:vAlign w:val="center"/>
                </w:tcPr>
                <w:p w14:paraId="11C64AEF">
                  <w:pPr>
                    <w:adjustRightInd w:val="0"/>
                    <w:snapToGrid w:val="0"/>
                    <w:spacing w:line="240" w:lineRule="exact"/>
                    <w:jc w:val="center"/>
                    <w:rPr>
                      <w:szCs w:val="21"/>
                    </w:rPr>
                  </w:pPr>
                  <w:r>
                    <w:rPr>
                      <w:szCs w:val="21"/>
                    </w:rPr>
                    <w:t>60</w:t>
                  </w:r>
                </w:p>
              </w:tc>
            </w:tr>
            <w:tr w14:paraId="5C521B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5" w:type="pct"/>
                  <w:vAlign w:val="center"/>
                </w:tcPr>
                <w:p w14:paraId="363AC459">
                  <w:pPr>
                    <w:adjustRightInd w:val="0"/>
                    <w:snapToGrid w:val="0"/>
                    <w:spacing w:line="240" w:lineRule="exact"/>
                    <w:jc w:val="center"/>
                    <w:rPr>
                      <w:szCs w:val="21"/>
                    </w:rPr>
                  </w:pPr>
                  <w:r>
                    <w:rPr>
                      <w:szCs w:val="21"/>
                    </w:rPr>
                    <w:t>4</w:t>
                  </w:r>
                </w:p>
              </w:tc>
              <w:tc>
                <w:tcPr>
                  <w:tcW w:w="1430" w:type="pct"/>
                  <w:vAlign w:val="center"/>
                </w:tcPr>
                <w:p w14:paraId="4988143E">
                  <w:pPr>
                    <w:adjustRightInd w:val="0"/>
                    <w:snapToGrid w:val="0"/>
                    <w:spacing w:line="240" w:lineRule="exact"/>
                    <w:jc w:val="center"/>
                    <w:rPr>
                      <w:szCs w:val="21"/>
                    </w:rPr>
                  </w:pPr>
                  <w:r>
                    <w:rPr>
                      <w:szCs w:val="21"/>
                    </w:rPr>
                    <w:t>氨氮</w:t>
                  </w:r>
                </w:p>
              </w:tc>
              <w:tc>
                <w:tcPr>
                  <w:tcW w:w="2496" w:type="pct"/>
                  <w:vAlign w:val="center"/>
                </w:tcPr>
                <w:p w14:paraId="633886ED">
                  <w:pPr>
                    <w:adjustRightInd w:val="0"/>
                    <w:snapToGrid w:val="0"/>
                    <w:spacing w:line="240" w:lineRule="exact"/>
                    <w:jc w:val="center"/>
                    <w:rPr>
                      <w:szCs w:val="21"/>
                    </w:rPr>
                  </w:pPr>
                  <w:r>
                    <w:rPr>
                      <w:szCs w:val="21"/>
                    </w:rPr>
                    <w:t>8</w:t>
                  </w:r>
                </w:p>
              </w:tc>
            </w:tr>
            <w:tr w14:paraId="4BC901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5" w:type="pct"/>
                  <w:vAlign w:val="center"/>
                </w:tcPr>
                <w:p w14:paraId="62460EAB">
                  <w:pPr>
                    <w:adjustRightInd w:val="0"/>
                    <w:snapToGrid w:val="0"/>
                    <w:spacing w:line="240" w:lineRule="exact"/>
                    <w:jc w:val="center"/>
                    <w:rPr>
                      <w:szCs w:val="21"/>
                    </w:rPr>
                  </w:pPr>
                  <w:r>
                    <w:rPr>
                      <w:szCs w:val="21"/>
                    </w:rPr>
                    <w:t>5</w:t>
                  </w:r>
                </w:p>
              </w:tc>
              <w:tc>
                <w:tcPr>
                  <w:tcW w:w="1430" w:type="pct"/>
                  <w:vAlign w:val="center"/>
                </w:tcPr>
                <w:p w14:paraId="0B4D5D12">
                  <w:pPr>
                    <w:adjustRightInd w:val="0"/>
                    <w:snapToGrid w:val="0"/>
                    <w:spacing w:line="240" w:lineRule="exact"/>
                    <w:jc w:val="center"/>
                    <w:rPr>
                      <w:szCs w:val="21"/>
                    </w:rPr>
                  </w:pPr>
                  <w:r>
                    <w:rPr>
                      <w:szCs w:val="21"/>
                    </w:rPr>
                    <w:t>总磷</w:t>
                  </w:r>
                </w:p>
              </w:tc>
              <w:tc>
                <w:tcPr>
                  <w:tcW w:w="2496" w:type="pct"/>
                  <w:vAlign w:val="center"/>
                </w:tcPr>
                <w:p w14:paraId="0808B3C6">
                  <w:pPr>
                    <w:adjustRightInd w:val="0"/>
                    <w:snapToGrid w:val="0"/>
                    <w:spacing w:line="240" w:lineRule="exact"/>
                    <w:jc w:val="center"/>
                    <w:rPr>
                      <w:szCs w:val="21"/>
                    </w:rPr>
                  </w:pPr>
                  <w:r>
                    <w:rPr>
                      <w:szCs w:val="21"/>
                    </w:rPr>
                    <w:t>1.0</w:t>
                  </w:r>
                </w:p>
              </w:tc>
            </w:tr>
            <w:tr w14:paraId="746EB5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5" w:type="pct"/>
                  <w:vAlign w:val="center"/>
                </w:tcPr>
                <w:p w14:paraId="7F32880A">
                  <w:pPr>
                    <w:adjustRightInd w:val="0"/>
                    <w:snapToGrid w:val="0"/>
                    <w:spacing w:line="240" w:lineRule="exact"/>
                    <w:jc w:val="center"/>
                    <w:rPr>
                      <w:szCs w:val="21"/>
                    </w:rPr>
                  </w:pPr>
                  <w:r>
                    <w:rPr>
                      <w:szCs w:val="21"/>
                    </w:rPr>
                    <w:t>6</w:t>
                  </w:r>
                </w:p>
              </w:tc>
              <w:tc>
                <w:tcPr>
                  <w:tcW w:w="1430" w:type="pct"/>
                  <w:vAlign w:val="center"/>
                </w:tcPr>
                <w:p w14:paraId="65E526FC">
                  <w:pPr>
                    <w:adjustRightInd w:val="0"/>
                    <w:snapToGrid w:val="0"/>
                    <w:spacing w:line="240" w:lineRule="exact"/>
                    <w:jc w:val="center"/>
                    <w:rPr>
                      <w:szCs w:val="21"/>
                    </w:rPr>
                  </w:pPr>
                  <w:r>
                    <w:rPr>
                      <w:szCs w:val="21"/>
                    </w:rPr>
                    <w:t>石油类</w:t>
                  </w:r>
                </w:p>
              </w:tc>
              <w:tc>
                <w:tcPr>
                  <w:tcW w:w="2496" w:type="pct"/>
                  <w:vAlign w:val="center"/>
                </w:tcPr>
                <w:p w14:paraId="798756DB">
                  <w:pPr>
                    <w:adjustRightInd w:val="0"/>
                    <w:snapToGrid w:val="0"/>
                    <w:spacing w:line="240" w:lineRule="exact"/>
                    <w:jc w:val="center"/>
                    <w:rPr>
                      <w:szCs w:val="21"/>
                    </w:rPr>
                  </w:pPr>
                  <w:r>
                    <w:rPr>
                      <w:szCs w:val="21"/>
                    </w:rPr>
                    <w:t>5</w:t>
                  </w:r>
                </w:p>
              </w:tc>
            </w:tr>
          </w:tbl>
          <w:p w14:paraId="1EEC886C">
            <w:pPr>
              <w:adjustRightInd w:val="0"/>
              <w:snapToGrid w:val="0"/>
              <w:spacing w:line="360" w:lineRule="auto"/>
              <w:ind w:firstLine="482" w:firstLineChars="200"/>
              <w:rPr>
                <w:rFonts w:ascii="宋体" w:hAnsi="宋体" w:cs="宋体"/>
                <w:b/>
                <w:kern w:val="0"/>
                <w:sz w:val="24"/>
              </w:rPr>
            </w:pPr>
            <w:r>
              <w:rPr>
                <w:rFonts w:hint="eastAsia" w:ascii="宋体" w:hAnsi="宋体" w:cs="宋体"/>
                <w:b/>
                <w:kern w:val="0"/>
                <w:sz w:val="24"/>
              </w:rPr>
              <w:t>三、噪声</w:t>
            </w:r>
          </w:p>
          <w:p w14:paraId="72502FA9">
            <w:pPr>
              <w:adjustRightInd w:val="0"/>
              <w:snapToGrid w:val="0"/>
              <w:spacing w:line="360" w:lineRule="auto"/>
              <w:ind w:firstLine="480" w:firstLineChars="200"/>
              <w:rPr>
                <w:sz w:val="24"/>
              </w:rPr>
            </w:pPr>
            <w:r>
              <w:rPr>
                <w:sz w:val="24"/>
              </w:rPr>
              <w:t>项目运营期厂界噪声执行《工业企业厂界环境噪声排放标准》（GB12348-2008）</w:t>
            </w:r>
            <w:r>
              <w:rPr>
                <w:rFonts w:hint="eastAsia"/>
                <w:sz w:val="24"/>
              </w:rPr>
              <w:t>3</w:t>
            </w:r>
            <w:r>
              <w:rPr>
                <w:sz w:val="24"/>
              </w:rPr>
              <w:t>类标准。具体标准值见表</w:t>
            </w:r>
            <w:r>
              <w:rPr>
                <w:rFonts w:hint="eastAsia"/>
                <w:sz w:val="24"/>
              </w:rPr>
              <w:t>3-8</w:t>
            </w:r>
            <w:r>
              <w:rPr>
                <w:sz w:val="24"/>
              </w:rPr>
              <w:t>。</w:t>
            </w:r>
          </w:p>
          <w:p w14:paraId="7C15BD80">
            <w:pPr>
              <w:pStyle w:val="14"/>
              <w:spacing w:beforeLines="50"/>
              <w:rPr>
                <w:rFonts w:ascii="Times New Roman" w:hAnsi="Times New Roman"/>
                <w:color w:val="auto"/>
                <w:sz w:val="21"/>
              </w:rPr>
            </w:pPr>
            <w:r>
              <w:rPr>
                <w:rFonts w:ascii="Times New Roman" w:hAnsi="Times New Roman"/>
                <w:color w:val="auto"/>
                <w:sz w:val="21"/>
              </w:rPr>
              <w:t>表</w:t>
            </w:r>
            <w:r>
              <w:rPr>
                <w:rFonts w:hint="eastAsia" w:ascii="Times New Roman" w:hAnsi="Times New Roman"/>
                <w:color w:val="auto"/>
                <w:sz w:val="21"/>
              </w:rPr>
              <w:t xml:space="preserve">3-8  </w:t>
            </w:r>
            <w:r>
              <w:rPr>
                <w:rFonts w:ascii="Times New Roman" w:hAnsi="Times New Roman"/>
                <w:color w:val="auto"/>
                <w:sz w:val="21"/>
              </w:rPr>
              <w:t>项目运营期噪声排放执行标准</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622"/>
              <w:gridCol w:w="2445"/>
              <w:gridCol w:w="2323"/>
            </w:tblGrid>
            <w:tr w14:paraId="6081B4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1" w:type="pct"/>
                  <w:vMerge w:val="restart"/>
                  <w:vAlign w:val="center"/>
                </w:tcPr>
                <w:p w14:paraId="1D258FF6">
                  <w:pPr>
                    <w:pStyle w:val="62"/>
                    <w:spacing w:line="240" w:lineRule="auto"/>
                    <w:jc w:val="center"/>
                    <w:rPr>
                      <w:rFonts w:eastAsia="宋体"/>
                      <w:b/>
                      <w:sz w:val="21"/>
                      <w:szCs w:val="21"/>
                    </w:rPr>
                  </w:pPr>
                  <w:r>
                    <w:rPr>
                      <w:rFonts w:eastAsia="宋体"/>
                      <w:b/>
                      <w:sz w:val="21"/>
                      <w:szCs w:val="21"/>
                    </w:rPr>
                    <w:t>厂界外声环境功能区类别</w:t>
                  </w:r>
                </w:p>
              </w:tc>
              <w:tc>
                <w:tcPr>
                  <w:tcW w:w="2539" w:type="pct"/>
                  <w:gridSpan w:val="2"/>
                  <w:vAlign w:val="center"/>
                </w:tcPr>
                <w:p w14:paraId="113C0AC1">
                  <w:pPr>
                    <w:pStyle w:val="62"/>
                    <w:spacing w:line="240" w:lineRule="auto"/>
                    <w:jc w:val="center"/>
                    <w:rPr>
                      <w:rFonts w:eastAsia="宋体"/>
                      <w:b/>
                      <w:sz w:val="21"/>
                      <w:szCs w:val="21"/>
                    </w:rPr>
                  </w:pPr>
                  <w:r>
                    <w:rPr>
                      <w:rFonts w:eastAsia="宋体"/>
                      <w:b/>
                      <w:sz w:val="21"/>
                      <w:szCs w:val="21"/>
                    </w:rPr>
                    <w:t>标准值dB（</w:t>
                  </w:r>
                  <w:r>
                    <w:rPr>
                      <w:rFonts w:hint="eastAsia" w:eastAsia="宋体"/>
                      <w:b/>
                      <w:sz w:val="21"/>
                      <w:szCs w:val="21"/>
                    </w:rPr>
                    <w:t>A</w:t>
                  </w:r>
                  <w:r>
                    <w:rPr>
                      <w:rFonts w:eastAsia="宋体"/>
                      <w:b/>
                      <w:sz w:val="21"/>
                      <w:szCs w:val="21"/>
                    </w:rPr>
                    <w:t>）</w:t>
                  </w:r>
                </w:p>
              </w:tc>
            </w:tr>
            <w:tr w14:paraId="1DC5EA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1" w:type="pct"/>
                  <w:vMerge w:val="continue"/>
                  <w:vAlign w:val="center"/>
                </w:tcPr>
                <w:p w14:paraId="4A6D5671">
                  <w:pPr>
                    <w:pStyle w:val="62"/>
                    <w:spacing w:line="240" w:lineRule="auto"/>
                    <w:jc w:val="center"/>
                    <w:rPr>
                      <w:rFonts w:eastAsia="宋体"/>
                      <w:b/>
                      <w:sz w:val="21"/>
                      <w:szCs w:val="21"/>
                    </w:rPr>
                  </w:pPr>
                </w:p>
              </w:tc>
              <w:tc>
                <w:tcPr>
                  <w:tcW w:w="1302" w:type="pct"/>
                  <w:vAlign w:val="center"/>
                </w:tcPr>
                <w:p w14:paraId="46FC205C">
                  <w:pPr>
                    <w:pStyle w:val="62"/>
                    <w:spacing w:line="240" w:lineRule="auto"/>
                    <w:jc w:val="center"/>
                    <w:rPr>
                      <w:rFonts w:eastAsia="宋体"/>
                      <w:b/>
                      <w:sz w:val="21"/>
                      <w:szCs w:val="21"/>
                    </w:rPr>
                  </w:pPr>
                  <w:r>
                    <w:rPr>
                      <w:rFonts w:eastAsia="宋体"/>
                      <w:b/>
                      <w:sz w:val="21"/>
                      <w:szCs w:val="21"/>
                    </w:rPr>
                    <w:t>昼间</w:t>
                  </w:r>
                </w:p>
              </w:tc>
              <w:tc>
                <w:tcPr>
                  <w:tcW w:w="1237" w:type="pct"/>
                  <w:vAlign w:val="center"/>
                </w:tcPr>
                <w:p w14:paraId="570F324F">
                  <w:pPr>
                    <w:pStyle w:val="62"/>
                    <w:spacing w:line="240" w:lineRule="auto"/>
                    <w:jc w:val="center"/>
                    <w:rPr>
                      <w:rFonts w:eastAsia="宋体"/>
                      <w:b/>
                      <w:sz w:val="21"/>
                      <w:szCs w:val="21"/>
                    </w:rPr>
                  </w:pPr>
                  <w:r>
                    <w:rPr>
                      <w:rFonts w:eastAsia="宋体"/>
                      <w:b/>
                      <w:sz w:val="21"/>
                      <w:szCs w:val="21"/>
                    </w:rPr>
                    <w:t>夜间</w:t>
                  </w:r>
                </w:p>
              </w:tc>
            </w:tr>
            <w:tr w14:paraId="0A38D1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1" w:type="pct"/>
                  <w:vAlign w:val="center"/>
                </w:tcPr>
                <w:p w14:paraId="42F27CC6">
                  <w:pPr>
                    <w:pStyle w:val="62"/>
                    <w:spacing w:line="240" w:lineRule="auto"/>
                    <w:jc w:val="center"/>
                    <w:rPr>
                      <w:rFonts w:eastAsia="宋体"/>
                      <w:sz w:val="21"/>
                      <w:szCs w:val="21"/>
                    </w:rPr>
                  </w:pPr>
                  <w:r>
                    <w:rPr>
                      <w:rFonts w:hint="eastAsia" w:eastAsia="宋体"/>
                      <w:sz w:val="21"/>
                      <w:szCs w:val="21"/>
                    </w:rPr>
                    <w:t>3</w:t>
                  </w:r>
                  <w:r>
                    <w:rPr>
                      <w:rFonts w:eastAsia="宋体"/>
                      <w:sz w:val="21"/>
                      <w:szCs w:val="21"/>
                    </w:rPr>
                    <w:t>类</w:t>
                  </w:r>
                </w:p>
              </w:tc>
              <w:tc>
                <w:tcPr>
                  <w:tcW w:w="1302" w:type="pct"/>
                  <w:vAlign w:val="center"/>
                </w:tcPr>
                <w:p w14:paraId="27AC2079">
                  <w:pPr>
                    <w:pStyle w:val="62"/>
                    <w:spacing w:line="240" w:lineRule="auto"/>
                    <w:jc w:val="center"/>
                    <w:rPr>
                      <w:rFonts w:eastAsia="宋体"/>
                      <w:sz w:val="21"/>
                      <w:szCs w:val="21"/>
                    </w:rPr>
                  </w:pPr>
                  <w:r>
                    <w:rPr>
                      <w:rFonts w:hint="eastAsia" w:eastAsia="宋体"/>
                      <w:sz w:val="21"/>
                      <w:szCs w:val="21"/>
                    </w:rPr>
                    <w:t>65</w:t>
                  </w:r>
                </w:p>
              </w:tc>
              <w:tc>
                <w:tcPr>
                  <w:tcW w:w="1237" w:type="pct"/>
                  <w:vAlign w:val="center"/>
                </w:tcPr>
                <w:p w14:paraId="308EFB9C">
                  <w:pPr>
                    <w:pStyle w:val="62"/>
                    <w:spacing w:line="240" w:lineRule="auto"/>
                    <w:jc w:val="center"/>
                    <w:rPr>
                      <w:rFonts w:eastAsia="宋体"/>
                      <w:sz w:val="21"/>
                      <w:szCs w:val="21"/>
                    </w:rPr>
                  </w:pPr>
                  <w:r>
                    <w:rPr>
                      <w:rFonts w:eastAsia="宋体"/>
                      <w:sz w:val="21"/>
                      <w:szCs w:val="21"/>
                    </w:rPr>
                    <w:t>5</w:t>
                  </w:r>
                  <w:r>
                    <w:rPr>
                      <w:rFonts w:hint="eastAsia" w:eastAsia="宋体"/>
                      <w:sz w:val="21"/>
                      <w:szCs w:val="21"/>
                    </w:rPr>
                    <w:t>5</w:t>
                  </w:r>
                </w:p>
              </w:tc>
            </w:tr>
            <w:tr w14:paraId="309384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3"/>
                  <w:vAlign w:val="center"/>
                </w:tcPr>
                <w:p w14:paraId="709BAEB3">
                  <w:pPr>
                    <w:pStyle w:val="62"/>
                    <w:spacing w:line="240" w:lineRule="auto"/>
                    <w:jc w:val="center"/>
                    <w:rPr>
                      <w:rFonts w:eastAsia="宋体"/>
                      <w:sz w:val="21"/>
                      <w:szCs w:val="21"/>
                    </w:rPr>
                  </w:pPr>
                  <w:r>
                    <w:rPr>
                      <w:rFonts w:hint="eastAsia" w:eastAsia="宋体"/>
                      <w:sz w:val="21"/>
                      <w:szCs w:val="21"/>
                    </w:rPr>
                    <w:t>标准来源：《工业企业厂界环境噪声排放标准》（GB 12348-2008）</w:t>
                  </w:r>
                </w:p>
              </w:tc>
            </w:tr>
          </w:tbl>
          <w:p w14:paraId="288455A3">
            <w:pPr>
              <w:adjustRightInd w:val="0"/>
              <w:snapToGrid w:val="0"/>
              <w:spacing w:line="360" w:lineRule="auto"/>
              <w:ind w:firstLine="482" w:firstLineChars="200"/>
              <w:rPr>
                <w:rFonts w:ascii="宋体" w:hAnsi="宋体" w:cs="宋体"/>
                <w:b/>
                <w:kern w:val="0"/>
                <w:sz w:val="24"/>
              </w:rPr>
            </w:pPr>
            <w:r>
              <w:rPr>
                <w:rFonts w:hint="eastAsia" w:ascii="宋体" w:hAnsi="宋体" w:cs="宋体"/>
                <w:b/>
                <w:kern w:val="0"/>
                <w:sz w:val="24"/>
              </w:rPr>
              <w:t>四、固体废弃物</w:t>
            </w:r>
          </w:p>
          <w:p w14:paraId="6ADDDC5C">
            <w:pPr>
              <w:adjustRightInd w:val="0"/>
              <w:snapToGrid w:val="0"/>
              <w:spacing w:line="360" w:lineRule="auto"/>
              <w:ind w:firstLine="480" w:firstLineChars="200"/>
              <w:rPr>
                <w:sz w:val="24"/>
              </w:rPr>
            </w:pPr>
            <w:r>
              <w:rPr>
                <w:rFonts w:hint="eastAsia"/>
                <w:sz w:val="24"/>
              </w:rPr>
              <w:t>一般固体废弃物处置执行《一般工业固体废物贮存、处置场污染控制标准》（</w:t>
            </w:r>
            <w:r>
              <w:rPr>
                <w:sz w:val="24"/>
              </w:rPr>
              <w:t>GB18599-20</w:t>
            </w:r>
            <w:r>
              <w:rPr>
                <w:rFonts w:hint="eastAsia"/>
                <w:sz w:val="24"/>
              </w:rPr>
              <w:t>20）标准要求；危险废物贮存执行《危险废物贮存污染控制标准》（</w:t>
            </w:r>
            <w:r>
              <w:rPr>
                <w:sz w:val="24"/>
              </w:rPr>
              <w:t>18957-20</w:t>
            </w:r>
            <w:r>
              <w:rPr>
                <w:rFonts w:hint="eastAsia"/>
                <w:sz w:val="24"/>
              </w:rPr>
              <w:t>23）标准中相关要求</w:t>
            </w:r>
            <w:r>
              <w:rPr>
                <w:rFonts w:hint="eastAsia" w:hAnsi="宋体"/>
                <w:sz w:val="24"/>
              </w:rPr>
              <w:t>；生活垃圾处置标准执行《生活垃圾填埋场污染控制标准》（GB16889-2008）</w:t>
            </w:r>
            <w:r>
              <w:rPr>
                <w:sz w:val="24"/>
              </w:rPr>
              <w:t>。</w:t>
            </w:r>
            <w:bookmarkStart w:id="11" w:name="表3-6_医疗机构污泥排放标准值"/>
            <w:bookmarkEnd w:id="11"/>
          </w:p>
        </w:tc>
      </w:tr>
      <w:tr w14:paraId="50966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82" w:type="pct"/>
            <w:vAlign w:val="center"/>
          </w:tcPr>
          <w:p w14:paraId="24DC81D2">
            <w:pPr>
              <w:adjustRightInd w:val="0"/>
              <w:snapToGrid w:val="0"/>
              <w:jc w:val="center"/>
              <w:rPr>
                <w:rFonts w:ascii="宋体" w:hAnsi="宋体" w:cs="宋体"/>
                <w:b/>
                <w:kern w:val="0"/>
                <w:sz w:val="24"/>
              </w:rPr>
            </w:pPr>
            <w:r>
              <w:rPr>
                <w:rFonts w:hint="eastAsia" w:ascii="宋体" w:hAnsi="宋体" w:cs="宋体"/>
                <w:b/>
                <w:kern w:val="0"/>
                <w:sz w:val="24"/>
              </w:rPr>
              <w:t>总量</w:t>
            </w:r>
          </w:p>
          <w:p w14:paraId="2D1C7FD3">
            <w:pPr>
              <w:adjustRightInd w:val="0"/>
              <w:snapToGrid w:val="0"/>
              <w:jc w:val="center"/>
              <w:rPr>
                <w:rFonts w:ascii="宋体" w:hAnsi="宋体" w:cs="宋体"/>
                <w:b/>
                <w:kern w:val="0"/>
                <w:sz w:val="24"/>
              </w:rPr>
            </w:pPr>
            <w:r>
              <w:rPr>
                <w:rFonts w:hint="eastAsia" w:ascii="宋体" w:hAnsi="宋体" w:cs="宋体"/>
                <w:b/>
                <w:kern w:val="0"/>
                <w:sz w:val="24"/>
              </w:rPr>
              <w:t>控制</w:t>
            </w:r>
          </w:p>
          <w:p w14:paraId="31D4A13A">
            <w:pPr>
              <w:adjustRightInd w:val="0"/>
              <w:snapToGrid w:val="0"/>
              <w:jc w:val="center"/>
              <w:rPr>
                <w:rFonts w:ascii="宋体" w:hAnsi="宋体" w:cs="宋体"/>
                <w:b/>
                <w:kern w:val="0"/>
                <w:sz w:val="24"/>
              </w:rPr>
            </w:pPr>
            <w:r>
              <w:rPr>
                <w:rFonts w:hint="eastAsia" w:ascii="宋体" w:hAnsi="宋体" w:cs="宋体"/>
                <w:b/>
                <w:kern w:val="0"/>
                <w:sz w:val="24"/>
              </w:rPr>
              <w:t>指标</w:t>
            </w:r>
          </w:p>
        </w:tc>
        <w:tc>
          <w:tcPr>
            <w:tcW w:w="4718" w:type="pct"/>
            <w:vAlign w:val="center"/>
          </w:tcPr>
          <w:p w14:paraId="322DC828">
            <w:pPr>
              <w:adjustRightInd w:val="0"/>
              <w:snapToGrid w:val="0"/>
              <w:spacing w:line="360" w:lineRule="auto"/>
              <w:ind w:firstLine="480" w:firstLineChars="200"/>
              <w:rPr>
                <w:sz w:val="24"/>
              </w:rPr>
            </w:pPr>
            <w:r>
              <w:rPr>
                <w:sz w:val="24"/>
              </w:rPr>
              <w:t>根据要求结合本项目的工程特点，给出本项目的总量控制建议指标值如下：</w:t>
            </w:r>
          </w:p>
          <w:p w14:paraId="0C4C83B3">
            <w:pPr>
              <w:adjustRightInd w:val="0"/>
              <w:snapToGrid w:val="0"/>
              <w:spacing w:line="360" w:lineRule="auto"/>
              <w:ind w:firstLine="480" w:firstLineChars="200"/>
              <w:rPr>
                <w:sz w:val="24"/>
              </w:rPr>
            </w:pPr>
            <w:r>
              <w:rPr>
                <w:sz w:val="24"/>
              </w:rPr>
              <w:t>根据《</w:t>
            </w:r>
            <w:r>
              <w:rPr>
                <w:rFonts w:asciiTheme="minorEastAsia" w:hAnsiTheme="minorEastAsia" w:eastAsiaTheme="minorEastAsia"/>
                <w:sz w:val="24"/>
              </w:rPr>
              <w:t>“十三五”主要污染物总量控制规划</w:t>
            </w:r>
            <w:r>
              <w:rPr>
                <w:sz w:val="24"/>
              </w:rPr>
              <w:t>》，大气污染物总量控制指标为SO</w:t>
            </w:r>
            <w:r>
              <w:rPr>
                <w:sz w:val="24"/>
                <w:vertAlign w:val="subscript"/>
              </w:rPr>
              <w:t>2</w:t>
            </w:r>
            <w:r>
              <w:rPr>
                <w:sz w:val="24"/>
              </w:rPr>
              <w:t>、NOx、</w:t>
            </w:r>
            <w:r>
              <w:rPr>
                <w:rFonts w:hint="eastAsia"/>
                <w:sz w:val="24"/>
              </w:rPr>
              <w:t>VOCs</w:t>
            </w:r>
            <w:r>
              <w:rPr>
                <w:sz w:val="24"/>
              </w:rPr>
              <w:t>，水污染物控制指标为COD、NH</w:t>
            </w:r>
            <w:r>
              <w:rPr>
                <w:sz w:val="24"/>
                <w:vertAlign w:val="subscript"/>
              </w:rPr>
              <w:t>3</w:t>
            </w:r>
            <w:r>
              <w:rPr>
                <w:sz w:val="24"/>
              </w:rPr>
              <w:t>-N。</w:t>
            </w:r>
          </w:p>
          <w:p w14:paraId="13BE09EF">
            <w:pPr>
              <w:adjustRightInd w:val="0"/>
              <w:snapToGrid w:val="0"/>
              <w:spacing w:line="360" w:lineRule="auto"/>
              <w:ind w:firstLine="482" w:firstLineChars="200"/>
              <w:rPr>
                <w:b/>
                <w:sz w:val="24"/>
              </w:rPr>
            </w:pPr>
            <w:r>
              <w:rPr>
                <w:rFonts w:hint="eastAsia"/>
                <w:b/>
                <w:sz w:val="24"/>
              </w:rPr>
              <w:t>1、废水污染物总量控制指标</w:t>
            </w:r>
          </w:p>
          <w:p w14:paraId="4D387C9A">
            <w:pPr>
              <w:adjustRightInd w:val="0"/>
              <w:snapToGrid w:val="0"/>
              <w:spacing w:line="360" w:lineRule="auto"/>
              <w:ind w:firstLine="480" w:firstLineChars="200"/>
              <w:rPr>
                <w:sz w:val="24"/>
              </w:rPr>
            </w:pPr>
            <w:r>
              <w:rPr>
                <w:rFonts w:hint="eastAsia"/>
                <w:sz w:val="24"/>
              </w:rPr>
              <w:t>本次技改工程不新增劳动定员，不新增废水污染物排放总量。</w:t>
            </w:r>
          </w:p>
          <w:p w14:paraId="504FFCDA">
            <w:pPr>
              <w:adjustRightInd w:val="0"/>
              <w:snapToGrid w:val="0"/>
              <w:spacing w:line="360" w:lineRule="auto"/>
              <w:ind w:firstLine="482" w:firstLineChars="200"/>
              <w:rPr>
                <w:b/>
                <w:sz w:val="24"/>
              </w:rPr>
            </w:pPr>
            <w:r>
              <w:rPr>
                <w:rFonts w:hint="eastAsia"/>
                <w:b/>
                <w:sz w:val="24"/>
              </w:rPr>
              <w:t>2、废气污染物总量控制指标</w:t>
            </w:r>
          </w:p>
          <w:p w14:paraId="35EF171A">
            <w:pPr>
              <w:adjustRightInd w:val="0"/>
              <w:snapToGrid w:val="0"/>
              <w:spacing w:line="360" w:lineRule="auto"/>
              <w:ind w:firstLine="480" w:firstLineChars="200"/>
              <w:rPr>
                <w:sz w:val="24"/>
              </w:rPr>
            </w:pPr>
            <w:r>
              <w:rPr>
                <w:rFonts w:hint="eastAsia"/>
                <w:sz w:val="24"/>
              </w:rPr>
              <w:t>本次技改后热轧生产线</w:t>
            </w:r>
            <w:r>
              <w:rPr>
                <w:sz w:val="24"/>
              </w:rPr>
              <w:t>涉及总量控制的主要为天然气燃烧废气中产生的二氧化硫和氮氧化物</w:t>
            </w:r>
            <w:r>
              <w:rPr>
                <w:rFonts w:hint="eastAsia"/>
                <w:sz w:val="24"/>
              </w:rPr>
              <w:t>，</w:t>
            </w:r>
            <w:r>
              <w:rPr>
                <w:sz w:val="24"/>
              </w:rPr>
              <w:t>具体情况如下</w:t>
            </w:r>
          </w:p>
          <w:p w14:paraId="028BD2E3">
            <w:pPr>
              <w:pStyle w:val="14"/>
              <w:spacing w:beforeLines="50"/>
              <w:rPr>
                <w:rFonts w:ascii="Times New Roman" w:hAnsi="Times New Roman"/>
                <w:color w:val="auto"/>
                <w:sz w:val="21"/>
              </w:rPr>
            </w:pPr>
            <w:r>
              <w:rPr>
                <w:rFonts w:hint="eastAsia" w:ascii="Times New Roman" w:hAnsi="Times New Roman"/>
                <w:color w:val="auto"/>
                <w:sz w:val="21"/>
              </w:rPr>
              <w:t>表3-9  项目总量控制指标建议值一览表</w:t>
            </w:r>
          </w:p>
          <w:tbl>
            <w:tblPr>
              <w:tblStyle w:val="3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8"/>
              <w:gridCol w:w="1561"/>
              <w:gridCol w:w="2304"/>
              <w:gridCol w:w="2304"/>
              <w:gridCol w:w="2303"/>
            </w:tblGrid>
            <w:tr w14:paraId="5B87B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89" w:type="pct"/>
                  <w:vAlign w:val="center"/>
                </w:tcPr>
                <w:p w14:paraId="488B9CFB">
                  <w:pPr>
                    <w:jc w:val="center"/>
                    <w:rPr>
                      <w:b/>
                      <w:snapToGrid w:val="0"/>
                      <w:kern w:val="28"/>
                      <w:szCs w:val="21"/>
                    </w:rPr>
                  </w:pPr>
                  <w:r>
                    <w:rPr>
                      <w:b/>
                      <w:snapToGrid w:val="0"/>
                      <w:kern w:val="28"/>
                      <w:szCs w:val="21"/>
                    </w:rPr>
                    <w:t>类别</w:t>
                  </w:r>
                </w:p>
              </w:tc>
              <w:tc>
                <w:tcPr>
                  <w:tcW w:w="831" w:type="pct"/>
                  <w:vAlign w:val="center"/>
                </w:tcPr>
                <w:p w14:paraId="769AE88B">
                  <w:pPr>
                    <w:jc w:val="center"/>
                    <w:rPr>
                      <w:b/>
                      <w:snapToGrid w:val="0"/>
                      <w:kern w:val="28"/>
                      <w:szCs w:val="21"/>
                    </w:rPr>
                  </w:pPr>
                  <w:r>
                    <w:rPr>
                      <w:rFonts w:hint="eastAsia"/>
                      <w:b/>
                      <w:snapToGrid w:val="0"/>
                      <w:kern w:val="28"/>
                      <w:szCs w:val="21"/>
                    </w:rPr>
                    <w:t>污染物</w:t>
                  </w:r>
                </w:p>
              </w:tc>
              <w:tc>
                <w:tcPr>
                  <w:tcW w:w="1227" w:type="pct"/>
                  <w:vAlign w:val="center"/>
                </w:tcPr>
                <w:p w14:paraId="2981F102">
                  <w:pPr>
                    <w:jc w:val="center"/>
                    <w:rPr>
                      <w:b/>
                      <w:szCs w:val="21"/>
                    </w:rPr>
                  </w:pPr>
                  <w:r>
                    <w:rPr>
                      <w:rFonts w:hint="eastAsia"/>
                      <w:b/>
                      <w:snapToGrid w:val="0"/>
                      <w:kern w:val="28"/>
                      <w:szCs w:val="21"/>
                    </w:rPr>
                    <w:t>技改前排放量</w:t>
                  </w:r>
                </w:p>
              </w:tc>
              <w:tc>
                <w:tcPr>
                  <w:tcW w:w="1227" w:type="pct"/>
                  <w:vAlign w:val="center"/>
                </w:tcPr>
                <w:p w14:paraId="4AF6858A">
                  <w:pPr>
                    <w:jc w:val="center"/>
                    <w:rPr>
                      <w:b/>
                      <w:szCs w:val="21"/>
                    </w:rPr>
                  </w:pPr>
                  <w:r>
                    <w:rPr>
                      <w:rFonts w:hint="eastAsia"/>
                      <w:b/>
                      <w:szCs w:val="21"/>
                    </w:rPr>
                    <w:t>技改后</w:t>
                  </w:r>
                  <w:r>
                    <w:rPr>
                      <w:b/>
                      <w:szCs w:val="21"/>
                    </w:rPr>
                    <w:t>排放量</w:t>
                  </w:r>
                </w:p>
              </w:tc>
              <w:tc>
                <w:tcPr>
                  <w:tcW w:w="1226" w:type="pct"/>
                  <w:vAlign w:val="center"/>
                </w:tcPr>
                <w:p w14:paraId="3D73E90E">
                  <w:pPr>
                    <w:jc w:val="center"/>
                    <w:rPr>
                      <w:b/>
                      <w:szCs w:val="21"/>
                    </w:rPr>
                  </w:pPr>
                  <w:r>
                    <w:rPr>
                      <w:rFonts w:hint="eastAsia"/>
                      <w:b/>
                      <w:szCs w:val="21"/>
                    </w:rPr>
                    <w:t>排放增加量</w:t>
                  </w:r>
                </w:p>
              </w:tc>
            </w:tr>
            <w:tr w14:paraId="03D6A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89" w:type="pct"/>
                  <w:vMerge w:val="restart"/>
                  <w:vAlign w:val="center"/>
                </w:tcPr>
                <w:p w14:paraId="47848D99">
                  <w:pPr>
                    <w:jc w:val="center"/>
                    <w:rPr>
                      <w:szCs w:val="21"/>
                    </w:rPr>
                  </w:pPr>
                  <w:r>
                    <w:rPr>
                      <w:szCs w:val="21"/>
                    </w:rPr>
                    <w:t>废气</w:t>
                  </w:r>
                </w:p>
              </w:tc>
              <w:tc>
                <w:tcPr>
                  <w:tcW w:w="831" w:type="pct"/>
                  <w:vAlign w:val="center"/>
                </w:tcPr>
                <w:p w14:paraId="75336DED">
                  <w:pPr>
                    <w:jc w:val="center"/>
                    <w:rPr>
                      <w:szCs w:val="21"/>
                    </w:rPr>
                  </w:pPr>
                  <w:r>
                    <w:rPr>
                      <w:snapToGrid w:val="0"/>
                      <w:kern w:val="28"/>
                      <w:szCs w:val="21"/>
                    </w:rPr>
                    <w:t>SO</w:t>
                  </w:r>
                  <w:r>
                    <w:rPr>
                      <w:snapToGrid w:val="0"/>
                      <w:kern w:val="28"/>
                      <w:szCs w:val="21"/>
                      <w:vertAlign w:val="subscript"/>
                    </w:rPr>
                    <w:t>2</w:t>
                  </w:r>
                </w:p>
              </w:tc>
              <w:tc>
                <w:tcPr>
                  <w:tcW w:w="1227" w:type="pct"/>
                  <w:vAlign w:val="center"/>
                </w:tcPr>
                <w:p w14:paraId="11A39A30">
                  <w:pPr>
                    <w:widowControl/>
                    <w:autoSpaceDE w:val="0"/>
                    <w:autoSpaceDN w:val="0"/>
                    <w:jc w:val="center"/>
                    <w:rPr>
                      <w:kern w:val="0"/>
                      <w:szCs w:val="21"/>
                    </w:rPr>
                  </w:pPr>
                  <w:r>
                    <w:rPr>
                      <w:rFonts w:hint="eastAsia"/>
                      <w:kern w:val="0"/>
                      <w:szCs w:val="21"/>
                    </w:rPr>
                    <w:t>9.3865</w:t>
                  </w:r>
                </w:p>
              </w:tc>
              <w:tc>
                <w:tcPr>
                  <w:tcW w:w="1227" w:type="pct"/>
                  <w:vAlign w:val="center"/>
                </w:tcPr>
                <w:p w14:paraId="6A7F9568">
                  <w:pPr>
                    <w:widowControl/>
                    <w:snapToGrid w:val="0"/>
                    <w:jc w:val="center"/>
                    <w:rPr>
                      <w:szCs w:val="21"/>
                    </w:rPr>
                  </w:pPr>
                  <w:r>
                    <w:rPr>
                      <w:rFonts w:hint="eastAsia"/>
                      <w:szCs w:val="21"/>
                    </w:rPr>
                    <w:t>0.072</w:t>
                  </w:r>
                </w:p>
              </w:tc>
              <w:tc>
                <w:tcPr>
                  <w:tcW w:w="1226" w:type="pct"/>
                  <w:vAlign w:val="center"/>
                </w:tcPr>
                <w:p w14:paraId="091FF34A">
                  <w:pPr>
                    <w:widowControl/>
                    <w:snapToGrid w:val="0"/>
                    <w:jc w:val="center"/>
                    <w:rPr>
                      <w:szCs w:val="21"/>
                    </w:rPr>
                  </w:pPr>
                  <w:r>
                    <w:rPr>
                      <w:rFonts w:hint="eastAsia"/>
                      <w:szCs w:val="21"/>
                    </w:rPr>
                    <w:t>-9.3145</w:t>
                  </w:r>
                </w:p>
              </w:tc>
            </w:tr>
            <w:tr w14:paraId="4ECFFC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89" w:type="pct"/>
                  <w:vMerge w:val="continue"/>
                  <w:vAlign w:val="center"/>
                </w:tcPr>
                <w:p w14:paraId="3CA1BA1B">
                  <w:pPr>
                    <w:jc w:val="center"/>
                    <w:rPr>
                      <w:szCs w:val="21"/>
                    </w:rPr>
                  </w:pPr>
                </w:p>
              </w:tc>
              <w:tc>
                <w:tcPr>
                  <w:tcW w:w="831" w:type="pct"/>
                  <w:vAlign w:val="center"/>
                </w:tcPr>
                <w:p w14:paraId="114DDA16">
                  <w:pPr>
                    <w:jc w:val="center"/>
                    <w:rPr>
                      <w:szCs w:val="21"/>
                    </w:rPr>
                  </w:pPr>
                  <w:r>
                    <w:rPr>
                      <w:snapToGrid w:val="0"/>
                      <w:kern w:val="28"/>
                      <w:szCs w:val="21"/>
                    </w:rPr>
                    <w:t>NO</w:t>
                  </w:r>
                  <w:r>
                    <w:rPr>
                      <w:snapToGrid w:val="0"/>
                      <w:kern w:val="28"/>
                      <w:szCs w:val="21"/>
                      <w:vertAlign w:val="subscript"/>
                    </w:rPr>
                    <w:t>X</w:t>
                  </w:r>
                </w:p>
              </w:tc>
              <w:tc>
                <w:tcPr>
                  <w:tcW w:w="1227" w:type="pct"/>
                  <w:vAlign w:val="center"/>
                </w:tcPr>
                <w:p w14:paraId="011B4138">
                  <w:pPr>
                    <w:widowControl/>
                    <w:autoSpaceDE w:val="0"/>
                    <w:autoSpaceDN w:val="0"/>
                    <w:jc w:val="center"/>
                    <w:rPr>
                      <w:kern w:val="0"/>
                      <w:szCs w:val="21"/>
                    </w:rPr>
                  </w:pPr>
                  <w:r>
                    <w:rPr>
                      <w:rFonts w:hint="eastAsia"/>
                      <w:kern w:val="0"/>
                      <w:szCs w:val="21"/>
                    </w:rPr>
                    <w:t>23.2369</w:t>
                  </w:r>
                </w:p>
              </w:tc>
              <w:tc>
                <w:tcPr>
                  <w:tcW w:w="1227" w:type="pct"/>
                  <w:vAlign w:val="center"/>
                </w:tcPr>
                <w:p w14:paraId="3200D34E">
                  <w:pPr>
                    <w:widowControl/>
                    <w:snapToGrid w:val="0"/>
                    <w:jc w:val="center"/>
                    <w:rPr>
                      <w:szCs w:val="21"/>
                    </w:rPr>
                  </w:pPr>
                  <w:r>
                    <w:rPr>
                      <w:rFonts w:hint="eastAsia"/>
                      <w:szCs w:val="21"/>
                    </w:rPr>
                    <w:t>33.61</w:t>
                  </w:r>
                </w:p>
              </w:tc>
              <w:tc>
                <w:tcPr>
                  <w:tcW w:w="1226" w:type="pct"/>
                  <w:vAlign w:val="center"/>
                </w:tcPr>
                <w:p w14:paraId="36EAEAF6">
                  <w:pPr>
                    <w:widowControl/>
                    <w:snapToGrid w:val="0"/>
                    <w:jc w:val="center"/>
                    <w:rPr>
                      <w:szCs w:val="21"/>
                    </w:rPr>
                  </w:pPr>
                  <w:r>
                    <w:rPr>
                      <w:rFonts w:hint="eastAsia"/>
                      <w:szCs w:val="21"/>
                    </w:rPr>
                    <w:t>+10.3731</w:t>
                  </w:r>
                </w:p>
              </w:tc>
            </w:tr>
          </w:tbl>
          <w:p w14:paraId="2ACAA23D">
            <w:pPr>
              <w:snapToGrid w:val="0"/>
              <w:spacing w:line="360" w:lineRule="auto"/>
              <w:ind w:firstLine="523" w:firstLineChars="218"/>
              <w:rPr>
                <w:snapToGrid w:val="0"/>
                <w:kern w:val="28"/>
                <w:sz w:val="24"/>
              </w:rPr>
            </w:pPr>
            <w:r>
              <w:rPr>
                <w:rFonts w:hint="eastAsia"/>
                <w:snapToGrid w:val="0"/>
                <w:kern w:val="28"/>
                <w:sz w:val="24"/>
              </w:rPr>
              <w:t>衡钢总量指标如下：</w:t>
            </w:r>
          </w:p>
          <w:p w14:paraId="73047422">
            <w:pPr>
              <w:pStyle w:val="14"/>
              <w:spacing w:beforeLines="50"/>
              <w:rPr>
                <w:rFonts w:ascii="Times New Roman" w:hAnsi="Times New Roman"/>
                <w:color w:val="auto"/>
                <w:sz w:val="21"/>
              </w:rPr>
            </w:pPr>
            <w:r>
              <w:rPr>
                <w:rFonts w:hint="eastAsia" w:ascii="Times New Roman" w:hAnsi="Times New Roman"/>
                <w:color w:val="auto"/>
                <w:sz w:val="21"/>
              </w:rPr>
              <w:t>表</w:t>
            </w:r>
            <w:r>
              <w:rPr>
                <w:rFonts w:ascii="Times New Roman" w:hAnsi="Times New Roman"/>
                <w:color w:val="auto"/>
                <w:sz w:val="21"/>
              </w:rPr>
              <w:t>3-1</w:t>
            </w:r>
            <w:r>
              <w:rPr>
                <w:rFonts w:hint="eastAsia" w:ascii="Times New Roman" w:hAnsi="Times New Roman"/>
                <w:color w:val="auto"/>
                <w:sz w:val="21"/>
              </w:rPr>
              <w:t>0</w:t>
            </w:r>
            <w:r>
              <w:rPr>
                <w:rFonts w:ascii="Times New Roman" w:hAnsi="Times New Roman"/>
                <w:color w:val="auto"/>
                <w:sz w:val="21"/>
              </w:rPr>
              <w:t xml:space="preserve">  </w:t>
            </w:r>
            <w:r>
              <w:rPr>
                <w:rFonts w:hint="eastAsia" w:ascii="Times New Roman" w:hAnsi="Times New Roman"/>
                <w:color w:val="auto"/>
                <w:sz w:val="21"/>
              </w:rPr>
              <w:t>项目总量指标</w:t>
            </w:r>
          </w:p>
          <w:tbl>
            <w:tblPr>
              <w:tblStyle w:val="3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78"/>
              <w:gridCol w:w="1878"/>
              <w:gridCol w:w="1878"/>
              <w:gridCol w:w="1878"/>
              <w:gridCol w:w="1878"/>
            </w:tblGrid>
            <w:tr w14:paraId="70DE2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00" w:type="pct"/>
                  <w:vAlign w:val="center"/>
                </w:tcPr>
                <w:p w14:paraId="017209A0">
                  <w:pPr>
                    <w:jc w:val="center"/>
                    <w:rPr>
                      <w:b/>
                      <w:snapToGrid w:val="0"/>
                      <w:kern w:val="28"/>
                      <w:szCs w:val="21"/>
                    </w:rPr>
                  </w:pPr>
                  <w:r>
                    <w:rPr>
                      <w:rFonts w:hint="eastAsia"/>
                      <w:b/>
                      <w:snapToGrid w:val="0"/>
                      <w:kern w:val="28"/>
                      <w:szCs w:val="21"/>
                    </w:rPr>
                    <w:t>污染物</w:t>
                  </w:r>
                </w:p>
              </w:tc>
              <w:tc>
                <w:tcPr>
                  <w:tcW w:w="1000" w:type="pct"/>
                  <w:vAlign w:val="center"/>
                </w:tcPr>
                <w:p w14:paraId="7D11DB18">
                  <w:pPr>
                    <w:jc w:val="center"/>
                    <w:rPr>
                      <w:b/>
                      <w:szCs w:val="21"/>
                    </w:rPr>
                  </w:pPr>
                  <w:r>
                    <w:rPr>
                      <w:rFonts w:hint="eastAsia"/>
                      <w:b/>
                      <w:snapToGrid w:val="0"/>
                      <w:kern w:val="28"/>
                      <w:szCs w:val="21"/>
                    </w:rPr>
                    <w:t>公司总量控制指标</w:t>
                  </w:r>
                  <w:r>
                    <w:rPr>
                      <w:b/>
                      <w:snapToGrid w:val="0"/>
                      <w:kern w:val="28"/>
                      <w:sz w:val="24"/>
                    </w:rPr>
                    <w:t>t/a</w:t>
                  </w:r>
                </w:p>
              </w:tc>
              <w:tc>
                <w:tcPr>
                  <w:tcW w:w="1000" w:type="pct"/>
                  <w:vAlign w:val="center"/>
                </w:tcPr>
                <w:p w14:paraId="73D82DD3">
                  <w:pPr>
                    <w:jc w:val="center"/>
                    <w:rPr>
                      <w:b/>
                      <w:szCs w:val="21"/>
                    </w:rPr>
                  </w:pPr>
                  <w:r>
                    <w:rPr>
                      <w:b/>
                      <w:szCs w:val="21"/>
                    </w:rPr>
                    <w:t>20</w:t>
                  </w:r>
                  <w:r>
                    <w:rPr>
                      <w:rFonts w:hint="eastAsia"/>
                      <w:b/>
                      <w:szCs w:val="21"/>
                    </w:rPr>
                    <w:t>23年主要排放量</w:t>
                  </w:r>
                  <w:r>
                    <w:rPr>
                      <w:b/>
                      <w:snapToGrid w:val="0"/>
                      <w:kern w:val="28"/>
                      <w:sz w:val="24"/>
                    </w:rPr>
                    <w:t>t/a</w:t>
                  </w:r>
                </w:p>
              </w:tc>
              <w:tc>
                <w:tcPr>
                  <w:tcW w:w="1000" w:type="pct"/>
                  <w:vAlign w:val="center"/>
                </w:tcPr>
                <w:p w14:paraId="5874EF95">
                  <w:pPr>
                    <w:jc w:val="center"/>
                    <w:rPr>
                      <w:b/>
                      <w:szCs w:val="21"/>
                    </w:rPr>
                  </w:pPr>
                  <w:r>
                    <w:rPr>
                      <w:rFonts w:hint="eastAsia"/>
                      <w:b/>
                      <w:szCs w:val="21"/>
                    </w:rPr>
                    <w:t>剩余总量指标</w:t>
                  </w:r>
                  <w:r>
                    <w:rPr>
                      <w:b/>
                      <w:snapToGrid w:val="0"/>
                      <w:kern w:val="28"/>
                      <w:sz w:val="24"/>
                    </w:rPr>
                    <w:t>t/a</w:t>
                  </w:r>
                </w:p>
              </w:tc>
              <w:tc>
                <w:tcPr>
                  <w:tcW w:w="1000" w:type="pct"/>
                  <w:vAlign w:val="center"/>
                </w:tcPr>
                <w:p w14:paraId="0E96A7A0">
                  <w:pPr>
                    <w:jc w:val="center"/>
                    <w:rPr>
                      <w:b/>
                      <w:szCs w:val="21"/>
                    </w:rPr>
                  </w:pPr>
                  <w:r>
                    <w:rPr>
                      <w:rFonts w:hint="eastAsia"/>
                      <w:b/>
                      <w:szCs w:val="21"/>
                    </w:rPr>
                    <w:t>本项目总量指标</w:t>
                  </w:r>
                  <w:r>
                    <w:rPr>
                      <w:b/>
                      <w:snapToGrid w:val="0"/>
                      <w:kern w:val="28"/>
                      <w:sz w:val="24"/>
                    </w:rPr>
                    <w:t>t/a</w:t>
                  </w:r>
                </w:p>
              </w:tc>
            </w:tr>
            <w:tr w14:paraId="2ADEA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00" w:type="pct"/>
                  <w:vAlign w:val="center"/>
                </w:tcPr>
                <w:p w14:paraId="686B6012">
                  <w:pPr>
                    <w:jc w:val="center"/>
                    <w:rPr>
                      <w:szCs w:val="21"/>
                    </w:rPr>
                  </w:pPr>
                  <w:r>
                    <w:rPr>
                      <w:snapToGrid w:val="0"/>
                      <w:kern w:val="28"/>
                      <w:szCs w:val="21"/>
                    </w:rPr>
                    <w:t>SO</w:t>
                  </w:r>
                  <w:r>
                    <w:rPr>
                      <w:snapToGrid w:val="0"/>
                      <w:kern w:val="28"/>
                      <w:szCs w:val="21"/>
                      <w:vertAlign w:val="subscript"/>
                    </w:rPr>
                    <w:t>2</w:t>
                  </w:r>
                </w:p>
              </w:tc>
              <w:tc>
                <w:tcPr>
                  <w:tcW w:w="1000" w:type="pct"/>
                  <w:vAlign w:val="center"/>
                </w:tcPr>
                <w:p w14:paraId="151E02E9">
                  <w:pPr>
                    <w:jc w:val="center"/>
                    <w:rPr>
                      <w:szCs w:val="21"/>
                    </w:rPr>
                  </w:pPr>
                  <w:r>
                    <w:rPr>
                      <w:snapToGrid w:val="0"/>
                      <w:kern w:val="28"/>
                      <w:szCs w:val="21"/>
                    </w:rPr>
                    <w:t>1374</w:t>
                  </w:r>
                </w:p>
              </w:tc>
              <w:tc>
                <w:tcPr>
                  <w:tcW w:w="1000" w:type="pct"/>
                  <w:vAlign w:val="center"/>
                </w:tcPr>
                <w:p w14:paraId="55A4C4C6">
                  <w:pPr>
                    <w:jc w:val="center"/>
                    <w:rPr>
                      <w:szCs w:val="21"/>
                    </w:rPr>
                  </w:pPr>
                  <w:r>
                    <w:rPr>
                      <w:rFonts w:hint="eastAsia"/>
                      <w:szCs w:val="21"/>
                    </w:rPr>
                    <w:t>239.61187</w:t>
                  </w:r>
                </w:p>
              </w:tc>
              <w:tc>
                <w:tcPr>
                  <w:tcW w:w="1000" w:type="pct"/>
                  <w:vAlign w:val="center"/>
                </w:tcPr>
                <w:p w14:paraId="4BC2F0E7">
                  <w:pPr>
                    <w:jc w:val="center"/>
                    <w:rPr>
                      <w:szCs w:val="21"/>
                    </w:rPr>
                  </w:pPr>
                  <w:r>
                    <w:rPr>
                      <w:rFonts w:hint="eastAsia"/>
                      <w:szCs w:val="21"/>
                    </w:rPr>
                    <w:t>1134.38813</w:t>
                  </w:r>
                </w:p>
              </w:tc>
              <w:tc>
                <w:tcPr>
                  <w:tcW w:w="1000" w:type="pct"/>
                  <w:vAlign w:val="center"/>
                </w:tcPr>
                <w:p w14:paraId="3BEA9EEB">
                  <w:pPr>
                    <w:widowControl/>
                    <w:snapToGrid w:val="0"/>
                    <w:jc w:val="center"/>
                    <w:rPr>
                      <w:szCs w:val="21"/>
                    </w:rPr>
                  </w:pPr>
                  <w:r>
                    <w:rPr>
                      <w:rFonts w:hint="eastAsia"/>
                      <w:szCs w:val="21"/>
                    </w:rPr>
                    <w:t>0.072</w:t>
                  </w:r>
                </w:p>
              </w:tc>
            </w:tr>
            <w:tr w14:paraId="4C6F14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00" w:type="pct"/>
                  <w:vAlign w:val="center"/>
                </w:tcPr>
                <w:p w14:paraId="63F45317">
                  <w:pPr>
                    <w:jc w:val="center"/>
                    <w:rPr>
                      <w:szCs w:val="21"/>
                    </w:rPr>
                  </w:pPr>
                  <w:r>
                    <w:rPr>
                      <w:snapToGrid w:val="0"/>
                      <w:kern w:val="28"/>
                      <w:szCs w:val="21"/>
                    </w:rPr>
                    <w:t>NO</w:t>
                  </w:r>
                  <w:r>
                    <w:rPr>
                      <w:snapToGrid w:val="0"/>
                      <w:kern w:val="28"/>
                      <w:szCs w:val="21"/>
                      <w:vertAlign w:val="subscript"/>
                    </w:rPr>
                    <w:t>X</w:t>
                  </w:r>
                </w:p>
              </w:tc>
              <w:tc>
                <w:tcPr>
                  <w:tcW w:w="1000" w:type="pct"/>
                  <w:vAlign w:val="center"/>
                </w:tcPr>
                <w:p w14:paraId="3EF6E95D">
                  <w:pPr>
                    <w:jc w:val="center"/>
                    <w:rPr>
                      <w:szCs w:val="21"/>
                    </w:rPr>
                  </w:pPr>
                  <w:r>
                    <w:rPr>
                      <w:snapToGrid w:val="0"/>
                      <w:kern w:val="28"/>
                      <w:szCs w:val="21"/>
                    </w:rPr>
                    <w:t>2017</w:t>
                  </w:r>
                </w:p>
              </w:tc>
              <w:tc>
                <w:tcPr>
                  <w:tcW w:w="1000" w:type="pct"/>
                  <w:vAlign w:val="center"/>
                </w:tcPr>
                <w:p w14:paraId="68C1340D">
                  <w:pPr>
                    <w:jc w:val="center"/>
                    <w:rPr>
                      <w:szCs w:val="21"/>
                    </w:rPr>
                  </w:pPr>
                  <w:r>
                    <w:rPr>
                      <w:rFonts w:hint="eastAsia"/>
                      <w:szCs w:val="21"/>
                    </w:rPr>
                    <w:t>1513.0052</w:t>
                  </w:r>
                </w:p>
              </w:tc>
              <w:tc>
                <w:tcPr>
                  <w:tcW w:w="1000" w:type="pct"/>
                  <w:vAlign w:val="center"/>
                </w:tcPr>
                <w:p w14:paraId="7AD1C311">
                  <w:pPr>
                    <w:jc w:val="center"/>
                    <w:rPr>
                      <w:szCs w:val="21"/>
                    </w:rPr>
                  </w:pPr>
                  <w:r>
                    <w:rPr>
                      <w:rFonts w:hint="eastAsia"/>
                      <w:szCs w:val="21"/>
                    </w:rPr>
                    <w:t>503.9948</w:t>
                  </w:r>
                </w:p>
              </w:tc>
              <w:tc>
                <w:tcPr>
                  <w:tcW w:w="1000" w:type="pct"/>
                  <w:vAlign w:val="center"/>
                </w:tcPr>
                <w:p w14:paraId="240BC53D">
                  <w:pPr>
                    <w:widowControl/>
                    <w:snapToGrid w:val="0"/>
                    <w:jc w:val="center"/>
                    <w:rPr>
                      <w:szCs w:val="21"/>
                    </w:rPr>
                  </w:pPr>
                  <w:r>
                    <w:rPr>
                      <w:rFonts w:hint="eastAsia"/>
                      <w:szCs w:val="21"/>
                    </w:rPr>
                    <w:t>33.61</w:t>
                  </w:r>
                </w:p>
              </w:tc>
            </w:tr>
            <w:tr w14:paraId="519E4E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00" w:type="pct"/>
                  <w:vAlign w:val="center"/>
                </w:tcPr>
                <w:p w14:paraId="3853B933">
                  <w:pPr>
                    <w:jc w:val="center"/>
                    <w:rPr>
                      <w:snapToGrid w:val="0"/>
                      <w:kern w:val="28"/>
                      <w:szCs w:val="21"/>
                    </w:rPr>
                  </w:pPr>
                  <w:r>
                    <w:rPr>
                      <w:rFonts w:hint="eastAsia"/>
                      <w:snapToGrid w:val="0"/>
                      <w:kern w:val="28"/>
                      <w:szCs w:val="21"/>
                    </w:rPr>
                    <w:t>颗粒物</w:t>
                  </w:r>
                </w:p>
              </w:tc>
              <w:tc>
                <w:tcPr>
                  <w:tcW w:w="1000" w:type="pct"/>
                  <w:vAlign w:val="center"/>
                </w:tcPr>
                <w:p w14:paraId="41E60B22">
                  <w:pPr>
                    <w:jc w:val="center"/>
                    <w:rPr>
                      <w:szCs w:val="21"/>
                    </w:rPr>
                  </w:pPr>
                  <w:r>
                    <w:rPr>
                      <w:snapToGrid w:val="0"/>
                      <w:kern w:val="28"/>
                      <w:szCs w:val="21"/>
                    </w:rPr>
                    <w:t>2078</w:t>
                  </w:r>
                </w:p>
              </w:tc>
              <w:tc>
                <w:tcPr>
                  <w:tcW w:w="1000" w:type="pct"/>
                  <w:vAlign w:val="center"/>
                </w:tcPr>
                <w:p w14:paraId="662AC98A">
                  <w:pPr>
                    <w:jc w:val="center"/>
                    <w:rPr>
                      <w:szCs w:val="21"/>
                    </w:rPr>
                  </w:pPr>
                  <w:r>
                    <w:rPr>
                      <w:rFonts w:hint="eastAsia"/>
                      <w:szCs w:val="21"/>
                    </w:rPr>
                    <w:t>517.30551</w:t>
                  </w:r>
                </w:p>
              </w:tc>
              <w:tc>
                <w:tcPr>
                  <w:tcW w:w="1000" w:type="pct"/>
                  <w:vAlign w:val="center"/>
                </w:tcPr>
                <w:p w14:paraId="1CE91B5C">
                  <w:pPr>
                    <w:jc w:val="center"/>
                    <w:rPr>
                      <w:szCs w:val="21"/>
                    </w:rPr>
                  </w:pPr>
                  <w:r>
                    <w:rPr>
                      <w:rFonts w:hint="eastAsia"/>
                      <w:szCs w:val="21"/>
                    </w:rPr>
                    <w:t>1560.69449</w:t>
                  </w:r>
                </w:p>
              </w:tc>
              <w:tc>
                <w:tcPr>
                  <w:tcW w:w="1000" w:type="pct"/>
                  <w:vAlign w:val="center"/>
                </w:tcPr>
                <w:p w14:paraId="2CB4C724">
                  <w:pPr>
                    <w:widowControl/>
                    <w:snapToGrid w:val="0"/>
                    <w:jc w:val="center"/>
                    <w:rPr>
                      <w:kern w:val="0"/>
                      <w:szCs w:val="21"/>
                    </w:rPr>
                  </w:pPr>
                  <w:r>
                    <w:rPr>
                      <w:rFonts w:hint="eastAsia"/>
                      <w:kern w:val="0"/>
                      <w:szCs w:val="21"/>
                    </w:rPr>
                    <w:t>7.496</w:t>
                  </w:r>
                </w:p>
              </w:tc>
            </w:tr>
          </w:tbl>
          <w:p w14:paraId="7D53F805">
            <w:pPr>
              <w:adjustRightInd w:val="0"/>
              <w:snapToGrid w:val="0"/>
              <w:spacing w:line="360" w:lineRule="auto"/>
              <w:ind w:firstLine="480" w:firstLineChars="200"/>
              <w:rPr>
                <w:sz w:val="24"/>
              </w:rPr>
            </w:pPr>
            <w:r>
              <w:rPr>
                <w:rFonts w:hint="eastAsia"/>
                <w:kern w:val="0"/>
                <w:sz w:val="24"/>
                <w:szCs w:val="20"/>
              </w:rPr>
              <w:t>由上表可知，衡钢公司总量有大量富余，故本评价建议不申请总量控制指标，由衡钢内部进行调配，可确保项目完成后，污染物排放总量满足相关要求</w:t>
            </w:r>
            <w:r>
              <w:rPr>
                <w:rFonts w:hint="eastAsia"/>
                <w:sz w:val="24"/>
              </w:rPr>
              <w:t>。</w:t>
            </w:r>
          </w:p>
          <w:p w14:paraId="72E04F5E">
            <w:pPr>
              <w:adjustRightInd w:val="0"/>
              <w:snapToGrid w:val="0"/>
              <w:spacing w:line="360" w:lineRule="auto"/>
              <w:ind w:firstLine="480" w:firstLineChars="200"/>
              <w:rPr>
                <w:sz w:val="24"/>
              </w:rPr>
            </w:pPr>
          </w:p>
          <w:p w14:paraId="5B969DBA">
            <w:pPr>
              <w:pStyle w:val="2"/>
            </w:pPr>
          </w:p>
          <w:p w14:paraId="68E09A15"/>
          <w:p w14:paraId="1E584CAD">
            <w:pPr>
              <w:pStyle w:val="2"/>
            </w:pPr>
          </w:p>
          <w:p w14:paraId="6155B8A8">
            <w:pPr>
              <w:pStyle w:val="4"/>
              <w:spacing w:after="0"/>
            </w:pPr>
          </w:p>
          <w:p w14:paraId="6BD9A970"/>
          <w:p w14:paraId="1DE0FEFC">
            <w:pPr>
              <w:pStyle w:val="2"/>
            </w:pPr>
          </w:p>
          <w:p w14:paraId="15D34EA7">
            <w:pPr>
              <w:pStyle w:val="4"/>
              <w:spacing w:after="0"/>
            </w:pPr>
          </w:p>
          <w:p w14:paraId="51AC665E"/>
          <w:p w14:paraId="066E7674">
            <w:pPr>
              <w:pStyle w:val="2"/>
            </w:pPr>
          </w:p>
          <w:p w14:paraId="24BF4F17">
            <w:pPr>
              <w:pStyle w:val="4"/>
              <w:spacing w:after="0"/>
            </w:pPr>
          </w:p>
          <w:p w14:paraId="05526B13"/>
          <w:p w14:paraId="6188F7A4">
            <w:pPr>
              <w:pStyle w:val="2"/>
            </w:pPr>
          </w:p>
          <w:p w14:paraId="722F99FE">
            <w:pPr>
              <w:pStyle w:val="4"/>
            </w:pPr>
          </w:p>
          <w:p w14:paraId="5765ED17"/>
          <w:p w14:paraId="577B6A72">
            <w:pPr>
              <w:pStyle w:val="2"/>
            </w:pPr>
          </w:p>
          <w:p w14:paraId="00E8928F">
            <w:pPr>
              <w:pStyle w:val="4"/>
              <w:spacing w:after="0"/>
            </w:pPr>
          </w:p>
        </w:tc>
      </w:tr>
    </w:tbl>
    <w:p w14:paraId="17A54DBC">
      <w:pPr>
        <w:pStyle w:val="28"/>
        <w:spacing w:before="0" w:beforeAutospacing="0" w:after="0" w:afterAutospacing="0"/>
        <w:jc w:val="center"/>
        <w:outlineLvl w:val="0"/>
        <w:rPr>
          <w:rFonts w:ascii="黑体" w:hAnsi="黑体" w:eastAsia="黑体"/>
          <w:snapToGrid w:val="0"/>
          <w:sz w:val="36"/>
          <w:szCs w:val="36"/>
        </w:rPr>
        <w:sectPr>
          <w:pgSz w:w="11907" w:h="16840"/>
          <w:pgMar w:top="1701" w:right="1531" w:bottom="2127" w:left="1531" w:header="851" w:footer="851" w:gutter="0"/>
          <w:cols w:space="720" w:num="1"/>
          <w:docGrid w:linePitch="312" w:charSpace="0"/>
        </w:sectPr>
      </w:pPr>
    </w:p>
    <w:p w14:paraId="322EB2AA">
      <w:pPr>
        <w:pStyle w:val="28"/>
        <w:spacing w:before="0" w:beforeAutospacing="0" w:after="0" w:afterAutospacing="0"/>
        <w:jc w:val="center"/>
        <w:outlineLvl w:val="0"/>
        <w:rPr>
          <w:rFonts w:ascii="黑体" w:hAnsi="黑体" w:eastAsia="黑体"/>
          <w:snapToGrid w:val="0"/>
          <w:sz w:val="30"/>
          <w:szCs w:val="30"/>
        </w:rPr>
      </w:pPr>
      <w:bookmarkStart w:id="12" w:name="_Toc111712329"/>
      <w:r>
        <w:rPr>
          <w:rFonts w:hint="eastAsia" w:ascii="黑体" w:hAnsi="黑体" w:eastAsia="黑体"/>
          <w:snapToGrid w:val="0"/>
          <w:sz w:val="30"/>
          <w:szCs w:val="30"/>
        </w:rPr>
        <w:t>四、主要环境影响和保护措施</w:t>
      </w:r>
      <w:bookmarkEnd w:id="12"/>
    </w:p>
    <w:tbl>
      <w:tblPr>
        <w:tblStyle w:val="31"/>
        <w:tblW w:w="102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39"/>
        <w:gridCol w:w="9667"/>
      </w:tblGrid>
      <w:tr w14:paraId="4AA38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jc w:val="center"/>
        </w:trPr>
        <w:tc>
          <w:tcPr>
            <w:tcW w:w="264" w:type="pct"/>
            <w:tcMar>
              <w:left w:w="28" w:type="dxa"/>
              <w:right w:w="28" w:type="dxa"/>
            </w:tcMar>
            <w:vAlign w:val="center"/>
          </w:tcPr>
          <w:p w14:paraId="57BF7A5D">
            <w:pPr>
              <w:pStyle w:val="28"/>
              <w:adjustRightInd w:val="0"/>
              <w:snapToGrid w:val="0"/>
              <w:spacing w:before="0" w:beforeAutospacing="0" w:after="0" w:afterAutospacing="0"/>
              <w:jc w:val="center"/>
              <w:rPr>
                <w:rFonts w:cs="宋体"/>
                <w:b/>
                <w:kern w:val="2"/>
                <w:szCs w:val="24"/>
              </w:rPr>
            </w:pPr>
            <w:r>
              <w:rPr>
                <w:rFonts w:hint="eastAsia" w:cs="宋体"/>
                <w:b/>
                <w:kern w:val="2"/>
                <w:szCs w:val="24"/>
              </w:rPr>
              <w:t>施工</w:t>
            </w:r>
          </w:p>
          <w:p w14:paraId="2949693D">
            <w:pPr>
              <w:pStyle w:val="28"/>
              <w:adjustRightInd w:val="0"/>
              <w:snapToGrid w:val="0"/>
              <w:spacing w:before="0" w:beforeAutospacing="0" w:after="0" w:afterAutospacing="0"/>
              <w:jc w:val="center"/>
              <w:rPr>
                <w:rFonts w:cs="宋体"/>
                <w:b/>
                <w:kern w:val="2"/>
                <w:szCs w:val="24"/>
              </w:rPr>
            </w:pPr>
            <w:r>
              <w:rPr>
                <w:rFonts w:hint="eastAsia" w:cs="宋体"/>
                <w:b/>
                <w:kern w:val="2"/>
                <w:szCs w:val="24"/>
              </w:rPr>
              <w:t>期环</w:t>
            </w:r>
          </w:p>
          <w:p w14:paraId="6AB59C0C">
            <w:pPr>
              <w:pStyle w:val="28"/>
              <w:adjustRightInd w:val="0"/>
              <w:snapToGrid w:val="0"/>
              <w:spacing w:before="0" w:beforeAutospacing="0" w:after="0" w:afterAutospacing="0"/>
              <w:jc w:val="center"/>
              <w:rPr>
                <w:rFonts w:cs="宋体"/>
                <w:b/>
                <w:kern w:val="2"/>
                <w:szCs w:val="24"/>
              </w:rPr>
            </w:pPr>
            <w:r>
              <w:rPr>
                <w:rFonts w:hint="eastAsia" w:cs="宋体"/>
                <w:b/>
                <w:kern w:val="2"/>
                <w:szCs w:val="24"/>
              </w:rPr>
              <w:t>境保</w:t>
            </w:r>
          </w:p>
          <w:p w14:paraId="189F9EF2">
            <w:pPr>
              <w:pStyle w:val="28"/>
              <w:adjustRightInd w:val="0"/>
              <w:snapToGrid w:val="0"/>
              <w:spacing w:before="0" w:beforeAutospacing="0" w:after="0" w:afterAutospacing="0"/>
              <w:jc w:val="center"/>
              <w:rPr>
                <w:rFonts w:cs="宋体"/>
                <w:b/>
                <w:kern w:val="2"/>
                <w:szCs w:val="24"/>
              </w:rPr>
            </w:pPr>
            <w:r>
              <w:rPr>
                <w:rFonts w:hint="eastAsia" w:cs="宋体"/>
                <w:b/>
                <w:kern w:val="2"/>
                <w:szCs w:val="24"/>
              </w:rPr>
              <w:t>护措</w:t>
            </w:r>
          </w:p>
          <w:p w14:paraId="40EBB199">
            <w:pPr>
              <w:pStyle w:val="28"/>
              <w:adjustRightInd w:val="0"/>
              <w:snapToGrid w:val="0"/>
              <w:spacing w:before="0" w:beforeAutospacing="0" w:after="0" w:afterAutospacing="0"/>
              <w:jc w:val="center"/>
              <w:rPr>
                <w:rFonts w:cs="宋体"/>
                <w:b/>
                <w:bCs/>
                <w:kern w:val="2"/>
                <w:szCs w:val="24"/>
              </w:rPr>
            </w:pPr>
            <w:r>
              <w:rPr>
                <w:rFonts w:hint="eastAsia" w:cs="宋体"/>
                <w:b/>
                <w:kern w:val="2"/>
                <w:szCs w:val="24"/>
              </w:rPr>
              <w:t>施</w:t>
            </w:r>
          </w:p>
        </w:tc>
        <w:tc>
          <w:tcPr>
            <w:tcW w:w="4736" w:type="pct"/>
            <w:vAlign w:val="center"/>
          </w:tcPr>
          <w:p w14:paraId="78EFBBD1">
            <w:pPr>
              <w:adjustRightInd w:val="0"/>
              <w:snapToGrid w:val="0"/>
              <w:spacing w:line="360" w:lineRule="auto"/>
              <w:ind w:firstLine="482" w:firstLineChars="200"/>
              <w:rPr>
                <w:b/>
                <w:bCs/>
                <w:sz w:val="24"/>
              </w:rPr>
            </w:pPr>
            <w:r>
              <w:rPr>
                <w:rFonts w:hint="eastAsia"/>
                <w:b/>
                <w:bCs/>
                <w:sz w:val="24"/>
              </w:rPr>
              <w:t>一、</w:t>
            </w:r>
            <w:r>
              <w:rPr>
                <w:rFonts w:hint="eastAsia"/>
                <w:b/>
                <w:sz w:val="24"/>
              </w:rPr>
              <w:t>施工期废气污染防治措施</w:t>
            </w:r>
          </w:p>
          <w:p w14:paraId="50E48EF6">
            <w:pPr>
              <w:autoSpaceDE w:val="0"/>
              <w:autoSpaceDN w:val="0"/>
              <w:adjustRightInd w:val="0"/>
              <w:spacing w:line="360" w:lineRule="auto"/>
              <w:ind w:firstLine="480" w:firstLineChars="200"/>
              <w:rPr>
                <w:sz w:val="24"/>
              </w:rPr>
            </w:pPr>
            <w:r>
              <w:rPr>
                <w:rFonts w:hint="eastAsia"/>
                <w:sz w:val="24"/>
              </w:rPr>
              <w:t>本项目依托企业已建成厂房进行建设，施工期对周围环境产生的影响主要是生产设备的安装及调试期间产生的噪声、废气和少量建筑垃圾。噪声主要是运输机械和设备安装调试产生的噪声；废气主要来源于运输车辆的排放废气；固体废弃物主要是少量设备包装箱等。</w:t>
            </w:r>
          </w:p>
          <w:p w14:paraId="0AC06139">
            <w:pPr>
              <w:autoSpaceDE w:val="0"/>
              <w:autoSpaceDN w:val="0"/>
              <w:adjustRightInd w:val="0"/>
              <w:spacing w:line="360" w:lineRule="auto"/>
              <w:ind w:firstLine="480" w:firstLineChars="200"/>
              <w:rPr>
                <w:sz w:val="24"/>
              </w:rPr>
            </w:pPr>
            <w:r>
              <w:rPr>
                <w:rFonts w:hint="eastAsia"/>
                <w:sz w:val="24"/>
              </w:rPr>
              <w:t>为使建设期间对周围环境的影响尽可能小，建议采取以下的污染防治措施：</w:t>
            </w:r>
          </w:p>
          <w:p w14:paraId="41434303">
            <w:pPr>
              <w:autoSpaceDE w:val="0"/>
              <w:autoSpaceDN w:val="0"/>
              <w:adjustRightInd w:val="0"/>
              <w:spacing w:line="360" w:lineRule="auto"/>
              <w:ind w:firstLine="480" w:firstLineChars="200"/>
              <w:rPr>
                <w:sz w:val="24"/>
              </w:rPr>
            </w:pPr>
            <w:r>
              <w:rPr>
                <w:rFonts w:hint="eastAsia"/>
                <w:sz w:val="24"/>
              </w:rPr>
              <w:t>（1）合理安排设施的使用，减少噪声设备的使用时间；</w:t>
            </w:r>
          </w:p>
          <w:p w14:paraId="6781FD0D">
            <w:pPr>
              <w:autoSpaceDE w:val="0"/>
              <w:autoSpaceDN w:val="0"/>
              <w:adjustRightInd w:val="0"/>
              <w:spacing w:line="360" w:lineRule="auto"/>
              <w:ind w:firstLine="480" w:firstLineChars="200"/>
              <w:rPr>
                <w:sz w:val="24"/>
              </w:rPr>
            </w:pPr>
            <w:r>
              <w:rPr>
                <w:rFonts w:hint="eastAsia"/>
                <w:sz w:val="24"/>
              </w:rPr>
              <w:t>（2）合理安排运输车辆的使用，减少运输车辆度气排放；</w:t>
            </w:r>
          </w:p>
          <w:p w14:paraId="73289090">
            <w:pPr>
              <w:autoSpaceDE w:val="0"/>
              <w:autoSpaceDN w:val="0"/>
              <w:adjustRightInd w:val="0"/>
              <w:spacing w:line="360" w:lineRule="auto"/>
              <w:ind w:firstLine="480" w:firstLineChars="200"/>
              <w:rPr>
                <w:sz w:val="24"/>
              </w:rPr>
            </w:pPr>
            <w:r>
              <w:rPr>
                <w:rFonts w:hint="eastAsia"/>
                <w:sz w:val="24"/>
              </w:rPr>
              <w:t>（3）对施工产生的固体废物，应循环利用或及时运走；</w:t>
            </w:r>
          </w:p>
          <w:p w14:paraId="752C9C7D">
            <w:pPr>
              <w:autoSpaceDE w:val="0"/>
              <w:autoSpaceDN w:val="0"/>
              <w:adjustRightInd w:val="0"/>
              <w:spacing w:line="360" w:lineRule="auto"/>
              <w:ind w:firstLine="480" w:firstLineChars="200"/>
              <w:rPr>
                <w:sz w:val="24"/>
              </w:rPr>
            </w:pPr>
            <w:r>
              <w:rPr>
                <w:rFonts w:hint="eastAsia"/>
                <w:sz w:val="24"/>
              </w:rPr>
              <w:t>（4）注意清洁运输，防止在装卸、运输过程中的泄漏及噪声；</w:t>
            </w:r>
          </w:p>
          <w:p w14:paraId="48FBD857">
            <w:pPr>
              <w:autoSpaceDE w:val="0"/>
              <w:autoSpaceDN w:val="0"/>
              <w:adjustRightInd w:val="0"/>
              <w:spacing w:line="360" w:lineRule="auto"/>
              <w:ind w:firstLine="480" w:firstLineChars="200"/>
              <w:rPr>
                <w:kern w:val="0"/>
                <w:sz w:val="24"/>
              </w:rPr>
            </w:pPr>
            <w:r>
              <w:rPr>
                <w:rFonts w:hint="eastAsia"/>
                <w:sz w:val="24"/>
              </w:rPr>
              <w:t>（5）建设单位应做好施工期间管理工作，以减少对周围环境的影响。由于施工期较短，对当地环境空气、水环境、声环境影响时间较短，并且施工结束时以上影响立即消失，故不会降低当地环境质量现状类别，本次评价仅分析营运期环境影响，不再对施工期环境影响进行具体分析</w:t>
            </w:r>
            <w:r>
              <w:rPr>
                <w:rFonts w:hint="eastAsia"/>
                <w:kern w:val="0"/>
                <w:sz w:val="24"/>
              </w:rPr>
              <w:t>。</w:t>
            </w:r>
          </w:p>
        </w:tc>
      </w:tr>
      <w:tr w14:paraId="1AC68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64" w:type="pct"/>
            <w:tcMar>
              <w:left w:w="28" w:type="dxa"/>
              <w:right w:w="28" w:type="dxa"/>
            </w:tcMar>
            <w:vAlign w:val="center"/>
          </w:tcPr>
          <w:p w14:paraId="4D2F5AB5">
            <w:pPr>
              <w:adjustRightInd w:val="0"/>
              <w:snapToGrid w:val="0"/>
              <w:jc w:val="center"/>
              <w:rPr>
                <w:rFonts w:ascii="宋体" w:hAnsi="宋体" w:cs="宋体"/>
                <w:b/>
                <w:bCs/>
                <w:sz w:val="24"/>
              </w:rPr>
            </w:pPr>
            <w:r>
              <w:rPr>
                <w:rFonts w:hint="eastAsia" w:ascii="宋体" w:hAnsi="宋体" w:cs="宋体"/>
                <w:b/>
                <w:bCs/>
                <w:sz w:val="24"/>
              </w:rPr>
              <w:t>运营</w:t>
            </w:r>
          </w:p>
          <w:p w14:paraId="3734B4C7">
            <w:pPr>
              <w:adjustRightInd w:val="0"/>
              <w:snapToGrid w:val="0"/>
              <w:jc w:val="center"/>
              <w:rPr>
                <w:rFonts w:ascii="宋体" w:hAnsi="宋体" w:cs="宋体"/>
                <w:b/>
                <w:bCs/>
                <w:sz w:val="24"/>
              </w:rPr>
            </w:pPr>
            <w:r>
              <w:rPr>
                <w:rFonts w:hint="eastAsia" w:ascii="宋体" w:hAnsi="宋体" w:cs="宋体"/>
                <w:b/>
                <w:bCs/>
                <w:sz w:val="24"/>
              </w:rPr>
              <w:t>期环</w:t>
            </w:r>
          </w:p>
          <w:p w14:paraId="144BD3C6">
            <w:pPr>
              <w:adjustRightInd w:val="0"/>
              <w:snapToGrid w:val="0"/>
              <w:jc w:val="center"/>
              <w:rPr>
                <w:rFonts w:ascii="宋体" w:hAnsi="宋体" w:cs="宋体"/>
                <w:b/>
                <w:bCs/>
                <w:sz w:val="24"/>
              </w:rPr>
            </w:pPr>
            <w:r>
              <w:rPr>
                <w:rFonts w:hint="eastAsia" w:ascii="宋体" w:hAnsi="宋体" w:cs="宋体"/>
                <w:b/>
                <w:bCs/>
                <w:sz w:val="24"/>
              </w:rPr>
              <w:t>境影</w:t>
            </w:r>
          </w:p>
          <w:p w14:paraId="364D8209">
            <w:pPr>
              <w:adjustRightInd w:val="0"/>
              <w:snapToGrid w:val="0"/>
              <w:jc w:val="center"/>
              <w:rPr>
                <w:rFonts w:ascii="宋体" w:hAnsi="宋体" w:cs="宋体"/>
                <w:b/>
                <w:bCs/>
                <w:sz w:val="24"/>
              </w:rPr>
            </w:pPr>
            <w:r>
              <w:rPr>
                <w:rFonts w:hint="eastAsia" w:ascii="宋体" w:hAnsi="宋体" w:cs="宋体"/>
                <w:b/>
                <w:bCs/>
                <w:sz w:val="24"/>
              </w:rPr>
              <w:t>响和</w:t>
            </w:r>
          </w:p>
          <w:p w14:paraId="3625C868">
            <w:pPr>
              <w:adjustRightInd w:val="0"/>
              <w:snapToGrid w:val="0"/>
              <w:jc w:val="center"/>
              <w:rPr>
                <w:rFonts w:ascii="宋体" w:hAnsi="宋体" w:cs="宋体"/>
                <w:b/>
                <w:bCs/>
                <w:sz w:val="24"/>
              </w:rPr>
            </w:pPr>
            <w:r>
              <w:rPr>
                <w:rFonts w:hint="eastAsia" w:ascii="宋体" w:hAnsi="宋体" w:cs="宋体"/>
                <w:b/>
                <w:bCs/>
                <w:sz w:val="24"/>
              </w:rPr>
              <w:t>保护</w:t>
            </w:r>
          </w:p>
          <w:p w14:paraId="49420872">
            <w:pPr>
              <w:adjustRightInd w:val="0"/>
              <w:snapToGrid w:val="0"/>
              <w:jc w:val="center"/>
              <w:rPr>
                <w:rFonts w:ascii="宋体" w:hAnsi="宋体" w:cs="宋体"/>
                <w:b/>
                <w:bCs/>
                <w:sz w:val="24"/>
              </w:rPr>
            </w:pPr>
            <w:r>
              <w:rPr>
                <w:rFonts w:hint="eastAsia" w:ascii="宋体" w:hAnsi="宋体" w:cs="宋体"/>
                <w:b/>
                <w:bCs/>
                <w:sz w:val="24"/>
              </w:rPr>
              <w:t>措施</w:t>
            </w:r>
          </w:p>
        </w:tc>
        <w:tc>
          <w:tcPr>
            <w:tcW w:w="4736" w:type="pct"/>
            <w:vAlign w:val="center"/>
          </w:tcPr>
          <w:p w14:paraId="0C487995">
            <w:pPr>
              <w:adjustRightInd w:val="0"/>
              <w:snapToGrid w:val="0"/>
              <w:spacing w:line="360" w:lineRule="auto"/>
              <w:ind w:firstLine="482" w:firstLineChars="200"/>
              <w:rPr>
                <w:b/>
                <w:sz w:val="24"/>
              </w:rPr>
            </w:pPr>
            <w:r>
              <w:rPr>
                <w:b/>
                <w:sz w:val="24"/>
              </w:rPr>
              <w:t>一、废气</w:t>
            </w:r>
          </w:p>
          <w:p w14:paraId="6F498AB6">
            <w:pPr>
              <w:adjustRightInd w:val="0"/>
              <w:snapToGrid w:val="0"/>
              <w:spacing w:line="360" w:lineRule="auto"/>
              <w:ind w:firstLine="482" w:firstLineChars="200"/>
              <w:rPr>
                <w:b/>
                <w:sz w:val="24"/>
              </w:rPr>
            </w:pPr>
            <w:r>
              <w:rPr>
                <w:rFonts w:hint="eastAsia"/>
                <w:b/>
                <w:sz w:val="24"/>
              </w:rPr>
              <w:t>1、废气源强</w:t>
            </w:r>
          </w:p>
          <w:p w14:paraId="45626AE5">
            <w:pPr>
              <w:autoSpaceDE w:val="0"/>
              <w:autoSpaceDN w:val="0"/>
              <w:adjustRightInd w:val="0"/>
              <w:spacing w:line="360" w:lineRule="auto"/>
              <w:ind w:firstLine="480" w:firstLineChars="200"/>
              <w:rPr>
                <w:rFonts w:hAnsiTheme="majorEastAsia" w:eastAsiaTheme="majorEastAsia"/>
                <w:kern w:val="0"/>
                <w:sz w:val="24"/>
              </w:rPr>
            </w:pPr>
            <w:r>
              <w:rPr>
                <w:sz w:val="24"/>
                <w:szCs w:val="21"/>
              </w:rPr>
              <w:t>项目营运期产生的大气污染物主要为</w:t>
            </w:r>
            <w:r>
              <w:rPr>
                <w:rFonts w:hint="eastAsia"/>
                <w:sz w:val="24"/>
                <w:szCs w:val="21"/>
              </w:rPr>
              <w:t>环形加热炉、步进式加热炉等燃烧天然气产生的烟气；</w:t>
            </w:r>
            <w:r>
              <w:rPr>
                <w:rFonts w:hAnsi="宋体"/>
                <w:spacing w:val="10"/>
                <w:sz w:val="24"/>
              </w:rPr>
              <w:t>喷硼砂</w:t>
            </w:r>
            <w:r>
              <w:rPr>
                <w:rFonts w:hint="eastAsia" w:hAnsi="宋体"/>
                <w:spacing w:val="10"/>
                <w:sz w:val="24"/>
              </w:rPr>
              <w:t>作业</w:t>
            </w:r>
            <w:r>
              <w:rPr>
                <w:rFonts w:hAnsi="宋体"/>
                <w:spacing w:val="10"/>
                <w:sz w:val="24"/>
              </w:rPr>
              <w:t>、连轧管</w:t>
            </w:r>
            <w:r>
              <w:rPr>
                <w:rFonts w:hint="eastAsia" w:hAnsi="宋体"/>
                <w:spacing w:val="10"/>
                <w:sz w:val="24"/>
              </w:rPr>
              <w:t>作业</w:t>
            </w:r>
            <w:r>
              <w:rPr>
                <w:rFonts w:hint="eastAsia"/>
                <w:sz w:val="24"/>
                <w:szCs w:val="21"/>
              </w:rPr>
              <w:t>粉尘。</w:t>
            </w:r>
          </w:p>
          <w:p w14:paraId="0D93BB11">
            <w:pPr>
              <w:autoSpaceDE w:val="0"/>
              <w:autoSpaceDN w:val="0"/>
              <w:adjustRightInd w:val="0"/>
              <w:spacing w:line="360" w:lineRule="auto"/>
              <w:ind w:firstLine="482" w:firstLineChars="200"/>
              <w:rPr>
                <w:rFonts w:hAnsiTheme="majorEastAsia" w:eastAsiaTheme="majorEastAsia"/>
                <w:b/>
                <w:kern w:val="0"/>
                <w:sz w:val="24"/>
              </w:rPr>
            </w:pPr>
            <w:r>
              <w:rPr>
                <w:rFonts w:hint="eastAsia" w:hAnsiTheme="majorEastAsia" w:eastAsiaTheme="majorEastAsia"/>
                <w:b/>
                <w:kern w:val="0"/>
                <w:sz w:val="24"/>
              </w:rPr>
              <w:t>（1）</w:t>
            </w:r>
            <w:r>
              <w:rPr>
                <w:rFonts w:hint="eastAsia"/>
                <w:b/>
                <w:sz w:val="24"/>
                <w:szCs w:val="21"/>
              </w:rPr>
              <w:t>加热炉烟气</w:t>
            </w:r>
          </w:p>
          <w:p w14:paraId="3784B3D5">
            <w:pPr>
              <w:autoSpaceDE w:val="0"/>
              <w:autoSpaceDN w:val="0"/>
              <w:adjustRightInd w:val="0"/>
              <w:spacing w:line="360" w:lineRule="auto"/>
              <w:ind w:firstLine="480" w:firstLineChars="200"/>
              <w:rPr>
                <w:rFonts w:hAnsiTheme="majorEastAsia" w:eastAsiaTheme="majorEastAsia"/>
                <w:kern w:val="0"/>
                <w:sz w:val="24"/>
              </w:rPr>
            </w:pPr>
            <w:r>
              <w:rPr>
                <w:rFonts w:hint="eastAsia" w:hAnsiTheme="majorEastAsia" w:eastAsiaTheme="majorEastAsia"/>
                <w:kern w:val="0"/>
                <w:sz w:val="24"/>
              </w:rPr>
              <w:t>项目改造后使用天然气作为燃料，根据建设单位的经验数据，本项目改造后天然气使用量为2609.96万Nm</w:t>
            </w:r>
            <w:r>
              <w:rPr>
                <w:rFonts w:hint="eastAsia" w:hAnsiTheme="majorEastAsia" w:eastAsiaTheme="majorEastAsia"/>
                <w:kern w:val="0"/>
                <w:sz w:val="24"/>
                <w:vertAlign w:val="superscript"/>
              </w:rPr>
              <w:t>3</w:t>
            </w:r>
            <w:r>
              <w:rPr>
                <w:rFonts w:hint="eastAsia" w:hAnsiTheme="majorEastAsia" w:eastAsiaTheme="majorEastAsia"/>
                <w:kern w:val="0"/>
                <w:sz w:val="24"/>
              </w:rPr>
              <w:t>/a（其中</w:t>
            </w:r>
            <w:r>
              <w:rPr>
                <w:rFonts w:hint="eastAsia"/>
                <w:sz w:val="24"/>
                <w:szCs w:val="21"/>
              </w:rPr>
              <w:t>环形加热炉</w:t>
            </w:r>
            <w:r>
              <w:rPr>
                <w:rFonts w:hint="eastAsia" w:hAnsiTheme="majorEastAsia" w:eastAsiaTheme="majorEastAsia"/>
                <w:kern w:val="0"/>
                <w:sz w:val="24"/>
              </w:rPr>
              <w:t>天然气使用量为1739.97万Nm</w:t>
            </w:r>
            <w:r>
              <w:rPr>
                <w:rFonts w:hint="eastAsia" w:hAnsiTheme="majorEastAsia" w:eastAsiaTheme="majorEastAsia"/>
                <w:kern w:val="0"/>
                <w:sz w:val="24"/>
                <w:vertAlign w:val="superscript"/>
              </w:rPr>
              <w:t>3</w:t>
            </w:r>
            <w:r>
              <w:rPr>
                <w:rFonts w:hint="eastAsia" w:hAnsiTheme="majorEastAsia" w:eastAsiaTheme="majorEastAsia"/>
                <w:kern w:val="0"/>
                <w:sz w:val="24"/>
              </w:rPr>
              <w:t>/a</w:t>
            </w:r>
            <w:r>
              <w:rPr>
                <w:rFonts w:hint="eastAsia"/>
                <w:sz w:val="24"/>
                <w:szCs w:val="21"/>
              </w:rPr>
              <w:t>、步进式加热炉</w:t>
            </w:r>
            <w:r>
              <w:rPr>
                <w:rFonts w:hint="eastAsia" w:hAnsiTheme="majorEastAsia" w:eastAsiaTheme="majorEastAsia"/>
                <w:kern w:val="0"/>
                <w:sz w:val="24"/>
              </w:rPr>
              <w:t>天然气使用量为869.99万Nm</w:t>
            </w:r>
            <w:r>
              <w:rPr>
                <w:rFonts w:hint="eastAsia" w:hAnsiTheme="majorEastAsia" w:eastAsiaTheme="majorEastAsia"/>
                <w:kern w:val="0"/>
                <w:sz w:val="24"/>
                <w:vertAlign w:val="superscript"/>
              </w:rPr>
              <w:t>3</w:t>
            </w:r>
            <w:r>
              <w:rPr>
                <w:rFonts w:hint="eastAsia" w:hAnsiTheme="majorEastAsia" w:eastAsiaTheme="majorEastAsia"/>
                <w:kern w:val="0"/>
                <w:sz w:val="24"/>
              </w:rPr>
              <w:t>/a），年运行约6200小时。</w:t>
            </w:r>
          </w:p>
          <w:p w14:paraId="4B1DB5E7">
            <w:pPr>
              <w:autoSpaceDE w:val="0"/>
              <w:autoSpaceDN w:val="0"/>
              <w:adjustRightInd w:val="0"/>
              <w:spacing w:line="360" w:lineRule="auto"/>
              <w:ind w:firstLine="480" w:firstLineChars="200"/>
              <w:rPr>
                <w:rFonts w:hAnsiTheme="majorEastAsia" w:eastAsiaTheme="majorEastAsia"/>
                <w:kern w:val="0"/>
                <w:sz w:val="24"/>
              </w:rPr>
            </w:pPr>
            <w:r>
              <w:rPr>
                <w:rFonts w:hint="eastAsia" w:hAnsiTheme="majorEastAsia" w:eastAsiaTheme="majorEastAsia"/>
                <w:kern w:val="0"/>
                <w:sz w:val="24"/>
              </w:rPr>
              <w:t>根据《污染源源强核算技术指南 钢铁工业》（HJ885-2018）附录C，根据燃气消耗量、成和空气过剩系数计算废气量时，按下述公式进行核算：</w:t>
            </w:r>
          </w:p>
          <w:p w14:paraId="485FD2F1">
            <w:pPr>
              <w:autoSpaceDE w:val="0"/>
              <w:autoSpaceDN w:val="0"/>
              <w:adjustRightInd w:val="0"/>
              <w:spacing w:line="360" w:lineRule="auto"/>
              <w:jc w:val="center"/>
              <w:rPr>
                <w:rFonts w:hAnsiTheme="majorEastAsia" w:eastAsiaTheme="majorEastAsia"/>
                <w:kern w:val="0"/>
                <w:sz w:val="24"/>
              </w:rPr>
            </w:pPr>
            <w:r>
              <w:rPr>
                <w:rFonts w:hint="eastAsia" w:hAnsiTheme="majorEastAsia" w:eastAsiaTheme="majorEastAsia"/>
                <w:kern w:val="0"/>
                <w:sz w:val="24"/>
              </w:rPr>
              <w:drawing>
                <wp:inline distT="0" distB="0" distL="0" distR="0">
                  <wp:extent cx="942975" cy="209550"/>
                  <wp:effectExtent l="1905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3" cstate="print"/>
                          <a:srcRect/>
                          <a:stretch>
                            <a:fillRect/>
                          </a:stretch>
                        </pic:blipFill>
                        <pic:spPr>
                          <a:xfrm>
                            <a:off x="0" y="0"/>
                            <a:ext cx="942975" cy="209550"/>
                          </a:xfrm>
                          <a:prstGeom prst="rect">
                            <a:avLst/>
                          </a:prstGeom>
                          <a:noFill/>
                          <a:ln w="9525">
                            <a:noFill/>
                            <a:miter lim="800000"/>
                            <a:headEnd/>
                            <a:tailEnd/>
                          </a:ln>
                        </pic:spPr>
                      </pic:pic>
                    </a:graphicData>
                  </a:graphic>
                </wp:inline>
              </w:drawing>
            </w:r>
          </w:p>
          <w:p w14:paraId="201FB5D5">
            <w:pPr>
              <w:autoSpaceDE w:val="0"/>
              <w:autoSpaceDN w:val="0"/>
              <w:adjustRightInd w:val="0"/>
              <w:spacing w:line="360" w:lineRule="auto"/>
              <w:ind w:firstLine="480" w:firstLineChars="200"/>
              <w:rPr>
                <w:rFonts w:hAnsiTheme="majorEastAsia" w:eastAsiaTheme="majorEastAsia"/>
                <w:kern w:val="0"/>
                <w:sz w:val="24"/>
              </w:rPr>
            </w:pPr>
            <w:r>
              <w:rPr>
                <w:rFonts w:hint="eastAsia" w:hAnsiTheme="majorEastAsia" w:eastAsiaTheme="majorEastAsia"/>
                <w:kern w:val="0"/>
                <w:sz w:val="24"/>
              </w:rPr>
              <w:t>式中：q——核算时段内标准状态下干烟气量，m</w:t>
            </w:r>
            <w:r>
              <w:rPr>
                <w:rFonts w:hint="eastAsia" w:hAnsiTheme="majorEastAsia" w:eastAsiaTheme="majorEastAsia"/>
                <w:kern w:val="0"/>
                <w:sz w:val="24"/>
                <w:vertAlign w:val="superscript"/>
              </w:rPr>
              <w:t>3</w:t>
            </w:r>
            <w:r>
              <w:rPr>
                <w:rFonts w:hint="eastAsia" w:hAnsiTheme="majorEastAsia" w:eastAsiaTheme="majorEastAsia"/>
                <w:kern w:val="0"/>
                <w:sz w:val="24"/>
              </w:rPr>
              <w:t>；</w:t>
            </w:r>
          </w:p>
          <w:p w14:paraId="4E624D76">
            <w:pPr>
              <w:autoSpaceDE w:val="0"/>
              <w:autoSpaceDN w:val="0"/>
              <w:adjustRightInd w:val="0"/>
              <w:spacing w:line="360" w:lineRule="auto"/>
              <w:ind w:firstLine="1200" w:firstLineChars="500"/>
              <w:rPr>
                <w:rFonts w:hAnsiTheme="majorEastAsia" w:eastAsiaTheme="majorEastAsia"/>
                <w:kern w:val="0"/>
                <w:sz w:val="24"/>
              </w:rPr>
            </w:pPr>
            <w:r>
              <w:rPr>
                <w:rFonts w:hint="eastAsia" w:hAnsiTheme="majorEastAsia" w:eastAsiaTheme="majorEastAsia"/>
                <w:kern w:val="0"/>
                <w:sz w:val="24"/>
              </w:rPr>
              <w:t>v——标准状态下单位体积气体燃料燃烧产生的干烟气量，m</w:t>
            </w:r>
            <w:r>
              <w:rPr>
                <w:rFonts w:hint="eastAsia" w:hAnsiTheme="majorEastAsia" w:eastAsiaTheme="majorEastAsia"/>
                <w:kern w:val="0"/>
                <w:sz w:val="24"/>
                <w:vertAlign w:val="superscript"/>
              </w:rPr>
              <w:t>3</w:t>
            </w:r>
            <w:r>
              <w:rPr>
                <w:rFonts w:hint="eastAsia" w:hAnsiTheme="majorEastAsia" w:eastAsiaTheme="majorEastAsia"/>
                <w:kern w:val="0"/>
                <w:sz w:val="24"/>
              </w:rPr>
              <w:t>/m</w:t>
            </w:r>
            <w:r>
              <w:rPr>
                <w:rFonts w:hint="eastAsia" w:hAnsiTheme="majorEastAsia" w:eastAsiaTheme="majorEastAsia"/>
                <w:kern w:val="0"/>
                <w:sz w:val="24"/>
                <w:vertAlign w:val="superscript"/>
              </w:rPr>
              <w:t>3</w:t>
            </w:r>
            <w:r>
              <w:rPr>
                <w:rFonts w:hint="eastAsia" w:hAnsiTheme="majorEastAsia" w:eastAsiaTheme="majorEastAsia"/>
                <w:kern w:val="0"/>
                <w:sz w:val="24"/>
              </w:rPr>
              <w:t>；</w:t>
            </w:r>
          </w:p>
          <w:p w14:paraId="624B0BE4">
            <w:pPr>
              <w:autoSpaceDE w:val="0"/>
              <w:autoSpaceDN w:val="0"/>
              <w:adjustRightInd w:val="0"/>
              <w:spacing w:line="360" w:lineRule="auto"/>
              <w:ind w:firstLine="1200" w:firstLineChars="500"/>
              <w:rPr>
                <w:rFonts w:hAnsiTheme="majorEastAsia" w:eastAsiaTheme="majorEastAsia"/>
                <w:kern w:val="0"/>
                <w:sz w:val="24"/>
              </w:rPr>
            </w:pPr>
            <w:r>
              <w:rPr>
                <w:rFonts w:hint="eastAsia" w:hAnsiTheme="majorEastAsia" w:eastAsiaTheme="majorEastAsia"/>
                <w:kern w:val="0"/>
                <w:sz w:val="24"/>
              </w:rPr>
              <w:t>fg——核算时段内燃气的消耗量，m</w:t>
            </w:r>
            <w:r>
              <w:rPr>
                <w:rFonts w:hint="eastAsia" w:hAnsiTheme="majorEastAsia" w:eastAsiaTheme="majorEastAsia"/>
                <w:kern w:val="0"/>
                <w:sz w:val="24"/>
                <w:vertAlign w:val="superscript"/>
              </w:rPr>
              <w:t>3</w:t>
            </w:r>
            <w:r>
              <w:rPr>
                <w:rFonts w:hint="eastAsia" w:hAnsiTheme="majorEastAsia" w:eastAsiaTheme="majorEastAsia"/>
                <w:kern w:val="0"/>
                <w:sz w:val="24"/>
              </w:rPr>
              <w:t>。天然气消耗量为2609.96万Nm</w:t>
            </w:r>
            <w:r>
              <w:rPr>
                <w:rFonts w:hint="eastAsia" w:hAnsiTheme="majorEastAsia" w:eastAsiaTheme="majorEastAsia"/>
                <w:kern w:val="0"/>
                <w:sz w:val="24"/>
                <w:vertAlign w:val="superscript"/>
              </w:rPr>
              <w:t>3</w:t>
            </w:r>
            <w:r>
              <w:rPr>
                <w:rFonts w:hint="eastAsia" w:hAnsiTheme="majorEastAsia" w:eastAsiaTheme="majorEastAsia"/>
                <w:kern w:val="0"/>
                <w:sz w:val="24"/>
              </w:rPr>
              <w:t>/a。</w:t>
            </w:r>
          </w:p>
          <w:p w14:paraId="018A0BE8">
            <w:pPr>
              <w:autoSpaceDE w:val="0"/>
              <w:autoSpaceDN w:val="0"/>
              <w:adjustRightInd w:val="0"/>
              <w:spacing w:line="360" w:lineRule="auto"/>
              <w:ind w:firstLine="480" w:firstLineChars="200"/>
              <w:rPr>
                <w:rFonts w:hAnsiTheme="majorEastAsia" w:eastAsiaTheme="majorEastAsia"/>
                <w:kern w:val="0"/>
                <w:sz w:val="24"/>
              </w:rPr>
            </w:pPr>
            <w:r>
              <w:rPr>
                <w:rFonts w:hint="eastAsia" w:hAnsiTheme="majorEastAsia" w:eastAsiaTheme="majorEastAsia"/>
                <w:kern w:val="0"/>
                <w:sz w:val="24"/>
              </w:rPr>
              <w:t>对于标准状态下单位体积气体燃料燃烧产生的干烟气量按下式计算：</w:t>
            </w:r>
          </w:p>
          <w:p w14:paraId="542F4110">
            <w:pPr>
              <w:autoSpaceDE w:val="0"/>
              <w:autoSpaceDN w:val="0"/>
              <w:adjustRightInd w:val="0"/>
              <w:spacing w:line="360" w:lineRule="auto"/>
              <w:jc w:val="center"/>
              <w:rPr>
                <w:rFonts w:hAnsiTheme="majorEastAsia" w:eastAsiaTheme="majorEastAsia"/>
                <w:kern w:val="0"/>
                <w:sz w:val="24"/>
              </w:rPr>
            </w:pPr>
            <w:r>
              <w:rPr>
                <w:rFonts w:hint="eastAsia" w:hAnsiTheme="majorEastAsia" w:eastAsiaTheme="majorEastAsia"/>
                <w:kern w:val="0"/>
                <w:sz w:val="24"/>
              </w:rPr>
              <w:drawing>
                <wp:inline distT="0" distB="0" distL="0" distR="0">
                  <wp:extent cx="4638675" cy="476250"/>
                  <wp:effectExtent l="1905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4" cstate="print"/>
                          <a:srcRect/>
                          <a:stretch>
                            <a:fillRect/>
                          </a:stretch>
                        </pic:blipFill>
                        <pic:spPr>
                          <a:xfrm>
                            <a:off x="0" y="0"/>
                            <a:ext cx="4638675" cy="476250"/>
                          </a:xfrm>
                          <a:prstGeom prst="rect">
                            <a:avLst/>
                          </a:prstGeom>
                          <a:noFill/>
                          <a:ln w="9525">
                            <a:noFill/>
                            <a:miter lim="800000"/>
                            <a:headEnd/>
                            <a:tailEnd/>
                          </a:ln>
                        </pic:spPr>
                      </pic:pic>
                    </a:graphicData>
                  </a:graphic>
                </wp:inline>
              </w:drawing>
            </w:r>
          </w:p>
          <w:p w14:paraId="06934A80">
            <w:pPr>
              <w:pStyle w:val="2"/>
              <w:jc w:val="center"/>
            </w:pPr>
            <w:r>
              <w:rPr>
                <w:rFonts w:hint="eastAsia"/>
              </w:rPr>
              <w:drawing>
                <wp:inline distT="0" distB="0" distL="0" distR="0">
                  <wp:extent cx="5381625" cy="542925"/>
                  <wp:effectExtent l="19050" t="0" r="952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5" cstate="print"/>
                          <a:srcRect/>
                          <a:stretch>
                            <a:fillRect/>
                          </a:stretch>
                        </pic:blipFill>
                        <pic:spPr>
                          <a:xfrm>
                            <a:off x="0" y="0"/>
                            <a:ext cx="5381625" cy="542925"/>
                          </a:xfrm>
                          <a:prstGeom prst="rect">
                            <a:avLst/>
                          </a:prstGeom>
                          <a:noFill/>
                          <a:ln w="9525">
                            <a:noFill/>
                            <a:miter lim="800000"/>
                            <a:headEnd/>
                            <a:tailEnd/>
                          </a:ln>
                        </pic:spPr>
                      </pic:pic>
                    </a:graphicData>
                  </a:graphic>
                </wp:inline>
              </w:drawing>
            </w:r>
          </w:p>
          <w:p w14:paraId="4BB27C65">
            <w:pPr>
              <w:autoSpaceDE w:val="0"/>
              <w:autoSpaceDN w:val="0"/>
              <w:adjustRightInd w:val="0"/>
              <w:spacing w:line="360" w:lineRule="auto"/>
              <w:ind w:firstLine="480" w:firstLineChars="200"/>
              <w:rPr>
                <w:rFonts w:hAnsiTheme="majorEastAsia" w:eastAsiaTheme="majorEastAsia"/>
                <w:kern w:val="0"/>
                <w:sz w:val="24"/>
              </w:rPr>
            </w:pPr>
            <w:r>
              <w:rPr>
                <w:rFonts w:hint="eastAsia" w:hAnsiTheme="majorEastAsia" w:eastAsiaTheme="majorEastAsia"/>
                <w:kern w:val="0"/>
                <w:sz w:val="24"/>
              </w:rPr>
              <w:t>式中：v——标准状态下单位体积气体燃料产生的干烟气量，如气体燃料为多种燃料混合，按混合后成分进行计算，m</w:t>
            </w:r>
            <w:r>
              <w:rPr>
                <w:rFonts w:hint="eastAsia" w:hAnsiTheme="majorEastAsia" w:eastAsiaTheme="majorEastAsia"/>
                <w:kern w:val="0"/>
                <w:sz w:val="24"/>
                <w:vertAlign w:val="superscript"/>
              </w:rPr>
              <w:t>3</w:t>
            </w:r>
            <w:r>
              <w:rPr>
                <w:rFonts w:hint="eastAsia" w:hAnsiTheme="majorEastAsia" w:eastAsiaTheme="majorEastAsia"/>
                <w:kern w:val="0"/>
                <w:sz w:val="24"/>
              </w:rPr>
              <w:t>/m</w:t>
            </w:r>
            <w:r>
              <w:rPr>
                <w:rFonts w:hint="eastAsia" w:hAnsiTheme="majorEastAsia" w:eastAsiaTheme="majorEastAsia"/>
                <w:kern w:val="0"/>
                <w:sz w:val="24"/>
                <w:vertAlign w:val="superscript"/>
              </w:rPr>
              <w:t>3</w:t>
            </w:r>
            <w:r>
              <w:rPr>
                <w:rFonts w:hint="eastAsia" w:hAnsiTheme="majorEastAsia" w:eastAsiaTheme="majorEastAsia"/>
                <w:kern w:val="0"/>
                <w:sz w:val="24"/>
              </w:rPr>
              <w:t>；</w:t>
            </w:r>
          </w:p>
          <w:p w14:paraId="0B226BA6">
            <w:pPr>
              <w:autoSpaceDE w:val="0"/>
              <w:autoSpaceDN w:val="0"/>
              <w:adjustRightInd w:val="0"/>
              <w:spacing w:line="360" w:lineRule="auto"/>
              <w:ind w:firstLine="1200" w:firstLineChars="500"/>
              <w:rPr>
                <w:rFonts w:hAnsiTheme="majorEastAsia" w:eastAsiaTheme="majorEastAsia"/>
                <w:kern w:val="0"/>
                <w:sz w:val="24"/>
              </w:rPr>
            </w:pPr>
            <w:r>
              <w:rPr>
                <w:rFonts w:hint="eastAsia" w:hAnsiTheme="majorEastAsia" w:eastAsiaTheme="majorEastAsia"/>
                <w:kern w:val="0"/>
                <w:sz w:val="24"/>
              </w:rPr>
              <w:t>a——燃料燃烧时，实际空气供给量与理论空气需要量之比值；烧燃料气时一般为1.15~1.3，本评价取1.3；</w:t>
            </w:r>
          </w:p>
          <w:p w14:paraId="19929153">
            <w:pPr>
              <w:autoSpaceDE w:val="0"/>
              <w:autoSpaceDN w:val="0"/>
              <w:adjustRightInd w:val="0"/>
              <w:spacing w:line="360" w:lineRule="auto"/>
              <w:ind w:firstLine="1200" w:firstLineChars="500"/>
              <w:rPr>
                <w:rFonts w:hAnsiTheme="majorEastAsia" w:eastAsiaTheme="majorEastAsia"/>
                <w:kern w:val="0"/>
                <w:sz w:val="24"/>
              </w:rPr>
            </w:pPr>
            <w:r>
              <w:rPr>
                <w:rFonts w:hint="eastAsia" w:hAnsiTheme="majorEastAsia" w:eastAsiaTheme="majorEastAsia"/>
                <w:kern w:val="0"/>
                <w:sz w:val="24"/>
              </w:rPr>
              <w:t>v0——标准状态下单位体积气体燃料的理论空气需要量，m</w:t>
            </w:r>
            <w:r>
              <w:rPr>
                <w:rFonts w:hint="eastAsia" w:hAnsiTheme="majorEastAsia" w:eastAsiaTheme="majorEastAsia"/>
                <w:kern w:val="0"/>
                <w:sz w:val="24"/>
                <w:vertAlign w:val="superscript"/>
              </w:rPr>
              <w:t>3</w:t>
            </w:r>
            <w:r>
              <w:rPr>
                <w:rFonts w:hint="eastAsia" w:hAnsiTheme="majorEastAsia" w:eastAsiaTheme="majorEastAsia"/>
                <w:kern w:val="0"/>
                <w:sz w:val="24"/>
              </w:rPr>
              <w:t>/m</w:t>
            </w:r>
            <w:r>
              <w:rPr>
                <w:rFonts w:hint="eastAsia" w:hAnsiTheme="majorEastAsia" w:eastAsiaTheme="majorEastAsia"/>
                <w:kern w:val="0"/>
                <w:sz w:val="24"/>
                <w:vertAlign w:val="superscript"/>
              </w:rPr>
              <w:t>3</w:t>
            </w:r>
            <w:r>
              <w:rPr>
                <w:rFonts w:hint="eastAsia" w:hAnsiTheme="majorEastAsia" w:eastAsiaTheme="majorEastAsia"/>
                <w:kern w:val="0"/>
                <w:sz w:val="24"/>
              </w:rPr>
              <w:t>；</w:t>
            </w:r>
          </w:p>
          <w:p w14:paraId="6890FC41">
            <w:pPr>
              <w:autoSpaceDE w:val="0"/>
              <w:autoSpaceDN w:val="0"/>
              <w:adjustRightInd w:val="0"/>
              <w:spacing w:line="360" w:lineRule="auto"/>
              <w:ind w:firstLine="1200" w:firstLineChars="500"/>
              <w:rPr>
                <w:rFonts w:hAnsiTheme="majorEastAsia" w:eastAsiaTheme="majorEastAsia"/>
                <w:kern w:val="0"/>
                <w:sz w:val="24"/>
              </w:rPr>
            </w:pPr>
            <w:r>
              <w:rPr>
                <w:rFonts w:hint="eastAsia" w:hAnsiTheme="majorEastAsia" w:eastAsiaTheme="majorEastAsia"/>
                <w:kern w:val="0"/>
                <w:sz w:val="24"/>
              </w:rPr>
              <w:t>V（H</w:t>
            </w:r>
            <w:r>
              <w:rPr>
                <w:rFonts w:hint="eastAsia" w:hAnsiTheme="majorEastAsia" w:eastAsiaTheme="majorEastAsia"/>
                <w:kern w:val="0"/>
                <w:sz w:val="24"/>
                <w:vertAlign w:val="subscript"/>
              </w:rPr>
              <w:t>2</w:t>
            </w:r>
            <w:r>
              <w:rPr>
                <w:rFonts w:hint="eastAsia" w:hAnsiTheme="majorEastAsia" w:eastAsiaTheme="majorEastAsia"/>
                <w:kern w:val="0"/>
                <w:sz w:val="24"/>
              </w:rPr>
              <w:t>）——标准状态下单位体积气体燃料中氢气所占体积比例，%，本项目取值0%；</w:t>
            </w:r>
          </w:p>
          <w:p w14:paraId="548A5472">
            <w:pPr>
              <w:autoSpaceDE w:val="0"/>
              <w:autoSpaceDN w:val="0"/>
              <w:adjustRightInd w:val="0"/>
              <w:spacing w:line="360" w:lineRule="auto"/>
              <w:ind w:firstLine="1200" w:firstLineChars="500"/>
              <w:rPr>
                <w:rFonts w:hAnsiTheme="majorEastAsia" w:eastAsiaTheme="majorEastAsia"/>
                <w:kern w:val="0"/>
                <w:sz w:val="24"/>
              </w:rPr>
            </w:pPr>
            <w:r>
              <w:rPr>
                <w:rFonts w:hint="eastAsia" w:hAnsiTheme="majorEastAsia" w:eastAsiaTheme="majorEastAsia"/>
                <w:kern w:val="0"/>
                <w:sz w:val="24"/>
              </w:rPr>
              <w:t>V（CO）——标准状态下单位体积气体燃料中一氧化碳所占体积比例，%，本项目取值0%；</w:t>
            </w:r>
          </w:p>
          <w:p w14:paraId="7BE3C3E6">
            <w:pPr>
              <w:autoSpaceDE w:val="0"/>
              <w:autoSpaceDN w:val="0"/>
              <w:adjustRightInd w:val="0"/>
              <w:spacing w:line="360" w:lineRule="auto"/>
              <w:ind w:firstLine="1200" w:firstLineChars="500"/>
              <w:rPr>
                <w:rFonts w:hAnsiTheme="majorEastAsia" w:eastAsiaTheme="majorEastAsia"/>
                <w:kern w:val="0"/>
                <w:sz w:val="24"/>
              </w:rPr>
            </w:pPr>
            <w:r>
              <w:rPr>
                <w:rFonts w:hint="eastAsia" w:hAnsiTheme="majorEastAsia" w:eastAsiaTheme="majorEastAsia"/>
                <w:kern w:val="0"/>
                <w:sz w:val="24"/>
              </w:rPr>
              <w:t>V（CmHn）——标准状态下单位体积气体燃料中碳氢化合物所占体积比例，%，本项目取值94.5656%；</w:t>
            </w:r>
          </w:p>
          <w:p w14:paraId="0402BACB">
            <w:pPr>
              <w:autoSpaceDE w:val="0"/>
              <w:autoSpaceDN w:val="0"/>
              <w:adjustRightInd w:val="0"/>
              <w:spacing w:line="360" w:lineRule="auto"/>
              <w:ind w:firstLine="1200" w:firstLineChars="500"/>
              <w:rPr>
                <w:rFonts w:hAnsiTheme="majorEastAsia" w:eastAsiaTheme="majorEastAsia"/>
                <w:kern w:val="0"/>
                <w:sz w:val="24"/>
              </w:rPr>
            </w:pPr>
            <w:r>
              <w:rPr>
                <w:rFonts w:hint="eastAsia" w:hAnsiTheme="majorEastAsia" w:eastAsiaTheme="majorEastAsia"/>
                <w:kern w:val="0"/>
                <w:sz w:val="24"/>
              </w:rPr>
              <w:t>V（H</w:t>
            </w:r>
            <w:r>
              <w:rPr>
                <w:rFonts w:hint="eastAsia" w:hAnsiTheme="majorEastAsia" w:eastAsiaTheme="majorEastAsia"/>
                <w:kern w:val="0"/>
                <w:sz w:val="24"/>
                <w:vertAlign w:val="subscript"/>
              </w:rPr>
              <w:t>2</w:t>
            </w:r>
            <w:r>
              <w:rPr>
                <w:rFonts w:hint="eastAsia" w:hAnsiTheme="majorEastAsia" w:eastAsiaTheme="majorEastAsia"/>
                <w:kern w:val="0"/>
                <w:sz w:val="24"/>
              </w:rPr>
              <w:t>S）——标准状态下单位体积气体燃料中硫化氢所占体积比例，%，本项目取值0%；</w:t>
            </w:r>
          </w:p>
          <w:p w14:paraId="54195C57">
            <w:pPr>
              <w:autoSpaceDE w:val="0"/>
              <w:autoSpaceDN w:val="0"/>
              <w:adjustRightInd w:val="0"/>
              <w:spacing w:line="360" w:lineRule="auto"/>
              <w:ind w:firstLine="1200" w:firstLineChars="500"/>
              <w:rPr>
                <w:rFonts w:hAnsiTheme="majorEastAsia" w:eastAsiaTheme="majorEastAsia"/>
                <w:kern w:val="0"/>
                <w:sz w:val="24"/>
              </w:rPr>
            </w:pPr>
            <w:r>
              <w:rPr>
                <w:rFonts w:hint="eastAsia" w:hAnsiTheme="majorEastAsia" w:eastAsiaTheme="majorEastAsia"/>
                <w:kern w:val="0"/>
                <w:sz w:val="24"/>
              </w:rPr>
              <w:t>V（O</w:t>
            </w:r>
            <w:r>
              <w:rPr>
                <w:rFonts w:hint="eastAsia" w:hAnsiTheme="majorEastAsia" w:eastAsiaTheme="majorEastAsia"/>
                <w:kern w:val="0"/>
                <w:sz w:val="24"/>
                <w:vertAlign w:val="subscript"/>
              </w:rPr>
              <w:t>2</w:t>
            </w:r>
            <w:r>
              <w:rPr>
                <w:rFonts w:hint="eastAsia" w:hAnsiTheme="majorEastAsia" w:eastAsiaTheme="majorEastAsia"/>
                <w:kern w:val="0"/>
                <w:sz w:val="24"/>
              </w:rPr>
              <w:t>）——标准状态下单位体积气体燃料中氧气所占体积比例，%，本项目取值0%。</w:t>
            </w:r>
          </w:p>
          <w:p w14:paraId="6F248C52">
            <w:pPr>
              <w:autoSpaceDE w:val="0"/>
              <w:autoSpaceDN w:val="0"/>
              <w:adjustRightInd w:val="0"/>
              <w:spacing w:line="360" w:lineRule="auto"/>
              <w:ind w:firstLine="480" w:firstLineChars="200"/>
              <w:rPr>
                <w:rFonts w:hAnsiTheme="majorEastAsia" w:eastAsiaTheme="majorEastAsia"/>
                <w:kern w:val="0"/>
                <w:sz w:val="24"/>
              </w:rPr>
            </w:pPr>
            <w:r>
              <w:rPr>
                <w:rFonts w:hint="eastAsia" w:hAnsiTheme="majorEastAsia" w:eastAsiaTheme="majorEastAsia"/>
                <w:kern w:val="0"/>
                <w:sz w:val="24"/>
              </w:rPr>
              <w:t>本项目改造后</w:t>
            </w:r>
            <w:r>
              <w:rPr>
                <w:rFonts w:hint="eastAsia"/>
                <w:sz w:val="24"/>
                <w:szCs w:val="21"/>
              </w:rPr>
              <w:t>环形加热炉</w:t>
            </w:r>
            <w:r>
              <w:rPr>
                <w:rFonts w:hint="eastAsia" w:hAnsiTheme="majorEastAsia" w:eastAsiaTheme="majorEastAsia"/>
                <w:kern w:val="0"/>
                <w:sz w:val="24"/>
              </w:rPr>
              <w:t>天然气使用量约0.281万Nm</w:t>
            </w:r>
            <w:r>
              <w:rPr>
                <w:rFonts w:hint="eastAsia" w:hAnsiTheme="majorEastAsia" w:eastAsiaTheme="majorEastAsia"/>
                <w:kern w:val="0"/>
                <w:sz w:val="24"/>
                <w:vertAlign w:val="superscript"/>
              </w:rPr>
              <w:t>3</w:t>
            </w:r>
            <w:r>
              <w:rPr>
                <w:rFonts w:hint="eastAsia" w:hAnsiTheme="majorEastAsia" w:eastAsiaTheme="majorEastAsia"/>
                <w:kern w:val="0"/>
                <w:sz w:val="24"/>
              </w:rPr>
              <w:t>/h，根据上式计算：</w:t>
            </w:r>
            <w:r>
              <w:rPr>
                <w:rFonts w:hint="eastAsia"/>
                <w:sz w:val="24"/>
                <w:szCs w:val="21"/>
              </w:rPr>
              <w:t>环形加热炉</w:t>
            </w:r>
            <w:r>
              <w:rPr>
                <w:rFonts w:hint="eastAsia" w:hAnsiTheme="majorEastAsia" w:eastAsiaTheme="majorEastAsia"/>
                <w:kern w:val="0"/>
                <w:sz w:val="24"/>
              </w:rPr>
              <w:t>烟气量：0.281×10</w:t>
            </w:r>
            <w:r>
              <w:rPr>
                <w:rFonts w:hint="eastAsia" w:hAnsiTheme="majorEastAsia" w:eastAsiaTheme="majorEastAsia"/>
                <w:kern w:val="0"/>
                <w:sz w:val="24"/>
                <w:vertAlign w:val="superscript"/>
              </w:rPr>
              <w:t>4</w:t>
            </w:r>
            <w:r>
              <w:rPr>
                <w:rFonts w:hint="eastAsia" w:hAnsiTheme="majorEastAsia" w:eastAsiaTheme="majorEastAsia"/>
                <w:kern w:val="0"/>
                <w:sz w:val="24"/>
              </w:rPr>
              <w:t>Nm</w:t>
            </w:r>
            <w:r>
              <w:rPr>
                <w:rFonts w:hint="eastAsia" w:hAnsiTheme="majorEastAsia" w:eastAsiaTheme="majorEastAsia"/>
                <w:kern w:val="0"/>
                <w:sz w:val="24"/>
                <w:vertAlign w:val="superscript"/>
              </w:rPr>
              <w:t>3</w:t>
            </w:r>
            <w:r>
              <w:rPr>
                <w:rFonts w:hint="eastAsia" w:hAnsiTheme="majorEastAsia" w:eastAsiaTheme="majorEastAsia"/>
                <w:kern w:val="0"/>
                <w:sz w:val="24"/>
              </w:rPr>
              <w:t>/h×10.9m</w:t>
            </w:r>
            <w:r>
              <w:rPr>
                <w:rFonts w:hint="eastAsia" w:hAnsiTheme="majorEastAsia" w:eastAsiaTheme="majorEastAsia"/>
                <w:kern w:val="0"/>
                <w:sz w:val="24"/>
                <w:vertAlign w:val="superscript"/>
              </w:rPr>
              <w:t>3</w:t>
            </w:r>
            <w:r>
              <w:rPr>
                <w:rFonts w:hint="eastAsia" w:hAnsiTheme="majorEastAsia" w:eastAsiaTheme="majorEastAsia"/>
                <w:kern w:val="0"/>
                <w:sz w:val="24"/>
              </w:rPr>
              <w:t>/m</w:t>
            </w:r>
            <w:r>
              <w:rPr>
                <w:rFonts w:hint="eastAsia" w:hAnsiTheme="majorEastAsia" w:eastAsiaTheme="majorEastAsia"/>
                <w:kern w:val="0"/>
                <w:sz w:val="24"/>
                <w:vertAlign w:val="superscript"/>
              </w:rPr>
              <w:t>3</w:t>
            </w:r>
            <w:r>
              <w:rPr>
                <w:rFonts w:hint="eastAsia" w:hAnsiTheme="majorEastAsia" w:eastAsiaTheme="majorEastAsia"/>
                <w:kern w:val="0"/>
                <w:sz w:val="24"/>
              </w:rPr>
              <w:t>=30629Nm</w:t>
            </w:r>
            <w:r>
              <w:rPr>
                <w:rFonts w:hint="eastAsia" w:hAnsiTheme="majorEastAsia" w:eastAsiaTheme="majorEastAsia"/>
                <w:kern w:val="0"/>
                <w:sz w:val="24"/>
                <w:vertAlign w:val="superscript"/>
              </w:rPr>
              <w:t>3</w:t>
            </w:r>
            <w:r>
              <w:rPr>
                <w:rFonts w:hint="eastAsia" w:hAnsiTheme="majorEastAsia" w:eastAsiaTheme="majorEastAsia"/>
                <w:kern w:val="0"/>
                <w:sz w:val="24"/>
              </w:rPr>
              <w:t>/h。</w:t>
            </w:r>
          </w:p>
          <w:p w14:paraId="25BEFCA3">
            <w:pPr>
              <w:autoSpaceDE w:val="0"/>
              <w:autoSpaceDN w:val="0"/>
              <w:adjustRightInd w:val="0"/>
              <w:spacing w:line="360" w:lineRule="auto"/>
              <w:ind w:firstLine="480" w:firstLineChars="200"/>
              <w:rPr>
                <w:rFonts w:hAnsiTheme="majorEastAsia" w:eastAsiaTheme="majorEastAsia"/>
                <w:kern w:val="0"/>
                <w:sz w:val="24"/>
              </w:rPr>
            </w:pPr>
            <w:r>
              <w:rPr>
                <w:rFonts w:hint="eastAsia" w:hAnsiTheme="majorEastAsia" w:eastAsiaTheme="majorEastAsia"/>
                <w:kern w:val="0"/>
                <w:sz w:val="24"/>
              </w:rPr>
              <w:t>本项目改造后</w:t>
            </w:r>
            <w:r>
              <w:rPr>
                <w:rFonts w:hint="eastAsia"/>
                <w:sz w:val="24"/>
                <w:szCs w:val="21"/>
              </w:rPr>
              <w:t>步进加热炉</w:t>
            </w:r>
            <w:r>
              <w:rPr>
                <w:rFonts w:hint="eastAsia" w:hAnsiTheme="majorEastAsia" w:eastAsiaTheme="majorEastAsia"/>
                <w:kern w:val="0"/>
                <w:sz w:val="24"/>
              </w:rPr>
              <w:t>天然气使用量约0.140万Nm</w:t>
            </w:r>
            <w:r>
              <w:rPr>
                <w:rFonts w:hint="eastAsia" w:hAnsiTheme="majorEastAsia" w:eastAsiaTheme="majorEastAsia"/>
                <w:kern w:val="0"/>
                <w:sz w:val="24"/>
                <w:vertAlign w:val="superscript"/>
              </w:rPr>
              <w:t>3</w:t>
            </w:r>
            <w:r>
              <w:rPr>
                <w:rFonts w:hint="eastAsia" w:hAnsiTheme="majorEastAsia" w:eastAsiaTheme="majorEastAsia"/>
                <w:kern w:val="0"/>
                <w:sz w:val="24"/>
              </w:rPr>
              <w:t>/h，根据上式计算：</w:t>
            </w:r>
            <w:r>
              <w:rPr>
                <w:rFonts w:hint="eastAsia"/>
                <w:sz w:val="24"/>
                <w:szCs w:val="21"/>
              </w:rPr>
              <w:t>环形加热炉</w:t>
            </w:r>
            <w:r>
              <w:rPr>
                <w:rFonts w:hint="eastAsia" w:hAnsiTheme="majorEastAsia" w:eastAsiaTheme="majorEastAsia"/>
                <w:kern w:val="0"/>
                <w:sz w:val="24"/>
              </w:rPr>
              <w:t>烟气量：0.140×10</w:t>
            </w:r>
            <w:r>
              <w:rPr>
                <w:rFonts w:hint="eastAsia" w:hAnsiTheme="majorEastAsia" w:eastAsiaTheme="majorEastAsia"/>
                <w:kern w:val="0"/>
                <w:sz w:val="24"/>
                <w:vertAlign w:val="superscript"/>
              </w:rPr>
              <w:t>4</w:t>
            </w:r>
            <w:r>
              <w:rPr>
                <w:rFonts w:hint="eastAsia" w:hAnsiTheme="majorEastAsia" w:eastAsiaTheme="majorEastAsia"/>
                <w:kern w:val="0"/>
                <w:sz w:val="24"/>
              </w:rPr>
              <w:t>Nm</w:t>
            </w:r>
            <w:r>
              <w:rPr>
                <w:rFonts w:hint="eastAsia" w:hAnsiTheme="majorEastAsia" w:eastAsiaTheme="majorEastAsia"/>
                <w:kern w:val="0"/>
                <w:sz w:val="24"/>
                <w:vertAlign w:val="superscript"/>
              </w:rPr>
              <w:t>3</w:t>
            </w:r>
            <w:r>
              <w:rPr>
                <w:rFonts w:hint="eastAsia" w:hAnsiTheme="majorEastAsia" w:eastAsiaTheme="majorEastAsia"/>
                <w:kern w:val="0"/>
                <w:sz w:val="24"/>
              </w:rPr>
              <w:t>/h×10.9m</w:t>
            </w:r>
            <w:r>
              <w:rPr>
                <w:rFonts w:hint="eastAsia" w:hAnsiTheme="majorEastAsia" w:eastAsiaTheme="majorEastAsia"/>
                <w:kern w:val="0"/>
                <w:sz w:val="24"/>
                <w:vertAlign w:val="superscript"/>
              </w:rPr>
              <w:t>3</w:t>
            </w:r>
            <w:r>
              <w:rPr>
                <w:rFonts w:hint="eastAsia" w:hAnsiTheme="majorEastAsia" w:eastAsiaTheme="majorEastAsia"/>
                <w:kern w:val="0"/>
                <w:sz w:val="24"/>
              </w:rPr>
              <w:t>/m</w:t>
            </w:r>
            <w:r>
              <w:rPr>
                <w:rFonts w:hint="eastAsia" w:hAnsiTheme="majorEastAsia" w:eastAsiaTheme="majorEastAsia"/>
                <w:kern w:val="0"/>
                <w:sz w:val="24"/>
                <w:vertAlign w:val="superscript"/>
              </w:rPr>
              <w:t>3</w:t>
            </w:r>
            <w:r>
              <w:rPr>
                <w:rFonts w:hint="eastAsia" w:hAnsiTheme="majorEastAsia" w:eastAsiaTheme="majorEastAsia"/>
                <w:kern w:val="0"/>
                <w:sz w:val="24"/>
              </w:rPr>
              <w:t>=15314.5Nm</w:t>
            </w:r>
            <w:r>
              <w:rPr>
                <w:rFonts w:hint="eastAsia" w:hAnsiTheme="majorEastAsia" w:eastAsiaTheme="majorEastAsia"/>
                <w:kern w:val="0"/>
                <w:sz w:val="24"/>
                <w:vertAlign w:val="superscript"/>
              </w:rPr>
              <w:t>3</w:t>
            </w:r>
            <w:r>
              <w:rPr>
                <w:rFonts w:hint="eastAsia" w:hAnsiTheme="majorEastAsia" w:eastAsiaTheme="majorEastAsia"/>
                <w:kern w:val="0"/>
                <w:sz w:val="24"/>
              </w:rPr>
              <w:t>/h。</w:t>
            </w:r>
          </w:p>
          <w:p w14:paraId="00E21552">
            <w:pPr>
              <w:autoSpaceDE w:val="0"/>
              <w:autoSpaceDN w:val="0"/>
              <w:adjustRightInd w:val="0"/>
              <w:spacing w:line="360" w:lineRule="auto"/>
              <w:ind w:firstLine="480" w:firstLineChars="200"/>
              <w:rPr>
                <w:rFonts w:hAnsiTheme="majorEastAsia" w:eastAsiaTheme="majorEastAsia"/>
                <w:kern w:val="0"/>
                <w:sz w:val="24"/>
              </w:rPr>
            </w:pPr>
            <w:r>
              <w:rPr>
                <w:rFonts w:hint="eastAsia" w:hAnsiTheme="majorEastAsia" w:eastAsiaTheme="majorEastAsia"/>
                <w:kern w:val="0"/>
                <w:sz w:val="24"/>
              </w:rPr>
              <w:t>①二氧化硫</w:t>
            </w:r>
          </w:p>
          <w:p w14:paraId="529CDDCF">
            <w:pPr>
              <w:autoSpaceDE w:val="0"/>
              <w:autoSpaceDN w:val="0"/>
              <w:adjustRightInd w:val="0"/>
              <w:spacing w:line="360" w:lineRule="auto"/>
              <w:ind w:firstLine="480" w:firstLineChars="200"/>
              <w:rPr>
                <w:rFonts w:hAnsiTheme="majorEastAsia" w:eastAsiaTheme="majorEastAsia"/>
                <w:kern w:val="0"/>
                <w:sz w:val="24"/>
              </w:rPr>
            </w:pPr>
            <w:r>
              <w:rPr>
                <w:rFonts w:hint="eastAsia" w:hAnsiTheme="majorEastAsia" w:eastAsiaTheme="majorEastAsia"/>
                <w:kern w:val="0"/>
                <w:sz w:val="24"/>
              </w:rPr>
              <w:t>根据《污染源源强核算技术指南 钢铁工业》（HJ885-2018），轧钢热处理炉烟气中的二氧化硫污染源强核算应采用物料衡算法进行核算，加热炉烟气污染源二氧化硫源强按照如下公式进行核算：</w:t>
            </w:r>
          </w:p>
          <w:p w14:paraId="7E9C3AFD">
            <w:pPr>
              <w:autoSpaceDE w:val="0"/>
              <w:autoSpaceDN w:val="0"/>
              <w:adjustRightInd w:val="0"/>
              <w:spacing w:line="360" w:lineRule="auto"/>
              <w:jc w:val="center"/>
              <w:rPr>
                <w:rFonts w:hAnsiTheme="majorEastAsia" w:eastAsiaTheme="majorEastAsia"/>
                <w:kern w:val="0"/>
                <w:sz w:val="24"/>
              </w:rPr>
            </w:pPr>
            <w:r>
              <w:rPr>
                <w:rFonts w:hint="eastAsia" w:hAnsiTheme="majorEastAsia" w:eastAsiaTheme="majorEastAsia"/>
                <w:kern w:val="0"/>
                <w:sz w:val="24"/>
              </w:rPr>
              <w:drawing>
                <wp:inline distT="0" distB="0" distL="0" distR="0">
                  <wp:extent cx="2962275" cy="523240"/>
                  <wp:effectExtent l="19050" t="0" r="952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6" cstate="print"/>
                          <a:srcRect/>
                          <a:stretch>
                            <a:fillRect/>
                          </a:stretch>
                        </pic:blipFill>
                        <pic:spPr>
                          <a:xfrm>
                            <a:off x="0" y="0"/>
                            <a:ext cx="2962275" cy="523717"/>
                          </a:xfrm>
                          <a:prstGeom prst="rect">
                            <a:avLst/>
                          </a:prstGeom>
                          <a:noFill/>
                          <a:ln w="9525">
                            <a:noFill/>
                            <a:miter lim="800000"/>
                            <a:headEnd/>
                            <a:tailEnd/>
                          </a:ln>
                        </pic:spPr>
                      </pic:pic>
                    </a:graphicData>
                  </a:graphic>
                </wp:inline>
              </w:drawing>
            </w:r>
          </w:p>
          <w:p w14:paraId="56DD2748">
            <w:pPr>
              <w:autoSpaceDE w:val="0"/>
              <w:autoSpaceDN w:val="0"/>
              <w:adjustRightInd w:val="0"/>
              <w:spacing w:line="360" w:lineRule="auto"/>
              <w:ind w:firstLine="480" w:firstLineChars="200"/>
              <w:rPr>
                <w:rFonts w:hAnsiTheme="majorEastAsia" w:eastAsiaTheme="majorEastAsia"/>
                <w:kern w:val="0"/>
                <w:sz w:val="24"/>
              </w:rPr>
            </w:pPr>
            <w:r>
              <w:rPr>
                <w:rFonts w:hint="eastAsia" w:hAnsiTheme="majorEastAsia" w:eastAsiaTheme="majorEastAsia"/>
                <w:kern w:val="0"/>
                <w:sz w:val="24"/>
              </w:rPr>
              <w:t>式中：D——核算时段内二氧化硫排放量，t；</w:t>
            </w:r>
          </w:p>
          <w:p w14:paraId="28A5D259">
            <w:pPr>
              <w:autoSpaceDE w:val="0"/>
              <w:autoSpaceDN w:val="0"/>
              <w:adjustRightInd w:val="0"/>
              <w:spacing w:line="360" w:lineRule="auto"/>
              <w:ind w:firstLine="1200" w:firstLineChars="500"/>
              <w:rPr>
                <w:rFonts w:hAnsiTheme="majorEastAsia" w:eastAsiaTheme="majorEastAsia"/>
                <w:kern w:val="0"/>
                <w:sz w:val="24"/>
              </w:rPr>
            </w:pPr>
            <w:r>
              <w:rPr>
                <w:rFonts w:hint="eastAsia" w:hAnsiTheme="majorEastAsia" w:eastAsiaTheme="majorEastAsia"/>
                <w:kern w:val="0"/>
                <w:sz w:val="24"/>
              </w:rPr>
              <w:t>fgi——核算时段内第i种燃气的使用量，10</w:t>
            </w:r>
            <w:r>
              <w:rPr>
                <w:rFonts w:hint="eastAsia" w:hAnsiTheme="majorEastAsia" w:eastAsiaTheme="majorEastAsia"/>
                <w:kern w:val="0"/>
                <w:sz w:val="24"/>
                <w:vertAlign w:val="superscript"/>
              </w:rPr>
              <w:t>4</w:t>
            </w:r>
            <w:r>
              <w:rPr>
                <w:rFonts w:hint="eastAsia" w:hAnsiTheme="majorEastAsia" w:eastAsiaTheme="majorEastAsia"/>
                <w:kern w:val="0"/>
                <w:sz w:val="24"/>
              </w:rPr>
              <w:t>m</w:t>
            </w:r>
            <w:r>
              <w:rPr>
                <w:rFonts w:hint="eastAsia" w:hAnsiTheme="majorEastAsia" w:eastAsiaTheme="majorEastAsia"/>
                <w:kern w:val="0"/>
                <w:sz w:val="24"/>
                <w:vertAlign w:val="superscript"/>
              </w:rPr>
              <w:t>3</w:t>
            </w:r>
            <w:r>
              <w:rPr>
                <w:rFonts w:hint="eastAsia" w:hAnsiTheme="majorEastAsia" w:eastAsiaTheme="majorEastAsia"/>
                <w:kern w:val="0"/>
                <w:sz w:val="24"/>
              </w:rPr>
              <w:t>；</w:t>
            </w:r>
            <w:r>
              <w:rPr>
                <w:rFonts w:hint="eastAsia"/>
                <w:sz w:val="24"/>
                <w:szCs w:val="21"/>
              </w:rPr>
              <w:t>环形加热炉</w:t>
            </w:r>
            <w:r>
              <w:rPr>
                <w:rFonts w:hint="eastAsia" w:hAnsiTheme="majorEastAsia" w:eastAsiaTheme="majorEastAsia"/>
                <w:kern w:val="0"/>
                <w:sz w:val="24"/>
              </w:rPr>
              <w:t>天然气使用为1739.97万Nm</w:t>
            </w:r>
            <w:r>
              <w:rPr>
                <w:rFonts w:hint="eastAsia" w:hAnsiTheme="majorEastAsia" w:eastAsiaTheme="majorEastAsia"/>
                <w:kern w:val="0"/>
                <w:sz w:val="24"/>
                <w:vertAlign w:val="superscript"/>
              </w:rPr>
              <w:t>3</w:t>
            </w:r>
            <w:r>
              <w:rPr>
                <w:rFonts w:hint="eastAsia" w:hAnsiTheme="majorEastAsia" w:eastAsiaTheme="majorEastAsia"/>
                <w:kern w:val="0"/>
                <w:sz w:val="24"/>
              </w:rPr>
              <w:t>/a</w:t>
            </w:r>
            <w:r>
              <w:rPr>
                <w:rFonts w:hint="eastAsia"/>
                <w:sz w:val="24"/>
                <w:szCs w:val="21"/>
              </w:rPr>
              <w:t>、步进式加热炉</w:t>
            </w:r>
            <w:r>
              <w:rPr>
                <w:rFonts w:hint="eastAsia" w:hAnsiTheme="majorEastAsia" w:eastAsiaTheme="majorEastAsia"/>
                <w:kern w:val="0"/>
                <w:sz w:val="24"/>
              </w:rPr>
              <w:t>天然气使用为869.99万Nm</w:t>
            </w:r>
            <w:r>
              <w:rPr>
                <w:rFonts w:hint="eastAsia" w:hAnsiTheme="majorEastAsia" w:eastAsiaTheme="majorEastAsia"/>
                <w:kern w:val="0"/>
                <w:sz w:val="24"/>
                <w:vertAlign w:val="superscript"/>
              </w:rPr>
              <w:t>3</w:t>
            </w:r>
            <w:r>
              <w:rPr>
                <w:rFonts w:hint="eastAsia" w:hAnsiTheme="majorEastAsia" w:eastAsiaTheme="majorEastAsia"/>
                <w:kern w:val="0"/>
                <w:sz w:val="24"/>
              </w:rPr>
              <w:t>/a。</w:t>
            </w:r>
          </w:p>
          <w:p w14:paraId="1549A8EA">
            <w:pPr>
              <w:autoSpaceDE w:val="0"/>
              <w:autoSpaceDN w:val="0"/>
              <w:adjustRightInd w:val="0"/>
              <w:spacing w:line="360" w:lineRule="auto"/>
              <w:ind w:firstLine="1200" w:firstLineChars="500"/>
              <w:rPr>
                <w:rFonts w:hAnsiTheme="majorEastAsia" w:eastAsiaTheme="majorEastAsia"/>
                <w:kern w:val="0"/>
                <w:sz w:val="24"/>
              </w:rPr>
            </w:pPr>
            <w:r>
              <w:rPr>
                <w:rFonts w:hint="eastAsia" w:hAnsiTheme="majorEastAsia" w:eastAsiaTheme="majorEastAsia"/>
                <w:kern w:val="0"/>
                <w:sz w:val="24"/>
              </w:rPr>
              <w:t>Sfgi——核算时段内第i种燃气中总含硫量，mg/m</w:t>
            </w:r>
            <w:r>
              <w:rPr>
                <w:rFonts w:hint="eastAsia" w:hAnsiTheme="majorEastAsia" w:eastAsiaTheme="majorEastAsia"/>
                <w:kern w:val="0"/>
                <w:sz w:val="24"/>
                <w:vertAlign w:val="superscript"/>
              </w:rPr>
              <w:t>3</w:t>
            </w:r>
            <w:r>
              <w:rPr>
                <w:rFonts w:hint="eastAsia" w:hAnsiTheme="majorEastAsia" w:eastAsiaTheme="majorEastAsia"/>
                <w:kern w:val="0"/>
                <w:sz w:val="24"/>
              </w:rPr>
              <w:t>。天然气H</w:t>
            </w:r>
            <w:r>
              <w:rPr>
                <w:rFonts w:hint="eastAsia" w:hAnsiTheme="majorEastAsia" w:eastAsiaTheme="majorEastAsia"/>
                <w:kern w:val="0"/>
                <w:sz w:val="24"/>
                <w:vertAlign w:val="subscript"/>
              </w:rPr>
              <w:t>2</w:t>
            </w:r>
            <w:r>
              <w:rPr>
                <w:rFonts w:hint="eastAsia" w:hAnsiTheme="majorEastAsia" w:eastAsiaTheme="majorEastAsia"/>
                <w:kern w:val="0"/>
                <w:sz w:val="24"/>
              </w:rPr>
              <w:t>S含量为1.4578 mg/m</w:t>
            </w:r>
            <w:r>
              <w:rPr>
                <w:rFonts w:hint="eastAsia" w:hAnsiTheme="majorEastAsia" w:eastAsiaTheme="majorEastAsia"/>
                <w:kern w:val="0"/>
                <w:sz w:val="24"/>
                <w:vertAlign w:val="superscript"/>
              </w:rPr>
              <w:t>3</w:t>
            </w:r>
            <w:r>
              <w:rPr>
                <w:rFonts w:hint="eastAsia" w:hAnsiTheme="majorEastAsia" w:eastAsiaTheme="majorEastAsia"/>
                <w:kern w:val="0"/>
                <w:sz w:val="24"/>
              </w:rPr>
              <w:t>。</w:t>
            </w:r>
          </w:p>
          <w:p w14:paraId="66127F82">
            <w:pPr>
              <w:autoSpaceDE w:val="0"/>
              <w:autoSpaceDN w:val="0"/>
              <w:adjustRightInd w:val="0"/>
              <w:spacing w:line="360" w:lineRule="auto"/>
              <w:ind w:firstLine="1200" w:firstLineChars="500"/>
              <w:rPr>
                <w:rFonts w:hAnsiTheme="majorEastAsia" w:eastAsiaTheme="majorEastAsia"/>
                <w:kern w:val="0"/>
                <w:sz w:val="24"/>
              </w:rPr>
            </w:pPr>
            <w:r>
              <w:rPr>
                <w:rFonts w:hint="eastAsia" w:hAnsiTheme="majorEastAsia" w:eastAsiaTheme="majorEastAsia"/>
                <w:kern w:val="0"/>
                <w:sz w:val="24"/>
              </w:rPr>
              <w:t>η——脱硫效率，%。本次直排，取0。</w:t>
            </w:r>
          </w:p>
          <w:p w14:paraId="5C4C715C">
            <w:pPr>
              <w:autoSpaceDE w:val="0"/>
              <w:autoSpaceDN w:val="0"/>
              <w:adjustRightInd w:val="0"/>
              <w:spacing w:line="360" w:lineRule="auto"/>
              <w:ind w:firstLine="480" w:firstLineChars="200"/>
              <w:rPr>
                <w:rFonts w:hAnsiTheme="majorEastAsia" w:eastAsiaTheme="majorEastAsia"/>
                <w:kern w:val="0"/>
                <w:sz w:val="24"/>
              </w:rPr>
            </w:pPr>
            <w:r>
              <w:rPr>
                <w:rFonts w:hint="eastAsia" w:hAnsiTheme="majorEastAsia" w:eastAsiaTheme="majorEastAsia"/>
                <w:kern w:val="0"/>
                <w:sz w:val="24"/>
              </w:rPr>
              <w:t>经计算，本项目</w:t>
            </w:r>
            <w:r>
              <w:rPr>
                <w:rFonts w:hint="eastAsia"/>
                <w:sz w:val="24"/>
                <w:szCs w:val="21"/>
              </w:rPr>
              <w:t>环形</w:t>
            </w:r>
            <w:r>
              <w:rPr>
                <w:rFonts w:hint="eastAsia" w:hAnsiTheme="majorEastAsia" w:eastAsiaTheme="majorEastAsia"/>
                <w:kern w:val="0"/>
                <w:sz w:val="24"/>
              </w:rPr>
              <w:t>加热炉烟气污染源二氧化硫排放量为0.048t/a，即0.008kg/h，二氧化硫排放浓度为0.25mg/m</w:t>
            </w:r>
            <w:r>
              <w:rPr>
                <w:rFonts w:hint="eastAsia" w:hAnsiTheme="majorEastAsia" w:eastAsiaTheme="majorEastAsia"/>
                <w:kern w:val="0"/>
                <w:sz w:val="24"/>
                <w:vertAlign w:val="superscript"/>
              </w:rPr>
              <w:t>3</w:t>
            </w:r>
            <w:r>
              <w:rPr>
                <w:rFonts w:hint="eastAsia" w:hAnsiTheme="majorEastAsia" w:eastAsiaTheme="majorEastAsia"/>
                <w:kern w:val="0"/>
                <w:sz w:val="24"/>
              </w:rPr>
              <w:t>；</w:t>
            </w:r>
            <w:r>
              <w:rPr>
                <w:rFonts w:hint="eastAsia"/>
                <w:sz w:val="24"/>
                <w:szCs w:val="21"/>
              </w:rPr>
              <w:t>步进</w:t>
            </w:r>
            <w:r>
              <w:rPr>
                <w:rFonts w:hint="eastAsia" w:hAnsiTheme="majorEastAsia" w:eastAsiaTheme="majorEastAsia"/>
                <w:kern w:val="0"/>
                <w:sz w:val="24"/>
              </w:rPr>
              <w:t>加热炉烟气污染源二氧化硫排放量为0.024t/a，即0.004kg/h，二氧化硫排放浓度为0.25mg/m</w:t>
            </w:r>
            <w:r>
              <w:rPr>
                <w:rFonts w:hint="eastAsia" w:hAnsiTheme="majorEastAsia" w:eastAsiaTheme="majorEastAsia"/>
                <w:kern w:val="0"/>
                <w:sz w:val="24"/>
                <w:vertAlign w:val="superscript"/>
              </w:rPr>
              <w:t>3</w:t>
            </w:r>
            <w:r>
              <w:rPr>
                <w:rFonts w:hint="eastAsia" w:hAnsiTheme="majorEastAsia" w:eastAsiaTheme="majorEastAsia"/>
                <w:kern w:val="0"/>
                <w:sz w:val="24"/>
              </w:rPr>
              <w:t>。</w:t>
            </w:r>
          </w:p>
          <w:p w14:paraId="152F3F81">
            <w:pPr>
              <w:autoSpaceDE w:val="0"/>
              <w:autoSpaceDN w:val="0"/>
              <w:adjustRightInd w:val="0"/>
              <w:spacing w:line="360" w:lineRule="auto"/>
              <w:ind w:firstLine="480" w:firstLineChars="200"/>
              <w:rPr>
                <w:rFonts w:hAnsiTheme="majorEastAsia" w:eastAsiaTheme="majorEastAsia"/>
                <w:kern w:val="0"/>
                <w:sz w:val="24"/>
              </w:rPr>
            </w:pPr>
            <w:r>
              <w:rPr>
                <w:rFonts w:hint="eastAsia" w:hAnsiTheme="majorEastAsia" w:eastAsiaTheme="majorEastAsia"/>
                <w:kern w:val="0"/>
                <w:sz w:val="24"/>
              </w:rPr>
              <w:t>②氮氧化物</w:t>
            </w:r>
          </w:p>
          <w:p w14:paraId="5DFEEEF6">
            <w:pPr>
              <w:autoSpaceDE w:val="0"/>
              <w:autoSpaceDN w:val="0"/>
              <w:adjustRightInd w:val="0"/>
              <w:spacing w:line="360" w:lineRule="auto"/>
              <w:ind w:firstLine="480" w:firstLineChars="200"/>
              <w:rPr>
                <w:rFonts w:hAnsiTheme="majorEastAsia" w:eastAsiaTheme="majorEastAsia"/>
                <w:kern w:val="0"/>
                <w:sz w:val="24"/>
              </w:rPr>
            </w:pPr>
            <w:r>
              <w:rPr>
                <w:rFonts w:hint="eastAsia" w:hAnsiTheme="majorEastAsia" w:eastAsiaTheme="majorEastAsia"/>
                <w:kern w:val="0"/>
                <w:sz w:val="24"/>
              </w:rPr>
              <w:t>根据《污染源源强核算技术指南 钢铁工业》（HJ885-2018）“表A.1钢铁工业废气污染源源强核算方法选取一览表”，在核算新（改、扩）建工程污染源时，对于热轧项目热处理炉产生的氮氧化物采用“类比法”。</w:t>
            </w:r>
          </w:p>
          <w:p w14:paraId="79C665A6">
            <w:pPr>
              <w:autoSpaceDE w:val="0"/>
              <w:autoSpaceDN w:val="0"/>
              <w:adjustRightInd w:val="0"/>
              <w:spacing w:line="360" w:lineRule="auto"/>
              <w:ind w:firstLine="480" w:firstLineChars="200"/>
              <w:rPr>
                <w:rFonts w:hAnsiTheme="majorEastAsia" w:eastAsiaTheme="majorEastAsia"/>
                <w:kern w:val="0"/>
                <w:sz w:val="24"/>
              </w:rPr>
            </w:pPr>
            <w:r>
              <w:rPr>
                <w:rFonts w:hint="eastAsia" w:hAnsiTheme="majorEastAsia" w:eastAsiaTheme="majorEastAsia"/>
                <w:kern w:val="0"/>
                <w:sz w:val="24"/>
              </w:rPr>
              <w:t>本次类比《年65万吨无缝钢管生产线建设项目（一期15万吨/年）竣工环境保护验收监测报告表》，该项目采用热轧工艺，产品为无缝钢管，加热炉配备低氮燃烧器，氮氧化物排放浓度为112-118mg/m</w:t>
            </w:r>
            <w:r>
              <w:rPr>
                <w:rFonts w:hint="eastAsia" w:hAnsiTheme="majorEastAsia" w:eastAsiaTheme="majorEastAsia"/>
                <w:kern w:val="0"/>
                <w:sz w:val="24"/>
                <w:vertAlign w:val="superscript"/>
              </w:rPr>
              <w:t>3</w:t>
            </w:r>
            <w:r>
              <w:rPr>
                <w:rFonts w:hint="eastAsia" w:hAnsiTheme="majorEastAsia" w:eastAsiaTheme="majorEastAsia"/>
                <w:kern w:val="0"/>
                <w:sz w:val="24"/>
              </w:rPr>
              <w:t>。</w:t>
            </w:r>
          </w:p>
          <w:p w14:paraId="2D125A03">
            <w:pPr>
              <w:autoSpaceDE w:val="0"/>
              <w:autoSpaceDN w:val="0"/>
              <w:adjustRightInd w:val="0"/>
              <w:spacing w:line="360" w:lineRule="auto"/>
              <w:ind w:firstLine="480" w:firstLineChars="200"/>
              <w:rPr>
                <w:rFonts w:hAnsiTheme="majorEastAsia" w:eastAsiaTheme="majorEastAsia"/>
                <w:kern w:val="0"/>
                <w:sz w:val="24"/>
              </w:rPr>
            </w:pPr>
            <w:r>
              <w:rPr>
                <w:rFonts w:hint="eastAsia" w:hAnsiTheme="majorEastAsia" w:eastAsiaTheme="majorEastAsia"/>
                <w:kern w:val="0"/>
                <w:sz w:val="24"/>
              </w:rPr>
              <w:t>项目热处理环节年有效运行小时数为6200h，项目</w:t>
            </w:r>
            <w:r>
              <w:rPr>
                <w:rFonts w:hint="eastAsia"/>
                <w:sz w:val="24"/>
                <w:szCs w:val="21"/>
              </w:rPr>
              <w:t>环形</w:t>
            </w:r>
            <w:r>
              <w:rPr>
                <w:rFonts w:hint="eastAsia" w:hAnsiTheme="majorEastAsia" w:eastAsiaTheme="majorEastAsia"/>
                <w:kern w:val="0"/>
                <w:sz w:val="24"/>
              </w:rPr>
              <w:t>加热炉配备低氮燃烧设施，氮氧化物减排40%，最终经80mFQ-1排气筒排放，排放浓度为118mg/m</w:t>
            </w:r>
            <w:r>
              <w:rPr>
                <w:rFonts w:hint="eastAsia" w:hAnsiTheme="majorEastAsia" w:eastAsiaTheme="majorEastAsia"/>
                <w:kern w:val="0"/>
                <w:sz w:val="24"/>
                <w:vertAlign w:val="superscript"/>
              </w:rPr>
              <w:t>3</w:t>
            </w:r>
            <w:r>
              <w:rPr>
                <w:rFonts w:hint="eastAsia" w:hAnsiTheme="majorEastAsia" w:eastAsiaTheme="majorEastAsia"/>
                <w:kern w:val="0"/>
                <w:sz w:val="24"/>
              </w:rPr>
              <w:t>，排放速率为3.614kg/h，年排放量为22.41t/a；</w:t>
            </w:r>
            <w:r>
              <w:rPr>
                <w:rFonts w:hint="eastAsia"/>
                <w:sz w:val="24"/>
                <w:szCs w:val="21"/>
              </w:rPr>
              <w:t>步进</w:t>
            </w:r>
            <w:r>
              <w:rPr>
                <w:rFonts w:hint="eastAsia" w:hAnsiTheme="majorEastAsia" w:eastAsiaTheme="majorEastAsia"/>
                <w:kern w:val="0"/>
                <w:sz w:val="24"/>
              </w:rPr>
              <w:t>加热炉配备低氮燃烧设施，氮氧化物减排40%，最终经68mFQ-2排气筒排放，排放浓度为118mg/m</w:t>
            </w:r>
            <w:r>
              <w:rPr>
                <w:rFonts w:hint="eastAsia" w:hAnsiTheme="majorEastAsia" w:eastAsiaTheme="majorEastAsia"/>
                <w:kern w:val="0"/>
                <w:sz w:val="24"/>
                <w:vertAlign w:val="superscript"/>
              </w:rPr>
              <w:t>3</w:t>
            </w:r>
            <w:r>
              <w:rPr>
                <w:rFonts w:hint="eastAsia" w:hAnsiTheme="majorEastAsia" w:eastAsiaTheme="majorEastAsia"/>
                <w:kern w:val="0"/>
                <w:sz w:val="24"/>
              </w:rPr>
              <w:t>，排放速率为1.807kg/h，年排放量为11.20t/a。</w:t>
            </w:r>
          </w:p>
          <w:p w14:paraId="6E788557">
            <w:pPr>
              <w:autoSpaceDE w:val="0"/>
              <w:autoSpaceDN w:val="0"/>
              <w:adjustRightInd w:val="0"/>
              <w:spacing w:line="360" w:lineRule="auto"/>
              <w:ind w:firstLine="480" w:firstLineChars="200"/>
              <w:rPr>
                <w:rFonts w:hAnsiTheme="majorEastAsia" w:eastAsiaTheme="majorEastAsia"/>
                <w:kern w:val="0"/>
                <w:sz w:val="24"/>
              </w:rPr>
            </w:pPr>
            <w:r>
              <w:rPr>
                <w:rFonts w:hint="eastAsia" w:hAnsiTheme="majorEastAsia" w:eastAsiaTheme="majorEastAsia"/>
                <w:kern w:val="0"/>
                <w:sz w:val="24"/>
              </w:rPr>
              <w:t>③颗粒物</w:t>
            </w:r>
          </w:p>
          <w:p w14:paraId="495BE52A">
            <w:pPr>
              <w:autoSpaceDE w:val="0"/>
              <w:autoSpaceDN w:val="0"/>
              <w:adjustRightInd w:val="0"/>
              <w:spacing w:line="360" w:lineRule="auto"/>
              <w:ind w:firstLine="480" w:firstLineChars="200"/>
              <w:rPr>
                <w:rFonts w:hAnsiTheme="majorEastAsia" w:eastAsiaTheme="majorEastAsia"/>
                <w:kern w:val="0"/>
                <w:sz w:val="24"/>
              </w:rPr>
            </w:pPr>
            <w:r>
              <w:rPr>
                <w:rFonts w:hint="eastAsia" w:hAnsiTheme="majorEastAsia" w:eastAsiaTheme="majorEastAsia"/>
                <w:kern w:val="0"/>
                <w:sz w:val="24"/>
              </w:rPr>
              <w:t>本次类比《年65万吨无缝钢管生产线建设项目（一期15万吨/年）竣工环境保护验收监测报告表》，该项目采用热轧工艺，产品为无缝钢管，加热炉颗粒物排放浓度为5.65-6.36mg/m</w:t>
            </w:r>
            <w:r>
              <w:rPr>
                <w:rFonts w:hint="eastAsia" w:hAnsiTheme="majorEastAsia" w:eastAsiaTheme="majorEastAsia"/>
                <w:kern w:val="0"/>
                <w:sz w:val="24"/>
                <w:vertAlign w:val="superscript"/>
              </w:rPr>
              <w:t>3</w:t>
            </w:r>
            <w:r>
              <w:rPr>
                <w:rFonts w:hint="eastAsia" w:hAnsiTheme="majorEastAsia" w:eastAsiaTheme="majorEastAsia"/>
                <w:kern w:val="0"/>
                <w:sz w:val="24"/>
              </w:rPr>
              <w:t>，本次评价保守取值10mg/m</w:t>
            </w:r>
            <w:r>
              <w:rPr>
                <w:rFonts w:hint="eastAsia" w:hAnsiTheme="majorEastAsia" w:eastAsiaTheme="majorEastAsia"/>
                <w:kern w:val="0"/>
                <w:sz w:val="24"/>
                <w:vertAlign w:val="superscript"/>
              </w:rPr>
              <w:t>3</w:t>
            </w:r>
            <w:r>
              <w:rPr>
                <w:rFonts w:hint="eastAsia" w:hAnsiTheme="majorEastAsia" w:eastAsiaTheme="majorEastAsia"/>
                <w:kern w:val="0"/>
                <w:sz w:val="24"/>
              </w:rPr>
              <w:t>。项目</w:t>
            </w:r>
            <w:r>
              <w:rPr>
                <w:rFonts w:hint="eastAsia"/>
                <w:sz w:val="24"/>
                <w:szCs w:val="21"/>
              </w:rPr>
              <w:t>环形</w:t>
            </w:r>
            <w:r>
              <w:rPr>
                <w:rFonts w:hint="eastAsia" w:hAnsiTheme="majorEastAsia" w:eastAsiaTheme="majorEastAsia"/>
                <w:kern w:val="0"/>
                <w:sz w:val="24"/>
              </w:rPr>
              <w:t>加热炉排放速率为0.306kg/h，年排放量为1.897t/a；项目</w:t>
            </w:r>
            <w:r>
              <w:rPr>
                <w:rFonts w:hint="eastAsia"/>
                <w:sz w:val="24"/>
                <w:szCs w:val="21"/>
              </w:rPr>
              <w:t>步进</w:t>
            </w:r>
            <w:r>
              <w:rPr>
                <w:rFonts w:hint="eastAsia" w:hAnsiTheme="majorEastAsia" w:eastAsiaTheme="majorEastAsia"/>
                <w:kern w:val="0"/>
                <w:sz w:val="24"/>
              </w:rPr>
              <w:t>加热炉排放速率为0.153kg/h，年排放量为0.949t/a。</w:t>
            </w:r>
          </w:p>
          <w:p w14:paraId="5FDF1FF6">
            <w:pPr>
              <w:autoSpaceDE w:val="0"/>
              <w:autoSpaceDN w:val="0"/>
              <w:adjustRightInd w:val="0"/>
              <w:spacing w:line="360" w:lineRule="auto"/>
              <w:ind w:firstLine="482" w:firstLineChars="200"/>
              <w:rPr>
                <w:rFonts w:hAnsiTheme="majorEastAsia" w:eastAsiaTheme="majorEastAsia"/>
                <w:b/>
                <w:kern w:val="0"/>
                <w:sz w:val="24"/>
              </w:rPr>
            </w:pPr>
            <w:r>
              <w:rPr>
                <w:rFonts w:hint="eastAsia" w:hAnsiTheme="majorEastAsia" w:eastAsiaTheme="majorEastAsia"/>
                <w:b/>
                <w:kern w:val="0"/>
                <w:sz w:val="24"/>
              </w:rPr>
              <w:t>（2）</w:t>
            </w:r>
            <w:r>
              <w:rPr>
                <w:rFonts w:hAnsi="宋体"/>
                <w:b/>
                <w:spacing w:val="10"/>
                <w:sz w:val="24"/>
              </w:rPr>
              <w:t>喷硼砂</w:t>
            </w:r>
            <w:r>
              <w:rPr>
                <w:rFonts w:hint="eastAsia" w:hAnsi="宋体"/>
                <w:b/>
                <w:spacing w:val="10"/>
                <w:sz w:val="24"/>
              </w:rPr>
              <w:t>作业</w:t>
            </w:r>
            <w:r>
              <w:rPr>
                <w:rFonts w:hAnsi="宋体"/>
                <w:b/>
                <w:spacing w:val="10"/>
                <w:sz w:val="24"/>
              </w:rPr>
              <w:t>、连轧管</w:t>
            </w:r>
            <w:r>
              <w:rPr>
                <w:rFonts w:hint="eastAsia" w:hAnsi="宋体"/>
                <w:b/>
                <w:spacing w:val="10"/>
                <w:sz w:val="24"/>
              </w:rPr>
              <w:t>作业</w:t>
            </w:r>
            <w:r>
              <w:rPr>
                <w:rFonts w:hint="eastAsia"/>
                <w:b/>
                <w:sz w:val="24"/>
                <w:szCs w:val="21"/>
              </w:rPr>
              <w:t>粉尘</w:t>
            </w:r>
          </w:p>
          <w:p w14:paraId="36AE9843">
            <w:pPr>
              <w:autoSpaceDE w:val="0"/>
              <w:autoSpaceDN w:val="0"/>
              <w:adjustRightInd w:val="0"/>
              <w:spacing w:line="360" w:lineRule="auto"/>
              <w:ind w:firstLine="480" w:firstLineChars="200"/>
              <w:rPr>
                <w:rFonts w:hAnsiTheme="majorEastAsia" w:eastAsiaTheme="majorEastAsia"/>
                <w:kern w:val="0"/>
                <w:sz w:val="24"/>
              </w:rPr>
            </w:pPr>
            <w:r>
              <w:rPr>
                <w:rFonts w:hint="eastAsia" w:hAnsiTheme="majorEastAsia" w:eastAsiaTheme="majorEastAsia"/>
                <w:kern w:val="0"/>
                <w:sz w:val="24"/>
              </w:rPr>
              <w:t>本项目喷硼砂作业、连轧管作业时会产生粉尘，连轧管区粉尘主要成分是氧化铁粉，喷硼砂区粉尘主要成分是不完全燃烧的碳化物。根据《污染源源强核算技术指南 钢铁工业》（HJ885-2018），采用热轧工艺的轧机及其他生产设施等污染源，污染物颗粒物的核算方法为类比法。本项目采用热轧工艺，故喷硼砂作业、连轧管作业采用类比法对污染物颗粒物进行核算。</w:t>
            </w:r>
          </w:p>
          <w:p w14:paraId="0F55F6EE">
            <w:pPr>
              <w:autoSpaceDE w:val="0"/>
              <w:autoSpaceDN w:val="0"/>
              <w:adjustRightInd w:val="0"/>
              <w:spacing w:line="360" w:lineRule="auto"/>
              <w:ind w:firstLine="480" w:firstLineChars="200"/>
              <w:rPr>
                <w:rFonts w:hAnsiTheme="majorEastAsia" w:eastAsiaTheme="majorEastAsia"/>
                <w:kern w:val="0"/>
                <w:sz w:val="24"/>
              </w:rPr>
            </w:pPr>
            <w:r>
              <w:rPr>
                <w:rFonts w:hint="eastAsia" w:hAnsiTheme="majorEastAsia" w:eastAsiaTheme="majorEastAsia"/>
                <w:kern w:val="0"/>
                <w:sz w:val="24"/>
              </w:rPr>
              <w:t>本次类比《50万吨/年φ219无缝钢管生产线建设项目竣工环境保护验收监测报告表》，该项目采用热轧工艺、年φ219产无缝钢管50万吨，喷硼砂作业、穿孔机作业、连轧管作业废气粉尘产生浓度约为375mg/m</w:t>
            </w:r>
            <w:r>
              <w:rPr>
                <w:rFonts w:hint="eastAsia" w:hAnsiTheme="majorEastAsia" w:eastAsiaTheme="majorEastAsia"/>
                <w:kern w:val="0"/>
                <w:sz w:val="24"/>
                <w:vertAlign w:val="superscript"/>
              </w:rPr>
              <w:t>3</w:t>
            </w:r>
            <w:r>
              <w:rPr>
                <w:rFonts w:hint="eastAsia" w:hAnsiTheme="majorEastAsia" w:eastAsiaTheme="majorEastAsia"/>
                <w:kern w:val="0"/>
                <w:sz w:val="24"/>
              </w:rPr>
              <w:t>，故本次喷硼砂作业、穿孔机作业、连轧管作业废气粉尘产生浓度取375mg/m</w:t>
            </w:r>
            <w:r>
              <w:rPr>
                <w:rFonts w:hint="eastAsia" w:hAnsiTheme="majorEastAsia" w:eastAsiaTheme="majorEastAsia"/>
                <w:kern w:val="0"/>
                <w:sz w:val="24"/>
                <w:vertAlign w:val="superscript"/>
              </w:rPr>
              <w:t>3</w:t>
            </w:r>
            <w:r>
              <w:rPr>
                <w:rFonts w:hint="eastAsia" w:hAnsiTheme="majorEastAsia" w:eastAsiaTheme="majorEastAsia"/>
                <w:kern w:val="0"/>
                <w:sz w:val="24"/>
              </w:rPr>
              <w:t>。根据《3130钢压延加工行业系数手册》，采用塑烧板除尘技术去除效率为99%。本项目采用局部集气罩，参照《局部排风罩的高温尘源捕集效率研究》（任改霞等），本次局部集气罩废气收集率取95%。具体详见表4-1。</w:t>
            </w:r>
          </w:p>
          <w:p w14:paraId="6566FDE6">
            <w:pPr>
              <w:spacing w:beforeLines="50"/>
              <w:jc w:val="center"/>
              <w:rPr>
                <w:b/>
                <w:szCs w:val="21"/>
              </w:rPr>
            </w:pPr>
            <w:r>
              <w:rPr>
                <w:rFonts w:hint="eastAsia"/>
                <w:b/>
                <w:szCs w:val="21"/>
              </w:rPr>
              <w:t>表4-1  喷硼砂区、连轧管区粉尘产排情况一览表</w:t>
            </w:r>
          </w:p>
          <w:tbl>
            <w:tblPr>
              <w:tblStyle w:val="3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355"/>
              <w:gridCol w:w="2356"/>
              <w:gridCol w:w="4710"/>
            </w:tblGrid>
            <w:tr w14:paraId="2729DA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11" w:type="dxa"/>
                  <w:gridSpan w:val="2"/>
                  <w:vAlign w:val="center"/>
                </w:tcPr>
                <w:p w14:paraId="31989981">
                  <w:pPr>
                    <w:autoSpaceDE w:val="0"/>
                    <w:autoSpaceDN w:val="0"/>
                    <w:adjustRightInd w:val="0"/>
                    <w:jc w:val="center"/>
                    <w:rPr>
                      <w:rFonts w:hAnsiTheme="majorEastAsia" w:eastAsiaTheme="majorEastAsia"/>
                      <w:b/>
                      <w:kern w:val="0"/>
                      <w:szCs w:val="21"/>
                    </w:rPr>
                  </w:pPr>
                  <w:r>
                    <w:rPr>
                      <w:rFonts w:hint="eastAsia" w:hAnsiTheme="majorEastAsia" w:eastAsiaTheme="majorEastAsia"/>
                      <w:b/>
                      <w:kern w:val="0"/>
                      <w:szCs w:val="21"/>
                    </w:rPr>
                    <w:t>类别</w:t>
                  </w:r>
                </w:p>
              </w:tc>
              <w:tc>
                <w:tcPr>
                  <w:tcW w:w="4710" w:type="dxa"/>
                  <w:vAlign w:val="center"/>
                </w:tcPr>
                <w:p w14:paraId="77A33AF4">
                  <w:pPr>
                    <w:autoSpaceDE w:val="0"/>
                    <w:autoSpaceDN w:val="0"/>
                    <w:adjustRightInd w:val="0"/>
                    <w:jc w:val="center"/>
                    <w:rPr>
                      <w:rFonts w:hAnsiTheme="majorEastAsia" w:eastAsiaTheme="majorEastAsia"/>
                      <w:b/>
                      <w:kern w:val="0"/>
                      <w:szCs w:val="21"/>
                    </w:rPr>
                  </w:pPr>
                  <w:r>
                    <w:rPr>
                      <w:rFonts w:hint="eastAsia" w:hAnsiTheme="majorEastAsia" w:eastAsiaTheme="majorEastAsia"/>
                      <w:b/>
                      <w:kern w:val="0"/>
                      <w:szCs w:val="21"/>
                    </w:rPr>
                    <w:t>喷硼砂作业、连轧管作业粉尘</w:t>
                  </w:r>
                </w:p>
              </w:tc>
            </w:tr>
            <w:tr w14:paraId="39F1E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11" w:type="dxa"/>
                  <w:gridSpan w:val="2"/>
                  <w:vAlign w:val="center"/>
                </w:tcPr>
                <w:p w14:paraId="740AD8FC">
                  <w:pPr>
                    <w:autoSpaceDE w:val="0"/>
                    <w:autoSpaceDN w:val="0"/>
                    <w:adjustRightInd w:val="0"/>
                    <w:jc w:val="center"/>
                    <w:rPr>
                      <w:rFonts w:hAnsiTheme="majorEastAsia" w:eastAsiaTheme="majorEastAsia"/>
                      <w:kern w:val="0"/>
                      <w:szCs w:val="21"/>
                    </w:rPr>
                  </w:pPr>
                  <w:r>
                    <w:rPr>
                      <w:rFonts w:hint="eastAsia" w:hAnsiTheme="majorEastAsia" w:eastAsiaTheme="majorEastAsia"/>
                      <w:kern w:val="0"/>
                      <w:szCs w:val="21"/>
                    </w:rPr>
                    <w:t>风量（m</w:t>
                  </w:r>
                  <w:r>
                    <w:rPr>
                      <w:rFonts w:hint="eastAsia" w:hAnsiTheme="majorEastAsia" w:eastAsiaTheme="majorEastAsia"/>
                      <w:kern w:val="0"/>
                      <w:szCs w:val="21"/>
                      <w:vertAlign w:val="superscript"/>
                    </w:rPr>
                    <w:t>3</w:t>
                  </w:r>
                  <w:r>
                    <w:rPr>
                      <w:rFonts w:hint="eastAsia" w:hAnsiTheme="majorEastAsia" w:eastAsiaTheme="majorEastAsia"/>
                      <w:kern w:val="0"/>
                      <w:szCs w:val="21"/>
                    </w:rPr>
                    <w:t>/h）</w:t>
                  </w:r>
                </w:p>
              </w:tc>
              <w:tc>
                <w:tcPr>
                  <w:tcW w:w="4710" w:type="dxa"/>
                  <w:vAlign w:val="center"/>
                </w:tcPr>
                <w:p w14:paraId="22D4DBAF">
                  <w:pPr>
                    <w:autoSpaceDE w:val="0"/>
                    <w:autoSpaceDN w:val="0"/>
                    <w:adjustRightInd w:val="0"/>
                    <w:jc w:val="center"/>
                    <w:rPr>
                      <w:rFonts w:hAnsiTheme="majorEastAsia" w:eastAsiaTheme="majorEastAsia"/>
                      <w:kern w:val="0"/>
                      <w:szCs w:val="21"/>
                    </w:rPr>
                  </w:pPr>
                  <w:r>
                    <w:rPr>
                      <w:rFonts w:hint="eastAsia" w:hAnsiTheme="majorEastAsia" w:eastAsiaTheme="majorEastAsia"/>
                      <w:kern w:val="0"/>
                      <w:szCs w:val="21"/>
                    </w:rPr>
                    <w:t>200000</w:t>
                  </w:r>
                </w:p>
              </w:tc>
            </w:tr>
            <w:tr w14:paraId="3CB4D9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11" w:type="dxa"/>
                  <w:gridSpan w:val="2"/>
                  <w:vAlign w:val="center"/>
                </w:tcPr>
                <w:p w14:paraId="4F616614">
                  <w:pPr>
                    <w:autoSpaceDE w:val="0"/>
                    <w:autoSpaceDN w:val="0"/>
                    <w:adjustRightInd w:val="0"/>
                    <w:jc w:val="center"/>
                    <w:rPr>
                      <w:rFonts w:hAnsiTheme="majorEastAsia" w:eastAsiaTheme="majorEastAsia"/>
                      <w:kern w:val="0"/>
                      <w:szCs w:val="21"/>
                    </w:rPr>
                  </w:pPr>
                  <w:r>
                    <w:rPr>
                      <w:rFonts w:hint="eastAsia" w:hAnsiTheme="majorEastAsia" w:eastAsiaTheme="majorEastAsia"/>
                      <w:kern w:val="0"/>
                      <w:szCs w:val="21"/>
                    </w:rPr>
                    <w:t>年工作时间（h）</w:t>
                  </w:r>
                </w:p>
              </w:tc>
              <w:tc>
                <w:tcPr>
                  <w:tcW w:w="4710" w:type="dxa"/>
                  <w:vAlign w:val="center"/>
                </w:tcPr>
                <w:p w14:paraId="7ABCEB1B">
                  <w:pPr>
                    <w:autoSpaceDE w:val="0"/>
                    <w:autoSpaceDN w:val="0"/>
                    <w:adjustRightInd w:val="0"/>
                    <w:jc w:val="center"/>
                    <w:rPr>
                      <w:rFonts w:hAnsiTheme="majorEastAsia" w:eastAsiaTheme="majorEastAsia"/>
                      <w:kern w:val="0"/>
                      <w:szCs w:val="21"/>
                    </w:rPr>
                  </w:pPr>
                  <w:r>
                    <w:rPr>
                      <w:rFonts w:hint="eastAsia" w:hAnsiTheme="majorEastAsia" w:eastAsiaTheme="majorEastAsia"/>
                      <w:kern w:val="0"/>
                      <w:szCs w:val="21"/>
                    </w:rPr>
                    <w:t>6200</w:t>
                  </w:r>
                </w:p>
              </w:tc>
            </w:tr>
            <w:tr w14:paraId="72C37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11" w:type="dxa"/>
                  <w:gridSpan w:val="2"/>
                  <w:vAlign w:val="center"/>
                </w:tcPr>
                <w:p w14:paraId="04929356">
                  <w:pPr>
                    <w:autoSpaceDE w:val="0"/>
                    <w:autoSpaceDN w:val="0"/>
                    <w:adjustRightInd w:val="0"/>
                    <w:jc w:val="center"/>
                    <w:rPr>
                      <w:rFonts w:hAnsiTheme="majorEastAsia" w:eastAsiaTheme="majorEastAsia"/>
                      <w:kern w:val="0"/>
                      <w:szCs w:val="21"/>
                    </w:rPr>
                  </w:pPr>
                  <w:r>
                    <w:rPr>
                      <w:rFonts w:hint="eastAsia" w:hAnsiTheme="majorEastAsia" w:eastAsiaTheme="majorEastAsia"/>
                      <w:kern w:val="0"/>
                      <w:szCs w:val="21"/>
                    </w:rPr>
                    <w:t>收集效率（%）</w:t>
                  </w:r>
                </w:p>
              </w:tc>
              <w:tc>
                <w:tcPr>
                  <w:tcW w:w="4710" w:type="dxa"/>
                  <w:vAlign w:val="center"/>
                </w:tcPr>
                <w:p w14:paraId="22910A10">
                  <w:pPr>
                    <w:autoSpaceDE w:val="0"/>
                    <w:autoSpaceDN w:val="0"/>
                    <w:adjustRightInd w:val="0"/>
                    <w:jc w:val="center"/>
                    <w:rPr>
                      <w:rFonts w:hAnsiTheme="majorEastAsia" w:eastAsiaTheme="majorEastAsia"/>
                      <w:kern w:val="0"/>
                      <w:szCs w:val="21"/>
                    </w:rPr>
                  </w:pPr>
                  <w:r>
                    <w:rPr>
                      <w:rFonts w:hint="eastAsia" w:hAnsiTheme="majorEastAsia" w:eastAsiaTheme="majorEastAsia"/>
                      <w:kern w:val="0"/>
                      <w:szCs w:val="21"/>
                    </w:rPr>
                    <w:t>95</w:t>
                  </w:r>
                </w:p>
              </w:tc>
            </w:tr>
            <w:tr w14:paraId="288F6C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55" w:type="dxa"/>
                  <w:vMerge w:val="restart"/>
                  <w:vAlign w:val="center"/>
                </w:tcPr>
                <w:p w14:paraId="7393AFA1">
                  <w:pPr>
                    <w:autoSpaceDE w:val="0"/>
                    <w:autoSpaceDN w:val="0"/>
                    <w:adjustRightInd w:val="0"/>
                    <w:jc w:val="center"/>
                    <w:rPr>
                      <w:rFonts w:hAnsiTheme="majorEastAsia" w:eastAsiaTheme="majorEastAsia"/>
                      <w:kern w:val="0"/>
                      <w:szCs w:val="21"/>
                    </w:rPr>
                  </w:pPr>
                  <w:r>
                    <w:rPr>
                      <w:rFonts w:hint="eastAsia" w:hAnsiTheme="majorEastAsia" w:eastAsiaTheme="majorEastAsia"/>
                      <w:kern w:val="0"/>
                      <w:szCs w:val="21"/>
                    </w:rPr>
                    <w:t>有组织</w:t>
                  </w:r>
                </w:p>
              </w:tc>
              <w:tc>
                <w:tcPr>
                  <w:tcW w:w="2356" w:type="dxa"/>
                  <w:vAlign w:val="center"/>
                </w:tcPr>
                <w:p w14:paraId="7C08FEAF">
                  <w:pPr>
                    <w:autoSpaceDE w:val="0"/>
                    <w:autoSpaceDN w:val="0"/>
                    <w:adjustRightInd w:val="0"/>
                    <w:jc w:val="center"/>
                    <w:rPr>
                      <w:rFonts w:hAnsiTheme="majorEastAsia" w:eastAsiaTheme="majorEastAsia"/>
                      <w:kern w:val="0"/>
                      <w:szCs w:val="21"/>
                    </w:rPr>
                  </w:pPr>
                  <w:r>
                    <w:rPr>
                      <w:rFonts w:hint="eastAsia" w:hAnsiTheme="majorEastAsia" w:eastAsiaTheme="majorEastAsia"/>
                      <w:kern w:val="0"/>
                      <w:szCs w:val="21"/>
                    </w:rPr>
                    <w:t>产生量（t/a）</w:t>
                  </w:r>
                </w:p>
              </w:tc>
              <w:tc>
                <w:tcPr>
                  <w:tcW w:w="4710" w:type="dxa"/>
                  <w:vAlign w:val="center"/>
                </w:tcPr>
                <w:p w14:paraId="25EB31CC">
                  <w:pPr>
                    <w:autoSpaceDE w:val="0"/>
                    <w:autoSpaceDN w:val="0"/>
                    <w:adjustRightInd w:val="0"/>
                    <w:jc w:val="center"/>
                    <w:rPr>
                      <w:rFonts w:hAnsiTheme="majorEastAsia" w:eastAsiaTheme="majorEastAsia"/>
                      <w:kern w:val="0"/>
                      <w:szCs w:val="21"/>
                    </w:rPr>
                  </w:pPr>
                  <w:r>
                    <w:rPr>
                      <w:rFonts w:hint="eastAsia" w:hAnsiTheme="majorEastAsia" w:eastAsiaTheme="majorEastAsia"/>
                      <w:kern w:val="0"/>
                      <w:szCs w:val="21"/>
                    </w:rPr>
                    <w:t>465</w:t>
                  </w:r>
                </w:p>
              </w:tc>
            </w:tr>
            <w:tr w14:paraId="10761B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55" w:type="dxa"/>
                  <w:vMerge w:val="continue"/>
                  <w:vAlign w:val="center"/>
                </w:tcPr>
                <w:p w14:paraId="4BFC9990">
                  <w:pPr>
                    <w:autoSpaceDE w:val="0"/>
                    <w:autoSpaceDN w:val="0"/>
                    <w:adjustRightInd w:val="0"/>
                    <w:jc w:val="center"/>
                    <w:rPr>
                      <w:rFonts w:hAnsiTheme="majorEastAsia" w:eastAsiaTheme="majorEastAsia"/>
                      <w:kern w:val="0"/>
                      <w:szCs w:val="21"/>
                    </w:rPr>
                  </w:pPr>
                </w:p>
              </w:tc>
              <w:tc>
                <w:tcPr>
                  <w:tcW w:w="2356" w:type="dxa"/>
                  <w:vAlign w:val="center"/>
                </w:tcPr>
                <w:p w14:paraId="317D395F">
                  <w:pPr>
                    <w:autoSpaceDE w:val="0"/>
                    <w:autoSpaceDN w:val="0"/>
                    <w:adjustRightInd w:val="0"/>
                    <w:jc w:val="center"/>
                    <w:rPr>
                      <w:rFonts w:hAnsiTheme="majorEastAsia" w:eastAsiaTheme="majorEastAsia"/>
                      <w:kern w:val="0"/>
                      <w:szCs w:val="21"/>
                    </w:rPr>
                  </w:pPr>
                  <w:r>
                    <w:rPr>
                      <w:rFonts w:hint="eastAsia" w:hAnsiTheme="majorEastAsia" w:eastAsiaTheme="majorEastAsia"/>
                      <w:kern w:val="0"/>
                      <w:szCs w:val="21"/>
                    </w:rPr>
                    <w:t>产生浓度（mg/m</w:t>
                  </w:r>
                  <w:r>
                    <w:rPr>
                      <w:rFonts w:hint="eastAsia" w:hAnsiTheme="majorEastAsia" w:eastAsiaTheme="majorEastAsia"/>
                      <w:kern w:val="0"/>
                      <w:szCs w:val="21"/>
                      <w:vertAlign w:val="superscript"/>
                    </w:rPr>
                    <w:t>3</w:t>
                  </w:r>
                  <w:r>
                    <w:rPr>
                      <w:rFonts w:hint="eastAsia" w:hAnsiTheme="majorEastAsia" w:eastAsiaTheme="majorEastAsia"/>
                      <w:kern w:val="0"/>
                      <w:szCs w:val="21"/>
                    </w:rPr>
                    <w:t>）</w:t>
                  </w:r>
                </w:p>
              </w:tc>
              <w:tc>
                <w:tcPr>
                  <w:tcW w:w="4710" w:type="dxa"/>
                  <w:vAlign w:val="center"/>
                </w:tcPr>
                <w:p w14:paraId="117350E7">
                  <w:pPr>
                    <w:autoSpaceDE w:val="0"/>
                    <w:autoSpaceDN w:val="0"/>
                    <w:adjustRightInd w:val="0"/>
                    <w:jc w:val="center"/>
                    <w:rPr>
                      <w:rFonts w:hAnsiTheme="majorEastAsia" w:eastAsiaTheme="majorEastAsia"/>
                      <w:kern w:val="0"/>
                      <w:szCs w:val="21"/>
                    </w:rPr>
                  </w:pPr>
                  <w:r>
                    <w:rPr>
                      <w:rFonts w:hint="eastAsia" w:hAnsiTheme="majorEastAsia" w:eastAsiaTheme="majorEastAsia"/>
                      <w:kern w:val="0"/>
                      <w:szCs w:val="21"/>
                    </w:rPr>
                    <w:t>375</w:t>
                  </w:r>
                </w:p>
              </w:tc>
            </w:tr>
            <w:tr w14:paraId="32CE2F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55" w:type="dxa"/>
                  <w:vMerge w:val="continue"/>
                  <w:vAlign w:val="center"/>
                </w:tcPr>
                <w:p w14:paraId="35909944">
                  <w:pPr>
                    <w:autoSpaceDE w:val="0"/>
                    <w:autoSpaceDN w:val="0"/>
                    <w:adjustRightInd w:val="0"/>
                    <w:jc w:val="center"/>
                    <w:rPr>
                      <w:rFonts w:hAnsiTheme="majorEastAsia" w:eastAsiaTheme="majorEastAsia"/>
                      <w:kern w:val="0"/>
                      <w:szCs w:val="21"/>
                    </w:rPr>
                  </w:pPr>
                </w:p>
              </w:tc>
              <w:tc>
                <w:tcPr>
                  <w:tcW w:w="2356" w:type="dxa"/>
                  <w:vAlign w:val="center"/>
                </w:tcPr>
                <w:p w14:paraId="2A0E9AEE">
                  <w:pPr>
                    <w:autoSpaceDE w:val="0"/>
                    <w:autoSpaceDN w:val="0"/>
                    <w:adjustRightInd w:val="0"/>
                    <w:jc w:val="center"/>
                    <w:rPr>
                      <w:rFonts w:hAnsiTheme="majorEastAsia" w:eastAsiaTheme="majorEastAsia"/>
                      <w:kern w:val="0"/>
                      <w:szCs w:val="21"/>
                    </w:rPr>
                  </w:pPr>
                  <w:r>
                    <w:rPr>
                      <w:rFonts w:hint="eastAsia" w:hAnsiTheme="majorEastAsia" w:eastAsiaTheme="majorEastAsia"/>
                      <w:kern w:val="0"/>
                      <w:szCs w:val="21"/>
                    </w:rPr>
                    <w:t>措施</w:t>
                  </w:r>
                </w:p>
              </w:tc>
              <w:tc>
                <w:tcPr>
                  <w:tcW w:w="4710" w:type="dxa"/>
                  <w:vAlign w:val="center"/>
                </w:tcPr>
                <w:p w14:paraId="042C3F62">
                  <w:pPr>
                    <w:autoSpaceDE w:val="0"/>
                    <w:autoSpaceDN w:val="0"/>
                    <w:adjustRightInd w:val="0"/>
                    <w:jc w:val="center"/>
                    <w:rPr>
                      <w:rFonts w:hAnsiTheme="majorEastAsia" w:eastAsiaTheme="majorEastAsia"/>
                      <w:kern w:val="0"/>
                      <w:szCs w:val="21"/>
                    </w:rPr>
                  </w:pPr>
                  <w:r>
                    <w:rPr>
                      <w:rFonts w:hint="eastAsia" w:hAnsiTheme="majorEastAsia" w:eastAsiaTheme="majorEastAsia"/>
                      <w:kern w:val="0"/>
                      <w:szCs w:val="21"/>
                    </w:rPr>
                    <w:t>集气罩+塑烧板除尘器1#+18m FQ-3排气筒</w:t>
                  </w:r>
                </w:p>
              </w:tc>
            </w:tr>
            <w:tr w14:paraId="40EEF6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55" w:type="dxa"/>
                  <w:vMerge w:val="continue"/>
                  <w:vAlign w:val="center"/>
                </w:tcPr>
                <w:p w14:paraId="24C778E4">
                  <w:pPr>
                    <w:autoSpaceDE w:val="0"/>
                    <w:autoSpaceDN w:val="0"/>
                    <w:adjustRightInd w:val="0"/>
                    <w:jc w:val="center"/>
                    <w:rPr>
                      <w:rFonts w:hAnsiTheme="majorEastAsia" w:eastAsiaTheme="majorEastAsia"/>
                      <w:kern w:val="0"/>
                      <w:szCs w:val="21"/>
                    </w:rPr>
                  </w:pPr>
                </w:p>
              </w:tc>
              <w:tc>
                <w:tcPr>
                  <w:tcW w:w="2356" w:type="dxa"/>
                  <w:vAlign w:val="center"/>
                </w:tcPr>
                <w:p w14:paraId="038EF07B">
                  <w:pPr>
                    <w:autoSpaceDE w:val="0"/>
                    <w:autoSpaceDN w:val="0"/>
                    <w:adjustRightInd w:val="0"/>
                    <w:jc w:val="center"/>
                    <w:rPr>
                      <w:rFonts w:hAnsiTheme="majorEastAsia" w:eastAsiaTheme="majorEastAsia"/>
                      <w:kern w:val="0"/>
                      <w:szCs w:val="21"/>
                    </w:rPr>
                  </w:pPr>
                  <w:r>
                    <w:rPr>
                      <w:rFonts w:hint="eastAsia" w:hAnsiTheme="majorEastAsia" w:eastAsiaTheme="majorEastAsia"/>
                      <w:kern w:val="0"/>
                      <w:szCs w:val="21"/>
                    </w:rPr>
                    <w:t>净化效率（%）</w:t>
                  </w:r>
                </w:p>
              </w:tc>
              <w:tc>
                <w:tcPr>
                  <w:tcW w:w="4710" w:type="dxa"/>
                  <w:vAlign w:val="center"/>
                </w:tcPr>
                <w:p w14:paraId="28010607">
                  <w:pPr>
                    <w:autoSpaceDE w:val="0"/>
                    <w:autoSpaceDN w:val="0"/>
                    <w:adjustRightInd w:val="0"/>
                    <w:jc w:val="center"/>
                    <w:rPr>
                      <w:rFonts w:hAnsiTheme="majorEastAsia" w:eastAsiaTheme="majorEastAsia"/>
                      <w:kern w:val="0"/>
                      <w:szCs w:val="21"/>
                    </w:rPr>
                  </w:pPr>
                  <w:r>
                    <w:rPr>
                      <w:rFonts w:hint="eastAsia" w:hAnsiTheme="majorEastAsia" w:eastAsiaTheme="majorEastAsia"/>
                      <w:kern w:val="0"/>
                      <w:szCs w:val="21"/>
                    </w:rPr>
                    <w:t>99</w:t>
                  </w:r>
                </w:p>
              </w:tc>
            </w:tr>
            <w:tr w14:paraId="18E69B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55" w:type="dxa"/>
                  <w:vMerge w:val="continue"/>
                  <w:vAlign w:val="center"/>
                </w:tcPr>
                <w:p w14:paraId="3620A6C7">
                  <w:pPr>
                    <w:autoSpaceDE w:val="0"/>
                    <w:autoSpaceDN w:val="0"/>
                    <w:adjustRightInd w:val="0"/>
                    <w:jc w:val="center"/>
                    <w:rPr>
                      <w:rFonts w:hAnsiTheme="majorEastAsia" w:eastAsiaTheme="majorEastAsia"/>
                      <w:kern w:val="0"/>
                      <w:szCs w:val="21"/>
                    </w:rPr>
                  </w:pPr>
                </w:p>
              </w:tc>
              <w:tc>
                <w:tcPr>
                  <w:tcW w:w="2356" w:type="dxa"/>
                  <w:vAlign w:val="center"/>
                </w:tcPr>
                <w:p w14:paraId="2FA4AB18">
                  <w:pPr>
                    <w:autoSpaceDE w:val="0"/>
                    <w:autoSpaceDN w:val="0"/>
                    <w:adjustRightInd w:val="0"/>
                    <w:jc w:val="center"/>
                    <w:rPr>
                      <w:rFonts w:hAnsiTheme="majorEastAsia" w:eastAsiaTheme="majorEastAsia"/>
                      <w:kern w:val="0"/>
                      <w:szCs w:val="21"/>
                    </w:rPr>
                  </w:pPr>
                  <w:r>
                    <w:rPr>
                      <w:rFonts w:hint="eastAsia" w:hAnsiTheme="majorEastAsia" w:eastAsiaTheme="majorEastAsia"/>
                      <w:kern w:val="0"/>
                      <w:szCs w:val="21"/>
                    </w:rPr>
                    <w:t>排放量（t/a）</w:t>
                  </w:r>
                </w:p>
              </w:tc>
              <w:tc>
                <w:tcPr>
                  <w:tcW w:w="4710" w:type="dxa"/>
                  <w:vAlign w:val="center"/>
                </w:tcPr>
                <w:p w14:paraId="1B04D29A">
                  <w:pPr>
                    <w:autoSpaceDE w:val="0"/>
                    <w:autoSpaceDN w:val="0"/>
                    <w:adjustRightInd w:val="0"/>
                    <w:jc w:val="center"/>
                    <w:rPr>
                      <w:rFonts w:hAnsiTheme="majorEastAsia" w:eastAsiaTheme="majorEastAsia"/>
                      <w:kern w:val="0"/>
                      <w:szCs w:val="21"/>
                    </w:rPr>
                  </w:pPr>
                  <w:r>
                    <w:rPr>
                      <w:rFonts w:hint="eastAsia" w:hAnsiTheme="majorEastAsia" w:eastAsiaTheme="majorEastAsia"/>
                      <w:kern w:val="0"/>
                      <w:szCs w:val="21"/>
                    </w:rPr>
                    <w:t>4.65</w:t>
                  </w:r>
                </w:p>
              </w:tc>
            </w:tr>
            <w:tr w14:paraId="43B0E6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55" w:type="dxa"/>
                  <w:vMerge w:val="continue"/>
                  <w:vAlign w:val="center"/>
                </w:tcPr>
                <w:p w14:paraId="58CC32A9">
                  <w:pPr>
                    <w:autoSpaceDE w:val="0"/>
                    <w:autoSpaceDN w:val="0"/>
                    <w:adjustRightInd w:val="0"/>
                    <w:jc w:val="center"/>
                    <w:rPr>
                      <w:rFonts w:hAnsiTheme="majorEastAsia" w:eastAsiaTheme="majorEastAsia"/>
                      <w:kern w:val="0"/>
                      <w:szCs w:val="21"/>
                    </w:rPr>
                  </w:pPr>
                </w:p>
              </w:tc>
              <w:tc>
                <w:tcPr>
                  <w:tcW w:w="2356" w:type="dxa"/>
                  <w:vAlign w:val="center"/>
                </w:tcPr>
                <w:p w14:paraId="77BF4246">
                  <w:pPr>
                    <w:autoSpaceDE w:val="0"/>
                    <w:autoSpaceDN w:val="0"/>
                    <w:adjustRightInd w:val="0"/>
                    <w:jc w:val="center"/>
                    <w:rPr>
                      <w:rFonts w:hAnsiTheme="majorEastAsia" w:eastAsiaTheme="majorEastAsia"/>
                      <w:kern w:val="0"/>
                      <w:szCs w:val="21"/>
                    </w:rPr>
                  </w:pPr>
                  <w:r>
                    <w:rPr>
                      <w:rFonts w:hint="eastAsia" w:hAnsiTheme="majorEastAsia" w:eastAsiaTheme="majorEastAsia"/>
                      <w:kern w:val="0"/>
                      <w:szCs w:val="21"/>
                    </w:rPr>
                    <w:t>排放速率（kg/h）</w:t>
                  </w:r>
                </w:p>
              </w:tc>
              <w:tc>
                <w:tcPr>
                  <w:tcW w:w="4710" w:type="dxa"/>
                  <w:vAlign w:val="center"/>
                </w:tcPr>
                <w:p w14:paraId="7957132E">
                  <w:pPr>
                    <w:autoSpaceDE w:val="0"/>
                    <w:autoSpaceDN w:val="0"/>
                    <w:adjustRightInd w:val="0"/>
                    <w:jc w:val="center"/>
                    <w:rPr>
                      <w:rFonts w:hAnsiTheme="majorEastAsia" w:eastAsiaTheme="majorEastAsia"/>
                      <w:kern w:val="0"/>
                      <w:szCs w:val="21"/>
                    </w:rPr>
                  </w:pPr>
                  <w:r>
                    <w:rPr>
                      <w:rFonts w:hint="eastAsia" w:hAnsiTheme="majorEastAsia" w:eastAsiaTheme="majorEastAsia"/>
                      <w:kern w:val="0"/>
                      <w:szCs w:val="21"/>
                    </w:rPr>
                    <w:t>0.75</w:t>
                  </w:r>
                </w:p>
              </w:tc>
            </w:tr>
            <w:tr w14:paraId="540074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55" w:type="dxa"/>
                  <w:vMerge w:val="continue"/>
                  <w:vAlign w:val="center"/>
                </w:tcPr>
                <w:p w14:paraId="04D580F3">
                  <w:pPr>
                    <w:autoSpaceDE w:val="0"/>
                    <w:autoSpaceDN w:val="0"/>
                    <w:adjustRightInd w:val="0"/>
                    <w:jc w:val="center"/>
                    <w:rPr>
                      <w:rFonts w:hAnsiTheme="majorEastAsia" w:eastAsiaTheme="majorEastAsia"/>
                      <w:kern w:val="0"/>
                      <w:szCs w:val="21"/>
                    </w:rPr>
                  </w:pPr>
                </w:p>
              </w:tc>
              <w:tc>
                <w:tcPr>
                  <w:tcW w:w="2356" w:type="dxa"/>
                  <w:vAlign w:val="center"/>
                </w:tcPr>
                <w:p w14:paraId="40DB3D92">
                  <w:pPr>
                    <w:autoSpaceDE w:val="0"/>
                    <w:autoSpaceDN w:val="0"/>
                    <w:adjustRightInd w:val="0"/>
                    <w:jc w:val="center"/>
                    <w:rPr>
                      <w:rFonts w:hAnsiTheme="majorEastAsia" w:eastAsiaTheme="majorEastAsia"/>
                      <w:kern w:val="0"/>
                      <w:szCs w:val="21"/>
                    </w:rPr>
                  </w:pPr>
                  <w:r>
                    <w:rPr>
                      <w:rFonts w:hint="eastAsia" w:hAnsiTheme="majorEastAsia" w:eastAsiaTheme="majorEastAsia"/>
                      <w:kern w:val="0"/>
                      <w:szCs w:val="21"/>
                    </w:rPr>
                    <w:t>排放浓度（mg/m</w:t>
                  </w:r>
                  <w:r>
                    <w:rPr>
                      <w:rFonts w:hint="eastAsia" w:hAnsiTheme="majorEastAsia" w:eastAsiaTheme="majorEastAsia"/>
                      <w:kern w:val="0"/>
                      <w:szCs w:val="21"/>
                      <w:vertAlign w:val="superscript"/>
                    </w:rPr>
                    <w:t>3</w:t>
                  </w:r>
                  <w:r>
                    <w:rPr>
                      <w:rFonts w:hint="eastAsia" w:hAnsiTheme="majorEastAsia" w:eastAsiaTheme="majorEastAsia"/>
                      <w:kern w:val="0"/>
                      <w:szCs w:val="21"/>
                    </w:rPr>
                    <w:t>）</w:t>
                  </w:r>
                </w:p>
              </w:tc>
              <w:tc>
                <w:tcPr>
                  <w:tcW w:w="4710" w:type="dxa"/>
                  <w:vAlign w:val="center"/>
                </w:tcPr>
                <w:p w14:paraId="2814BC30">
                  <w:pPr>
                    <w:autoSpaceDE w:val="0"/>
                    <w:autoSpaceDN w:val="0"/>
                    <w:adjustRightInd w:val="0"/>
                    <w:jc w:val="center"/>
                    <w:rPr>
                      <w:rFonts w:hAnsiTheme="majorEastAsia" w:eastAsiaTheme="majorEastAsia"/>
                      <w:kern w:val="0"/>
                      <w:szCs w:val="21"/>
                    </w:rPr>
                  </w:pPr>
                  <w:r>
                    <w:rPr>
                      <w:rFonts w:hint="eastAsia" w:hAnsiTheme="majorEastAsia" w:eastAsiaTheme="majorEastAsia"/>
                      <w:kern w:val="0"/>
                      <w:szCs w:val="21"/>
                    </w:rPr>
                    <w:t>3.75</w:t>
                  </w:r>
                </w:p>
              </w:tc>
            </w:tr>
            <w:tr w14:paraId="05F089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55" w:type="dxa"/>
                  <w:vMerge w:val="restart"/>
                  <w:vAlign w:val="center"/>
                </w:tcPr>
                <w:p w14:paraId="5C67CEDB">
                  <w:pPr>
                    <w:autoSpaceDE w:val="0"/>
                    <w:autoSpaceDN w:val="0"/>
                    <w:adjustRightInd w:val="0"/>
                    <w:jc w:val="center"/>
                    <w:rPr>
                      <w:rFonts w:hAnsiTheme="majorEastAsia" w:eastAsiaTheme="majorEastAsia"/>
                      <w:kern w:val="0"/>
                      <w:szCs w:val="21"/>
                    </w:rPr>
                  </w:pPr>
                  <w:r>
                    <w:rPr>
                      <w:rFonts w:hint="eastAsia" w:hAnsiTheme="majorEastAsia" w:eastAsiaTheme="majorEastAsia"/>
                      <w:kern w:val="0"/>
                      <w:szCs w:val="21"/>
                    </w:rPr>
                    <w:t>无组织</w:t>
                  </w:r>
                </w:p>
              </w:tc>
              <w:tc>
                <w:tcPr>
                  <w:tcW w:w="2356" w:type="dxa"/>
                  <w:vAlign w:val="center"/>
                </w:tcPr>
                <w:p w14:paraId="31D6EC33">
                  <w:pPr>
                    <w:autoSpaceDE w:val="0"/>
                    <w:autoSpaceDN w:val="0"/>
                    <w:adjustRightInd w:val="0"/>
                    <w:jc w:val="center"/>
                    <w:rPr>
                      <w:rFonts w:hAnsiTheme="majorEastAsia" w:eastAsiaTheme="majorEastAsia"/>
                      <w:kern w:val="0"/>
                      <w:szCs w:val="21"/>
                    </w:rPr>
                  </w:pPr>
                  <w:r>
                    <w:rPr>
                      <w:rFonts w:hint="eastAsia" w:hAnsiTheme="majorEastAsia" w:eastAsiaTheme="majorEastAsia"/>
                      <w:kern w:val="0"/>
                      <w:szCs w:val="21"/>
                    </w:rPr>
                    <w:t>产生量（t/a）</w:t>
                  </w:r>
                </w:p>
              </w:tc>
              <w:tc>
                <w:tcPr>
                  <w:tcW w:w="4710" w:type="dxa"/>
                  <w:vAlign w:val="center"/>
                </w:tcPr>
                <w:p w14:paraId="3F7D77BA">
                  <w:pPr>
                    <w:autoSpaceDE w:val="0"/>
                    <w:autoSpaceDN w:val="0"/>
                    <w:adjustRightInd w:val="0"/>
                    <w:jc w:val="center"/>
                    <w:rPr>
                      <w:rFonts w:hAnsiTheme="majorEastAsia" w:eastAsiaTheme="majorEastAsia"/>
                      <w:kern w:val="0"/>
                      <w:szCs w:val="21"/>
                    </w:rPr>
                  </w:pPr>
                  <w:r>
                    <w:rPr>
                      <w:rFonts w:hint="eastAsia" w:hAnsiTheme="majorEastAsia" w:eastAsiaTheme="majorEastAsia"/>
                      <w:kern w:val="0"/>
                      <w:szCs w:val="21"/>
                    </w:rPr>
                    <w:t>24.47</w:t>
                  </w:r>
                </w:p>
              </w:tc>
            </w:tr>
            <w:tr w14:paraId="21F37C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55" w:type="dxa"/>
                  <w:vMerge w:val="continue"/>
                  <w:vAlign w:val="center"/>
                </w:tcPr>
                <w:p w14:paraId="138B4F39">
                  <w:pPr>
                    <w:autoSpaceDE w:val="0"/>
                    <w:autoSpaceDN w:val="0"/>
                    <w:adjustRightInd w:val="0"/>
                    <w:jc w:val="center"/>
                    <w:rPr>
                      <w:rFonts w:hAnsiTheme="majorEastAsia" w:eastAsiaTheme="majorEastAsia"/>
                      <w:kern w:val="0"/>
                      <w:szCs w:val="21"/>
                    </w:rPr>
                  </w:pPr>
                </w:p>
              </w:tc>
              <w:tc>
                <w:tcPr>
                  <w:tcW w:w="2356" w:type="dxa"/>
                  <w:vAlign w:val="center"/>
                </w:tcPr>
                <w:p w14:paraId="4749E16A">
                  <w:pPr>
                    <w:autoSpaceDE w:val="0"/>
                    <w:autoSpaceDN w:val="0"/>
                    <w:adjustRightInd w:val="0"/>
                    <w:jc w:val="center"/>
                    <w:rPr>
                      <w:rFonts w:hAnsiTheme="majorEastAsia" w:eastAsiaTheme="majorEastAsia"/>
                      <w:kern w:val="0"/>
                      <w:szCs w:val="21"/>
                    </w:rPr>
                  </w:pPr>
                  <w:r>
                    <w:rPr>
                      <w:rFonts w:hint="eastAsia" w:hAnsiTheme="majorEastAsia" w:eastAsiaTheme="majorEastAsia"/>
                      <w:kern w:val="0"/>
                      <w:szCs w:val="21"/>
                    </w:rPr>
                    <w:t>措施</w:t>
                  </w:r>
                </w:p>
              </w:tc>
              <w:tc>
                <w:tcPr>
                  <w:tcW w:w="4710" w:type="dxa"/>
                  <w:vAlign w:val="center"/>
                </w:tcPr>
                <w:p w14:paraId="32E17E5C">
                  <w:pPr>
                    <w:autoSpaceDE w:val="0"/>
                    <w:autoSpaceDN w:val="0"/>
                    <w:adjustRightInd w:val="0"/>
                    <w:jc w:val="center"/>
                    <w:rPr>
                      <w:rFonts w:hAnsiTheme="majorEastAsia" w:eastAsiaTheme="majorEastAsia"/>
                      <w:kern w:val="0"/>
                      <w:szCs w:val="21"/>
                    </w:rPr>
                  </w:pPr>
                  <w:r>
                    <w:rPr>
                      <w:rFonts w:hint="eastAsia" w:hAnsiTheme="majorEastAsia" w:eastAsiaTheme="majorEastAsia"/>
                      <w:kern w:val="0"/>
                      <w:szCs w:val="21"/>
                    </w:rPr>
                    <w:t>封闭厂房</w:t>
                  </w:r>
                </w:p>
              </w:tc>
            </w:tr>
            <w:tr w14:paraId="0689B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55" w:type="dxa"/>
                  <w:vMerge w:val="continue"/>
                  <w:vAlign w:val="center"/>
                </w:tcPr>
                <w:p w14:paraId="55953BB7">
                  <w:pPr>
                    <w:autoSpaceDE w:val="0"/>
                    <w:autoSpaceDN w:val="0"/>
                    <w:adjustRightInd w:val="0"/>
                    <w:jc w:val="center"/>
                    <w:rPr>
                      <w:rFonts w:hAnsiTheme="majorEastAsia" w:eastAsiaTheme="majorEastAsia"/>
                      <w:kern w:val="0"/>
                      <w:szCs w:val="21"/>
                    </w:rPr>
                  </w:pPr>
                </w:p>
              </w:tc>
              <w:tc>
                <w:tcPr>
                  <w:tcW w:w="2356" w:type="dxa"/>
                  <w:vAlign w:val="center"/>
                </w:tcPr>
                <w:p w14:paraId="0420F294">
                  <w:pPr>
                    <w:autoSpaceDE w:val="0"/>
                    <w:autoSpaceDN w:val="0"/>
                    <w:adjustRightInd w:val="0"/>
                    <w:jc w:val="center"/>
                    <w:rPr>
                      <w:rFonts w:hAnsiTheme="majorEastAsia" w:eastAsiaTheme="majorEastAsia"/>
                      <w:kern w:val="0"/>
                      <w:szCs w:val="21"/>
                    </w:rPr>
                  </w:pPr>
                  <w:r>
                    <w:rPr>
                      <w:rFonts w:hint="eastAsia" w:hAnsiTheme="majorEastAsia" w:eastAsiaTheme="majorEastAsia"/>
                      <w:kern w:val="0"/>
                      <w:szCs w:val="21"/>
                    </w:rPr>
                    <w:t>去除效率（%）</w:t>
                  </w:r>
                </w:p>
              </w:tc>
              <w:tc>
                <w:tcPr>
                  <w:tcW w:w="4710" w:type="dxa"/>
                  <w:vAlign w:val="center"/>
                </w:tcPr>
                <w:p w14:paraId="3CE557B0">
                  <w:pPr>
                    <w:autoSpaceDE w:val="0"/>
                    <w:autoSpaceDN w:val="0"/>
                    <w:adjustRightInd w:val="0"/>
                    <w:jc w:val="center"/>
                    <w:rPr>
                      <w:rFonts w:hAnsiTheme="majorEastAsia" w:eastAsiaTheme="majorEastAsia"/>
                      <w:kern w:val="0"/>
                      <w:szCs w:val="21"/>
                    </w:rPr>
                  </w:pPr>
                  <w:r>
                    <w:rPr>
                      <w:rFonts w:hint="eastAsia" w:hAnsiTheme="majorEastAsia" w:eastAsiaTheme="majorEastAsia"/>
                      <w:kern w:val="0"/>
                      <w:szCs w:val="21"/>
                    </w:rPr>
                    <w:t>80</w:t>
                  </w:r>
                </w:p>
              </w:tc>
            </w:tr>
            <w:tr w14:paraId="4E8B6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55" w:type="dxa"/>
                  <w:vMerge w:val="continue"/>
                  <w:vAlign w:val="center"/>
                </w:tcPr>
                <w:p w14:paraId="4DBF51D4">
                  <w:pPr>
                    <w:autoSpaceDE w:val="0"/>
                    <w:autoSpaceDN w:val="0"/>
                    <w:adjustRightInd w:val="0"/>
                    <w:jc w:val="center"/>
                    <w:rPr>
                      <w:rFonts w:hAnsiTheme="majorEastAsia" w:eastAsiaTheme="majorEastAsia"/>
                      <w:kern w:val="0"/>
                      <w:szCs w:val="21"/>
                    </w:rPr>
                  </w:pPr>
                </w:p>
              </w:tc>
              <w:tc>
                <w:tcPr>
                  <w:tcW w:w="2356" w:type="dxa"/>
                  <w:vAlign w:val="center"/>
                </w:tcPr>
                <w:p w14:paraId="01D94966">
                  <w:pPr>
                    <w:autoSpaceDE w:val="0"/>
                    <w:autoSpaceDN w:val="0"/>
                    <w:adjustRightInd w:val="0"/>
                    <w:jc w:val="center"/>
                    <w:rPr>
                      <w:rFonts w:hAnsiTheme="majorEastAsia" w:eastAsiaTheme="majorEastAsia"/>
                      <w:kern w:val="0"/>
                      <w:szCs w:val="21"/>
                    </w:rPr>
                  </w:pPr>
                  <w:r>
                    <w:rPr>
                      <w:rFonts w:hint="eastAsia" w:hAnsiTheme="majorEastAsia" w:eastAsiaTheme="majorEastAsia"/>
                      <w:kern w:val="0"/>
                      <w:szCs w:val="21"/>
                    </w:rPr>
                    <w:t>排放量（t/a）</w:t>
                  </w:r>
                </w:p>
              </w:tc>
              <w:tc>
                <w:tcPr>
                  <w:tcW w:w="4710" w:type="dxa"/>
                  <w:vAlign w:val="center"/>
                </w:tcPr>
                <w:p w14:paraId="69B6E1E9">
                  <w:pPr>
                    <w:autoSpaceDE w:val="0"/>
                    <w:autoSpaceDN w:val="0"/>
                    <w:adjustRightInd w:val="0"/>
                    <w:jc w:val="center"/>
                    <w:rPr>
                      <w:rFonts w:hAnsiTheme="majorEastAsia" w:eastAsiaTheme="majorEastAsia"/>
                      <w:kern w:val="0"/>
                      <w:szCs w:val="21"/>
                    </w:rPr>
                  </w:pPr>
                  <w:r>
                    <w:rPr>
                      <w:rFonts w:hint="eastAsia" w:hAnsiTheme="majorEastAsia" w:eastAsiaTheme="majorEastAsia"/>
                      <w:kern w:val="0"/>
                      <w:szCs w:val="21"/>
                    </w:rPr>
                    <w:t>4.89</w:t>
                  </w:r>
                </w:p>
              </w:tc>
            </w:tr>
            <w:tr w14:paraId="066A6F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55" w:type="dxa"/>
                  <w:vMerge w:val="continue"/>
                  <w:vAlign w:val="center"/>
                </w:tcPr>
                <w:p w14:paraId="75D675F5">
                  <w:pPr>
                    <w:autoSpaceDE w:val="0"/>
                    <w:autoSpaceDN w:val="0"/>
                    <w:adjustRightInd w:val="0"/>
                    <w:jc w:val="center"/>
                    <w:rPr>
                      <w:rFonts w:hAnsiTheme="majorEastAsia" w:eastAsiaTheme="majorEastAsia"/>
                      <w:kern w:val="0"/>
                      <w:szCs w:val="21"/>
                    </w:rPr>
                  </w:pPr>
                </w:p>
              </w:tc>
              <w:tc>
                <w:tcPr>
                  <w:tcW w:w="2356" w:type="dxa"/>
                  <w:vAlign w:val="center"/>
                </w:tcPr>
                <w:p w14:paraId="14134999">
                  <w:pPr>
                    <w:autoSpaceDE w:val="0"/>
                    <w:autoSpaceDN w:val="0"/>
                    <w:adjustRightInd w:val="0"/>
                    <w:jc w:val="center"/>
                    <w:rPr>
                      <w:rFonts w:hAnsiTheme="majorEastAsia" w:eastAsiaTheme="majorEastAsia"/>
                      <w:kern w:val="0"/>
                      <w:szCs w:val="21"/>
                    </w:rPr>
                  </w:pPr>
                  <w:r>
                    <w:rPr>
                      <w:rFonts w:hint="eastAsia" w:hAnsiTheme="majorEastAsia" w:eastAsiaTheme="majorEastAsia"/>
                      <w:kern w:val="0"/>
                      <w:szCs w:val="21"/>
                    </w:rPr>
                    <w:t>排放速率（kg/h）</w:t>
                  </w:r>
                </w:p>
              </w:tc>
              <w:tc>
                <w:tcPr>
                  <w:tcW w:w="4710" w:type="dxa"/>
                  <w:vAlign w:val="center"/>
                </w:tcPr>
                <w:p w14:paraId="0FC8909A">
                  <w:pPr>
                    <w:autoSpaceDE w:val="0"/>
                    <w:autoSpaceDN w:val="0"/>
                    <w:adjustRightInd w:val="0"/>
                    <w:jc w:val="center"/>
                    <w:rPr>
                      <w:rFonts w:hAnsiTheme="majorEastAsia" w:eastAsiaTheme="majorEastAsia"/>
                      <w:kern w:val="0"/>
                      <w:szCs w:val="21"/>
                    </w:rPr>
                  </w:pPr>
                  <w:r>
                    <w:rPr>
                      <w:rFonts w:hint="eastAsia" w:hAnsiTheme="majorEastAsia" w:eastAsiaTheme="majorEastAsia"/>
                      <w:kern w:val="0"/>
                      <w:szCs w:val="21"/>
                    </w:rPr>
                    <w:t>0.79</w:t>
                  </w:r>
                </w:p>
              </w:tc>
            </w:tr>
          </w:tbl>
          <w:p w14:paraId="7785F158">
            <w:pPr>
              <w:pStyle w:val="2"/>
              <w:spacing w:line="360" w:lineRule="auto"/>
              <w:ind w:firstLine="482" w:firstLineChars="200"/>
              <w:jc w:val="both"/>
              <w:rPr>
                <w:rFonts w:ascii="Times New Roman" w:cs="Times New Roman"/>
                <w:b/>
                <w:color w:val="auto"/>
              </w:rPr>
            </w:pPr>
            <w:r>
              <w:rPr>
                <w:rFonts w:hint="eastAsia" w:ascii="Times New Roman" w:cs="Times New Roman"/>
                <w:b/>
                <w:color w:val="auto"/>
              </w:rPr>
              <w:t>2、大气污染物排放量核算</w:t>
            </w:r>
          </w:p>
          <w:p w14:paraId="73EBD338">
            <w:pPr>
              <w:pStyle w:val="2"/>
              <w:spacing w:line="360" w:lineRule="auto"/>
              <w:ind w:firstLine="480" w:firstLineChars="200"/>
              <w:jc w:val="both"/>
              <w:rPr>
                <w:rFonts w:ascii="Times New Roman" w:cs="Times New Roman"/>
                <w:color w:val="auto"/>
              </w:rPr>
            </w:pPr>
            <w:r>
              <w:rPr>
                <w:rFonts w:hint="eastAsia" w:ascii="Times New Roman" w:cs="Times New Roman"/>
                <w:color w:val="auto"/>
              </w:rPr>
              <w:t>项目有组织排放量核算表见下表：</w:t>
            </w:r>
          </w:p>
          <w:p w14:paraId="4003245E">
            <w:pPr>
              <w:spacing w:beforeLines="50"/>
              <w:jc w:val="center"/>
              <w:rPr>
                <w:b/>
                <w:szCs w:val="21"/>
              </w:rPr>
            </w:pPr>
            <w:r>
              <w:rPr>
                <w:rFonts w:hint="eastAsia"/>
                <w:b/>
                <w:szCs w:val="21"/>
              </w:rPr>
              <w:t>表4-2  大气污染物有组织排放量核算表</w:t>
            </w:r>
          </w:p>
          <w:tbl>
            <w:tblPr>
              <w:tblStyle w:val="3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25"/>
              <w:gridCol w:w="1255"/>
              <w:gridCol w:w="1960"/>
              <w:gridCol w:w="1345"/>
              <w:gridCol w:w="1349"/>
              <w:gridCol w:w="1347"/>
              <w:gridCol w:w="1340"/>
            </w:tblGrid>
            <w:tr w14:paraId="6E44B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38" w:type="pct"/>
                  <w:vAlign w:val="center"/>
                </w:tcPr>
                <w:p w14:paraId="52002383">
                  <w:pPr>
                    <w:pStyle w:val="2"/>
                    <w:jc w:val="center"/>
                    <w:rPr>
                      <w:rFonts w:ascii="Times New Roman" w:cs="Times New Roman"/>
                      <w:b/>
                      <w:color w:val="auto"/>
                      <w:sz w:val="21"/>
                      <w:szCs w:val="21"/>
                    </w:rPr>
                  </w:pPr>
                  <w:r>
                    <w:rPr>
                      <w:rFonts w:ascii="Times New Roman" w:cs="Times New Roman"/>
                      <w:b/>
                      <w:color w:val="auto"/>
                      <w:sz w:val="21"/>
                      <w:szCs w:val="21"/>
                    </w:rPr>
                    <w:t>序号</w:t>
                  </w:r>
                </w:p>
              </w:tc>
              <w:tc>
                <w:tcPr>
                  <w:tcW w:w="666" w:type="pct"/>
                  <w:vAlign w:val="center"/>
                </w:tcPr>
                <w:p w14:paraId="4DDB7EF0">
                  <w:pPr>
                    <w:pStyle w:val="2"/>
                    <w:jc w:val="center"/>
                    <w:rPr>
                      <w:rFonts w:ascii="Times New Roman" w:cs="Times New Roman"/>
                      <w:b/>
                      <w:color w:val="auto"/>
                      <w:sz w:val="21"/>
                      <w:szCs w:val="21"/>
                    </w:rPr>
                  </w:pPr>
                  <w:r>
                    <w:rPr>
                      <w:rFonts w:ascii="Times New Roman" w:cs="Times New Roman"/>
                      <w:b/>
                      <w:color w:val="auto"/>
                      <w:sz w:val="21"/>
                      <w:szCs w:val="21"/>
                    </w:rPr>
                    <w:t>排放口编号</w:t>
                  </w:r>
                </w:p>
              </w:tc>
              <w:tc>
                <w:tcPr>
                  <w:tcW w:w="1040" w:type="pct"/>
                  <w:vAlign w:val="center"/>
                </w:tcPr>
                <w:p w14:paraId="16E63747">
                  <w:pPr>
                    <w:pStyle w:val="2"/>
                    <w:jc w:val="center"/>
                    <w:rPr>
                      <w:rFonts w:ascii="Times New Roman" w:cs="Times New Roman"/>
                      <w:b/>
                      <w:color w:val="auto"/>
                      <w:sz w:val="21"/>
                      <w:szCs w:val="21"/>
                    </w:rPr>
                  </w:pPr>
                  <w:r>
                    <w:rPr>
                      <w:rFonts w:ascii="Times New Roman" w:cs="Times New Roman"/>
                      <w:b/>
                      <w:color w:val="auto"/>
                      <w:sz w:val="21"/>
                      <w:szCs w:val="21"/>
                    </w:rPr>
                    <w:t>产污环节</w:t>
                  </w:r>
                </w:p>
              </w:tc>
              <w:tc>
                <w:tcPr>
                  <w:tcW w:w="714" w:type="pct"/>
                  <w:vAlign w:val="center"/>
                </w:tcPr>
                <w:p w14:paraId="19E75530">
                  <w:pPr>
                    <w:pStyle w:val="2"/>
                    <w:jc w:val="center"/>
                    <w:rPr>
                      <w:rFonts w:ascii="Times New Roman" w:cs="Times New Roman"/>
                      <w:b/>
                      <w:color w:val="auto"/>
                      <w:sz w:val="21"/>
                      <w:szCs w:val="21"/>
                    </w:rPr>
                  </w:pPr>
                  <w:r>
                    <w:rPr>
                      <w:rFonts w:ascii="Times New Roman" w:cs="Times New Roman"/>
                      <w:b/>
                      <w:color w:val="auto"/>
                      <w:sz w:val="21"/>
                      <w:szCs w:val="21"/>
                    </w:rPr>
                    <w:t>污染物</w:t>
                  </w:r>
                </w:p>
              </w:tc>
              <w:tc>
                <w:tcPr>
                  <w:tcW w:w="716" w:type="pct"/>
                  <w:vAlign w:val="center"/>
                </w:tcPr>
                <w:p w14:paraId="32B1E5E0">
                  <w:pPr>
                    <w:pStyle w:val="2"/>
                    <w:jc w:val="center"/>
                    <w:rPr>
                      <w:rFonts w:ascii="Times New Roman" w:cs="Times New Roman"/>
                      <w:b/>
                      <w:color w:val="auto"/>
                      <w:sz w:val="21"/>
                      <w:szCs w:val="21"/>
                    </w:rPr>
                  </w:pPr>
                  <w:r>
                    <w:rPr>
                      <w:rFonts w:ascii="Times New Roman" w:cs="Times New Roman"/>
                      <w:b/>
                      <w:color w:val="auto"/>
                      <w:sz w:val="21"/>
                      <w:szCs w:val="21"/>
                    </w:rPr>
                    <w:t>核算排放浓度（</w:t>
                  </w:r>
                  <w:r>
                    <w:rPr>
                      <w:rFonts w:hint="eastAsia" w:ascii="Times New Roman" w:cs="Times New Roman"/>
                      <w:b/>
                      <w:color w:val="auto"/>
                      <w:sz w:val="21"/>
                      <w:szCs w:val="21"/>
                    </w:rPr>
                    <w:t>mg/m</w:t>
                  </w:r>
                  <w:r>
                    <w:rPr>
                      <w:rFonts w:hint="eastAsia" w:ascii="Times New Roman" w:cs="Times New Roman"/>
                      <w:b/>
                      <w:color w:val="auto"/>
                      <w:sz w:val="21"/>
                      <w:szCs w:val="21"/>
                      <w:vertAlign w:val="superscript"/>
                    </w:rPr>
                    <w:t>3</w:t>
                  </w:r>
                  <w:r>
                    <w:rPr>
                      <w:rFonts w:ascii="Times New Roman" w:cs="Times New Roman"/>
                      <w:b/>
                      <w:color w:val="auto"/>
                      <w:sz w:val="21"/>
                      <w:szCs w:val="21"/>
                    </w:rPr>
                    <w:t>）</w:t>
                  </w:r>
                </w:p>
              </w:tc>
              <w:tc>
                <w:tcPr>
                  <w:tcW w:w="715" w:type="pct"/>
                  <w:vAlign w:val="center"/>
                </w:tcPr>
                <w:p w14:paraId="23683AD0">
                  <w:pPr>
                    <w:pStyle w:val="2"/>
                    <w:jc w:val="center"/>
                    <w:rPr>
                      <w:rFonts w:ascii="Times New Roman" w:cs="Times New Roman"/>
                      <w:b/>
                      <w:color w:val="auto"/>
                      <w:sz w:val="21"/>
                      <w:szCs w:val="21"/>
                    </w:rPr>
                  </w:pPr>
                  <w:r>
                    <w:rPr>
                      <w:rFonts w:ascii="Times New Roman" w:cs="Times New Roman"/>
                      <w:b/>
                      <w:color w:val="auto"/>
                      <w:sz w:val="21"/>
                      <w:szCs w:val="21"/>
                    </w:rPr>
                    <w:t>核算排放速率（</w:t>
                  </w:r>
                  <w:r>
                    <w:rPr>
                      <w:rFonts w:hint="eastAsia" w:ascii="Times New Roman" w:cs="Times New Roman"/>
                      <w:b/>
                      <w:color w:val="auto"/>
                      <w:sz w:val="21"/>
                      <w:szCs w:val="21"/>
                    </w:rPr>
                    <w:t>kg/h</w:t>
                  </w:r>
                  <w:r>
                    <w:rPr>
                      <w:rFonts w:ascii="Times New Roman" w:cs="Times New Roman"/>
                      <w:b/>
                      <w:color w:val="auto"/>
                      <w:sz w:val="21"/>
                      <w:szCs w:val="21"/>
                    </w:rPr>
                    <w:t>）</w:t>
                  </w:r>
                </w:p>
              </w:tc>
              <w:tc>
                <w:tcPr>
                  <w:tcW w:w="711" w:type="pct"/>
                  <w:vAlign w:val="center"/>
                </w:tcPr>
                <w:p w14:paraId="69B67D92">
                  <w:pPr>
                    <w:pStyle w:val="2"/>
                    <w:jc w:val="center"/>
                    <w:rPr>
                      <w:rFonts w:ascii="Times New Roman" w:cs="Times New Roman"/>
                      <w:b/>
                      <w:color w:val="auto"/>
                      <w:sz w:val="21"/>
                      <w:szCs w:val="21"/>
                    </w:rPr>
                  </w:pPr>
                  <w:r>
                    <w:rPr>
                      <w:rFonts w:ascii="Times New Roman" w:cs="Times New Roman"/>
                      <w:b/>
                      <w:color w:val="auto"/>
                      <w:sz w:val="21"/>
                      <w:szCs w:val="21"/>
                    </w:rPr>
                    <w:t>核算年排放量</w:t>
                  </w:r>
                  <w:r>
                    <w:rPr>
                      <w:rFonts w:hint="eastAsia" w:ascii="Times New Roman" w:cs="Times New Roman"/>
                      <w:b/>
                      <w:color w:val="auto"/>
                      <w:sz w:val="21"/>
                      <w:szCs w:val="21"/>
                    </w:rPr>
                    <w:t>t/a</w:t>
                  </w:r>
                </w:p>
              </w:tc>
            </w:tr>
            <w:tr w14:paraId="32941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000" w:type="pct"/>
                  <w:gridSpan w:val="7"/>
                  <w:vAlign w:val="center"/>
                </w:tcPr>
                <w:p w14:paraId="218066AF">
                  <w:pPr>
                    <w:pStyle w:val="2"/>
                    <w:jc w:val="center"/>
                    <w:rPr>
                      <w:rFonts w:ascii="Times New Roman" w:cs="Times New Roman"/>
                      <w:color w:val="auto"/>
                      <w:sz w:val="21"/>
                      <w:szCs w:val="21"/>
                    </w:rPr>
                  </w:pPr>
                  <w:r>
                    <w:rPr>
                      <w:rFonts w:hint="eastAsia" w:ascii="Times New Roman" w:cs="Times New Roman"/>
                      <w:color w:val="auto"/>
                      <w:sz w:val="21"/>
                      <w:szCs w:val="21"/>
                    </w:rPr>
                    <w:t>一般排放口</w:t>
                  </w:r>
                </w:p>
              </w:tc>
            </w:tr>
            <w:tr w14:paraId="781A7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38" w:type="pct"/>
                  <w:vMerge w:val="restart"/>
                  <w:vAlign w:val="center"/>
                </w:tcPr>
                <w:p w14:paraId="72B105B0">
                  <w:pPr>
                    <w:pStyle w:val="2"/>
                    <w:jc w:val="center"/>
                    <w:rPr>
                      <w:rFonts w:ascii="Times New Roman" w:cs="Times New Roman"/>
                      <w:color w:val="auto"/>
                      <w:sz w:val="21"/>
                      <w:szCs w:val="21"/>
                    </w:rPr>
                  </w:pPr>
                  <w:r>
                    <w:rPr>
                      <w:rFonts w:hint="eastAsia" w:ascii="Times New Roman" w:cs="Times New Roman"/>
                      <w:color w:val="auto"/>
                      <w:sz w:val="21"/>
                      <w:szCs w:val="21"/>
                    </w:rPr>
                    <w:t>1</w:t>
                  </w:r>
                </w:p>
              </w:tc>
              <w:tc>
                <w:tcPr>
                  <w:tcW w:w="666" w:type="pct"/>
                  <w:vMerge w:val="restart"/>
                  <w:vAlign w:val="center"/>
                </w:tcPr>
                <w:p w14:paraId="312C5D2C">
                  <w:pPr>
                    <w:pStyle w:val="2"/>
                    <w:jc w:val="center"/>
                    <w:rPr>
                      <w:rFonts w:ascii="Times New Roman" w:cs="Times New Roman"/>
                      <w:color w:val="auto"/>
                      <w:sz w:val="21"/>
                      <w:szCs w:val="21"/>
                    </w:rPr>
                  </w:pPr>
                  <w:r>
                    <w:rPr>
                      <w:rFonts w:hint="eastAsia" w:ascii="Times New Roman" w:cs="Times New Roman"/>
                      <w:color w:val="auto"/>
                      <w:sz w:val="21"/>
                      <w:szCs w:val="21"/>
                    </w:rPr>
                    <w:t>FQ-1</w:t>
                  </w:r>
                </w:p>
              </w:tc>
              <w:tc>
                <w:tcPr>
                  <w:tcW w:w="1040" w:type="pct"/>
                  <w:vMerge w:val="restart"/>
                  <w:vAlign w:val="center"/>
                </w:tcPr>
                <w:p w14:paraId="2B097EBB">
                  <w:pPr>
                    <w:jc w:val="center"/>
                    <w:rPr>
                      <w:szCs w:val="21"/>
                    </w:rPr>
                  </w:pPr>
                  <w:r>
                    <w:rPr>
                      <w:rFonts w:hint="eastAsia"/>
                      <w:szCs w:val="21"/>
                    </w:rPr>
                    <w:t>环形加热炉燃烧烟气</w:t>
                  </w:r>
                </w:p>
              </w:tc>
              <w:tc>
                <w:tcPr>
                  <w:tcW w:w="714" w:type="pct"/>
                  <w:vAlign w:val="center"/>
                </w:tcPr>
                <w:p w14:paraId="2A41FB35">
                  <w:pPr>
                    <w:pStyle w:val="69"/>
                    <w:rPr>
                      <w:rFonts w:eastAsiaTheme="minorEastAsia"/>
                      <w:sz w:val="21"/>
                      <w:szCs w:val="21"/>
                    </w:rPr>
                  </w:pPr>
                  <w:r>
                    <w:rPr>
                      <w:rFonts w:eastAsiaTheme="minorEastAsia"/>
                      <w:sz w:val="21"/>
                      <w:szCs w:val="21"/>
                    </w:rPr>
                    <w:t>颗粒物</w:t>
                  </w:r>
                </w:p>
              </w:tc>
              <w:tc>
                <w:tcPr>
                  <w:tcW w:w="716" w:type="pct"/>
                  <w:vAlign w:val="center"/>
                </w:tcPr>
                <w:p w14:paraId="2900DD03">
                  <w:pPr>
                    <w:pStyle w:val="2"/>
                    <w:jc w:val="center"/>
                    <w:rPr>
                      <w:rFonts w:ascii="Times New Roman" w:cs="Times New Roman"/>
                      <w:color w:val="auto"/>
                      <w:sz w:val="21"/>
                      <w:szCs w:val="21"/>
                    </w:rPr>
                  </w:pPr>
                  <w:r>
                    <w:rPr>
                      <w:rFonts w:hint="eastAsia" w:ascii="Times New Roman" w:cs="Times New Roman"/>
                      <w:color w:val="auto"/>
                      <w:sz w:val="21"/>
                      <w:szCs w:val="21"/>
                    </w:rPr>
                    <w:t>10</w:t>
                  </w:r>
                </w:p>
              </w:tc>
              <w:tc>
                <w:tcPr>
                  <w:tcW w:w="715" w:type="pct"/>
                  <w:vAlign w:val="center"/>
                </w:tcPr>
                <w:p w14:paraId="53B28CA6">
                  <w:pPr>
                    <w:pStyle w:val="2"/>
                    <w:jc w:val="center"/>
                    <w:rPr>
                      <w:rFonts w:ascii="Times New Roman" w:cs="Times New Roman"/>
                      <w:color w:val="auto"/>
                      <w:sz w:val="21"/>
                      <w:szCs w:val="21"/>
                    </w:rPr>
                  </w:pPr>
                  <w:r>
                    <w:rPr>
                      <w:rFonts w:hint="eastAsia" w:ascii="Times New Roman" w:cs="Times New Roman"/>
                      <w:color w:val="auto"/>
                      <w:sz w:val="21"/>
                      <w:szCs w:val="21"/>
                    </w:rPr>
                    <w:t>0.306</w:t>
                  </w:r>
                </w:p>
              </w:tc>
              <w:tc>
                <w:tcPr>
                  <w:tcW w:w="711" w:type="pct"/>
                  <w:vAlign w:val="center"/>
                </w:tcPr>
                <w:p w14:paraId="2D00363A">
                  <w:pPr>
                    <w:pStyle w:val="2"/>
                    <w:jc w:val="center"/>
                    <w:rPr>
                      <w:rFonts w:ascii="Times New Roman" w:cs="Times New Roman"/>
                      <w:color w:val="auto"/>
                      <w:sz w:val="21"/>
                      <w:szCs w:val="21"/>
                    </w:rPr>
                  </w:pPr>
                  <w:r>
                    <w:rPr>
                      <w:rFonts w:hint="eastAsia" w:ascii="Times New Roman" w:cs="Times New Roman"/>
                      <w:color w:val="auto"/>
                      <w:sz w:val="21"/>
                      <w:szCs w:val="21"/>
                    </w:rPr>
                    <w:t>1.897</w:t>
                  </w:r>
                </w:p>
              </w:tc>
            </w:tr>
            <w:tr w14:paraId="538008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38" w:type="pct"/>
                  <w:vMerge w:val="continue"/>
                  <w:vAlign w:val="center"/>
                </w:tcPr>
                <w:p w14:paraId="02A1ED9E">
                  <w:pPr>
                    <w:pStyle w:val="2"/>
                    <w:jc w:val="center"/>
                    <w:rPr>
                      <w:rFonts w:ascii="Times New Roman" w:cs="Times New Roman"/>
                      <w:color w:val="auto"/>
                      <w:sz w:val="21"/>
                      <w:szCs w:val="21"/>
                    </w:rPr>
                  </w:pPr>
                </w:p>
              </w:tc>
              <w:tc>
                <w:tcPr>
                  <w:tcW w:w="666" w:type="pct"/>
                  <w:vMerge w:val="continue"/>
                  <w:vAlign w:val="center"/>
                </w:tcPr>
                <w:p w14:paraId="62C1DB20">
                  <w:pPr>
                    <w:pStyle w:val="2"/>
                    <w:jc w:val="center"/>
                    <w:rPr>
                      <w:rFonts w:ascii="Times New Roman" w:cs="Times New Roman"/>
                      <w:color w:val="auto"/>
                      <w:sz w:val="21"/>
                      <w:szCs w:val="21"/>
                    </w:rPr>
                  </w:pPr>
                </w:p>
              </w:tc>
              <w:tc>
                <w:tcPr>
                  <w:tcW w:w="1040" w:type="pct"/>
                  <w:vMerge w:val="continue"/>
                  <w:vAlign w:val="center"/>
                </w:tcPr>
                <w:p w14:paraId="732BEA70">
                  <w:pPr>
                    <w:jc w:val="center"/>
                    <w:rPr>
                      <w:szCs w:val="21"/>
                    </w:rPr>
                  </w:pPr>
                </w:p>
              </w:tc>
              <w:tc>
                <w:tcPr>
                  <w:tcW w:w="714" w:type="pct"/>
                  <w:vAlign w:val="center"/>
                </w:tcPr>
                <w:p w14:paraId="0D4381A6">
                  <w:pPr>
                    <w:pStyle w:val="69"/>
                    <w:rPr>
                      <w:rFonts w:eastAsiaTheme="minorEastAsia"/>
                      <w:sz w:val="21"/>
                      <w:szCs w:val="21"/>
                    </w:rPr>
                  </w:pPr>
                  <w:r>
                    <w:rPr>
                      <w:rFonts w:eastAsiaTheme="minorEastAsia"/>
                      <w:sz w:val="21"/>
                      <w:szCs w:val="21"/>
                    </w:rPr>
                    <w:t>二氧化硫</w:t>
                  </w:r>
                </w:p>
              </w:tc>
              <w:tc>
                <w:tcPr>
                  <w:tcW w:w="716" w:type="pct"/>
                  <w:vAlign w:val="center"/>
                </w:tcPr>
                <w:p w14:paraId="243F3654">
                  <w:pPr>
                    <w:pStyle w:val="2"/>
                    <w:jc w:val="center"/>
                    <w:rPr>
                      <w:rFonts w:ascii="Times New Roman" w:cs="Times New Roman"/>
                      <w:color w:val="auto"/>
                      <w:sz w:val="21"/>
                      <w:szCs w:val="21"/>
                    </w:rPr>
                  </w:pPr>
                  <w:r>
                    <w:rPr>
                      <w:rFonts w:hint="eastAsia" w:ascii="Times New Roman" w:cs="Times New Roman"/>
                      <w:color w:val="auto"/>
                      <w:sz w:val="21"/>
                      <w:szCs w:val="21"/>
                    </w:rPr>
                    <w:t>0.25</w:t>
                  </w:r>
                </w:p>
              </w:tc>
              <w:tc>
                <w:tcPr>
                  <w:tcW w:w="715" w:type="pct"/>
                  <w:vAlign w:val="center"/>
                </w:tcPr>
                <w:p w14:paraId="53BF3CCA">
                  <w:pPr>
                    <w:pStyle w:val="2"/>
                    <w:jc w:val="center"/>
                    <w:rPr>
                      <w:rFonts w:ascii="Times New Roman" w:cs="Times New Roman"/>
                      <w:color w:val="auto"/>
                      <w:sz w:val="21"/>
                      <w:szCs w:val="21"/>
                    </w:rPr>
                  </w:pPr>
                  <w:r>
                    <w:rPr>
                      <w:rFonts w:hint="eastAsia" w:ascii="Times New Roman" w:cs="Times New Roman"/>
                      <w:color w:val="auto"/>
                      <w:sz w:val="21"/>
                      <w:szCs w:val="21"/>
                    </w:rPr>
                    <w:t>0.008</w:t>
                  </w:r>
                </w:p>
              </w:tc>
              <w:tc>
                <w:tcPr>
                  <w:tcW w:w="711" w:type="pct"/>
                  <w:vAlign w:val="center"/>
                </w:tcPr>
                <w:p w14:paraId="75A76E00">
                  <w:pPr>
                    <w:pStyle w:val="2"/>
                    <w:jc w:val="center"/>
                    <w:rPr>
                      <w:rFonts w:ascii="Times New Roman" w:cs="Times New Roman"/>
                      <w:color w:val="auto"/>
                      <w:sz w:val="21"/>
                      <w:szCs w:val="21"/>
                    </w:rPr>
                  </w:pPr>
                  <w:r>
                    <w:rPr>
                      <w:rFonts w:hint="eastAsia" w:ascii="Times New Roman" w:cs="Times New Roman"/>
                      <w:color w:val="auto"/>
                      <w:sz w:val="21"/>
                      <w:szCs w:val="21"/>
                    </w:rPr>
                    <w:t>0.048</w:t>
                  </w:r>
                </w:p>
              </w:tc>
            </w:tr>
            <w:tr w14:paraId="45F2D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38" w:type="pct"/>
                  <w:vMerge w:val="continue"/>
                  <w:vAlign w:val="center"/>
                </w:tcPr>
                <w:p w14:paraId="29D2ABBE">
                  <w:pPr>
                    <w:pStyle w:val="2"/>
                    <w:jc w:val="center"/>
                    <w:rPr>
                      <w:rFonts w:ascii="Times New Roman" w:cs="Times New Roman"/>
                      <w:color w:val="auto"/>
                      <w:sz w:val="21"/>
                      <w:szCs w:val="21"/>
                    </w:rPr>
                  </w:pPr>
                </w:p>
              </w:tc>
              <w:tc>
                <w:tcPr>
                  <w:tcW w:w="666" w:type="pct"/>
                  <w:vMerge w:val="continue"/>
                  <w:vAlign w:val="center"/>
                </w:tcPr>
                <w:p w14:paraId="04E8AB24">
                  <w:pPr>
                    <w:pStyle w:val="2"/>
                    <w:jc w:val="center"/>
                    <w:rPr>
                      <w:rFonts w:ascii="Times New Roman" w:cs="Times New Roman"/>
                      <w:color w:val="auto"/>
                      <w:sz w:val="21"/>
                      <w:szCs w:val="21"/>
                    </w:rPr>
                  </w:pPr>
                </w:p>
              </w:tc>
              <w:tc>
                <w:tcPr>
                  <w:tcW w:w="1040" w:type="pct"/>
                  <w:vMerge w:val="continue"/>
                  <w:vAlign w:val="center"/>
                </w:tcPr>
                <w:p w14:paraId="76F55F36">
                  <w:pPr>
                    <w:pStyle w:val="2"/>
                    <w:jc w:val="center"/>
                    <w:rPr>
                      <w:rFonts w:ascii="Times New Roman" w:cs="Times New Roman"/>
                      <w:color w:val="auto"/>
                      <w:sz w:val="21"/>
                      <w:szCs w:val="21"/>
                    </w:rPr>
                  </w:pPr>
                </w:p>
              </w:tc>
              <w:tc>
                <w:tcPr>
                  <w:tcW w:w="714" w:type="pct"/>
                  <w:vAlign w:val="center"/>
                </w:tcPr>
                <w:p w14:paraId="02BA8B45">
                  <w:pPr>
                    <w:pStyle w:val="2"/>
                    <w:jc w:val="center"/>
                    <w:rPr>
                      <w:rFonts w:ascii="Times New Roman" w:cs="Times New Roman"/>
                      <w:color w:val="auto"/>
                      <w:sz w:val="21"/>
                      <w:szCs w:val="21"/>
                    </w:rPr>
                  </w:pPr>
                  <w:r>
                    <w:rPr>
                      <w:rFonts w:ascii="Times New Roman" w:cs="Times New Roman"/>
                      <w:color w:val="auto"/>
                      <w:sz w:val="21"/>
                      <w:szCs w:val="21"/>
                    </w:rPr>
                    <w:t>氮氧化物</w:t>
                  </w:r>
                </w:p>
              </w:tc>
              <w:tc>
                <w:tcPr>
                  <w:tcW w:w="716" w:type="pct"/>
                  <w:vAlign w:val="center"/>
                </w:tcPr>
                <w:p w14:paraId="02DFD001">
                  <w:pPr>
                    <w:pStyle w:val="2"/>
                    <w:jc w:val="center"/>
                    <w:rPr>
                      <w:rFonts w:ascii="Times New Roman" w:cs="Times New Roman"/>
                      <w:color w:val="auto"/>
                      <w:sz w:val="21"/>
                      <w:szCs w:val="21"/>
                    </w:rPr>
                  </w:pPr>
                  <w:r>
                    <w:rPr>
                      <w:rFonts w:hint="eastAsia" w:ascii="Times New Roman" w:cs="Times New Roman"/>
                      <w:color w:val="auto"/>
                      <w:sz w:val="21"/>
                      <w:szCs w:val="21"/>
                    </w:rPr>
                    <w:t>118</w:t>
                  </w:r>
                </w:p>
              </w:tc>
              <w:tc>
                <w:tcPr>
                  <w:tcW w:w="715" w:type="pct"/>
                  <w:vAlign w:val="center"/>
                </w:tcPr>
                <w:p w14:paraId="58FB0BE2">
                  <w:pPr>
                    <w:pStyle w:val="2"/>
                    <w:jc w:val="center"/>
                    <w:rPr>
                      <w:rFonts w:ascii="Times New Roman" w:cs="Times New Roman"/>
                      <w:color w:val="auto"/>
                      <w:sz w:val="21"/>
                      <w:szCs w:val="21"/>
                    </w:rPr>
                  </w:pPr>
                  <w:r>
                    <w:rPr>
                      <w:rFonts w:hint="eastAsia" w:ascii="Times New Roman" w:cs="Times New Roman"/>
                      <w:color w:val="auto"/>
                      <w:sz w:val="21"/>
                      <w:szCs w:val="21"/>
                    </w:rPr>
                    <w:t>3.614</w:t>
                  </w:r>
                </w:p>
              </w:tc>
              <w:tc>
                <w:tcPr>
                  <w:tcW w:w="711" w:type="pct"/>
                  <w:vAlign w:val="center"/>
                </w:tcPr>
                <w:p w14:paraId="566B53F0">
                  <w:pPr>
                    <w:pStyle w:val="2"/>
                    <w:jc w:val="center"/>
                    <w:rPr>
                      <w:rFonts w:ascii="Times New Roman" w:cs="Times New Roman"/>
                      <w:color w:val="auto"/>
                      <w:sz w:val="21"/>
                      <w:szCs w:val="21"/>
                    </w:rPr>
                  </w:pPr>
                  <w:r>
                    <w:rPr>
                      <w:rFonts w:hint="eastAsia" w:ascii="Times New Roman" w:cs="Times New Roman"/>
                      <w:color w:val="auto"/>
                      <w:sz w:val="21"/>
                      <w:szCs w:val="21"/>
                    </w:rPr>
                    <w:t>22.41</w:t>
                  </w:r>
                </w:p>
              </w:tc>
            </w:tr>
            <w:tr w14:paraId="43484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38" w:type="pct"/>
                  <w:vMerge w:val="restart"/>
                  <w:vAlign w:val="center"/>
                </w:tcPr>
                <w:p w14:paraId="682E52A6">
                  <w:pPr>
                    <w:pStyle w:val="2"/>
                    <w:jc w:val="center"/>
                    <w:rPr>
                      <w:rFonts w:ascii="Times New Roman" w:cs="Times New Roman"/>
                      <w:color w:val="auto"/>
                      <w:sz w:val="21"/>
                      <w:szCs w:val="21"/>
                    </w:rPr>
                  </w:pPr>
                  <w:r>
                    <w:rPr>
                      <w:rFonts w:hint="eastAsia" w:ascii="Times New Roman" w:cs="Times New Roman"/>
                      <w:color w:val="auto"/>
                      <w:sz w:val="21"/>
                      <w:szCs w:val="21"/>
                    </w:rPr>
                    <w:t>2</w:t>
                  </w:r>
                </w:p>
              </w:tc>
              <w:tc>
                <w:tcPr>
                  <w:tcW w:w="666" w:type="pct"/>
                  <w:vMerge w:val="restart"/>
                  <w:vAlign w:val="center"/>
                </w:tcPr>
                <w:p w14:paraId="0F2959C5">
                  <w:pPr>
                    <w:pStyle w:val="2"/>
                    <w:jc w:val="center"/>
                    <w:rPr>
                      <w:rFonts w:ascii="Times New Roman" w:cs="Times New Roman"/>
                      <w:color w:val="auto"/>
                      <w:sz w:val="21"/>
                      <w:szCs w:val="21"/>
                    </w:rPr>
                  </w:pPr>
                  <w:r>
                    <w:rPr>
                      <w:rFonts w:hint="eastAsia" w:ascii="Times New Roman" w:cs="Times New Roman"/>
                      <w:color w:val="auto"/>
                      <w:sz w:val="21"/>
                      <w:szCs w:val="21"/>
                    </w:rPr>
                    <w:t>FQ-2</w:t>
                  </w:r>
                </w:p>
              </w:tc>
              <w:tc>
                <w:tcPr>
                  <w:tcW w:w="1040" w:type="pct"/>
                  <w:vMerge w:val="restart"/>
                  <w:vAlign w:val="center"/>
                </w:tcPr>
                <w:p w14:paraId="6A662ACF">
                  <w:pPr>
                    <w:jc w:val="center"/>
                    <w:rPr>
                      <w:szCs w:val="21"/>
                    </w:rPr>
                  </w:pPr>
                  <w:r>
                    <w:rPr>
                      <w:rFonts w:hint="eastAsia"/>
                      <w:szCs w:val="21"/>
                    </w:rPr>
                    <w:t>步进加热炉燃烧烟气</w:t>
                  </w:r>
                </w:p>
              </w:tc>
              <w:tc>
                <w:tcPr>
                  <w:tcW w:w="714" w:type="pct"/>
                  <w:vAlign w:val="center"/>
                </w:tcPr>
                <w:p w14:paraId="751C18BD">
                  <w:pPr>
                    <w:pStyle w:val="69"/>
                    <w:rPr>
                      <w:rFonts w:eastAsiaTheme="minorEastAsia"/>
                      <w:sz w:val="21"/>
                      <w:szCs w:val="21"/>
                    </w:rPr>
                  </w:pPr>
                  <w:r>
                    <w:rPr>
                      <w:rFonts w:eastAsiaTheme="minorEastAsia"/>
                      <w:sz w:val="21"/>
                      <w:szCs w:val="21"/>
                    </w:rPr>
                    <w:t>颗粒物</w:t>
                  </w:r>
                </w:p>
              </w:tc>
              <w:tc>
                <w:tcPr>
                  <w:tcW w:w="716" w:type="pct"/>
                  <w:vAlign w:val="center"/>
                </w:tcPr>
                <w:p w14:paraId="4E3EFB41">
                  <w:pPr>
                    <w:pStyle w:val="2"/>
                    <w:jc w:val="center"/>
                    <w:rPr>
                      <w:rFonts w:ascii="Times New Roman" w:cs="Times New Roman"/>
                      <w:color w:val="auto"/>
                      <w:sz w:val="21"/>
                      <w:szCs w:val="21"/>
                    </w:rPr>
                  </w:pPr>
                  <w:r>
                    <w:rPr>
                      <w:rFonts w:hint="eastAsia" w:ascii="Times New Roman" w:cs="Times New Roman"/>
                      <w:color w:val="auto"/>
                      <w:sz w:val="21"/>
                      <w:szCs w:val="21"/>
                    </w:rPr>
                    <w:t>10</w:t>
                  </w:r>
                </w:p>
              </w:tc>
              <w:tc>
                <w:tcPr>
                  <w:tcW w:w="715" w:type="pct"/>
                  <w:vAlign w:val="center"/>
                </w:tcPr>
                <w:p w14:paraId="4C5CE0BA">
                  <w:pPr>
                    <w:pStyle w:val="2"/>
                    <w:jc w:val="center"/>
                    <w:rPr>
                      <w:rFonts w:ascii="Times New Roman" w:cs="Times New Roman"/>
                      <w:color w:val="auto"/>
                      <w:sz w:val="21"/>
                      <w:szCs w:val="21"/>
                    </w:rPr>
                  </w:pPr>
                  <w:r>
                    <w:rPr>
                      <w:rFonts w:hint="eastAsia" w:ascii="Times New Roman" w:cs="Times New Roman"/>
                      <w:color w:val="auto"/>
                      <w:sz w:val="21"/>
                      <w:szCs w:val="21"/>
                    </w:rPr>
                    <w:t>0.153</w:t>
                  </w:r>
                </w:p>
              </w:tc>
              <w:tc>
                <w:tcPr>
                  <w:tcW w:w="711" w:type="pct"/>
                  <w:vAlign w:val="center"/>
                </w:tcPr>
                <w:p w14:paraId="4F0C14C2">
                  <w:pPr>
                    <w:pStyle w:val="2"/>
                    <w:jc w:val="center"/>
                    <w:rPr>
                      <w:rFonts w:ascii="Times New Roman" w:cs="Times New Roman"/>
                      <w:color w:val="auto"/>
                      <w:sz w:val="21"/>
                      <w:szCs w:val="21"/>
                    </w:rPr>
                  </w:pPr>
                  <w:r>
                    <w:rPr>
                      <w:rFonts w:hint="eastAsia" w:ascii="Times New Roman" w:cs="Times New Roman"/>
                      <w:color w:val="auto"/>
                      <w:sz w:val="21"/>
                      <w:szCs w:val="21"/>
                    </w:rPr>
                    <w:t>0.949</w:t>
                  </w:r>
                </w:p>
              </w:tc>
            </w:tr>
            <w:tr w14:paraId="2D64DE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38" w:type="pct"/>
                  <w:vMerge w:val="continue"/>
                  <w:vAlign w:val="center"/>
                </w:tcPr>
                <w:p w14:paraId="5A404E94">
                  <w:pPr>
                    <w:pStyle w:val="2"/>
                    <w:jc w:val="center"/>
                    <w:rPr>
                      <w:rFonts w:ascii="Times New Roman" w:cs="Times New Roman"/>
                      <w:color w:val="auto"/>
                      <w:sz w:val="21"/>
                      <w:szCs w:val="21"/>
                    </w:rPr>
                  </w:pPr>
                </w:p>
              </w:tc>
              <w:tc>
                <w:tcPr>
                  <w:tcW w:w="666" w:type="pct"/>
                  <w:vMerge w:val="continue"/>
                  <w:vAlign w:val="center"/>
                </w:tcPr>
                <w:p w14:paraId="46905600">
                  <w:pPr>
                    <w:pStyle w:val="2"/>
                    <w:jc w:val="center"/>
                    <w:rPr>
                      <w:rFonts w:ascii="Times New Roman" w:cs="Times New Roman"/>
                      <w:color w:val="auto"/>
                      <w:sz w:val="21"/>
                      <w:szCs w:val="21"/>
                    </w:rPr>
                  </w:pPr>
                </w:p>
              </w:tc>
              <w:tc>
                <w:tcPr>
                  <w:tcW w:w="1040" w:type="pct"/>
                  <w:vMerge w:val="continue"/>
                  <w:vAlign w:val="center"/>
                </w:tcPr>
                <w:p w14:paraId="3369E15E">
                  <w:pPr>
                    <w:jc w:val="center"/>
                    <w:rPr>
                      <w:szCs w:val="21"/>
                    </w:rPr>
                  </w:pPr>
                </w:p>
              </w:tc>
              <w:tc>
                <w:tcPr>
                  <w:tcW w:w="714" w:type="pct"/>
                  <w:vAlign w:val="center"/>
                </w:tcPr>
                <w:p w14:paraId="7F0545F0">
                  <w:pPr>
                    <w:pStyle w:val="69"/>
                    <w:rPr>
                      <w:rFonts w:eastAsiaTheme="minorEastAsia"/>
                      <w:sz w:val="21"/>
                      <w:szCs w:val="21"/>
                    </w:rPr>
                  </w:pPr>
                  <w:r>
                    <w:rPr>
                      <w:rFonts w:eastAsiaTheme="minorEastAsia"/>
                      <w:sz w:val="21"/>
                      <w:szCs w:val="21"/>
                    </w:rPr>
                    <w:t>二氧化硫</w:t>
                  </w:r>
                </w:p>
              </w:tc>
              <w:tc>
                <w:tcPr>
                  <w:tcW w:w="716" w:type="pct"/>
                  <w:vAlign w:val="center"/>
                </w:tcPr>
                <w:p w14:paraId="01650583">
                  <w:pPr>
                    <w:pStyle w:val="2"/>
                    <w:jc w:val="center"/>
                    <w:rPr>
                      <w:rFonts w:ascii="Times New Roman" w:cs="Times New Roman"/>
                      <w:color w:val="auto"/>
                      <w:sz w:val="21"/>
                      <w:szCs w:val="21"/>
                    </w:rPr>
                  </w:pPr>
                  <w:r>
                    <w:rPr>
                      <w:rFonts w:hint="eastAsia" w:ascii="Times New Roman" w:cs="Times New Roman"/>
                      <w:color w:val="auto"/>
                      <w:sz w:val="21"/>
                      <w:szCs w:val="21"/>
                    </w:rPr>
                    <w:t>0.25</w:t>
                  </w:r>
                </w:p>
              </w:tc>
              <w:tc>
                <w:tcPr>
                  <w:tcW w:w="715" w:type="pct"/>
                  <w:vAlign w:val="center"/>
                </w:tcPr>
                <w:p w14:paraId="5213B41F">
                  <w:pPr>
                    <w:pStyle w:val="2"/>
                    <w:jc w:val="center"/>
                    <w:rPr>
                      <w:rFonts w:ascii="Times New Roman" w:cs="Times New Roman"/>
                      <w:color w:val="auto"/>
                      <w:sz w:val="21"/>
                      <w:szCs w:val="21"/>
                    </w:rPr>
                  </w:pPr>
                  <w:r>
                    <w:rPr>
                      <w:rFonts w:hint="eastAsia" w:ascii="Times New Roman" w:cs="Times New Roman"/>
                      <w:color w:val="auto"/>
                      <w:sz w:val="21"/>
                      <w:szCs w:val="21"/>
                    </w:rPr>
                    <w:t>0.004</w:t>
                  </w:r>
                </w:p>
              </w:tc>
              <w:tc>
                <w:tcPr>
                  <w:tcW w:w="711" w:type="pct"/>
                  <w:vAlign w:val="center"/>
                </w:tcPr>
                <w:p w14:paraId="15BFAB9D">
                  <w:pPr>
                    <w:pStyle w:val="2"/>
                    <w:jc w:val="center"/>
                    <w:rPr>
                      <w:rFonts w:ascii="Times New Roman" w:cs="Times New Roman"/>
                      <w:color w:val="auto"/>
                      <w:sz w:val="21"/>
                      <w:szCs w:val="21"/>
                    </w:rPr>
                  </w:pPr>
                  <w:r>
                    <w:rPr>
                      <w:rFonts w:hint="eastAsia" w:ascii="Times New Roman" w:cs="Times New Roman"/>
                      <w:color w:val="auto"/>
                      <w:sz w:val="21"/>
                      <w:szCs w:val="21"/>
                    </w:rPr>
                    <w:t>0.024</w:t>
                  </w:r>
                </w:p>
              </w:tc>
            </w:tr>
            <w:tr w14:paraId="599D4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38" w:type="pct"/>
                  <w:vMerge w:val="continue"/>
                  <w:vAlign w:val="center"/>
                </w:tcPr>
                <w:p w14:paraId="18DA79E4">
                  <w:pPr>
                    <w:pStyle w:val="2"/>
                    <w:jc w:val="center"/>
                    <w:rPr>
                      <w:rFonts w:ascii="Times New Roman" w:cs="Times New Roman"/>
                      <w:color w:val="auto"/>
                      <w:sz w:val="21"/>
                      <w:szCs w:val="21"/>
                    </w:rPr>
                  </w:pPr>
                </w:p>
              </w:tc>
              <w:tc>
                <w:tcPr>
                  <w:tcW w:w="666" w:type="pct"/>
                  <w:vMerge w:val="continue"/>
                  <w:vAlign w:val="center"/>
                </w:tcPr>
                <w:p w14:paraId="366EB294">
                  <w:pPr>
                    <w:pStyle w:val="2"/>
                    <w:jc w:val="center"/>
                    <w:rPr>
                      <w:rFonts w:ascii="Times New Roman" w:cs="Times New Roman"/>
                      <w:color w:val="auto"/>
                      <w:sz w:val="21"/>
                      <w:szCs w:val="21"/>
                    </w:rPr>
                  </w:pPr>
                </w:p>
              </w:tc>
              <w:tc>
                <w:tcPr>
                  <w:tcW w:w="1040" w:type="pct"/>
                  <w:vMerge w:val="continue"/>
                  <w:vAlign w:val="center"/>
                </w:tcPr>
                <w:p w14:paraId="13760A26">
                  <w:pPr>
                    <w:pStyle w:val="2"/>
                    <w:jc w:val="center"/>
                    <w:rPr>
                      <w:rFonts w:ascii="Times New Roman" w:cs="Times New Roman"/>
                      <w:color w:val="auto"/>
                      <w:sz w:val="21"/>
                      <w:szCs w:val="21"/>
                    </w:rPr>
                  </w:pPr>
                </w:p>
              </w:tc>
              <w:tc>
                <w:tcPr>
                  <w:tcW w:w="714" w:type="pct"/>
                  <w:vAlign w:val="center"/>
                </w:tcPr>
                <w:p w14:paraId="54C8C28E">
                  <w:pPr>
                    <w:pStyle w:val="2"/>
                    <w:jc w:val="center"/>
                    <w:rPr>
                      <w:rFonts w:ascii="Times New Roman" w:cs="Times New Roman"/>
                      <w:color w:val="auto"/>
                      <w:sz w:val="21"/>
                      <w:szCs w:val="21"/>
                    </w:rPr>
                  </w:pPr>
                  <w:r>
                    <w:rPr>
                      <w:rFonts w:ascii="Times New Roman" w:cs="Times New Roman"/>
                      <w:color w:val="auto"/>
                      <w:sz w:val="21"/>
                      <w:szCs w:val="21"/>
                    </w:rPr>
                    <w:t>氮氧化物</w:t>
                  </w:r>
                </w:p>
              </w:tc>
              <w:tc>
                <w:tcPr>
                  <w:tcW w:w="716" w:type="pct"/>
                  <w:vAlign w:val="center"/>
                </w:tcPr>
                <w:p w14:paraId="31CEDC64">
                  <w:pPr>
                    <w:pStyle w:val="2"/>
                    <w:jc w:val="center"/>
                    <w:rPr>
                      <w:rFonts w:ascii="Times New Roman" w:cs="Times New Roman"/>
                      <w:color w:val="auto"/>
                      <w:sz w:val="21"/>
                      <w:szCs w:val="21"/>
                    </w:rPr>
                  </w:pPr>
                  <w:r>
                    <w:rPr>
                      <w:rFonts w:hint="eastAsia" w:ascii="Times New Roman" w:cs="Times New Roman"/>
                      <w:color w:val="auto"/>
                      <w:sz w:val="21"/>
                      <w:szCs w:val="21"/>
                    </w:rPr>
                    <w:t>118</w:t>
                  </w:r>
                </w:p>
              </w:tc>
              <w:tc>
                <w:tcPr>
                  <w:tcW w:w="715" w:type="pct"/>
                  <w:vAlign w:val="center"/>
                </w:tcPr>
                <w:p w14:paraId="22B52A1D">
                  <w:pPr>
                    <w:pStyle w:val="2"/>
                    <w:jc w:val="center"/>
                    <w:rPr>
                      <w:rFonts w:ascii="Times New Roman" w:cs="Times New Roman"/>
                      <w:color w:val="auto"/>
                      <w:sz w:val="21"/>
                      <w:szCs w:val="21"/>
                    </w:rPr>
                  </w:pPr>
                  <w:r>
                    <w:rPr>
                      <w:rFonts w:hint="eastAsia" w:ascii="Times New Roman" w:cs="Times New Roman"/>
                      <w:color w:val="auto"/>
                      <w:sz w:val="21"/>
                      <w:szCs w:val="21"/>
                    </w:rPr>
                    <w:t>1.807</w:t>
                  </w:r>
                </w:p>
              </w:tc>
              <w:tc>
                <w:tcPr>
                  <w:tcW w:w="711" w:type="pct"/>
                  <w:vAlign w:val="center"/>
                </w:tcPr>
                <w:p w14:paraId="494D0A46">
                  <w:pPr>
                    <w:pStyle w:val="2"/>
                    <w:jc w:val="center"/>
                    <w:rPr>
                      <w:rFonts w:ascii="Times New Roman" w:cs="Times New Roman"/>
                      <w:color w:val="auto"/>
                      <w:sz w:val="21"/>
                      <w:szCs w:val="21"/>
                    </w:rPr>
                  </w:pPr>
                  <w:r>
                    <w:rPr>
                      <w:rFonts w:hint="eastAsia" w:ascii="Times New Roman" w:cs="Times New Roman"/>
                      <w:color w:val="auto"/>
                      <w:sz w:val="21"/>
                      <w:szCs w:val="21"/>
                    </w:rPr>
                    <w:t>11.20</w:t>
                  </w:r>
                </w:p>
              </w:tc>
            </w:tr>
            <w:tr w14:paraId="484A73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38" w:type="pct"/>
                  <w:vAlign w:val="center"/>
                </w:tcPr>
                <w:p w14:paraId="55353965">
                  <w:pPr>
                    <w:pStyle w:val="2"/>
                    <w:jc w:val="center"/>
                    <w:rPr>
                      <w:rFonts w:ascii="Times New Roman" w:cs="Times New Roman"/>
                      <w:color w:val="auto"/>
                      <w:sz w:val="21"/>
                      <w:szCs w:val="21"/>
                    </w:rPr>
                  </w:pPr>
                  <w:r>
                    <w:rPr>
                      <w:rFonts w:hint="eastAsia" w:ascii="Times New Roman" w:cs="Times New Roman"/>
                      <w:color w:val="auto"/>
                      <w:sz w:val="21"/>
                      <w:szCs w:val="21"/>
                    </w:rPr>
                    <w:t>3</w:t>
                  </w:r>
                </w:p>
              </w:tc>
              <w:tc>
                <w:tcPr>
                  <w:tcW w:w="666" w:type="pct"/>
                  <w:vAlign w:val="center"/>
                </w:tcPr>
                <w:p w14:paraId="5ABA78B5">
                  <w:pPr>
                    <w:pStyle w:val="2"/>
                    <w:jc w:val="center"/>
                    <w:rPr>
                      <w:rFonts w:ascii="Times New Roman" w:cs="Times New Roman"/>
                      <w:color w:val="auto"/>
                      <w:sz w:val="21"/>
                      <w:szCs w:val="21"/>
                    </w:rPr>
                  </w:pPr>
                  <w:r>
                    <w:rPr>
                      <w:rFonts w:hint="eastAsia" w:ascii="Times New Roman" w:cs="Times New Roman"/>
                      <w:color w:val="auto"/>
                      <w:sz w:val="21"/>
                      <w:szCs w:val="21"/>
                    </w:rPr>
                    <w:t>FQ-3</w:t>
                  </w:r>
                </w:p>
              </w:tc>
              <w:tc>
                <w:tcPr>
                  <w:tcW w:w="1040" w:type="pct"/>
                  <w:vAlign w:val="center"/>
                </w:tcPr>
                <w:p w14:paraId="5E97DFC4">
                  <w:pPr>
                    <w:jc w:val="center"/>
                    <w:rPr>
                      <w:szCs w:val="21"/>
                    </w:rPr>
                  </w:pPr>
                  <w:r>
                    <w:rPr>
                      <w:rFonts w:hint="eastAsia" w:eastAsiaTheme="minorEastAsia"/>
                      <w:szCs w:val="21"/>
                    </w:rPr>
                    <w:t>喷硼砂作业、连轧管作业粉尘</w:t>
                  </w:r>
                </w:p>
              </w:tc>
              <w:tc>
                <w:tcPr>
                  <w:tcW w:w="714" w:type="pct"/>
                  <w:vAlign w:val="center"/>
                </w:tcPr>
                <w:p w14:paraId="33F535D1">
                  <w:pPr>
                    <w:pStyle w:val="69"/>
                    <w:rPr>
                      <w:rFonts w:eastAsiaTheme="minorEastAsia"/>
                      <w:sz w:val="21"/>
                      <w:szCs w:val="21"/>
                    </w:rPr>
                  </w:pPr>
                  <w:r>
                    <w:rPr>
                      <w:rFonts w:eastAsiaTheme="minorEastAsia"/>
                      <w:sz w:val="21"/>
                      <w:szCs w:val="21"/>
                    </w:rPr>
                    <w:t>颗粒物</w:t>
                  </w:r>
                </w:p>
              </w:tc>
              <w:tc>
                <w:tcPr>
                  <w:tcW w:w="716" w:type="pct"/>
                  <w:vAlign w:val="center"/>
                </w:tcPr>
                <w:p w14:paraId="4322A3EF">
                  <w:pPr>
                    <w:pStyle w:val="2"/>
                    <w:jc w:val="center"/>
                    <w:rPr>
                      <w:rFonts w:ascii="Times New Roman" w:cs="Times New Roman"/>
                      <w:color w:val="auto"/>
                      <w:sz w:val="21"/>
                      <w:szCs w:val="21"/>
                    </w:rPr>
                  </w:pPr>
                  <w:r>
                    <w:rPr>
                      <w:rFonts w:hint="eastAsia" w:ascii="Times New Roman" w:cs="Times New Roman"/>
                      <w:color w:val="auto"/>
                      <w:sz w:val="21"/>
                      <w:szCs w:val="21"/>
                    </w:rPr>
                    <w:t>3.75</w:t>
                  </w:r>
                </w:p>
              </w:tc>
              <w:tc>
                <w:tcPr>
                  <w:tcW w:w="715" w:type="pct"/>
                  <w:vAlign w:val="center"/>
                </w:tcPr>
                <w:p w14:paraId="4359CEA8">
                  <w:pPr>
                    <w:pStyle w:val="2"/>
                    <w:jc w:val="center"/>
                    <w:rPr>
                      <w:rFonts w:ascii="Times New Roman" w:cs="Times New Roman"/>
                      <w:color w:val="auto"/>
                      <w:sz w:val="21"/>
                      <w:szCs w:val="21"/>
                    </w:rPr>
                  </w:pPr>
                  <w:r>
                    <w:rPr>
                      <w:rFonts w:hint="eastAsia" w:ascii="Times New Roman" w:cs="Times New Roman"/>
                      <w:color w:val="auto"/>
                      <w:sz w:val="21"/>
                      <w:szCs w:val="21"/>
                    </w:rPr>
                    <w:t>0.75</w:t>
                  </w:r>
                </w:p>
              </w:tc>
              <w:tc>
                <w:tcPr>
                  <w:tcW w:w="711" w:type="pct"/>
                  <w:vAlign w:val="center"/>
                </w:tcPr>
                <w:p w14:paraId="4AA9752E">
                  <w:pPr>
                    <w:pStyle w:val="2"/>
                    <w:jc w:val="center"/>
                    <w:rPr>
                      <w:rFonts w:ascii="Times New Roman" w:cs="Times New Roman"/>
                      <w:color w:val="auto"/>
                      <w:sz w:val="21"/>
                      <w:szCs w:val="21"/>
                    </w:rPr>
                  </w:pPr>
                  <w:r>
                    <w:rPr>
                      <w:rFonts w:hint="eastAsia" w:ascii="Times New Roman" w:cs="Times New Roman"/>
                      <w:color w:val="auto"/>
                      <w:sz w:val="21"/>
                      <w:szCs w:val="21"/>
                    </w:rPr>
                    <w:t>4.65</w:t>
                  </w:r>
                </w:p>
              </w:tc>
            </w:tr>
            <w:tr w14:paraId="4087C6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000" w:type="pct"/>
                  <w:gridSpan w:val="7"/>
                  <w:vAlign w:val="center"/>
                </w:tcPr>
                <w:p w14:paraId="02117198">
                  <w:pPr>
                    <w:pStyle w:val="2"/>
                    <w:jc w:val="center"/>
                    <w:rPr>
                      <w:rFonts w:ascii="Times New Roman" w:cs="Times New Roman"/>
                      <w:color w:val="auto"/>
                      <w:sz w:val="21"/>
                      <w:szCs w:val="21"/>
                    </w:rPr>
                  </w:pPr>
                  <w:r>
                    <w:rPr>
                      <w:rFonts w:hint="eastAsia" w:ascii="Times New Roman" w:cs="Times New Roman"/>
                      <w:color w:val="auto"/>
                      <w:sz w:val="21"/>
                      <w:szCs w:val="21"/>
                    </w:rPr>
                    <w:t>有组织排放总计</w:t>
                  </w:r>
                </w:p>
              </w:tc>
            </w:tr>
            <w:tr w14:paraId="31E772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4" w:type="pct"/>
                  <w:gridSpan w:val="3"/>
                  <w:vMerge w:val="restart"/>
                  <w:vAlign w:val="center"/>
                </w:tcPr>
                <w:p w14:paraId="1EB0950F">
                  <w:pPr>
                    <w:jc w:val="center"/>
                    <w:rPr>
                      <w:rFonts w:eastAsiaTheme="minorEastAsia"/>
                      <w:szCs w:val="21"/>
                    </w:rPr>
                  </w:pPr>
                  <w:r>
                    <w:rPr>
                      <w:rFonts w:eastAsiaTheme="minorEastAsia"/>
                      <w:szCs w:val="21"/>
                    </w:rPr>
                    <w:t>有组织排放总计</w:t>
                  </w:r>
                </w:p>
              </w:tc>
              <w:tc>
                <w:tcPr>
                  <w:tcW w:w="2145" w:type="pct"/>
                  <w:gridSpan w:val="3"/>
                  <w:vAlign w:val="center"/>
                </w:tcPr>
                <w:p w14:paraId="202D2101">
                  <w:pPr>
                    <w:pStyle w:val="2"/>
                    <w:jc w:val="center"/>
                    <w:rPr>
                      <w:rFonts w:ascii="Times New Roman" w:cs="Times New Roman"/>
                      <w:color w:val="auto"/>
                      <w:sz w:val="21"/>
                      <w:szCs w:val="21"/>
                    </w:rPr>
                  </w:pPr>
                  <w:r>
                    <w:rPr>
                      <w:rFonts w:eastAsiaTheme="minorEastAsia"/>
                      <w:sz w:val="21"/>
                      <w:szCs w:val="21"/>
                    </w:rPr>
                    <w:t>颗粒物</w:t>
                  </w:r>
                </w:p>
              </w:tc>
              <w:tc>
                <w:tcPr>
                  <w:tcW w:w="711" w:type="pct"/>
                  <w:vAlign w:val="center"/>
                </w:tcPr>
                <w:p w14:paraId="627F36F9">
                  <w:pPr>
                    <w:pStyle w:val="2"/>
                    <w:jc w:val="center"/>
                    <w:rPr>
                      <w:rFonts w:ascii="Times New Roman" w:cs="Times New Roman"/>
                      <w:color w:val="auto"/>
                      <w:sz w:val="21"/>
                      <w:szCs w:val="21"/>
                    </w:rPr>
                  </w:pPr>
                  <w:r>
                    <w:rPr>
                      <w:rFonts w:hint="eastAsia" w:ascii="Times New Roman" w:cs="Times New Roman"/>
                      <w:color w:val="auto"/>
                      <w:sz w:val="21"/>
                      <w:szCs w:val="21"/>
                    </w:rPr>
                    <w:t>7.496</w:t>
                  </w:r>
                </w:p>
              </w:tc>
            </w:tr>
            <w:tr w14:paraId="5292C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4" w:type="pct"/>
                  <w:gridSpan w:val="3"/>
                  <w:vMerge w:val="continue"/>
                  <w:vAlign w:val="center"/>
                </w:tcPr>
                <w:p w14:paraId="49CCC5E5">
                  <w:pPr>
                    <w:jc w:val="center"/>
                    <w:rPr>
                      <w:rFonts w:eastAsiaTheme="minorEastAsia"/>
                      <w:szCs w:val="21"/>
                    </w:rPr>
                  </w:pPr>
                </w:p>
              </w:tc>
              <w:tc>
                <w:tcPr>
                  <w:tcW w:w="2145" w:type="pct"/>
                  <w:gridSpan w:val="3"/>
                  <w:vAlign w:val="center"/>
                </w:tcPr>
                <w:p w14:paraId="39410F85">
                  <w:pPr>
                    <w:pStyle w:val="69"/>
                    <w:rPr>
                      <w:rFonts w:eastAsiaTheme="minorEastAsia"/>
                      <w:sz w:val="21"/>
                      <w:szCs w:val="21"/>
                    </w:rPr>
                  </w:pPr>
                  <w:r>
                    <w:rPr>
                      <w:rFonts w:eastAsiaTheme="minorEastAsia"/>
                      <w:sz w:val="21"/>
                      <w:szCs w:val="21"/>
                    </w:rPr>
                    <w:t>二氧化硫</w:t>
                  </w:r>
                </w:p>
              </w:tc>
              <w:tc>
                <w:tcPr>
                  <w:tcW w:w="711" w:type="pct"/>
                  <w:vAlign w:val="center"/>
                </w:tcPr>
                <w:p w14:paraId="7543E00A">
                  <w:pPr>
                    <w:pStyle w:val="2"/>
                    <w:jc w:val="center"/>
                    <w:rPr>
                      <w:rFonts w:ascii="Times New Roman" w:cs="Times New Roman"/>
                      <w:color w:val="auto"/>
                      <w:sz w:val="21"/>
                      <w:szCs w:val="21"/>
                    </w:rPr>
                  </w:pPr>
                  <w:r>
                    <w:rPr>
                      <w:rFonts w:hint="eastAsia" w:ascii="Times New Roman" w:cs="Times New Roman"/>
                      <w:color w:val="auto"/>
                      <w:sz w:val="21"/>
                      <w:szCs w:val="21"/>
                    </w:rPr>
                    <w:t>0.072</w:t>
                  </w:r>
                </w:p>
              </w:tc>
            </w:tr>
            <w:tr w14:paraId="3E889C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44" w:type="pct"/>
                  <w:gridSpan w:val="3"/>
                  <w:vMerge w:val="continue"/>
                  <w:vAlign w:val="center"/>
                </w:tcPr>
                <w:p w14:paraId="5D08720E">
                  <w:pPr>
                    <w:jc w:val="center"/>
                    <w:rPr>
                      <w:rFonts w:eastAsiaTheme="minorEastAsia"/>
                      <w:szCs w:val="21"/>
                    </w:rPr>
                  </w:pPr>
                </w:p>
              </w:tc>
              <w:tc>
                <w:tcPr>
                  <w:tcW w:w="2145" w:type="pct"/>
                  <w:gridSpan w:val="3"/>
                  <w:vAlign w:val="center"/>
                </w:tcPr>
                <w:p w14:paraId="6998F3D7">
                  <w:pPr>
                    <w:pStyle w:val="2"/>
                    <w:jc w:val="center"/>
                    <w:rPr>
                      <w:rFonts w:ascii="Times New Roman" w:cs="Times New Roman"/>
                      <w:color w:val="auto"/>
                      <w:sz w:val="21"/>
                      <w:szCs w:val="21"/>
                    </w:rPr>
                  </w:pPr>
                  <w:r>
                    <w:rPr>
                      <w:rFonts w:ascii="Times New Roman" w:cs="Times New Roman"/>
                      <w:color w:val="auto"/>
                      <w:sz w:val="21"/>
                      <w:szCs w:val="21"/>
                    </w:rPr>
                    <w:t>氮氧化物</w:t>
                  </w:r>
                </w:p>
              </w:tc>
              <w:tc>
                <w:tcPr>
                  <w:tcW w:w="711" w:type="pct"/>
                  <w:vAlign w:val="center"/>
                </w:tcPr>
                <w:p w14:paraId="37FBAB95">
                  <w:pPr>
                    <w:pStyle w:val="2"/>
                    <w:jc w:val="center"/>
                    <w:rPr>
                      <w:rFonts w:ascii="Times New Roman" w:cs="Times New Roman"/>
                      <w:color w:val="auto"/>
                      <w:sz w:val="21"/>
                      <w:szCs w:val="21"/>
                    </w:rPr>
                  </w:pPr>
                  <w:r>
                    <w:rPr>
                      <w:rFonts w:hint="eastAsia" w:ascii="Times New Roman" w:cs="Times New Roman"/>
                      <w:color w:val="auto"/>
                      <w:sz w:val="21"/>
                      <w:szCs w:val="21"/>
                    </w:rPr>
                    <w:t>33.61</w:t>
                  </w:r>
                </w:p>
              </w:tc>
            </w:tr>
          </w:tbl>
          <w:p w14:paraId="64044AB0">
            <w:pPr>
              <w:spacing w:beforeLines="50"/>
              <w:jc w:val="center"/>
              <w:rPr>
                <w:b/>
                <w:szCs w:val="21"/>
              </w:rPr>
            </w:pPr>
            <w:r>
              <w:rPr>
                <w:rFonts w:hint="eastAsia"/>
                <w:b/>
                <w:szCs w:val="21"/>
              </w:rPr>
              <w:t>表4-3  大气污染物无组织排放量核算表</w:t>
            </w:r>
          </w:p>
          <w:tbl>
            <w:tblPr>
              <w:tblStyle w:val="3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4"/>
              <w:gridCol w:w="838"/>
              <w:gridCol w:w="974"/>
              <w:gridCol w:w="976"/>
              <w:gridCol w:w="982"/>
              <w:gridCol w:w="2894"/>
              <w:gridCol w:w="1157"/>
              <w:gridCol w:w="916"/>
            </w:tblGrid>
            <w:tr w14:paraId="2AF09B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63" w:type="pct"/>
                  <w:vMerge w:val="restart"/>
                  <w:vAlign w:val="center"/>
                </w:tcPr>
                <w:p w14:paraId="1696C7B9">
                  <w:pPr>
                    <w:pStyle w:val="2"/>
                    <w:jc w:val="center"/>
                    <w:rPr>
                      <w:rFonts w:ascii="Times New Roman" w:cs="Times New Roman"/>
                      <w:b/>
                      <w:color w:val="auto"/>
                      <w:sz w:val="21"/>
                      <w:szCs w:val="21"/>
                    </w:rPr>
                  </w:pPr>
                  <w:r>
                    <w:rPr>
                      <w:rFonts w:ascii="Times New Roman" w:cs="Times New Roman"/>
                      <w:b/>
                      <w:color w:val="auto"/>
                      <w:sz w:val="21"/>
                      <w:szCs w:val="21"/>
                    </w:rPr>
                    <w:t>序号</w:t>
                  </w:r>
                </w:p>
              </w:tc>
              <w:tc>
                <w:tcPr>
                  <w:tcW w:w="445" w:type="pct"/>
                  <w:vMerge w:val="restart"/>
                  <w:vAlign w:val="center"/>
                </w:tcPr>
                <w:p w14:paraId="03C7B676">
                  <w:pPr>
                    <w:pStyle w:val="2"/>
                    <w:jc w:val="center"/>
                    <w:rPr>
                      <w:rFonts w:ascii="Times New Roman" w:cs="Times New Roman"/>
                      <w:b/>
                      <w:color w:val="auto"/>
                      <w:sz w:val="21"/>
                      <w:szCs w:val="21"/>
                    </w:rPr>
                  </w:pPr>
                  <w:r>
                    <w:rPr>
                      <w:rFonts w:ascii="Times New Roman" w:cs="Times New Roman"/>
                      <w:b/>
                      <w:color w:val="auto"/>
                      <w:sz w:val="21"/>
                      <w:szCs w:val="21"/>
                    </w:rPr>
                    <w:t>排放口编号</w:t>
                  </w:r>
                </w:p>
              </w:tc>
              <w:tc>
                <w:tcPr>
                  <w:tcW w:w="517" w:type="pct"/>
                  <w:vMerge w:val="restart"/>
                  <w:vAlign w:val="center"/>
                </w:tcPr>
                <w:p w14:paraId="41994F2E">
                  <w:pPr>
                    <w:pStyle w:val="2"/>
                    <w:jc w:val="center"/>
                    <w:rPr>
                      <w:rFonts w:ascii="Times New Roman" w:cs="Times New Roman"/>
                      <w:b/>
                      <w:color w:val="auto"/>
                      <w:sz w:val="21"/>
                      <w:szCs w:val="21"/>
                    </w:rPr>
                  </w:pPr>
                  <w:r>
                    <w:rPr>
                      <w:rFonts w:ascii="Times New Roman" w:cs="Times New Roman"/>
                      <w:b/>
                      <w:color w:val="auto"/>
                      <w:sz w:val="21"/>
                      <w:szCs w:val="21"/>
                    </w:rPr>
                    <w:t>产污</w:t>
                  </w:r>
                </w:p>
                <w:p w14:paraId="12B72597">
                  <w:pPr>
                    <w:pStyle w:val="2"/>
                    <w:jc w:val="center"/>
                    <w:rPr>
                      <w:rFonts w:ascii="Times New Roman" w:cs="Times New Roman"/>
                      <w:b/>
                      <w:color w:val="auto"/>
                      <w:sz w:val="21"/>
                      <w:szCs w:val="21"/>
                    </w:rPr>
                  </w:pPr>
                  <w:r>
                    <w:rPr>
                      <w:rFonts w:ascii="Times New Roman" w:cs="Times New Roman"/>
                      <w:b/>
                      <w:color w:val="auto"/>
                      <w:sz w:val="21"/>
                      <w:szCs w:val="21"/>
                    </w:rPr>
                    <w:t>环节</w:t>
                  </w:r>
                </w:p>
              </w:tc>
              <w:tc>
                <w:tcPr>
                  <w:tcW w:w="518" w:type="pct"/>
                  <w:vMerge w:val="restart"/>
                  <w:vAlign w:val="center"/>
                </w:tcPr>
                <w:p w14:paraId="7E09871C">
                  <w:pPr>
                    <w:pStyle w:val="2"/>
                    <w:jc w:val="center"/>
                    <w:rPr>
                      <w:rFonts w:ascii="Times New Roman" w:cs="Times New Roman"/>
                      <w:b/>
                      <w:color w:val="auto"/>
                      <w:sz w:val="21"/>
                      <w:szCs w:val="21"/>
                    </w:rPr>
                  </w:pPr>
                  <w:r>
                    <w:rPr>
                      <w:rFonts w:ascii="Times New Roman" w:cs="Times New Roman"/>
                      <w:b/>
                      <w:color w:val="auto"/>
                      <w:sz w:val="21"/>
                      <w:szCs w:val="21"/>
                    </w:rPr>
                    <w:t>污染物</w:t>
                  </w:r>
                </w:p>
              </w:tc>
              <w:tc>
                <w:tcPr>
                  <w:tcW w:w="521" w:type="pct"/>
                  <w:vMerge w:val="restart"/>
                  <w:vAlign w:val="center"/>
                </w:tcPr>
                <w:p w14:paraId="766A63EA">
                  <w:pPr>
                    <w:pStyle w:val="2"/>
                    <w:jc w:val="center"/>
                    <w:rPr>
                      <w:rFonts w:ascii="Times New Roman" w:cs="Times New Roman"/>
                      <w:b/>
                      <w:color w:val="auto"/>
                      <w:sz w:val="21"/>
                      <w:szCs w:val="21"/>
                    </w:rPr>
                  </w:pPr>
                  <w:r>
                    <w:rPr>
                      <w:rFonts w:ascii="Times New Roman" w:cs="Times New Roman"/>
                      <w:b/>
                      <w:color w:val="auto"/>
                      <w:sz w:val="21"/>
                      <w:szCs w:val="21"/>
                    </w:rPr>
                    <w:t>主要污染物防治措施</w:t>
                  </w:r>
                </w:p>
              </w:tc>
              <w:tc>
                <w:tcPr>
                  <w:tcW w:w="2150" w:type="pct"/>
                  <w:gridSpan w:val="2"/>
                  <w:vAlign w:val="center"/>
                </w:tcPr>
                <w:p w14:paraId="1D54517C">
                  <w:pPr>
                    <w:pStyle w:val="2"/>
                    <w:jc w:val="center"/>
                    <w:rPr>
                      <w:rFonts w:ascii="Times New Roman" w:cs="Times New Roman"/>
                      <w:b/>
                      <w:color w:val="auto"/>
                      <w:sz w:val="21"/>
                      <w:szCs w:val="21"/>
                    </w:rPr>
                  </w:pPr>
                  <w:r>
                    <w:rPr>
                      <w:rFonts w:ascii="Times New Roman" w:cs="Times New Roman"/>
                      <w:b/>
                      <w:color w:val="auto"/>
                      <w:sz w:val="21"/>
                      <w:szCs w:val="21"/>
                    </w:rPr>
                    <w:t>国家或地方污染物排放标准名称</w:t>
                  </w:r>
                </w:p>
              </w:tc>
              <w:tc>
                <w:tcPr>
                  <w:tcW w:w="486" w:type="pct"/>
                  <w:vMerge w:val="restart"/>
                  <w:vAlign w:val="center"/>
                </w:tcPr>
                <w:p w14:paraId="5B306D26">
                  <w:pPr>
                    <w:pStyle w:val="2"/>
                    <w:jc w:val="center"/>
                    <w:rPr>
                      <w:rFonts w:ascii="Times New Roman" w:cs="Times New Roman"/>
                      <w:b/>
                      <w:color w:val="auto"/>
                      <w:sz w:val="21"/>
                      <w:szCs w:val="21"/>
                    </w:rPr>
                  </w:pPr>
                  <w:r>
                    <w:rPr>
                      <w:rFonts w:ascii="Times New Roman" w:cs="Times New Roman"/>
                      <w:b/>
                      <w:color w:val="auto"/>
                      <w:sz w:val="21"/>
                      <w:szCs w:val="21"/>
                    </w:rPr>
                    <w:t>年排放量</w:t>
                  </w:r>
                  <w:r>
                    <w:rPr>
                      <w:rFonts w:hint="eastAsia" w:ascii="Times New Roman" w:cs="Times New Roman"/>
                      <w:b/>
                      <w:color w:val="auto"/>
                      <w:sz w:val="21"/>
                      <w:szCs w:val="21"/>
                    </w:rPr>
                    <w:t>t/a</w:t>
                  </w:r>
                </w:p>
              </w:tc>
            </w:tr>
            <w:tr w14:paraId="35D46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63" w:type="pct"/>
                  <w:vMerge w:val="continue"/>
                  <w:vAlign w:val="center"/>
                </w:tcPr>
                <w:p w14:paraId="4989C540">
                  <w:pPr>
                    <w:pStyle w:val="2"/>
                    <w:jc w:val="center"/>
                    <w:rPr>
                      <w:rFonts w:ascii="Times New Roman" w:cs="Times New Roman"/>
                      <w:b/>
                      <w:color w:val="auto"/>
                      <w:sz w:val="21"/>
                      <w:szCs w:val="21"/>
                    </w:rPr>
                  </w:pPr>
                </w:p>
              </w:tc>
              <w:tc>
                <w:tcPr>
                  <w:tcW w:w="445" w:type="pct"/>
                  <w:vMerge w:val="continue"/>
                  <w:vAlign w:val="center"/>
                </w:tcPr>
                <w:p w14:paraId="3C2DECEF">
                  <w:pPr>
                    <w:pStyle w:val="2"/>
                    <w:jc w:val="center"/>
                    <w:rPr>
                      <w:rFonts w:ascii="Times New Roman" w:cs="Times New Roman"/>
                      <w:b/>
                      <w:color w:val="auto"/>
                      <w:sz w:val="21"/>
                      <w:szCs w:val="21"/>
                    </w:rPr>
                  </w:pPr>
                </w:p>
              </w:tc>
              <w:tc>
                <w:tcPr>
                  <w:tcW w:w="517" w:type="pct"/>
                  <w:vMerge w:val="continue"/>
                  <w:vAlign w:val="center"/>
                </w:tcPr>
                <w:p w14:paraId="0736912E">
                  <w:pPr>
                    <w:pStyle w:val="2"/>
                    <w:jc w:val="center"/>
                    <w:rPr>
                      <w:rFonts w:ascii="Times New Roman" w:cs="Times New Roman"/>
                      <w:b/>
                      <w:color w:val="auto"/>
                      <w:sz w:val="21"/>
                      <w:szCs w:val="21"/>
                    </w:rPr>
                  </w:pPr>
                </w:p>
              </w:tc>
              <w:tc>
                <w:tcPr>
                  <w:tcW w:w="518" w:type="pct"/>
                  <w:vMerge w:val="continue"/>
                  <w:vAlign w:val="center"/>
                </w:tcPr>
                <w:p w14:paraId="1CC20C86">
                  <w:pPr>
                    <w:pStyle w:val="2"/>
                    <w:jc w:val="center"/>
                    <w:rPr>
                      <w:rFonts w:ascii="Times New Roman" w:cs="Times New Roman"/>
                      <w:b/>
                      <w:color w:val="auto"/>
                      <w:sz w:val="21"/>
                      <w:szCs w:val="21"/>
                    </w:rPr>
                  </w:pPr>
                </w:p>
              </w:tc>
              <w:tc>
                <w:tcPr>
                  <w:tcW w:w="521" w:type="pct"/>
                  <w:vMerge w:val="continue"/>
                  <w:vAlign w:val="center"/>
                </w:tcPr>
                <w:p w14:paraId="2F9C8140">
                  <w:pPr>
                    <w:pStyle w:val="2"/>
                    <w:jc w:val="center"/>
                    <w:rPr>
                      <w:rFonts w:ascii="Times New Roman" w:cs="Times New Roman"/>
                      <w:b/>
                      <w:color w:val="auto"/>
                      <w:sz w:val="21"/>
                      <w:szCs w:val="21"/>
                    </w:rPr>
                  </w:pPr>
                </w:p>
              </w:tc>
              <w:tc>
                <w:tcPr>
                  <w:tcW w:w="1536" w:type="pct"/>
                  <w:vAlign w:val="center"/>
                </w:tcPr>
                <w:p w14:paraId="355CE29F">
                  <w:pPr>
                    <w:pStyle w:val="2"/>
                    <w:jc w:val="center"/>
                    <w:rPr>
                      <w:rFonts w:ascii="Times New Roman" w:cs="Times New Roman"/>
                      <w:b/>
                      <w:color w:val="auto"/>
                      <w:sz w:val="21"/>
                      <w:szCs w:val="21"/>
                    </w:rPr>
                  </w:pPr>
                  <w:r>
                    <w:rPr>
                      <w:rFonts w:ascii="Times New Roman" w:cs="Times New Roman"/>
                      <w:b/>
                      <w:color w:val="auto"/>
                      <w:sz w:val="21"/>
                      <w:szCs w:val="21"/>
                    </w:rPr>
                    <w:t>标准名称</w:t>
                  </w:r>
                </w:p>
              </w:tc>
              <w:tc>
                <w:tcPr>
                  <w:tcW w:w="614" w:type="pct"/>
                  <w:vAlign w:val="center"/>
                </w:tcPr>
                <w:p w14:paraId="7CF1868D">
                  <w:pPr>
                    <w:pStyle w:val="2"/>
                    <w:jc w:val="center"/>
                    <w:rPr>
                      <w:rFonts w:ascii="Times New Roman" w:cs="Times New Roman"/>
                      <w:b/>
                      <w:color w:val="auto"/>
                      <w:sz w:val="21"/>
                      <w:szCs w:val="21"/>
                    </w:rPr>
                  </w:pPr>
                  <w:r>
                    <w:rPr>
                      <w:rFonts w:ascii="Times New Roman" w:cs="Times New Roman"/>
                      <w:b/>
                      <w:color w:val="auto"/>
                      <w:sz w:val="21"/>
                      <w:szCs w:val="21"/>
                    </w:rPr>
                    <w:t>浓度限值</w:t>
                  </w:r>
                  <w:r>
                    <w:rPr>
                      <w:rFonts w:hint="eastAsia" w:ascii="Times New Roman" w:cs="Times New Roman"/>
                      <w:b/>
                      <w:color w:val="auto"/>
                      <w:sz w:val="21"/>
                      <w:szCs w:val="21"/>
                    </w:rPr>
                    <w:t>mg/m</w:t>
                  </w:r>
                  <w:r>
                    <w:rPr>
                      <w:rFonts w:hint="eastAsia" w:ascii="Times New Roman" w:cs="Times New Roman"/>
                      <w:b/>
                      <w:color w:val="auto"/>
                      <w:sz w:val="21"/>
                      <w:szCs w:val="21"/>
                      <w:vertAlign w:val="superscript"/>
                    </w:rPr>
                    <w:t>3</w:t>
                  </w:r>
                </w:p>
              </w:tc>
              <w:tc>
                <w:tcPr>
                  <w:tcW w:w="486" w:type="pct"/>
                  <w:vMerge w:val="continue"/>
                  <w:vAlign w:val="center"/>
                </w:tcPr>
                <w:p w14:paraId="2D726D31">
                  <w:pPr>
                    <w:pStyle w:val="2"/>
                    <w:jc w:val="center"/>
                    <w:rPr>
                      <w:rFonts w:ascii="Times New Roman" w:cs="Times New Roman"/>
                      <w:b/>
                      <w:color w:val="auto"/>
                      <w:sz w:val="21"/>
                      <w:szCs w:val="21"/>
                    </w:rPr>
                  </w:pPr>
                </w:p>
              </w:tc>
            </w:tr>
            <w:tr w14:paraId="6BECB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63" w:type="pct"/>
                  <w:vAlign w:val="center"/>
                </w:tcPr>
                <w:p w14:paraId="296B02FB">
                  <w:pPr>
                    <w:pStyle w:val="2"/>
                    <w:jc w:val="center"/>
                    <w:rPr>
                      <w:rFonts w:ascii="Times New Roman" w:cs="Times New Roman"/>
                      <w:color w:val="auto"/>
                      <w:sz w:val="21"/>
                      <w:szCs w:val="21"/>
                    </w:rPr>
                  </w:pPr>
                  <w:r>
                    <w:rPr>
                      <w:rFonts w:hint="eastAsia" w:ascii="Times New Roman" w:cs="Times New Roman"/>
                      <w:color w:val="auto"/>
                      <w:sz w:val="21"/>
                      <w:szCs w:val="21"/>
                    </w:rPr>
                    <w:t>1</w:t>
                  </w:r>
                </w:p>
              </w:tc>
              <w:tc>
                <w:tcPr>
                  <w:tcW w:w="445" w:type="pct"/>
                  <w:vAlign w:val="center"/>
                </w:tcPr>
                <w:p w14:paraId="22DDE089">
                  <w:pPr>
                    <w:pStyle w:val="2"/>
                    <w:jc w:val="center"/>
                    <w:rPr>
                      <w:rFonts w:ascii="Times New Roman" w:cs="Times New Roman"/>
                      <w:color w:val="auto"/>
                      <w:sz w:val="21"/>
                      <w:szCs w:val="21"/>
                    </w:rPr>
                  </w:pPr>
                  <w:r>
                    <w:rPr>
                      <w:rFonts w:hint="eastAsia" w:ascii="Times New Roman" w:cs="Times New Roman"/>
                      <w:color w:val="auto"/>
                      <w:sz w:val="21"/>
                      <w:szCs w:val="21"/>
                    </w:rPr>
                    <w:t>/</w:t>
                  </w:r>
                </w:p>
              </w:tc>
              <w:tc>
                <w:tcPr>
                  <w:tcW w:w="517" w:type="pct"/>
                  <w:vAlign w:val="center"/>
                </w:tcPr>
                <w:p w14:paraId="539B776D">
                  <w:pPr>
                    <w:pStyle w:val="2"/>
                    <w:jc w:val="center"/>
                    <w:rPr>
                      <w:rFonts w:ascii="Times New Roman" w:cs="Times New Roman"/>
                      <w:color w:val="auto"/>
                      <w:sz w:val="21"/>
                      <w:szCs w:val="21"/>
                    </w:rPr>
                  </w:pPr>
                  <w:r>
                    <w:rPr>
                      <w:rFonts w:hint="eastAsia" w:ascii="Times New Roman" w:cs="Times New Roman"/>
                      <w:color w:val="auto"/>
                      <w:sz w:val="21"/>
                      <w:szCs w:val="21"/>
                    </w:rPr>
                    <w:t>喷硼砂作业、连轧管作业粉尘</w:t>
                  </w:r>
                </w:p>
              </w:tc>
              <w:tc>
                <w:tcPr>
                  <w:tcW w:w="518" w:type="pct"/>
                  <w:vAlign w:val="center"/>
                </w:tcPr>
                <w:p w14:paraId="74D57D54">
                  <w:pPr>
                    <w:pStyle w:val="69"/>
                    <w:rPr>
                      <w:rFonts w:eastAsiaTheme="minorEastAsia"/>
                      <w:sz w:val="21"/>
                      <w:szCs w:val="21"/>
                    </w:rPr>
                  </w:pPr>
                  <w:r>
                    <w:rPr>
                      <w:rFonts w:eastAsiaTheme="minorEastAsia"/>
                      <w:sz w:val="21"/>
                      <w:szCs w:val="21"/>
                    </w:rPr>
                    <w:t>颗粒物</w:t>
                  </w:r>
                </w:p>
              </w:tc>
              <w:tc>
                <w:tcPr>
                  <w:tcW w:w="521" w:type="pct"/>
                  <w:vAlign w:val="center"/>
                </w:tcPr>
                <w:p w14:paraId="436BBFBE">
                  <w:pPr>
                    <w:pStyle w:val="2"/>
                    <w:jc w:val="center"/>
                    <w:rPr>
                      <w:rFonts w:ascii="Times New Roman" w:cs="Times New Roman"/>
                      <w:color w:val="auto"/>
                      <w:sz w:val="21"/>
                      <w:szCs w:val="21"/>
                    </w:rPr>
                  </w:pPr>
                  <w:r>
                    <w:rPr>
                      <w:rFonts w:ascii="Times New Roman" w:cs="Times New Roman"/>
                      <w:color w:val="auto"/>
                      <w:sz w:val="21"/>
                      <w:szCs w:val="21"/>
                    </w:rPr>
                    <w:t>无组织排放</w:t>
                  </w:r>
                </w:p>
              </w:tc>
              <w:tc>
                <w:tcPr>
                  <w:tcW w:w="1536" w:type="pct"/>
                  <w:vAlign w:val="center"/>
                </w:tcPr>
                <w:p w14:paraId="494DEC9C">
                  <w:pPr>
                    <w:pStyle w:val="2"/>
                    <w:jc w:val="center"/>
                    <w:rPr>
                      <w:rFonts w:ascii="Times New Roman" w:cs="Times New Roman"/>
                      <w:color w:val="auto"/>
                      <w:sz w:val="21"/>
                      <w:szCs w:val="21"/>
                    </w:rPr>
                  </w:pPr>
                  <w:r>
                    <w:rPr>
                      <w:rFonts w:hint="eastAsia" w:ascii="Times New Roman" w:cs="Times New Roman"/>
                      <w:color w:val="auto"/>
                      <w:sz w:val="21"/>
                      <w:szCs w:val="21"/>
                    </w:rPr>
                    <w:t>《轧钢工业大气污染物排放标准》（GB28665-2012）表4大气污染物无组织排放浓度限值</w:t>
                  </w:r>
                </w:p>
              </w:tc>
              <w:tc>
                <w:tcPr>
                  <w:tcW w:w="614" w:type="pct"/>
                  <w:vAlign w:val="center"/>
                </w:tcPr>
                <w:p w14:paraId="246DDFED">
                  <w:pPr>
                    <w:pStyle w:val="2"/>
                    <w:jc w:val="center"/>
                    <w:rPr>
                      <w:rFonts w:ascii="Times New Roman" w:cs="Times New Roman"/>
                      <w:color w:val="auto"/>
                      <w:sz w:val="21"/>
                      <w:szCs w:val="21"/>
                    </w:rPr>
                  </w:pPr>
                  <w:r>
                    <w:rPr>
                      <w:rFonts w:hint="eastAsia" w:ascii="Times New Roman" w:cs="Times New Roman"/>
                      <w:color w:val="auto"/>
                      <w:sz w:val="21"/>
                      <w:szCs w:val="21"/>
                    </w:rPr>
                    <w:t>5</w:t>
                  </w:r>
                </w:p>
              </w:tc>
              <w:tc>
                <w:tcPr>
                  <w:tcW w:w="486" w:type="pct"/>
                  <w:vAlign w:val="center"/>
                </w:tcPr>
                <w:p w14:paraId="12338F2A">
                  <w:pPr>
                    <w:pStyle w:val="69"/>
                    <w:rPr>
                      <w:rFonts w:eastAsiaTheme="minorEastAsia"/>
                      <w:bCs/>
                      <w:sz w:val="21"/>
                      <w:szCs w:val="21"/>
                    </w:rPr>
                  </w:pPr>
                  <w:r>
                    <w:rPr>
                      <w:rFonts w:hint="eastAsia" w:eastAsiaTheme="minorEastAsia"/>
                      <w:bCs/>
                      <w:sz w:val="21"/>
                      <w:szCs w:val="21"/>
                    </w:rPr>
                    <w:t>4.89</w:t>
                  </w:r>
                </w:p>
              </w:tc>
            </w:tr>
            <w:tr w14:paraId="3DB86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000" w:type="pct"/>
                  <w:gridSpan w:val="8"/>
                  <w:vAlign w:val="center"/>
                </w:tcPr>
                <w:p w14:paraId="6A2832EC">
                  <w:pPr>
                    <w:pStyle w:val="69"/>
                    <w:rPr>
                      <w:rFonts w:eastAsiaTheme="minorEastAsia"/>
                      <w:sz w:val="21"/>
                      <w:szCs w:val="21"/>
                    </w:rPr>
                  </w:pPr>
                  <w:r>
                    <w:rPr>
                      <w:rFonts w:hint="eastAsia" w:eastAsiaTheme="minorEastAsia"/>
                      <w:sz w:val="21"/>
                      <w:szCs w:val="21"/>
                    </w:rPr>
                    <w:t>无组织排放总计</w:t>
                  </w:r>
                </w:p>
              </w:tc>
            </w:tr>
            <w:tr w14:paraId="40F24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43" w:type="pct"/>
                  <w:gridSpan w:val="4"/>
                  <w:vAlign w:val="center"/>
                </w:tcPr>
                <w:p w14:paraId="183D969E">
                  <w:pPr>
                    <w:pStyle w:val="2"/>
                    <w:jc w:val="center"/>
                    <w:rPr>
                      <w:rFonts w:eastAsiaTheme="minorEastAsia"/>
                      <w:sz w:val="21"/>
                      <w:szCs w:val="21"/>
                    </w:rPr>
                  </w:pPr>
                  <w:r>
                    <w:rPr>
                      <w:rFonts w:hint="eastAsia" w:eastAsiaTheme="minorEastAsia"/>
                      <w:sz w:val="21"/>
                      <w:szCs w:val="21"/>
                    </w:rPr>
                    <w:t>无组织排放总计</w:t>
                  </w:r>
                </w:p>
              </w:tc>
              <w:tc>
                <w:tcPr>
                  <w:tcW w:w="2671" w:type="pct"/>
                  <w:gridSpan w:val="3"/>
                  <w:vAlign w:val="center"/>
                </w:tcPr>
                <w:p w14:paraId="680F6CE5">
                  <w:pPr>
                    <w:pStyle w:val="2"/>
                    <w:jc w:val="center"/>
                    <w:rPr>
                      <w:rFonts w:ascii="Times New Roman" w:cs="Times New Roman"/>
                      <w:color w:val="auto"/>
                      <w:sz w:val="21"/>
                      <w:szCs w:val="21"/>
                    </w:rPr>
                  </w:pPr>
                  <w:r>
                    <w:rPr>
                      <w:rFonts w:eastAsiaTheme="minorEastAsia"/>
                      <w:sz w:val="21"/>
                      <w:szCs w:val="21"/>
                    </w:rPr>
                    <w:t>颗粒物</w:t>
                  </w:r>
                </w:p>
              </w:tc>
              <w:tc>
                <w:tcPr>
                  <w:tcW w:w="486" w:type="pct"/>
                  <w:vAlign w:val="center"/>
                </w:tcPr>
                <w:p w14:paraId="393429AC">
                  <w:pPr>
                    <w:pStyle w:val="69"/>
                    <w:rPr>
                      <w:rFonts w:eastAsiaTheme="minorEastAsia"/>
                      <w:sz w:val="21"/>
                      <w:szCs w:val="21"/>
                    </w:rPr>
                  </w:pPr>
                  <w:r>
                    <w:rPr>
                      <w:rFonts w:hint="eastAsia" w:eastAsiaTheme="minorEastAsia"/>
                      <w:sz w:val="21"/>
                      <w:szCs w:val="21"/>
                    </w:rPr>
                    <w:t>4.89</w:t>
                  </w:r>
                </w:p>
              </w:tc>
            </w:tr>
          </w:tbl>
          <w:p w14:paraId="45A34B81">
            <w:pPr>
              <w:pStyle w:val="2"/>
              <w:spacing w:line="360" w:lineRule="auto"/>
              <w:ind w:firstLine="480" w:firstLineChars="200"/>
              <w:jc w:val="both"/>
              <w:rPr>
                <w:rFonts w:ascii="Times New Roman" w:cs="Times New Roman" w:eastAsiaTheme="minorEastAsia"/>
                <w:color w:val="auto"/>
              </w:rPr>
            </w:pPr>
            <w:r>
              <w:rPr>
                <w:rFonts w:hint="eastAsia" w:ascii="Times New Roman" w:cs="Times New Roman" w:eastAsiaTheme="minorEastAsia"/>
                <w:color w:val="auto"/>
              </w:rPr>
              <w:t>项目大气污染物年排放量核算表见下表。</w:t>
            </w:r>
          </w:p>
          <w:p w14:paraId="224BB108">
            <w:pPr>
              <w:spacing w:beforeLines="50"/>
              <w:jc w:val="center"/>
              <w:rPr>
                <w:b/>
                <w:szCs w:val="21"/>
              </w:rPr>
            </w:pPr>
            <w:r>
              <w:rPr>
                <w:rFonts w:hint="eastAsia"/>
                <w:b/>
                <w:szCs w:val="21"/>
              </w:rPr>
              <w:t>表4-4  大气污染物年排放量核算表</w:t>
            </w:r>
          </w:p>
          <w:tbl>
            <w:tblPr>
              <w:tblStyle w:val="3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77"/>
              <w:gridCol w:w="1877"/>
              <w:gridCol w:w="1889"/>
              <w:gridCol w:w="1889"/>
              <w:gridCol w:w="1889"/>
            </w:tblGrid>
            <w:tr w14:paraId="648CFE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77" w:type="dxa"/>
                  <w:vAlign w:val="center"/>
                </w:tcPr>
                <w:p w14:paraId="418D0B56">
                  <w:pPr>
                    <w:pStyle w:val="2"/>
                    <w:jc w:val="center"/>
                    <w:rPr>
                      <w:rFonts w:ascii="Times New Roman" w:cs="Times New Roman" w:eastAsiaTheme="minorEastAsia"/>
                      <w:b/>
                      <w:sz w:val="21"/>
                      <w:szCs w:val="21"/>
                    </w:rPr>
                  </w:pPr>
                  <w:r>
                    <w:rPr>
                      <w:rFonts w:ascii="Times New Roman" w:cs="Times New Roman" w:eastAsiaTheme="minorEastAsia"/>
                      <w:b/>
                      <w:sz w:val="21"/>
                      <w:szCs w:val="21"/>
                    </w:rPr>
                    <w:t>序号</w:t>
                  </w:r>
                </w:p>
              </w:tc>
              <w:tc>
                <w:tcPr>
                  <w:tcW w:w="1877" w:type="dxa"/>
                  <w:vAlign w:val="center"/>
                </w:tcPr>
                <w:p w14:paraId="28B1F253">
                  <w:pPr>
                    <w:pStyle w:val="2"/>
                    <w:jc w:val="center"/>
                    <w:rPr>
                      <w:rFonts w:ascii="Times New Roman" w:cs="Times New Roman" w:eastAsiaTheme="minorEastAsia"/>
                      <w:b/>
                      <w:sz w:val="21"/>
                      <w:szCs w:val="21"/>
                    </w:rPr>
                  </w:pPr>
                  <w:r>
                    <w:rPr>
                      <w:rFonts w:ascii="Times New Roman" w:cs="Times New Roman" w:eastAsiaTheme="minorEastAsia"/>
                      <w:b/>
                      <w:sz w:val="21"/>
                      <w:szCs w:val="21"/>
                    </w:rPr>
                    <w:t>污染物</w:t>
                  </w:r>
                </w:p>
              </w:tc>
              <w:tc>
                <w:tcPr>
                  <w:tcW w:w="1889" w:type="dxa"/>
                  <w:vAlign w:val="center"/>
                </w:tcPr>
                <w:p w14:paraId="647A20C1">
                  <w:pPr>
                    <w:pStyle w:val="2"/>
                    <w:jc w:val="center"/>
                    <w:rPr>
                      <w:rFonts w:ascii="Times New Roman" w:cs="Times New Roman" w:eastAsiaTheme="minorEastAsia"/>
                      <w:b/>
                      <w:sz w:val="21"/>
                      <w:szCs w:val="21"/>
                    </w:rPr>
                  </w:pPr>
                  <w:r>
                    <w:rPr>
                      <w:rFonts w:ascii="Times New Roman" w:cs="Times New Roman" w:eastAsiaTheme="minorEastAsia"/>
                      <w:b/>
                      <w:sz w:val="21"/>
                      <w:szCs w:val="21"/>
                    </w:rPr>
                    <w:t>有组织年排放量（</w:t>
                  </w:r>
                  <w:r>
                    <w:rPr>
                      <w:rFonts w:hint="eastAsia" w:ascii="Times New Roman" w:cs="Times New Roman" w:eastAsiaTheme="minorEastAsia"/>
                      <w:b/>
                      <w:sz w:val="21"/>
                      <w:szCs w:val="21"/>
                    </w:rPr>
                    <w:t>t/a</w:t>
                  </w:r>
                  <w:r>
                    <w:rPr>
                      <w:rFonts w:ascii="Times New Roman" w:cs="Times New Roman" w:eastAsiaTheme="minorEastAsia"/>
                      <w:b/>
                      <w:sz w:val="21"/>
                      <w:szCs w:val="21"/>
                    </w:rPr>
                    <w:t>）</w:t>
                  </w:r>
                </w:p>
              </w:tc>
              <w:tc>
                <w:tcPr>
                  <w:tcW w:w="1889" w:type="dxa"/>
                  <w:vAlign w:val="center"/>
                </w:tcPr>
                <w:p w14:paraId="5EA50A2A">
                  <w:pPr>
                    <w:pStyle w:val="2"/>
                    <w:jc w:val="center"/>
                    <w:rPr>
                      <w:rFonts w:ascii="Times New Roman" w:cs="Times New Roman" w:eastAsiaTheme="minorEastAsia"/>
                      <w:b/>
                      <w:sz w:val="21"/>
                      <w:szCs w:val="21"/>
                    </w:rPr>
                  </w:pPr>
                  <w:r>
                    <w:rPr>
                      <w:rFonts w:ascii="Times New Roman" w:cs="Times New Roman" w:eastAsiaTheme="minorEastAsia"/>
                      <w:b/>
                      <w:sz w:val="21"/>
                      <w:szCs w:val="21"/>
                    </w:rPr>
                    <w:t>无组织年排放量（</w:t>
                  </w:r>
                  <w:r>
                    <w:rPr>
                      <w:rFonts w:hint="eastAsia" w:ascii="Times New Roman" w:cs="Times New Roman" w:eastAsiaTheme="minorEastAsia"/>
                      <w:b/>
                      <w:sz w:val="21"/>
                      <w:szCs w:val="21"/>
                    </w:rPr>
                    <w:t>t/a</w:t>
                  </w:r>
                  <w:r>
                    <w:rPr>
                      <w:rFonts w:ascii="Times New Roman" w:cs="Times New Roman" w:eastAsiaTheme="minorEastAsia"/>
                      <w:b/>
                      <w:sz w:val="21"/>
                      <w:szCs w:val="21"/>
                    </w:rPr>
                    <w:t>）</w:t>
                  </w:r>
                </w:p>
              </w:tc>
              <w:tc>
                <w:tcPr>
                  <w:tcW w:w="1889" w:type="dxa"/>
                  <w:vAlign w:val="center"/>
                </w:tcPr>
                <w:p w14:paraId="52F19E35">
                  <w:pPr>
                    <w:pStyle w:val="2"/>
                    <w:jc w:val="center"/>
                    <w:rPr>
                      <w:rFonts w:ascii="Times New Roman" w:cs="Times New Roman" w:eastAsiaTheme="minorEastAsia"/>
                      <w:b/>
                      <w:sz w:val="21"/>
                      <w:szCs w:val="21"/>
                    </w:rPr>
                  </w:pPr>
                  <w:r>
                    <w:rPr>
                      <w:rFonts w:ascii="Times New Roman" w:cs="Times New Roman" w:eastAsiaTheme="minorEastAsia"/>
                      <w:b/>
                      <w:sz w:val="21"/>
                      <w:szCs w:val="21"/>
                    </w:rPr>
                    <w:t>年排放量（</w:t>
                  </w:r>
                  <w:r>
                    <w:rPr>
                      <w:rFonts w:hint="eastAsia" w:ascii="Times New Roman" w:cs="Times New Roman" w:eastAsiaTheme="minorEastAsia"/>
                      <w:b/>
                      <w:sz w:val="21"/>
                      <w:szCs w:val="21"/>
                    </w:rPr>
                    <w:t>t/a</w:t>
                  </w:r>
                  <w:r>
                    <w:rPr>
                      <w:rFonts w:ascii="Times New Roman" w:cs="Times New Roman" w:eastAsiaTheme="minorEastAsia"/>
                      <w:b/>
                      <w:sz w:val="21"/>
                      <w:szCs w:val="21"/>
                    </w:rPr>
                    <w:t>）</w:t>
                  </w:r>
                </w:p>
              </w:tc>
            </w:tr>
            <w:tr w14:paraId="0D612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77" w:type="dxa"/>
                  <w:vAlign w:val="center"/>
                </w:tcPr>
                <w:p w14:paraId="593A9D51">
                  <w:pPr>
                    <w:pStyle w:val="2"/>
                    <w:jc w:val="center"/>
                    <w:rPr>
                      <w:rFonts w:ascii="Times New Roman" w:cs="Times New Roman" w:eastAsiaTheme="minorEastAsia"/>
                      <w:sz w:val="21"/>
                      <w:szCs w:val="21"/>
                    </w:rPr>
                  </w:pPr>
                  <w:r>
                    <w:rPr>
                      <w:rFonts w:ascii="Times New Roman" w:cs="Times New Roman" w:eastAsiaTheme="minorEastAsia"/>
                      <w:sz w:val="21"/>
                      <w:szCs w:val="21"/>
                    </w:rPr>
                    <w:t>1</w:t>
                  </w:r>
                </w:p>
              </w:tc>
              <w:tc>
                <w:tcPr>
                  <w:tcW w:w="1877" w:type="dxa"/>
                  <w:vAlign w:val="center"/>
                </w:tcPr>
                <w:p w14:paraId="79F5EE13">
                  <w:pPr>
                    <w:pStyle w:val="2"/>
                    <w:jc w:val="center"/>
                    <w:rPr>
                      <w:rFonts w:ascii="Times New Roman" w:cs="Times New Roman"/>
                      <w:color w:val="auto"/>
                      <w:sz w:val="21"/>
                      <w:szCs w:val="21"/>
                    </w:rPr>
                  </w:pPr>
                  <w:r>
                    <w:rPr>
                      <w:rFonts w:eastAsiaTheme="minorEastAsia"/>
                      <w:sz w:val="21"/>
                      <w:szCs w:val="21"/>
                    </w:rPr>
                    <w:t>颗粒物</w:t>
                  </w:r>
                </w:p>
              </w:tc>
              <w:tc>
                <w:tcPr>
                  <w:tcW w:w="1889" w:type="dxa"/>
                  <w:vAlign w:val="center"/>
                </w:tcPr>
                <w:p w14:paraId="2F5F7A1C">
                  <w:pPr>
                    <w:pStyle w:val="2"/>
                    <w:jc w:val="center"/>
                    <w:rPr>
                      <w:rFonts w:ascii="Times New Roman" w:cs="Times New Roman"/>
                      <w:color w:val="auto"/>
                      <w:sz w:val="21"/>
                      <w:szCs w:val="21"/>
                    </w:rPr>
                  </w:pPr>
                  <w:r>
                    <w:rPr>
                      <w:rFonts w:hint="eastAsia" w:ascii="Times New Roman" w:cs="Times New Roman"/>
                      <w:color w:val="auto"/>
                      <w:sz w:val="21"/>
                      <w:szCs w:val="21"/>
                    </w:rPr>
                    <w:t>7.496</w:t>
                  </w:r>
                </w:p>
              </w:tc>
              <w:tc>
                <w:tcPr>
                  <w:tcW w:w="1889" w:type="dxa"/>
                  <w:vAlign w:val="center"/>
                </w:tcPr>
                <w:p w14:paraId="6777CDC0">
                  <w:pPr>
                    <w:pStyle w:val="69"/>
                    <w:rPr>
                      <w:rFonts w:eastAsiaTheme="minorEastAsia"/>
                      <w:sz w:val="21"/>
                      <w:szCs w:val="21"/>
                    </w:rPr>
                  </w:pPr>
                  <w:r>
                    <w:rPr>
                      <w:rFonts w:hint="eastAsia" w:eastAsiaTheme="minorEastAsia"/>
                      <w:sz w:val="21"/>
                      <w:szCs w:val="21"/>
                    </w:rPr>
                    <w:t>4.89</w:t>
                  </w:r>
                </w:p>
              </w:tc>
              <w:tc>
                <w:tcPr>
                  <w:tcW w:w="1889" w:type="dxa"/>
                  <w:vAlign w:val="center"/>
                </w:tcPr>
                <w:p w14:paraId="08C9E113">
                  <w:pPr>
                    <w:pStyle w:val="2"/>
                    <w:jc w:val="center"/>
                    <w:rPr>
                      <w:rFonts w:ascii="Times New Roman" w:cs="Times New Roman" w:eastAsiaTheme="minorEastAsia"/>
                      <w:sz w:val="21"/>
                      <w:szCs w:val="21"/>
                    </w:rPr>
                  </w:pPr>
                  <w:r>
                    <w:rPr>
                      <w:rFonts w:hint="eastAsia" w:ascii="Times New Roman" w:cs="Times New Roman" w:eastAsiaTheme="minorEastAsia"/>
                      <w:sz w:val="21"/>
                      <w:szCs w:val="21"/>
                    </w:rPr>
                    <w:t>12.386</w:t>
                  </w:r>
                </w:p>
              </w:tc>
            </w:tr>
            <w:tr w14:paraId="4C0D1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77" w:type="dxa"/>
                  <w:vAlign w:val="center"/>
                </w:tcPr>
                <w:p w14:paraId="2C4C9C0F">
                  <w:pPr>
                    <w:pStyle w:val="2"/>
                    <w:jc w:val="center"/>
                    <w:rPr>
                      <w:rFonts w:ascii="Times New Roman" w:cs="Times New Roman" w:eastAsiaTheme="minorEastAsia"/>
                      <w:sz w:val="21"/>
                      <w:szCs w:val="21"/>
                    </w:rPr>
                  </w:pPr>
                  <w:r>
                    <w:rPr>
                      <w:rFonts w:ascii="Times New Roman" w:cs="Times New Roman" w:eastAsiaTheme="minorEastAsia"/>
                      <w:sz w:val="21"/>
                      <w:szCs w:val="21"/>
                    </w:rPr>
                    <w:t>2</w:t>
                  </w:r>
                </w:p>
              </w:tc>
              <w:tc>
                <w:tcPr>
                  <w:tcW w:w="1877" w:type="dxa"/>
                  <w:vAlign w:val="center"/>
                </w:tcPr>
                <w:p w14:paraId="36285CAB">
                  <w:pPr>
                    <w:pStyle w:val="69"/>
                    <w:rPr>
                      <w:rFonts w:eastAsiaTheme="minorEastAsia"/>
                      <w:sz w:val="21"/>
                      <w:szCs w:val="21"/>
                    </w:rPr>
                  </w:pPr>
                  <w:r>
                    <w:rPr>
                      <w:rFonts w:eastAsiaTheme="minorEastAsia"/>
                      <w:sz w:val="21"/>
                      <w:szCs w:val="21"/>
                    </w:rPr>
                    <w:t>二氧化硫</w:t>
                  </w:r>
                </w:p>
              </w:tc>
              <w:tc>
                <w:tcPr>
                  <w:tcW w:w="1889" w:type="dxa"/>
                  <w:vAlign w:val="center"/>
                </w:tcPr>
                <w:p w14:paraId="1B1483DC">
                  <w:pPr>
                    <w:pStyle w:val="2"/>
                    <w:jc w:val="center"/>
                    <w:rPr>
                      <w:rFonts w:ascii="Times New Roman" w:cs="Times New Roman"/>
                      <w:color w:val="auto"/>
                      <w:sz w:val="21"/>
                      <w:szCs w:val="21"/>
                    </w:rPr>
                  </w:pPr>
                  <w:r>
                    <w:rPr>
                      <w:rFonts w:hint="eastAsia" w:ascii="Times New Roman" w:cs="Times New Roman"/>
                      <w:color w:val="auto"/>
                      <w:sz w:val="21"/>
                      <w:szCs w:val="21"/>
                    </w:rPr>
                    <w:t>0.072</w:t>
                  </w:r>
                </w:p>
              </w:tc>
              <w:tc>
                <w:tcPr>
                  <w:tcW w:w="1889" w:type="dxa"/>
                  <w:vAlign w:val="center"/>
                </w:tcPr>
                <w:p w14:paraId="5BE66A6D">
                  <w:pPr>
                    <w:pStyle w:val="69"/>
                    <w:rPr>
                      <w:rFonts w:eastAsiaTheme="minorEastAsia"/>
                      <w:sz w:val="21"/>
                      <w:szCs w:val="21"/>
                    </w:rPr>
                  </w:pPr>
                  <w:r>
                    <w:rPr>
                      <w:rFonts w:hint="eastAsia" w:eastAsiaTheme="minorEastAsia"/>
                      <w:sz w:val="21"/>
                      <w:szCs w:val="21"/>
                    </w:rPr>
                    <w:t>/</w:t>
                  </w:r>
                </w:p>
              </w:tc>
              <w:tc>
                <w:tcPr>
                  <w:tcW w:w="1889" w:type="dxa"/>
                  <w:vAlign w:val="center"/>
                </w:tcPr>
                <w:p w14:paraId="6CA05A6D">
                  <w:pPr>
                    <w:pStyle w:val="2"/>
                    <w:jc w:val="center"/>
                    <w:rPr>
                      <w:rFonts w:ascii="Times New Roman" w:cs="Times New Roman"/>
                      <w:color w:val="auto"/>
                      <w:sz w:val="21"/>
                      <w:szCs w:val="21"/>
                    </w:rPr>
                  </w:pPr>
                  <w:r>
                    <w:rPr>
                      <w:rFonts w:hint="eastAsia" w:ascii="Times New Roman" w:cs="Times New Roman"/>
                      <w:color w:val="auto"/>
                      <w:sz w:val="21"/>
                      <w:szCs w:val="21"/>
                    </w:rPr>
                    <w:t>0.072</w:t>
                  </w:r>
                </w:p>
              </w:tc>
            </w:tr>
            <w:tr w14:paraId="534F0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77" w:type="dxa"/>
                  <w:vAlign w:val="center"/>
                </w:tcPr>
                <w:p w14:paraId="4488C64B">
                  <w:pPr>
                    <w:pStyle w:val="2"/>
                    <w:jc w:val="center"/>
                    <w:rPr>
                      <w:rFonts w:ascii="Times New Roman" w:cs="Times New Roman" w:eastAsiaTheme="minorEastAsia"/>
                      <w:sz w:val="21"/>
                      <w:szCs w:val="21"/>
                    </w:rPr>
                  </w:pPr>
                  <w:r>
                    <w:rPr>
                      <w:rFonts w:hint="eastAsia" w:ascii="Times New Roman" w:cs="Times New Roman" w:eastAsiaTheme="minorEastAsia"/>
                      <w:sz w:val="21"/>
                      <w:szCs w:val="21"/>
                    </w:rPr>
                    <w:t>3</w:t>
                  </w:r>
                </w:p>
              </w:tc>
              <w:tc>
                <w:tcPr>
                  <w:tcW w:w="1877" w:type="dxa"/>
                  <w:vAlign w:val="center"/>
                </w:tcPr>
                <w:p w14:paraId="2B931601">
                  <w:pPr>
                    <w:pStyle w:val="2"/>
                    <w:jc w:val="center"/>
                    <w:rPr>
                      <w:rFonts w:ascii="Times New Roman" w:cs="Times New Roman"/>
                      <w:color w:val="auto"/>
                      <w:sz w:val="21"/>
                      <w:szCs w:val="21"/>
                    </w:rPr>
                  </w:pPr>
                  <w:r>
                    <w:rPr>
                      <w:rFonts w:ascii="Times New Roman" w:cs="Times New Roman"/>
                      <w:color w:val="auto"/>
                      <w:sz w:val="21"/>
                      <w:szCs w:val="21"/>
                    </w:rPr>
                    <w:t>氮氧化物</w:t>
                  </w:r>
                </w:p>
              </w:tc>
              <w:tc>
                <w:tcPr>
                  <w:tcW w:w="1889" w:type="dxa"/>
                  <w:vAlign w:val="center"/>
                </w:tcPr>
                <w:p w14:paraId="1BE149CF">
                  <w:pPr>
                    <w:pStyle w:val="2"/>
                    <w:jc w:val="center"/>
                    <w:rPr>
                      <w:rFonts w:ascii="Times New Roman" w:cs="Times New Roman"/>
                      <w:color w:val="auto"/>
                      <w:sz w:val="21"/>
                      <w:szCs w:val="21"/>
                    </w:rPr>
                  </w:pPr>
                  <w:r>
                    <w:rPr>
                      <w:rFonts w:hint="eastAsia" w:ascii="Times New Roman" w:cs="Times New Roman"/>
                      <w:color w:val="auto"/>
                      <w:sz w:val="21"/>
                      <w:szCs w:val="21"/>
                    </w:rPr>
                    <w:t>33.61</w:t>
                  </w:r>
                </w:p>
              </w:tc>
              <w:tc>
                <w:tcPr>
                  <w:tcW w:w="1889" w:type="dxa"/>
                  <w:vAlign w:val="center"/>
                </w:tcPr>
                <w:p w14:paraId="0E25052D">
                  <w:pPr>
                    <w:pStyle w:val="69"/>
                    <w:rPr>
                      <w:rFonts w:eastAsiaTheme="minorEastAsia"/>
                      <w:sz w:val="21"/>
                      <w:szCs w:val="21"/>
                    </w:rPr>
                  </w:pPr>
                  <w:r>
                    <w:rPr>
                      <w:rFonts w:hint="eastAsia" w:eastAsiaTheme="minorEastAsia"/>
                      <w:sz w:val="21"/>
                      <w:szCs w:val="21"/>
                    </w:rPr>
                    <w:t>/</w:t>
                  </w:r>
                </w:p>
              </w:tc>
              <w:tc>
                <w:tcPr>
                  <w:tcW w:w="1889" w:type="dxa"/>
                  <w:vAlign w:val="center"/>
                </w:tcPr>
                <w:p w14:paraId="1739DB2C">
                  <w:pPr>
                    <w:pStyle w:val="2"/>
                    <w:jc w:val="center"/>
                    <w:rPr>
                      <w:rFonts w:ascii="Times New Roman" w:cs="Times New Roman"/>
                      <w:color w:val="auto"/>
                      <w:sz w:val="21"/>
                      <w:szCs w:val="21"/>
                    </w:rPr>
                  </w:pPr>
                  <w:r>
                    <w:rPr>
                      <w:rFonts w:hint="eastAsia" w:ascii="Times New Roman" w:cs="Times New Roman"/>
                      <w:color w:val="auto"/>
                      <w:sz w:val="21"/>
                      <w:szCs w:val="21"/>
                    </w:rPr>
                    <w:t>33.61</w:t>
                  </w:r>
                </w:p>
              </w:tc>
            </w:tr>
          </w:tbl>
          <w:p w14:paraId="38F56991">
            <w:pPr>
              <w:pStyle w:val="2"/>
              <w:spacing w:line="360" w:lineRule="auto"/>
              <w:ind w:firstLine="482" w:firstLineChars="200"/>
              <w:jc w:val="both"/>
              <w:rPr>
                <w:rFonts w:ascii="Times New Roman" w:cs="Times New Roman"/>
                <w:b/>
                <w:color w:val="auto"/>
              </w:rPr>
            </w:pPr>
            <w:r>
              <w:rPr>
                <w:rFonts w:hint="eastAsia" w:ascii="Times New Roman" w:cs="Times New Roman"/>
                <w:b/>
                <w:color w:val="auto"/>
              </w:rPr>
              <w:t>3、大气污染物排放达标情况</w:t>
            </w:r>
          </w:p>
          <w:p w14:paraId="5FE0F08D">
            <w:pPr>
              <w:autoSpaceDE w:val="0"/>
              <w:autoSpaceDN w:val="0"/>
              <w:adjustRightInd w:val="0"/>
              <w:spacing w:line="360" w:lineRule="auto"/>
              <w:ind w:firstLine="480" w:firstLineChars="200"/>
              <w:rPr>
                <w:rFonts w:hAnsiTheme="majorEastAsia" w:eastAsiaTheme="majorEastAsia"/>
                <w:kern w:val="0"/>
                <w:sz w:val="24"/>
              </w:rPr>
            </w:pPr>
            <w:r>
              <w:rPr>
                <w:rFonts w:hint="eastAsia"/>
                <w:sz w:val="24"/>
              </w:rPr>
              <w:t>经核算，本项目技改后</w:t>
            </w:r>
            <w:r>
              <w:rPr>
                <w:rFonts w:hint="eastAsia" w:hAnsiTheme="majorEastAsia" w:eastAsiaTheme="majorEastAsia"/>
                <w:kern w:val="0"/>
                <w:sz w:val="24"/>
              </w:rPr>
              <w:t>环形加热炉、步进加热炉燃烧废气排放满足《关于推进实施钢铁行业超低排放的意见》（环大气〔2019〕35 号）中超低排放限值；</w:t>
            </w:r>
            <w:r>
              <w:rPr>
                <w:rFonts w:hAnsi="宋体"/>
                <w:spacing w:val="10"/>
                <w:sz w:val="24"/>
              </w:rPr>
              <w:t>喷硼砂</w:t>
            </w:r>
            <w:r>
              <w:rPr>
                <w:rFonts w:hint="eastAsia" w:hAnsi="宋体"/>
                <w:spacing w:val="10"/>
                <w:sz w:val="24"/>
              </w:rPr>
              <w:t>作业</w:t>
            </w:r>
            <w:r>
              <w:rPr>
                <w:rFonts w:hAnsi="宋体"/>
                <w:spacing w:val="10"/>
                <w:sz w:val="24"/>
              </w:rPr>
              <w:t>、连轧管</w:t>
            </w:r>
            <w:r>
              <w:rPr>
                <w:rFonts w:hint="eastAsia" w:hAnsi="宋体"/>
                <w:spacing w:val="10"/>
                <w:sz w:val="24"/>
              </w:rPr>
              <w:t>作业</w:t>
            </w:r>
            <w:r>
              <w:rPr>
                <w:rFonts w:hint="eastAsia"/>
                <w:sz w:val="24"/>
                <w:szCs w:val="21"/>
              </w:rPr>
              <w:t>粉尘排放满足</w:t>
            </w:r>
            <w:r>
              <w:rPr>
                <w:rFonts w:hint="eastAsia"/>
                <w:kern w:val="0"/>
                <w:sz w:val="24"/>
              </w:rPr>
              <w:t>《轧钢工业大气污染物排放标准》（GB28665-2012）表3大气污染物特别排放限值</w:t>
            </w:r>
            <w:r>
              <w:rPr>
                <w:rFonts w:hint="eastAsia"/>
                <w:sz w:val="24"/>
              </w:rPr>
              <w:t>。</w:t>
            </w:r>
          </w:p>
          <w:p w14:paraId="01E4B8C8">
            <w:pPr>
              <w:pStyle w:val="2"/>
              <w:spacing w:line="360" w:lineRule="auto"/>
              <w:ind w:firstLine="482" w:firstLineChars="200"/>
              <w:jc w:val="both"/>
              <w:rPr>
                <w:rFonts w:ascii="Times New Roman" w:cs="Times New Roman"/>
                <w:b/>
                <w:color w:val="auto"/>
              </w:rPr>
            </w:pPr>
            <w:r>
              <w:rPr>
                <w:rFonts w:hint="eastAsia" w:ascii="Times New Roman" w:cs="Times New Roman"/>
                <w:b/>
                <w:color w:val="auto"/>
              </w:rPr>
              <w:t>4、各环保措施的技术经济可行性分析</w:t>
            </w:r>
          </w:p>
          <w:p w14:paraId="769ED8D3">
            <w:pPr>
              <w:pStyle w:val="96"/>
              <w:ind w:firstLine="482"/>
              <w:jc w:val="both"/>
              <w:rPr>
                <w:b/>
              </w:rPr>
            </w:pPr>
            <w:r>
              <w:rPr>
                <w:rFonts w:hint="eastAsia"/>
                <w:b/>
              </w:rPr>
              <w:t>（1）加热炉燃烧废气</w:t>
            </w:r>
          </w:p>
          <w:p w14:paraId="15C85DE4">
            <w:pPr>
              <w:pStyle w:val="109"/>
              <w:rPr>
                <w:rFonts w:hAnsiTheme="minorEastAsia" w:eastAsiaTheme="minorEastAsia"/>
                <w:kern w:val="0"/>
              </w:rPr>
            </w:pPr>
            <w:r>
              <w:rPr>
                <w:rFonts w:hint="eastAsia" w:hAnsiTheme="minorEastAsia" w:eastAsiaTheme="minorEastAsia"/>
                <w:kern w:val="0"/>
              </w:rPr>
              <w:t>本项目加热炉采用天然气为燃料，产生的烟气中烟尘和SO</w:t>
            </w:r>
            <w:r>
              <w:rPr>
                <w:rFonts w:hint="eastAsia" w:hAnsiTheme="minorEastAsia" w:eastAsiaTheme="minorEastAsia"/>
                <w:kern w:val="0"/>
                <w:vertAlign w:val="subscript"/>
              </w:rPr>
              <w:t>2</w:t>
            </w:r>
            <w:r>
              <w:rPr>
                <w:rFonts w:hint="eastAsia" w:hAnsiTheme="minorEastAsia" w:eastAsiaTheme="minorEastAsia"/>
                <w:kern w:val="0"/>
              </w:rPr>
              <w:t>浓度较低，加热炉主烧嘴采用低氮烧嘴燃烧。根据《排污许可证申请与核发技术规范 钢铁工业》（HJ846-2017），对于轧钢行业热处理炉，采用燃用天然气、低氮燃烧技术是可行技术。采取以上措施后，燃烧烟气中的烟尘、NOx、SO</w:t>
            </w:r>
            <w:r>
              <w:rPr>
                <w:rFonts w:hint="eastAsia" w:hAnsiTheme="minorEastAsia" w:eastAsiaTheme="minorEastAsia"/>
                <w:kern w:val="0"/>
                <w:vertAlign w:val="subscript"/>
              </w:rPr>
              <w:t>2</w:t>
            </w:r>
            <w:r>
              <w:rPr>
                <w:rFonts w:hint="eastAsia" w:hAnsiTheme="minorEastAsia" w:eastAsiaTheme="minorEastAsia"/>
                <w:kern w:val="0"/>
              </w:rPr>
              <w:t>排放浓度满足《关于推进实施钢铁行业超低排放的意见》（环大气〔2019〕35号）中轧钢热处理炉超低排放指标限值要求（颗粒物排放浓度≤10mg/m</w:t>
            </w:r>
            <w:r>
              <w:rPr>
                <w:rFonts w:hint="eastAsia" w:hAnsiTheme="minorEastAsia" w:eastAsiaTheme="minorEastAsia"/>
                <w:kern w:val="0"/>
                <w:vertAlign w:val="superscript"/>
              </w:rPr>
              <w:t>3</w:t>
            </w:r>
            <w:r>
              <w:rPr>
                <w:rFonts w:hint="eastAsia" w:hAnsiTheme="minorEastAsia" w:eastAsiaTheme="minorEastAsia"/>
                <w:kern w:val="0"/>
              </w:rPr>
              <w:t>，SO</w:t>
            </w:r>
            <w:r>
              <w:rPr>
                <w:rFonts w:hint="eastAsia" w:hAnsiTheme="minorEastAsia" w:eastAsiaTheme="minorEastAsia"/>
                <w:kern w:val="0"/>
                <w:vertAlign w:val="subscript"/>
              </w:rPr>
              <w:t>2</w:t>
            </w:r>
            <w:r>
              <w:rPr>
                <w:rFonts w:hint="eastAsia" w:hAnsiTheme="minorEastAsia" w:eastAsiaTheme="minorEastAsia"/>
                <w:kern w:val="0"/>
              </w:rPr>
              <w:t>排放浓度≤50mg/m</w:t>
            </w:r>
            <w:r>
              <w:rPr>
                <w:rFonts w:hint="eastAsia" w:hAnsiTheme="minorEastAsia" w:eastAsiaTheme="minorEastAsia"/>
                <w:kern w:val="0"/>
                <w:vertAlign w:val="superscript"/>
              </w:rPr>
              <w:t>3</w:t>
            </w:r>
            <w:r>
              <w:rPr>
                <w:rFonts w:hint="eastAsia" w:hAnsiTheme="minorEastAsia" w:eastAsiaTheme="minorEastAsia"/>
                <w:kern w:val="0"/>
              </w:rPr>
              <w:t>，NOX排放浓度≤200mg/m</w:t>
            </w:r>
            <w:r>
              <w:rPr>
                <w:rFonts w:hint="eastAsia" w:hAnsiTheme="minorEastAsia" w:eastAsiaTheme="minorEastAsia"/>
                <w:kern w:val="0"/>
                <w:vertAlign w:val="superscript"/>
              </w:rPr>
              <w:t>3</w:t>
            </w:r>
            <w:r>
              <w:rPr>
                <w:rFonts w:hint="eastAsia" w:hAnsiTheme="minorEastAsia" w:eastAsiaTheme="minorEastAsia"/>
                <w:kern w:val="0"/>
              </w:rPr>
              <w:t>）。</w:t>
            </w:r>
          </w:p>
          <w:p w14:paraId="76C5153A">
            <w:pPr>
              <w:pStyle w:val="96"/>
              <w:ind w:firstLine="482"/>
              <w:jc w:val="both"/>
              <w:rPr>
                <w:rFonts w:hAnsiTheme="minorEastAsia" w:eastAsiaTheme="minorEastAsia"/>
                <w:kern w:val="0"/>
                <w:szCs w:val="24"/>
              </w:rPr>
            </w:pPr>
            <w:r>
              <w:rPr>
                <w:rFonts w:hint="eastAsia" w:hAnsiTheme="minorEastAsia" w:eastAsiaTheme="minorEastAsia"/>
                <w:b/>
                <w:kern w:val="0"/>
                <w:szCs w:val="24"/>
              </w:rPr>
              <w:t>（2）</w:t>
            </w:r>
            <w:r>
              <w:rPr>
                <w:rFonts w:hAnsi="宋体"/>
                <w:b/>
                <w:spacing w:val="10"/>
              </w:rPr>
              <w:t>喷硼砂</w:t>
            </w:r>
            <w:r>
              <w:rPr>
                <w:rFonts w:hint="eastAsia" w:hAnsi="宋体"/>
                <w:b/>
                <w:spacing w:val="10"/>
              </w:rPr>
              <w:t>作业</w:t>
            </w:r>
            <w:r>
              <w:rPr>
                <w:rFonts w:hAnsi="宋体"/>
                <w:b/>
                <w:spacing w:val="10"/>
              </w:rPr>
              <w:t>、连轧管</w:t>
            </w:r>
            <w:r>
              <w:rPr>
                <w:rFonts w:hint="eastAsia" w:hAnsi="宋体"/>
                <w:b/>
                <w:spacing w:val="10"/>
              </w:rPr>
              <w:t>作业</w:t>
            </w:r>
            <w:r>
              <w:rPr>
                <w:rFonts w:hint="eastAsia"/>
                <w:b/>
                <w:szCs w:val="21"/>
              </w:rPr>
              <w:t>粉尘</w:t>
            </w:r>
          </w:p>
          <w:p w14:paraId="0606654F">
            <w:pPr>
              <w:pStyle w:val="96"/>
              <w:jc w:val="both"/>
              <w:rPr>
                <w:rFonts w:hAnsiTheme="minorEastAsia" w:eastAsiaTheme="minorEastAsia"/>
                <w:kern w:val="0"/>
                <w:szCs w:val="24"/>
              </w:rPr>
            </w:pPr>
            <w:r>
              <w:rPr>
                <w:rFonts w:hint="eastAsia" w:hAnsiTheme="minorEastAsia" w:eastAsiaTheme="minorEastAsia"/>
                <w:kern w:val="0"/>
                <w:szCs w:val="24"/>
              </w:rPr>
              <w:t>本项目喷硼砂作业、连轧管作业粉尘采用</w:t>
            </w:r>
            <w:r>
              <w:rPr>
                <w:rFonts w:hint="eastAsia" w:hAnsiTheme="majorEastAsia" w:eastAsiaTheme="majorEastAsia"/>
                <w:kern w:val="0"/>
              </w:rPr>
              <w:t>塑烧板除尘技术属于《排污许可证申请与核发技术规范钢铁工业》（HJ846-2017）推荐的可行技术，</w:t>
            </w:r>
            <w:r>
              <w:rPr>
                <w:rFonts w:hint="eastAsia" w:hAnsiTheme="minorEastAsia" w:eastAsiaTheme="minorEastAsia"/>
                <w:kern w:val="0"/>
                <w:szCs w:val="24"/>
              </w:rPr>
              <w:t>喷硼砂作业、连轧管作业粉尘排放浓度低于《轧钢工业大气污染物排放标准》（GB28665-2012）及其修改单表3规定的特别排放限值，因此喷硼砂作业、连轧管作业的颗粒物处理工艺是合理可行的</w:t>
            </w:r>
            <w:r>
              <w:rPr>
                <w:rFonts w:hint="eastAsia" w:hAnsiTheme="majorEastAsia" w:eastAsiaTheme="majorEastAsia"/>
                <w:kern w:val="0"/>
              </w:rPr>
              <w:t>。</w:t>
            </w:r>
          </w:p>
          <w:p w14:paraId="74063B0C">
            <w:pPr>
              <w:pStyle w:val="96"/>
              <w:ind w:firstLine="482"/>
              <w:jc w:val="both"/>
              <w:rPr>
                <w:rFonts w:hAnsiTheme="minorEastAsia" w:eastAsiaTheme="minorEastAsia"/>
                <w:b/>
                <w:kern w:val="0"/>
                <w:szCs w:val="24"/>
              </w:rPr>
            </w:pPr>
            <w:r>
              <w:rPr>
                <w:rFonts w:hint="eastAsia" w:hAnsiTheme="minorEastAsia" w:eastAsiaTheme="minorEastAsia"/>
                <w:b/>
                <w:kern w:val="0"/>
                <w:szCs w:val="24"/>
              </w:rPr>
              <w:t>（3）无组织排放</w:t>
            </w:r>
          </w:p>
          <w:p w14:paraId="48106349">
            <w:pPr>
              <w:pStyle w:val="96"/>
              <w:jc w:val="both"/>
              <w:rPr>
                <w:rFonts w:hAnsiTheme="minorEastAsia" w:eastAsiaTheme="minorEastAsia"/>
                <w:kern w:val="0"/>
                <w:szCs w:val="24"/>
              </w:rPr>
            </w:pPr>
            <w:r>
              <w:rPr>
                <w:rFonts w:hint="eastAsia" w:hAnsiTheme="minorEastAsia" w:eastAsiaTheme="minorEastAsia"/>
                <w:kern w:val="0"/>
                <w:szCs w:val="24"/>
              </w:rPr>
              <w:t>根据《关于推进实施钢铁行业超低排放的意见》（环大气〔2019〕35号文）对无组织排放措施的要求，本项目热轧生产线及配套工程应全面加强物料储存、输送及生产工艺过程无组织排放控制，在保障生产安全的前提下，采取密闭、封闭等有效措施，有效提高废气收集率，产尘点及车间不得有可见烟粉尘外逸。</w:t>
            </w:r>
          </w:p>
          <w:p w14:paraId="137F611E">
            <w:pPr>
              <w:pStyle w:val="96"/>
              <w:jc w:val="both"/>
              <w:rPr>
                <w:rFonts w:hAnsiTheme="minorEastAsia" w:eastAsiaTheme="minorEastAsia"/>
                <w:kern w:val="0"/>
                <w:szCs w:val="24"/>
              </w:rPr>
            </w:pPr>
            <w:r>
              <w:rPr>
                <w:rFonts w:hint="eastAsia" w:hAnsiTheme="minorEastAsia" w:eastAsiaTheme="minorEastAsia"/>
                <w:kern w:val="0"/>
                <w:szCs w:val="24"/>
              </w:rPr>
              <w:t>另外，根据《排污许可证申请与核发技术规范 钢铁工业》（HJ846-2017），轧钢项目无组织废气执行特别排放限值要求“各废气产生点配备有效的废气捕集装置，如局部密闭罩、整体密闭罩、大容积密闭罩”，因此本项目喷硼砂作业、连轧管工段设置排烟罩和独立的抽风系统，属于可行技术。</w:t>
            </w:r>
          </w:p>
          <w:p w14:paraId="43557FCF">
            <w:pPr>
              <w:pStyle w:val="96"/>
              <w:jc w:val="both"/>
              <w:rPr>
                <w:rFonts w:hAnsiTheme="minorEastAsia" w:eastAsiaTheme="minorEastAsia"/>
                <w:kern w:val="0"/>
                <w:szCs w:val="24"/>
              </w:rPr>
            </w:pPr>
            <w:r>
              <w:rPr>
                <w:rFonts w:hint="eastAsia" w:hAnsiTheme="minorEastAsia" w:eastAsiaTheme="minorEastAsia"/>
                <w:kern w:val="0"/>
                <w:szCs w:val="24"/>
              </w:rPr>
              <w:t>综上，项目废气治理措施在技术上是可行的</w:t>
            </w:r>
            <w:r>
              <w:rPr>
                <w:rFonts w:hAnsiTheme="minorEastAsia" w:eastAsiaTheme="minorEastAsia"/>
                <w:kern w:val="0"/>
                <w:szCs w:val="24"/>
              </w:rPr>
              <w:t>。</w:t>
            </w:r>
          </w:p>
          <w:p w14:paraId="51BE3221">
            <w:pPr>
              <w:pStyle w:val="2"/>
              <w:spacing w:line="360" w:lineRule="auto"/>
              <w:ind w:firstLine="482" w:firstLineChars="200"/>
              <w:jc w:val="both"/>
              <w:rPr>
                <w:b/>
                <w:color w:val="auto"/>
              </w:rPr>
            </w:pPr>
            <w:r>
              <w:rPr>
                <w:rFonts w:hint="eastAsia" w:ascii="Times New Roman" w:cs="Times New Roman"/>
                <w:b/>
                <w:color w:val="auto"/>
              </w:rPr>
              <w:t>5、</w:t>
            </w:r>
            <w:r>
              <w:rPr>
                <w:rFonts w:hint="eastAsia"/>
                <w:b/>
                <w:color w:val="auto"/>
              </w:rPr>
              <w:t>排污口设置情况、监测要求</w:t>
            </w:r>
          </w:p>
          <w:p w14:paraId="243F3279">
            <w:pPr>
              <w:adjustRightInd w:val="0"/>
              <w:snapToGrid w:val="0"/>
              <w:spacing w:line="360" w:lineRule="auto"/>
              <w:ind w:firstLine="480" w:firstLineChars="200"/>
              <w:rPr>
                <w:rFonts w:cs="宋体"/>
                <w:kern w:val="0"/>
                <w:sz w:val="24"/>
              </w:rPr>
            </w:pPr>
            <w:r>
              <w:rPr>
                <w:rFonts w:hint="eastAsia" w:cs="宋体"/>
                <w:kern w:val="0"/>
                <w:sz w:val="24"/>
              </w:rPr>
              <w:t>项目废气排放口情况如下表：</w:t>
            </w:r>
          </w:p>
          <w:p w14:paraId="0DA02ED5">
            <w:pPr>
              <w:spacing w:beforeLines="50"/>
              <w:jc w:val="center"/>
              <w:rPr>
                <w:b/>
                <w:szCs w:val="21"/>
              </w:rPr>
            </w:pPr>
            <w:r>
              <w:rPr>
                <w:rFonts w:hint="eastAsia"/>
                <w:b/>
                <w:szCs w:val="21"/>
              </w:rPr>
              <w:t>表4-5  本项目废气排放口设置情况</w:t>
            </w:r>
          </w:p>
          <w:tbl>
            <w:tblPr>
              <w:tblStyle w:val="3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83"/>
              <w:gridCol w:w="1342"/>
              <w:gridCol w:w="1449"/>
              <w:gridCol w:w="869"/>
              <w:gridCol w:w="854"/>
              <w:gridCol w:w="891"/>
              <w:gridCol w:w="1822"/>
              <w:gridCol w:w="1311"/>
            </w:tblGrid>
            <w:tr w14:paraId="61A38C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469" w:type="pct"/>
                  <w:vMerge w:val="restart"/>
                  <w:vAlign w:val="center"/>
                </w:tcPr>
                <w:p w14:paraId="17DDA851">
                  <w:pPr>
                    <w:adjustRightInd w:val="0"/>
                    <w:snapToGrid w:val="0"/>
                    <w:jc w:val="center"/>
                    <w:rPr>
                      <w:b/>
                      <w:szCs w:val="21"/>
                    </w:rPr>
                  </w:pPr>
                  <w:r>
                    <w:rPr>
                      <w:rFonts w:hint="eastAsia"/>
                      <w:b/>
                      <w:szCs w:val="21"/>
                    </w:rPr>
                    <w:t>排放口编号</w:t>
                  </w:r>
                </w:p>
              </w:tc>
              <w:tc>
                <w:tcPr>
                  <w:tcW w:w="712" w:type="pct"/>
                  <w:vMerge w:val="restart"/>
                  <w:shd w:val="clear" w:color="auto" w:fill="auto"/>
                  <w:vAlign w:val="center"/>
                </w:tcPr>
                <w:p w14:paraId="11E94376">
                  <w:pPr>
                    <w:adjustRightInd w:val="0"/>
                    <w:snapToGrid w:val="0"/>
                    <w:jc w:val="center"/>
                    <w:rPr>
                      <w:b/>
                      <w:szCs w:val="21"/>
                    </w:rPr>
                  </w:pPr>
                  <w:r>
                    <w:rPr>
                      <w:b/>
                      <w:szCs w:val="21"/>
                    </w:rPr>
                    <w:t>废气类型</w:t>
                  </w:r>
                </w:p>
              </w:tc>
              <w:tc>
                <w:tcPr>
                  <w:tcW w:w="769" w:type="pct"/>
                  <w:vMerge w:val="restart"/>
                  <w:vAlign w:val="center"/>
                </w:tcPr>
                <w:p w14:paraId="0CFCA6C8">
                  <w:pPr>
                    <w:adjustRightInd w:val="0"/>
                    <w:snapToGrid w:val="0"/>
                    <w:jc w:val="center"/>
                    <w:rPr>
                      <w:b/>
                      <w:szCs w:val="21"/>
                    </w:rPr>
                  </w:pPr>
                  <w:r>
                    <w:rPr>
                      <w:rFonts w:hint="eastAsia"/>
                      <w:b/>
                      <w:szCs w:val="21"/>
                    </w:rPr>
                    <w:t>污染物种类</w:t>
                  </w:r>
                </w:p>
              </w:tc>
              <w:tc>
                <w:tcPr>
                  <w:tcW w:w="3050" w:type="pct"/>
                  <w:gridSpan w:val="5"/>
                  <w:shd w:val="clear" w:color="auto" w:fill="auto"/>
                  <w:vAlign w:val="center"/>
                </w:tcPr>
                <w:p w14:paraId="4F4F7911">
                  <w:pPr>
                    <w:adjustRightInd w:val="0"/>
                    <w:snapToGrid w:val="0"/>
                    <w:jc w:val="center"/>
                    <w:rPr>
                      <w:b/>
                      <w:szCs w:val="21"/>
                    </w:rPr>
                  </w:pPr>
                  <w:r>
                    <w:rPr>
                      <w:rFonts w:hint="eastAsia"/>
                      <w:b/>
                      <w:szCs w:val="21"/>
                    </w:rPr>
                    <w:t>排放口基本情况</w:t>
                  </w:r>
                </w:p>
              </w:tc>
            </w:tr>
            <w:tr w14:paraId="1B961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69" w:type="pct"/>
                  <w:vMerge w:val="continue"/>
                  <w:vAlign w:val="center"/>
                </w:tcPr>
                <w:p w14:paraId="23DD141A">
                  <w:pPr>
                    <w:adjustRightInd w:val="0"/>
                    <w:snapToGrid w:val="0"/>
                    <w:jc w:val="center"/>
                    <w:rPr>
                      <w:b/>
                      <w:szCs w:val="21"/>
                    </w:rPr>
                  </w:pPr>
                </w:p>
              </w:tc>
              <w:tc>
                <w:tcPr>
                  <w:tcW w:w="712" w:type="pct"/>
                  <w:vMerge w:val="continue"/>
                  <w:shd w:val="clear" w:color="auto" w:fill="auto"/>
                  <w:vAlign w:val="center"/>
                </w:tcPr>
                <w:p w14:paraId="0EAC041F">
                  <w:pPr>
                    <w:adjustRightInd w:val="0"/>
                    <w:snapToGrid w:val="0"/>
                    <w:jc w:val="center"/>
                    <w:rPr>
                      <w:b/>
                      <w:szCs w:val="21"/>
                    </w:rPr>
                  </w:pPr>
                </w:p>
              </w:tc>
              <w:tc>
                <w:tcPr>
                  <w:tcW w:w="769" w:type="pct"/>
                  <w:vMerge w:val="continue"/>
                  <w:vAlign w:val="center"/>
                </w:tcPr>
                <w:p w14:paraId="3FB8B670">
                  <w:pPr>
                    <w:adjustRightInd w:val="0"/>
                    <w:snapToGrid w:val="0"/>
                    <w:jc w:val="center"/>
                    <w:rPr>
                      <w:b/>
                      <w:szCs w:val="21"/>
                    </w:rPr>
                  </w:pPr>
                </w:p>
              </w:tc>
              <w:tc>
                <w:tcPr>
                  <w:tcW w:w="461" w:type="pct"/>
                  <w:shd w:val="clear" w:color="auto" w:fill="auto"/>
                  <w:vAlign w:val="center"/>
                </w:tcPr>
                <w:p w14:paraId="5CF1BC21">
                  <w:pPr>
                    <w:adjustRightInd w:val="0"/>
                    <w:snapToGrid w:val="0"/>
                    <w:jc w:val="center"/>
                    <w:rPr>
                      <w:b/>
                      <w:szCs w:val="21"/>
                    </w:rPr>
                  </w:pPr>
                  <w:r>
                    <w:rPr>
                      <w:rFonts w:hint="eastAsia"/>
                      <w:b/>
                      <w:szCs w:val="21"/>
                    </w:rPr>
                    <w:t>高度（m）</w:t>
                  </w:r>
                </w:p>
              </w:tc>
              <w:tc>
                <w:tcPr>
                  <w:tcW w:w="453" w:type="pct"/>
                  <w:shd w:val="clear" w:color="auto" w:fill="auto"/>
                  <w:vAlign w:val="center"/>
                </w:tcPr>
                <w:p w14:paraId="327565AC">
                  <w:pPr>
                    <w:adjustRightInd w:val="0"/>
                    <w:snapToGrid w:val="0"/>
                    <w:jc w:val="center"/>
                    <w:rPr>
                      <w:b/>
                      <w:szCs w:val="21"/>
                    </w:rPr>
                  </w:pPr>
                  <w:r>
                    <w:rPr>
                      <w:rFonts w:hint="eastAsia"/>
                      <w:b/>
                      <w:szCs w:val="21"/>
                    </w:rPr>
                    <w:t>内径（m）</w:t>
                  </w:r>
                </w:p>
              </w:tc>
              <w:tc>
                <w:tcPr>
                  <w:tcW w:w="473" w:type="pct"/>
                  <w:shd w:val="clear" w:color="auto" w:fill="auto"/>
                  <w:vAlign w:val="center"/>
                </w:tcPr>
                <w:p w14:paraId="3E42D35B">
                  <w:pPr>
                    <w:adjustRightInd w:val="0"/>
                    <w:snapToGrid w:val="0"/>
                    <w:jc w:val="center"/>
                    <w:rPr>
                      <w:b/>
                      <w:szCs w:val="21"/>
                    </w:rPr>
                  </w:pPr>
                  <w:r>
                    <w:rPr>
                      <w:b/>
                      <w:szCs w:val="21"/>
                    </w:rPr>
                    <w:t>温度（</w:t>
                  </w:r>
                  <w:r>
                    <w:rPr>
                      <w:rFonts w:ascii="宋体" w:hAnsi="宋体" w:cs="宋体"/>
                      <w:b/>
                      <w:szCs w:val="21"/>
                    </w:rPr>
                    <w:t>℃</w:t>
                  </w:r>
                  <w:r>
                    <w:rPr>
                      <w:b/>
                      <w:szCs w:val="21"/>
                    </w:rPr>
                    <w:t>）</w:t>
                  </w:r>
                </w:p>
              </w:tc>
              <w:tc>
                <w:tcPr>
                  <w:tcW w:w="967" w:type="pct"/>
                  <w:shd w:val="clear" w:color="auto" w:fill="auto"/>
                  <w:vAlign w:val="center"/>
                </w:tcPr>
                <w:p w14:paraId="62D393ED">
                  <w:pPr>
                    <w:adjustRightInd w:val="0"/>
                    <w:snapToGrid w:val="0"/>
                    <w:jc w:val="center"/>
                    <w:rPr>
                      <w:b/>
                      <w:szCs w:val="21"/>
                    </w:rPr>
                  </w:pPr>
                  <w:r>
                    <w:rPr>
                      <w:rFonts w:hint="eastAsia"/>
                      <w:b/>
                      <w:szCs w:val="21"/>
                    </w:rPr>
                    <w:t>坐标</w:t>
                  </w:r>
                </w:p>
              </w:tc>
              <w:tc>
                <w:tcPr>
                  <w:tcW w:w="696" w:type="pct"/>
                  <w:shd w:val="clear" w:color="auto" w:fill="auto"/>
                  <w:vAlign w:val="center"/>
                </w:tcPr>
                <w:p w14:paraId="0AC9180C">
                  <w:pPr>
                    <w:adjustRightInd w:val="0"/>
                    <w:snapToGrid w:val="0"/>
                    <w:jc w:val="center"/>
                    <w:rPr>
                      <w:b/>
                      <w:szCs w:val="21"/>
                    </w:rPr>
                  </w:pPr>
                  <w:r>
                    <w:rPr>
                      <w:rFonts w:hint="eastAsia"/>
                      <w:b/>
                      <w:szCs w:val="21"/>
                    </w:rPr>
                    <w:t>类型</w:t>
                  </w:r>
                </w:p>
              </w:tc>
            </w:tr>
            <w:tr w14:paraId="7EAAE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69" w:type="pct"/>
                  <w:vAlign w:val="center"/>
                </w:tcPr>
                <w:p w14:paraId="00231FD4">
                  <w:pPr>
                    <w:adjustRightInd w:val="0"/>
                    <w:snapToGrid w:val="0"/>
                    <w:jc w:val="center"/>
                    <w:rPr>
                      <w:szCs w:val="21"/>
                    </w:rPr>
                  </w:pPr>
                  <w:r>
                    <w:rPr>
                      <w:rFonts w:hint="eastAsia"/>
                      <w:szCs w:val="21"/>
                    </w:rPr>
                    <w:t>FQ-1</w:t>
                  </w:r>
                </w:p>
              </w:tc>
              <w:tc>
                <w:tcPr>
                  <w:tcW w:w="712" w:type="pct"/>
                  <w:shd w:val="clear" w:color="auto" w:fill="auto"/>
                  <w:vAlign w:val="center"/>
                </w:tcPr>
                <w:p w14:paraId="3A2C7655">
                  <w:pPr>
                    <w:adjustRightInd w:val="0"/>
                    <w:snapToGrid w:val="0"/>
                    <w:jc w:val="center"/>
                    <w:rPr>
                      <w:szCs w:val="21"/>
                    </w:rPr>
                  </w:pPr>
                  <w:r>
                    <w:rPr>
                      <w:szCs w:val="21"/>
                    </w:rPr>
                    <w:t>有组织排放</w:t>
                  </w:r>
                </w:p>
              </w:tc>
              <w:tc>
                <w:tcPr>
                  <w:tcW w:w="769" w:type="pct"/>
                  <w:vAlign w:val="center"/>
                </w:tcPr>
                <w:p w14:paraId="4B0F54D6">
                  <w:pPr>
                    <w:adjustRightInd w:val="0"/>
                    <w:snapToGrid w:val="0"/>
                    <w:jc w:val="center"/>
                    <w:rPr>
                      <w:szCs w:val="21"/>
                    </w:rPr>
                  </w:pPr>
                  <w:r>
                    <w:rPr>
                      <w:rFonts w:hint="eastAsia"/>
                      <w:szCs w:val="21"/>
                    </w:rPr>
                    <w:t>颗粒物</w:t>
                  </w:r>
                </w:p>
                <w:p w14:paraId="6B81025C">
                  <w:pPr>
                    <w:pStyle w:val="2"/>
                    <w:jc w:val="center"/>
                    <w:rPr>
                      <w:rFonts w:ascii="Times New Roman" w:cs="Times New Roman"/>
                      <w:color w:val="auto"/>
                      <w:sz w:val="21"/>
                      <w:szCs w:val="21"/>
                    </w:rPr>
                  </w:pPr>
                  <w:r>
                    <w:rPr>
                      <w:rFonts w:hint="eastAsia" w:ascii="Times New Roman" w:cs="Times New Roman"/>
                      <w:color w:val="auto"/>
                      <w:sz w:val="21"/>
                      <w:szCs w:val="21"/>
                    </w:rPr>
                    <w:t>二氧化硫</w:t>
                  </w:r>
                </w:p>
                <w:p w14:paraId="33505EEF">
                  <w:pPr>
                    <w:pStyle w:val="4"/>
                    <w:spacing w:after="0"/>
                    <w:ind w:left="0" w:leftChars="0" w:firstLine="0" w:firstLineChars="0"/>
                    <w:jc w:val="center"/>
                    <w:rPr>
                      <w:szCs w:val="21"/>
                    </w:rPr>
                  </w:pPr>
                  <w:r>
                    <w:rPr>
                      <w:rFonts w:hint="eastAsia"/>
                      <w:szCs w:val="21"/>
                    </w:rPr>
                    <w:t>氮氧化物</w:t>
                  </w:r>
                </w:p>
              </w:tc>
              <w:tc>
                <w:tcPr>
                  <w:tcW w:w="461" w:type="pct"/>
                  <w:shd w:val="clear" w:color="auto" w:fill="auto"/>
                  <w:vAlign w:val="center"/>
                </w:tcPr>
                <w:p w14:paraId="314A9974">
                  <w:pPr>
                    <w:jc w:val="center"/>
                    <w:rPr>
                      <w:szCs w:val="21"/>
                    </w:rPr>
                  </w:pPr>
                  <w:r>
                    <w:rPr>
                      <w:rFonts w:hint="eastAsia"/>
                      <w:szCs w:val="21"/>
                    </w:rPr>
                    <w:t>80</w:t>
                  </w:r>
                </w:p>
              </w:tc>
              <w:tc>
                <w:tcPr>
                  <w:tcW w:w="453" w:type="pct"/>
                  <w:shd w:val="clear" w:color="auto" w:fill="auto"/>
                  <w:vAlign w:val="center"/>
                </w:tcPr>
                <w:p w14:paraId="076A9C8B">
                  <w:pPr>
                    <w:jc w:val="center"/>
                    <w:rPr>
                      <w:szCs w:val="21"/>
                    </w:rPr>
                  </w:pPr>
                  <w:r>
                    <w:rPr>
                      <w:rFonts w:hint="eastAsia"/>
                      <w:szCs w:val="21"/>
                    </w:rPr>
                    <w:t>2.26</w:t>
                  </w:r>
                </w:p>
              </w:tc>
              <w:tc>
                <w:tcPr>
                  <w:tcW w:w="473" w:type="pct"/>
                  <w:shd w:val="clear" w:color="auto" w:fill="auto"/>
                  <w:vAlign w:val="center"/>
                </w:tcPr>
                <w:p w14:paraId="1181753A">
                  <w:pPr>
                    <w:adjustRightInd w:val="0"/>
                    <w:snapToGrid w:val="0"/>
                    <w:jc w:val="center"/>
                    <w:rPr>
                      <w:szCs w:val="21"/>
                    </w:rPr>
                  </w:pPr>
                  <w:r>
                    <w:rPr>
                      <w:rFonts w:hint="eastAsia"/>
                      <w:szCs w:val="21"/>
                    </w:rPr>
                    <w:t>300</w:t>
                  </w:r>
                </w:p>
              </w:tc>
              <w:tc>
                <w:tcPr>
                  <w:tcW w:w="967" w:type="pct"/>
                  <w:shd w:val="clear" w:color="auto" w:fill="auto"/>
                  <w:vAlign w:val="center"/>
                </w:tcPr>
                <w:p w14:paraId="0868265D">
                  <w:pPr>
                    <w:adjustRightInd w:val="0"/>
                    <w:snapToGrid w:val="0"/>
                    <w:jc w:val="center"/>
                    <w:rPr>
                      <w:szCs w:val="21"/>
                    </w:rPr>
                  </w:pPr>
                  <w:r>
                    <w:rPr>
                      <w:rFonts w:hint="eastAsia"/>
                      <w:szCs w:val="21"/>
                    </w:rPr>
                    <w:t>E 112.589874°</w:t>
                  </w:r>
                </w:p>
                <w:p w14:paraId="299D5117">
                  <w:pPr>
                    <w:adjustRightInd w:val="0"/>
                    <w:snapToGrid w:val="0"/>
                    <w:jc w:val="center"/>
                    <w:rPr>
                      <w:szCs w:val="21"/>
                    </w:rPr>
                  </w:pPr>
                  <w:r>
                    <w:rPr>
                      <w:rFonts w:hint="eastAsia"/>
                      <w:szCs w:val="21"/>
                    </w:rPr>
                    <w:t>N 26.878784°</w:t>
                  </w:r>
                </w:p>
              </w:tc>
              <w:tc>
                <w:tcPr>
                  <w:tcW w:w="696" w:type="pct"/>
                  <w:shd w:val="clear" w:color="auto" w:fill="auto"/>
                  <w:vAlign w:val="center"/>
                </w:tcPr>
                <w:p w14:paraId="3985865B">
                  <w:pPr>
                    <w:adjustRightInd w:val="0"/>
                    <w:snapToGrid w:val="0"/>
                    <w:jc w:val="center"/>
                    <w:rPr>
                      <w:szCs w:val="21"/>
                    </w:rPr>
                  </w:pPr>
                  <w:r>
                    <w:rPr>
                      <w:rFonts w:hint="eastAsia"/>
                      <w:szCs w:val="21"/>
                    </w:rPr>
                    <w:t>一般排放口</w:t>
                  </w:r>
                </w:p>
              </w:tc>
            </w:tr>
            <w:tr w14:paraId="2E47C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69" w:type="pct"/>
                  <w:vAlign w:val="center"/>
                </w:tcPr>
                <w:p w14:paraId="16D14CA9">
                  <w:pPr>
                    <w:adjustRightInd w:val="0"/>
                    <w:snapToGrid w:val="0"/>
                    <w:jc w:val="center"/>
                    <w:rPr>
                      <w:szCs w:val="21"/>
                    </w:rPr>
                  </w:pPr>
                  <w:r>
                    <w:rPr>
                      <w:rFonts w:hint="eastAsia"/>
                      <w:szCs w:val="21"/>
                    </w:rPr>
                    <w:t>FQ-2</w:t>
                  </w:r>
                </w:p>
              </w:tc>
              <w:tc>
                <w:tcPr>
                  <w:tcW w:w="712" w:type="pct"/>
                  <w:shd w:val="clear" w:color="auto" w:fill="auto"/>
                  <w:vAlign w:val="center"/>
                </w:tcPr>
                <w:p w14:paraId="0F3B71EC">
                  <w:pPr>
                    <w:adjustRightInd w:val="0"/>
                    <w:snapToGrid w:val="0"/>
                    <w:jc w:val="center"/>
                    <w:rPr>
                      <w:szCs w:val="21"/>
                    </w:rPr>
                  </w:pPr>
                  <w:r>
                    <w:rPr>
                      <w:szCs w:val="21"/>
                    </w:rPr>
                    <w:t>有组织排放</w:t>
                  </w:r>
                </w:p>
              </w:tc>
              <w:tc>
                <w:tcPr>
                  <w:tcW w:w="769" w:type="pct"/>
                  <w:vAlign w:val="center"/>
                </w:tcPr>
                <w:p w14:paraId="1824A25E">
                  <w:pPr>
                    <w:adjustRightInd w:val="0"/>
                    <w:snapToGrid w:val="0"/>
                    <w:jc w:val="center"/>
                    <w:rPr>
                      <w:szCs w:val="21"/>
                    </w:rPr>
                  </w:pPr>
                  <w:r>
                    <w:rPr>
                      <w:rFonts w:hint="eastAsia"/>
                      <w:szCs w:val="21"/>
                    </w:rPr>
                    <w:t>颗粒物</w:t>
                  </w:r>
                </w:p>
                <w:p w14:paraId="0459CAE1">
                  <w:pPr>
                    <w:pStyle w:val="2"/>
                    <w:jc w:val="center"/>
                    <w:rPr>
                      <w:rFonts w:ascii="Times New Roman" w:cs="Times New Roman"/>
                      <w:color w:val="auto"/>
                      <w:sz w:val="21"/>
                      <w:szCs w:val="21"/>
                    </w:rPr>
                  </w:pPr>
                  <w:r>
                    <w:rPr>
                      <w:rFonts w:hint="eastAsia" w:ascii="Times New Roman" w:cs="Times New Roman"/>
                      <w:color w:val="auto"/>
                      <w:sz w:val="21"/>
                      <w:szCs w:val="21"/>
                    </w:rPr>
                    <w:t>二氧化硫</w:t>
                  </w:r>
                </w:p>
                <w:p w14:paraId="4F2CE309">
                  <w:pPr>
                    <w:adjustRightInd w:val="0"/>
                    <w:snapToGrid w:val="0"/>
                    <w:jc w:val="center"/>
                    <w:rPr>
                      <w:szCs w:val="21"/>
                    </w:rPr>
                  </w:pPr>
                  <w:r>
                    <w:rPr>
                      <w:rFonts w:hint="eastAsia"/>
                      <w:szCs w:val="21"/>
                    </w:rPr>
                    <w:t>氮氧化物</w:t>
                  </w:r>
                </w:p>
              </w:tc>
              <w:tc>
                <w:tcPr>
                  <w:tcW w:w="461" w:type="pct"/>
                  <w:shd w:val="clear" w:color="auto" w:fill="auto"/>
                  <w:vAlign w:val="center"/>
                </w:tcPr>
                <w:p w14:paraId="3CACBF98">
                  <w:pPr>
                    <w:jc w:val="center"/>
                    <w:rPr>
                      <w:szCs w:val="21"/>
                    </w:rPr>
                  </w:pPr>
                  <w:r>
                    <w:rPr>
                      <w:rFonts w:hint="eastAsia"/>
                      <w:szCs w:val="21"/>
                    </w:rPr>
                    <w:t>68</w:t>
                  </w:r>
                </w:p>
              </w:tc>
              <w:tc>
                <w:tcPr>
                  <w:tcW w:w="453" w:type="pct"/>
                  <w:shd w:val="clear" w:color="auto" w:fill="auto"/>
                  <w:vAlign w:val="center"/>
                </w:tcPr>
                <w:p w14:paraId="4E0C0C84">
                  <w:pPr>
                    <w:jc w:val="center"/>
                    <w:rPr>
                      <w:szCs w:val="21"/>
                    </w:rPr>
                  </w:pPr>
                  <w:r>
                    <w:rPr>
                      <w:rFonts w:hint="eastAsia"/>
                      <w:szCs w:val="21"/>
                    </w:rPr>
                    <w:t>1.25</w:t>
                  </w:r>
                </w:p>
              </w:tc>
              <w:tc>
                <w:tcPr>
                  <w:tcW w:w="473" w:type="pct"/>
                  <w:shd w:val="clear" w:color="auto" w:fill="auto"/>
                  <w:vAlign w:val="center"/>
                </w:tcPr>
                <w:p w14:paraId="553E803A">
                  <w:pPr>
                    <w:adjustRightInd w:val="0"/>
                    <w:snapToGrid w:val="0"/>
                    <w:jc w:val="center"/>
                    <w:rPr>
                      <w:szCs w:val="21"/>
                    </w:rPr>
                  </w:pPr>
                  <w:r>
                    <w:rPr>
                      <w:rFonts w:hint="eastAsia"/>
                      <w:szCs w:val="21"/>
                    </w:rPr>
                    <w:t>300</w:t>
                  </w:r>
                </w:p>
              </w:tc>
              <w:tc>
                <w:tcPr>
                  <w:tcW w:w="967" w:type="pct"/>
                  <w:shd w:val="clear" w:color="auto" w:fill="auto"/>
                  <w:vAlign w:val="center"/>
                </w:tcPr>
                <w:p w14:paraId="6B77CE1D">
                  <w:pPr>
                    <w:adjustRightInd w:val="0"/>
                    <w:snapToGrid w:val="0"/>
                    <w:jc w:val="center"/>
                    <w:rPr>
                      <w:szCs w:val="21"/>
                    </w:rPr>
                  </w:pPr>
                  <w:r>
                    <w:rPr>
                      <w:rFonts w:hint="eastAsia"/>
                      <w:szCs w:val="21"/>
                    </w:rPr>
                    <w:t>E 112.590833°</w:t>
                  </w:r>
                </w:p>
                <w:p w14:paraId="268DD623">
                  <w:pPr>
                    <w:jc w:val="center"/>
                    <w:rPr>
                      <w:szCs w:val="21"/>
                    </w:rPr>
                  </w:pPr>
                  <w:r>
                    <w:rPr>
                      <w:rFonts w:hint="eastAsia"/>
                      <w:szCs w:val="21"/>
                    </w:rPr>
                    <w:t>N 26.879044°</w:t>
                  </w:r>
                </w:p>
              </w:tc>
              <w:tc>
                <w:tcPr>
                  <w:tcW w:w="696" w:type="pct"/>
                  <w:shd w:val="clear" w:color="auto" w:fill="auto"/>
                  <w:vAlign w:val="center"/>
                </w:tcPr>
                <w:p w14:paraId="7EA25F51">
                  <w:pPr>
                    <w:jc w:val="center"/>
                    <w:rPr>
                      <w:szCs w:val="21"/>
                    </w:rPr>
                  </w:pPr>
                  <w:r>
                    <w:rPr>
                      <w:rFonts w:hint="eastAsia"/>
                      <w:szCs w:val="21"/>
                    </w:rPr>
                    <w:t>一般排放口</w:t>
                  </w:r>
                </w:p>
              </w:tc>
            </w:tr>
            <w:tr w14:paraId="261F2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69" w:type="pct"/>
                  <w:vAlign w:val="center"/>
                </w:tcPr>
                <w:p w14:paraId="6C0D8BC0">
                  <w:pPr>
                    <w:adjustRightInd w:val="0"/>
                    <w:snapToGrid w:val="0"/>
                    <w:jc w:val="center"/>
                    <w:rPr>
                      <w:szCs w:val="21"/>
                    </w:rPr>
                  </w:pPr>
                  <w:r>
                    <w:rPr>
                      <w:rFonts w:hint="eastAsia"/>
                      <w:szCs w:val="21"/>
                    </w:rPr>
                    <w:t>FQ-3</w:t>
                  </w:r>
                </w:p>
              </w:tc>
              <w:tc>
                <w:tcPr>
                  <w:tcW w:w="712" w:type="pct"/>
                  <w:shd w:val="clear" w:color="auto" w:fill="auto"/>
                  <w:vAlign w:val="center"/>
                </w:tcPr>
                <w:p w14:paraId="1D657A31">
                  <w:pPr>
                    <w:adjustRightInd w:val="0"/>
                    <w:snapToGrid w:val="0"/>
                    <w:jc w:val="center"/>
                    <w:rPr>
                      <w:szCs w:val="21"/>
                    </w:rPr>
                  </w:pPr>
                  <w:r>
                    <w:rPr>
                      <w:szCs w:val="21"/>
                    </w:rPr>
                    <w:t>有组织排放</w:t>
                  </w:r>
                </w:p>
              </w:tc>
              <w:tc>
                <w:tcPr>
                  <w:tcW w:w="769" w:type="pct"/>
                  <w:vAlign w:val="center"/>
                </w:tcPr>
                <w:p w14:paraId="38D0B3DB">
                  <w:pPr>
                    <w:adjustRightInd w:val="0"/>
                    <w:snapToGrid w:val="0"/>
                    <w:jc w:val="center"/>
                    <w:rPr>
                      <w:szCs w:val="21"/>
                    </w:rPr>
                  </w:pPr>
                  <w:r>
                    <w:rPr>
                      <w:rFonts w:hint="eastAsia"/>
                      <w:szCs w:val="21"/>
                    </w:rPr>
                    <w:t>颗粒物</w:t>
                  </w:r>
                </w:p>
              </w:tc>
              <w:tc>
                <w:tcPr>
                  <w:tcW w:w="461" w:type="pct"/>
                  <w:shd w:val="clear" w:color="auto" w:fill="auto"/>
                  <w:vAlign w:val="center"/>
                </w:tcPr>
                <w:p w14:paraId="56F3C107">
                  <w:pPr>
                    <w:jc w:val="center"/>
                    <w:rPr>
                      <w:szCs w:val="21"/>
                    </w:rPr>
                  </w:pPr>
                  <w:r>
                    <w:rPr>
                      <w:rFonts w:hint="eastAsia"/>
                      <w:szCs w:val="21"/>
                    </w:rPr>
                    <w:t>18</w:t>
                  </w:r>
                </w:p>
              </w:tc>
              <w:tc>
                <w:tcPr>
                  <w:tcW w:w="453" w:type="pct"/>
                  <w:shd w:val="clear" w:color="auto" w:fill="auto"/>
                  <w:vAlign w:val="center"/>
                </w:tcPr>
                <w:p w14:paraId="47EBF038">
                  <w:pPr>
                    <w:jc w:val="center"/>
                    <w:rPr>
                      <w:szCs w:val="21"/>
                    </w:rPr>
                  </w:pPr>
                  <w:r>
                    <w:rPr>
                      <w:rFonts w:hint="eastAsia"/>
                      <w:szCs w:val="21"/>
                    </w:rPr>
                    <w:t>0.8</w:t>
                  </w:r>
                </w:p>
              </w:tc>
              <w:tc>
                <w:tcPr>
                  <w:tcW w:w="473" w:type="pct"/>
                  <w:shd w:val="clear" w:color="auto" w:fill="auto"/>
                  <w:vAlign w:val="center"/>
                </w:tcPr>
                <w:p w14:paraId="3D74088F">
                  <w:pPr>
                    <w:adjustRightInd w:val="0"/>
                    <w:snapToGrid w:val="0"/>
                    <w:jc w:val="center"/>
                    <w:rPr>
                      <w:szCs w:val="21"/>
                    </w:rPr>
                  </w:pPr>
                  <w:r>
                    <w:rPr>
                      <w:rFonts w:hint="eastAsia"/>
                      <w:szCs w:val="21"/>
                    </w:rPr>
                    <w:t>25</w:t>
                  </w:r>
                </w:p>
              </w:tc>
              <w:tc>
                <w:tcPr>
                  <w:tcW w:w="967" w:type="pct"/>
                  <w:shd w:val="clear" w:color="auto" w:fill="auto"/>
                  <w:vAlign w:val="center"/>
                </w:tcPr>
                <w:p w14:paraId="414A392B">
                  <w:pPr>
                    <w:adjustRightInd w:val="0"/>
                    <w:snapToGrid w:val="0"/>
                    <w:jc w:val="center"/>
                    <w:rPr>
                      <w:szCs w:val="21"/>
                    </w:rPr>
                  </w:pPr>
                  <w:r>
                    <w:rPr>
                      <w:rFonts w:hint="eastAsia"/>
                      <w:szCs w:val="21"/>
                    </w:rPr>
                    <w:t>E 112.591481°</w:t>
                  </w:r>
                </w:p>
                <w:p w14:paraId="056ADFB8">
                  <w:pPr>
                    <w:adjustRightInd w:val="0"/>
                    <w:snapToGrid w:val="0"/>
                    <w:jc w:val="center"/>
                    <w:rPr>
                      <w:szCs w:val="21"/>
                    </w:rPr>
                  </w:pPr>
                  <w:r>
                    <w:rPr>
                      <w:rFonts w:hint="eastAsia"/>
                      <w:szCs w:val="21"/>
                    </w:rPr>
                    <w:t>N 26.878730°</w:t>
                  </w:r>
                </w:p>
              </w:tc>
              <w:tc>
                <w:tcPr>
                  <w:tcW w:w="696" w:type="pct"/>
                  <w:shd w:val="clear" w:color="auto" w:fill="auto"/>
                  <w:vAlign w:val="center"/>
                </w:tcPr>
                <w:p w14:paraId="643CDE87">
                  <w:pPr>
                    <w:adjustRightInd w:val="0"/>
                    <w:snapToGrid w:val="0"/>
                    <w:jc w:val="center"/>
                    <w:rPr>
                      <w:szCs w:val="21"/>
                    </w:rPr>
                  </w:pPr>
                  <w:r>
                    <w:rPr>
                      <w:rFonts w:hint="eastAsia"/>
                      <w:szCs w:val="21"/>
                    </w:rPr>
                    <w:t>一般排放口</w:t>
                  </w:r>
                </w:p>
              </w:tc>
            </w:tr>
          </w:tbl>
          <w:p w14:paraId="2272F2C4">
            <w:pPr>
              <w:spacing w:line="360" w:lineRule="auto"/>
              <w:ind w:firstLine="480" w:firstLineChars="200"/>
              <w:jc w:val="left"/>
              <w:rPr>
                <w:sz w:val="24"/>
              </w:rPr>
            </w:pPr>
            <w:r>
              <w:rPr>
                <w:rFonts w:hint="eastAsia"/>
                <w:sz w:val="24"/>
              </w:rPr>
              <w:t>根据《固定污染源排污许可分类管理名录》（2019年版）、《排污单位自行监测技术指南 总则》（HJ819-2017）、</w:t>
            </w:r>
            <w:r>
              <w:rPr>
                <w:rFonts w:hint="eastAsia"/>
                <w:kern w:val="0"/>
                <w:sz w:val="24"/>
              </w:rPr>
              <w:t>《排污许可证申请与核发技术规范 钢铁工业》（HJ846-2017）、《排污单位自行监测技术指南 钢铁行业及炼焦化学工业》（HJ 878-2017）</w:t>
            </w:r>
            <w:r>
              <w:rPr>
                <w:rFonts w:hint="eastAsia"/>
                <w:sz w:val="24"/>
              </w:rPr>
              <w:t>中的相关规定，大气监测计划详见下表，制定本项目大气监测计划如下：</w:t>
            </w:r>
          </w:p>
          <w:p w14:paraId="12B38F41">
            <w:pPr>
              <w:spacing w:beforeLines="50"/>
              <w:jc w:val="center"/>
              <w:rPr>
                <w:b/>
                <w:szCs w:val="21"/>
              </w:rPr>
            </w:pPr>
            <w:r>
              <w:rPr>
                <w:rFonts w:hint="eastAsia"/>
                <w:b/>
                <w:szCs w:val="21"/>
              </w:rPr>
              <w:t>表4-6  本项目大气污染物监测计划</w:t>
            </w:r>
          </w:p>
          <w:tbl>
            <w:tblPr>
              <w:tblStyle w:val="3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005"/>
              <w:gridCol w:w="1417"/>
              <w:gridCol w:w="1419"/>
              <w:gridCol w:w="4580"/>
            </w:tblGrid>
            <w:tr w14:paraId="064643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64" w:type="pct"/>
                  <w:shd w:val="clear" w:color="auto" w:fill="auto"/>
                  <w:vAlign w:val="center"/>
                </w:tcPr>
                <w:p w14:paraId="2BD7FC6D">
                  <w:pPr>
                    <w:adjustRightInd w:val="0"/>
                    <w:snapToGrid w:val="0"/>
                    <w:jc w:val="center"/>
                    <w:rPr>
                      <w:b/>
                      <w:szCs w:val="21"/>
                    </w:rPr>
                  </w:pPr>
                  <w:r>
                    <w:rPr>
                      <w:rFonts w:hint="eastAsia"/>
                      <w:b/>
                      <w:szCs w:val="21"/>
                    </w:rPr>
                    <w:t>监测点位</w:t>
                  </w:r>
                </w:p>
              </w:tc>
              <w:tc>
                <w:tcPr>
                  <w:tcW w:w="752" w:type="pct"/>
                  <w:vAlign w:val="center"/>
                </w:tcPr>
                <w:p w14:paraId="5661C331">
                  <w:pPr>
                    <w:adjustRightInd w:val="0"/>
                    <w:snapToGrid w:val="0"/>
                    <w:jc w:val="center"/>
                    <w:rPr>
                      <w:b/>
                      <w:szCs w:val="21"/>
                    </w:rPr>
                  </w:pPr>
                  <w:r>
                    <w:rPr>
                      <w:rFonts w:hint="eastAsia"/>
                      <w:b/>
                      <w:szCs w:val="21"/>
                    </w:rPr>
                    <w:t>监测因子</w:t>
                  </w:r>
                </w:p>
              </w:tc>
              <w:tc>
                <w:tcPr>
                  <w:tcW w:w="753" w:type="pct"/>
                  <w:vAlign w:val="center"/>
                </w:tcPr>
                <w:p w14:paraId="025B814C">
                  <w:pPr>
                    <w:adjustRightInd w:val="0"/>
                    <w:snapToGrid w:val="0"/>
                    <w:jc w:val="center"/>
                    <w:rPr>
                      <w:b/>
                      <w:szCs w:val="21"/>
                    </w:rPr>
                  </w:pPr>
                  <w:r>
                    <w:rPr>
                      <w:rFonts w:hint="eastAsia"/>
                      <w:b/>
                      <w:szCs w:val="21"/>
                    </w:rPr>
                    <w:t>监测频次</w:t>
                  </w:r>
                </w:p>
              </w:tc>
              <w:tc>
                <w:tcPr>
                  <w:tcW w:w="2432" w:type="pct"/>
                  <w:shd w:val="clear" w:color="auto" w:fill="auto"/>
                  <w:vAlign w:val="center"/>
                </w:tcPr>
                <w:p w14:paraId="4CAA8317">
                  <w:pPr>
                    <w:adjustRightInd w:val="0"/>
                    <w:snapToGrid w:val="0"/>
                    <w:jc w:val="center"/>
                    <w:rPr>
                      <w:b/>
                      <w:szCs w:val="21"/>
                    </w:rPr>
                  </w:pPr>
                  <w:r>
                    <w:rPr>
                      <w:rFonts w:hint="eastAsia"/>
                      <w:b/>
                      <w:szCs w:val="21"/>
                    </w:rPr>
                    <w:t>执行标准名称</w:t>
                  </w:r>
                </w:p>
              </w:tc>
            </w:tr>
            <w:tr w14:paraId="6CE7C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64" w:type="pct"/>
                  <w:shd w:val="clear" w:color="auto" w:fill="auto"/>
                  <w:vAlign w:val="center"/>
                </w:tcPr>
                <w:p w14:paraId="2ADA4D32">
                  <w:pPr>
                    <w:adjustRightInd w:val="0"/>
                    <w:snapToGrid w:val="0"/>
                    <w:jc w:val="center"/>
                    <w:rPr>
                      <w:szCs w:val="21"/>
                    </w:rPr>
                  </w:pPr>
                  <w:r>
                    <w:rPr>
                      <w:szCs w:val="21"/>
                    </w:rPr>
                    <w:t>FQ-</w:t>
                  </w:r>
                  <w:r>
                    <w:rPr>
                      <w:rFonts w:hint="eastAsia"/>
                      <w:szCs w:val="21"/>
                    </w:rPr>
                    <w:t>1排气筒</w:t>
                  </w:r>
                </w:p>
              </w:tc>
              <w:tc>
                <w:tcPr>
                  <w:tcW w:w="752" w:type="pct"/>
                  <w:vAlign w:val="center"/>
                </w:tcPr>
                <w:p w14:paraId="787CA868">
                  <w:pPr>
                    <w:adjustRightInd w:val="0"/>
                    <w:snapToGrid w:val="0"/>
                    <w:jc w:val="center"/>
                    <w:rPr>
                      <w:szCs w:val="21"/>
                    </w:rPr>
                  </w:pPr>
                  <w:r>
                    <w:rPr>
                      <w:rFonts w:hint="eastAsia"/>
                      <w:szCs w:val="21"/>
                    </w:rPr>
                    <w:t>颗粒物</w:t>
                  </w:r>
                </w:p>
                <w:p w14:paraId="1B48B70A">
                  <w:pPr>
                    <w:pStyle w:val="2"/>
                    <w:jc w:val="center"/>
                    <w:rPr>
                      <w:rFonts w:ascii="Times New Roman" w:cs="Times New Roman"/>
                      <w:color w:val="auto"/>
                      <w:sz w:val="21"/>
                      <w:szCs w:val="21"/>
                    </w:rPr>
                  </w:pPr>
                  <w:r>
                    <w:rPr>
                      <w:rFonts w:hint="eastAsia" w:ascii="Times New Roman" w:cs="Times New Roman"/>
                      <w:color w:val="auto"/>
                      <w:sz w:val="21"/>
                      <w:szCs w:val="21"/>
                    </w:rPr>
                    <w:t>二氧化硫</w:t>
                  </w:r>
                </w:p>
                <w:p w14:paraId="6D9ABD0D">
                  <w:pPr>
                    <w:adjustRightInd w:val="0"/>
                    <w:snapToGrid w:val="0"/>
                    <w:jc w:val="center"/>
                    <w:rPr>
                      <w:bCs/>
                      <w:spacing w:val="-10"/>
                      <w:szCs w:val="21"/>
                    </w:rPr>
                  </w:pPr>
                  <w:r>
                    <w:rPr>
                      <w:rFonts w:hint="eastAsia"/>
                      <w:szCs w:val="21"/>
                    </w:rPr>
                    <w:t>氮氧化物</w:t>
                  </w:r>
                </w:p>
              </w:tc>
              <w:tc>
                <w:tcPr>
                  <w:tcW w:w="753" w:type="pct"/>
                  <w:vAlign w:val="center"/>
                </w:tcPr>
                <w:p w14:paraId="4DAF7861">
                  <w:pPr>
                    <w:adjustRightInd w:val="0"/>
                    <w:snapToGrid w:val="0"/>
                    <w:jc w:val="center"/>
                    <w:rPr>
                      <w:szCs w:val="21"/>
                    </w:rPr>
                  </w:pPr>
                  <w:r>
                    <w:rPr>
                      <w:rFonts w:hint="eastAsia"/>
                      <w:szCs w:val="21"/>
                    </w:rPr>
                    <w:t>1次/季度</w:t>
                  </w:r>
                </w:p>
              </w:tc>
              <w:tc>
                <w:tcPr>
                  <w:tcW w:w="2432" w:type="pct"/>
                  <w:vMerge w:val="restart"/>
                  <w:shd w:val="clear" w:color="auto" w:fill="auto"/>
                  <w:vAlign w:val="center"/>
                </w:tcPr>
                <w:p w14:paraId="42B1C487">
                  <w:pPr>
                    <w:adjustRightInd w:val="0"/>
                    <w:snapToGrid w:val="0"/>
                    <w:jc w:val="center"/>
                  </w:pPr>
                  <w:r>
                    <w:rPr>
                      <w:rFonts w:hint="eastAsia"/>
                    </w:rPr>
                    <w:t>《关于推进实施钢铁行业超低排放的意见》（环大气〔2019〕35号）中轧钢热处理炉超低排放指标限值要求</w:t>
                  </w:r>
                </w:p>
              </w:tc>
            </w:tr>
            <w:tr w14:paraId="5281F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64" w:type="pct"/>
                  <w:shd w:val="clear" w:color="auto" w:fill="auto"/>
                  <w:vAlign w:val="center"/>
                </w:tcPr>
                <w:p w14:paraId="489A4C03">
                  <w:pPr>
                    <w:adjustRightInd w:val="0"/>
                    <w:snapToGrid w:val="0"/>
                    <w:jc w:val="center"/>
                    <w:rPr>
                      <w:szCs w:val="21"/>
                    </w:rPr>
                  </w:pPr>
                  <w:r>
                    <w:rPr>
                      <w:szCs w:val="21"/>
                    </w:rPr>
                    <w:t>FQ-</w:t>
                  </w:r>
                  <w:r>
                    <w:rPr>
                      <w:rFonts w:hint="eastAsia"/>
                      <w:szCs w:val="21"/>
                    </w:rPr>
                    <w:t>2排气筒</w:t>
                  </w:r>
                </w:p>
              </w:tc>
              <w:tc>
                <w:tcPr>
                  <w:tcW w:w="752" w:type="pct"/>
                  <w:vAlign w:val="center"/>
                </w:tcPr>
                <w:p w14:paraId="0F0137B4">
                  <w:pPr>
                    <w:adjustRightInd w:val="0"/>
                    <w:snapToGrid w:val="0"/>
                    <w:jc w:val="center"/>
                    <w:rPr>
                      <w:szCs w:val="21"/>
                    </w:rPr>
                  </w:pPr>
                  <w:r>
                    <w:rPr>
                      <w:rFonts w:hint="eastAsia"/>
                      <w:szCs w:val="21"/>
                    </w:rPr>
                    <w:t>颗粒物</w:t>
                  </w:r>
                </w:p>
                <w:p w14:paraId="0632CFFE">
                  <w:pPr>
                    <w:pStyle w:val="2"/>
                    <w:jc w:val="center"/>
                    <w:rPr>
                      <w:rFonts w:ascii="Times New Roman" w:cs="Times New Roman"/>
                      <w:color w:val="auto"/>
                      <w:sz w:val="21"/>
                      <w:szCs w:val="21"/>
                    </w:rPr>
                  </w:pPr>
                  <w:r>
                    <w:rPr>
                      <w:rFonts w:hint="eastAsia" w:ascii="Times New Roman" w:cs="Times New Roman"/>
                      <w:color w:val="auto"/>
                      <w:sz w:val="21"/>
                      <w:szCs w:val="21"/>
                    </w:rPr>
                    <w:t>二氧化硫</w:t>
                  </w:r>
                </w:p>
                <w:p w14:paraId="7EA4CC96">
                  <w:pPr>
                    <w:adjustRightInd w:val="0"/>
                    <w:snapToGrid w:val="0"/>
                    <w:jc w:val="center"/>
                    <w:rPr>
                      <w:bCs/>
                      <w:spacing w:val="-10"/>
                      <w:szCs w:val="21"/>
                    </w:rPr>
                  </w:pPr>
                  <w:r>
                    <w:rPr>
                      <w:rFonts w:hint="eastAsia"/>
                      <w:szCs w:val="21"/>
                    </w:rPr>
                    <w:t>氮氧化物</w:t>
                  </w:r>
                </w:p>
              </w:tc>
              <w:tc>
                <w:tcPr>
                  <w:tcW w:w="753" w:type="pct"/>
                  <w:vAlign w:val="center"/>
                </w:tcPr>
                <w:p w14:paraId="524A97A1">
                  <w:pPr>
                    <w:adjustRightInd w:val="0"/>
                    <w:snapToGrid w:val="0"/>
                    <w:jc w:val="center"/>
                    <w:rPr>
                      <w:szCs w:val="21"/>
                    </w:rPr>
                  </w:pPr>
                  <w:r>
                    <w:rPr>
                      <w:rFonts w:hint="eastAsia"/>
                      <w:szCs w:val="21"/>
                    </w:rPr>
                    <w:t>1次/半年</w:t>
                  </w:r>
                </w:p>
              </w:tc>
              <w:tc>
                <w:tcPr>
                  <w:tcW w:w="2432" w:type="pct"/>
                  <w:vMerge w:val="continue"/>
                  <w:shd w:val="clear" w:color="auto" w:fill="auto"/>
                  <w:vAlign w:val="center"/>
                </w:tcPr>
                <w:p w14:paraId="41EE5CFF">
                  <w:pPr>
                    <w:adjustRightInd w:val="0"/>
                    <w:snapToGrid w:val="0"/>
                    <w:jc w:val="center"/>
                    <w:rPr>
                      <w:szCs w:val="21"/>
                    </w:rPr>
                  </w:pPr>
                </w:p>
              </w:tc>
            </w:tr>
            <w:tr w14:paraId="5E8F3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64" w:type="pct"/>
                  <w:shd w:val="clear" w:color="auto" w:fill="auto"/>
                  <w:vAlign w:val="center"/>
                </w:tcPr>
                <w:p w14:paraId="12CAF2E8">
                  <w:pPr>
                    <w:adjustRightInd w:val="0"/>
                    <w:snapToGrid w:val="0"/>
                    <w:jc w:val="center"/>
                    <w:rPr>
                      <w:szCs w:val="21"/>
                    </w:rPr>
                  </w:pPr>
                  <w:r>
                    <w:rPr>
                      <w:szCs w:val="21"/>
                    </w:rPr>
                    <w:t>FQ-3</w:t>
                  </w:r>
                  <w:r>
                    <w:rPr>
                      <w:rFonts w:hint="eastAsia"/>
                      <w:szCs w:val="21"/>
                    </w:rPr>
                    <w:t>排气筒</w:t>
                  </w:r>
                </w:p>
              </w:tc>
              <w:tc>
                <w:tcPr>
                  <w:tcW w:w="752" w:type="pct"/>
                  <w:vAlign w:val="center"/>
                </w:tcPr>
                <w:p w14:paraId="2F9530D5">
                  <w:pPr>
                    <w:adjustRightInd w:val="0"/>
                    <w:snapToGrid w:val="0"/>
                    <w:jc w:val="center"/>
                    <w:rPr>
                      <w:szCs w:val="21"/>
                    </w:rPr>
                  </w:pPr>
                  <w:r>
                    <w:rPr>
                      <w:bCs/>
                      <w:spacing w:val="-10"/>
                      <w:szCs w:val="21"/>
                    </w:rPr>
                    <w:t>颗粒物</w:t>
                  </w:r>
                </w:p>
              </w:tc>
              <w:tc>
                <w:tcPr>
                  <w:tcW w:w="753" w:type="pct"/>
                  <w:vAlign w:val="center"/>
                </w:tcPr>
                <w:p w14:paraId="1D38CE99">
                  <w:pPr>
                    <w:adjustRightInd w:val="0"/>
                    <w:snapToGrid w:val="0"/>
                    <w:jc w:val="center"/>
                    <w:rPr>
                      <w:szCs w:val="21"/>
                    </w:rPr>
                  </w:pPr>
                  <w:r>
                    <w:rPr>
                      <w:rFonts w:hint="eastAsia"/>
                      <w:szCs w:val="21"/>
                    </w:rPr>
                    <w:t>1次/半年</w:t>
                  </w:r>
                </w:p>
              </w:tc>
              <w:tc>
                <w:tcPr>
                  <w:tcW w:w="2432" w:type="pct"/>
                  <w:shd w:val="clear" w:color="auto" w:fill="auto"/>
                  <w:vAlign w:val="center"/>
                </w:tcPr>
                <w:p w14:paraId="6327BF60">
                  <w:pPr>
                    <w:adjustRightInd w:val="0"/>
                    <w:snapToGrid w:val="0"/>
                    <w:jc w:val="center"/>
                    <w:rPr>
                      <w:szCs w:val="21"/>
                    </w:rPr>
                  </w:pPr>
                  <w:r>
                    <w:rPr>
                      <w:rFonts w:hint="eastAsia"/>
                      <w:szCs w:val="21"/>
                    </w:rPr>
                    <w:t>《轧钢工业大气污染物排放标准》（GB28665-2012）表3及其修改单规定的特别排放限值</w:t>
                  </w:r>
                </w:p>
              </w:tc>
            </w:tr>
            <w:tr w14:paraId="762270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64" w:type="pct"/>
                  <w:shd w:val="clear" w:color="auto" w:fill="auto"/>
                  <w:vAlign w:val="center"/>
                </w:tcPr>
                <w:p w14:paraId="516E400B">
                  <w:pPr>
                    <w:adjustRightInd w:val="0"/>
                    <w:snapToGrid w:val="0"/>
                    <w:jc w:val="center"/>
                    <w:rPr>
                      <w:szCs w:val="21"/>
                    </w:rPr>
                  </w:pPr>
                  <w:r>
                    <w:rPr>
                      <w:rFonts w:hint="eastAsia"/>
                      <w:szCs w:val="21"/>
                    </w:rPr>
                    <w:t>89分厂厂房周边</w:t>
                  </w:r>
                </w:p>
                <w:p w14:paraId="30051087">
                  <w:pPr>
                    <w:adjustRightInd w:val="0"/>
                    <w:snapToGrid w:val="0"/>
                    <w:jc w:val="center"/>
                    <w:rPr>
                      <w:szCs w:val="21"/>
                    </w:rPr>
                  </w:pPr>
                  <w:r>
                    <w:rPr>
                      <w:rFonts w:hint="eastAsia"/>
                      <w:szCs w:val="21"/>
                    </w:rPr>
                    <w:t>（无组织）</w:t>
                  </w:r>
                </w:p>
              </w:tc>
              <w:tc>
                <w:tcPr>
                  <w:tcW w:w="752" w:type="pct"/>
                  <w:vAlign w:val="center"/>
                </w:tcPr>
                <w:p w14:paraId="4630AE7C">
                  <w:pPr>
                    <w:adjustRightInd w:val="0"/>
                    <w:snapToGrid w:val="0"/>
                    <w:jc w:val="center"/>
                    <w:rPr>
                      <w:bCs/>
                      <w:spacing w:val="-10"/>
                      <w:szCs w:val="21"/>
                    </w:rPr>
                  </w:pPr>
                  <w:r>
                    <w:rPr>
                      <w:bCs/>
                      <w:spacing w:val="-10"/>
                      <w:szCs w:val="21"/>
                    </w:rPr>
                    <w:t>颗粒物</w:t>
                  </w:r>
                </w:p>
              </w:tc>
              <w:tc>
                <w:tcPr>
                  <w:tcW w:w="753" w:type="pct"/>
                  <w:vAlign w:val="center"/>
                </w:tcPr>
                <w:p w14:paraId="11C3F003">
                  <w:pPr>
                    <w:jc w:val="center"/>
                  </w:pPr>
                  <w:r>
                    <w:rPr>
                      <w:rFonts w:hint="eastAsia"/>
                      <w:szCs w:val="21"/>
                    </w:rPr>
                    <w:t>1次/半年</w:t>
                  </w:r>
                </w:p>
              </w:tc>
              <w:tc>
                <w:tcPr>
                  <w:tcW w:w="2432" w:type="pct"/>
                  <w:shd w:val="clear" w:color="auto" w:fill="auto"/>
                  <w:vAlign w:val="center"/>
                </w:tcPr>
                <w:p w14:paraId="2A4532E4">
                  <w:pPr>
                    <w:adjustRightInd w:val="0"/>
                    <w:snapToGrid w:val="0"/>
                    <w:jc w:val="center"/>
                    <w:rPr>
                      <w:szCs w:val="21"/>
                    </w:rPr>
                  </w:pPr>
                  <w:r>
                    <w:rPr>
                      <w:rFonts w:hint="eastAsia"/>
                      <w:szCs w:val="21"/>
                    </w:rPr>
                    <w:t>《轧钢工业大气污染物排放标准》（GB28665-2012）表4大气污染物无组织排放浓度限值</w:t>
                  </w:r>
                </w:p>
              </w:tc>
            </w:tr>
          </w:tbl>
          <w:p w14:paraId="1ABF4C97">
            <w:pPr>
              <w:adjustRightInd w:val="0"/>
              <w:snapToGrid w:val="0"/>
              <w:spacing w:line="360" w:lineRule="auto"/>
              <w:ind w:firstLine="482" w:firstLineChars="200"/>
              <w:rPr>
                <w:b/>
                <w:sz w:val="24"/>
                <w:shd w:val="clear" w:color="auto" w:fill="FFFFFF"/>
              </w:rPr>
            </w:pPr>
            <w:r>
              <w:rPr>
                <w:rFonts w:hint="eastAsia"/>
                <w:b/>
                <w:sz w:val="24"/>
                <w:shd w:val="clear" w:color="auto" w:fill="FFFFFF"/>
              </w:rPr>
              <w:t>6、结论</w:t>
            </w:r>
          </w:p>
          <w:p w14:paraId="6E5A4B12">
            <w:pPr>
              <w:spacing w:line="360" w:lineRule="auto"/>
              <w:ind w:firstLine="480" w:firstLineChars="200"/>
              <w:jc w:val="left"/>
              <w:rPr>
                <w:sz w:val="24"/>
              </w:rPr>
            </w:pPr>
            <w:r>
              <w:rPr>
                <w:rFonts w:hint="eastAsia"/>
                <w:sz w:val="24"/>
              </w:rPr>
              <w:t>根据上述分析，项目废气排放会对环境有一定的影响，但影响较小，项目废气对大气环境的影响在可接受范围内。</w:t>
            </w:r>
          </w:p>
          <w:p w14:paraId="55B227C7">
            <w:pPr>
              <w:adjustRightInd w:val="0"/>
              <w:snapToGrid w:val="0"/>
              <w:spacing w:line="360" w:lineRule="auto"/>
              <w:ind w:firstLine="482" w:firstLineChars="200"/>
              <w:rPr>
                <w:b/>
                <w:sz w:val="24"/>
              </w:rPr>
            </w:pPr>
            <w:r>
              <w:rPr>
                <w:rFonts w:hint="eastAsia"/>
                <w:b/>
                <w:sz w:val="24"/>
              </w:rPr>
              <w:t>二、废水</w:t>
            </w:r>
          </w:p>
          <w:p w14:paraId="76420D8C">
            <w:pPr>
              <w:adjustRightInd w:val="0"/>
              <w:snapToGrid w:val="0"/>
              <w:spacing w:line="360" w:lineRule="auto"/>
              <w:ind w:firstLine="482" w:firstLineChars="200"/>
              <w:rPr>
                <w:b/>
                <w:sz w:val="24"/>
              </w:rPr>
            </w:pPr>
            <w:r>
              <w:rPr>
                <w:rFonts w:hint="eastAsia"/>
                <w:b/>
                <w:sz w:val="24"/>
              </w:rPr>
              <w:t>1、废水源强</w:t>
            </w:r>
          </w:p>
          <w:p w14:paraId="05087BC2">
            <w:pPr>
              <w:pStyle w:val="30"/>
              <w:adjustRightInd w:val="0"/>
              <w:snapToGrid w:val="0"/>
              <w:spacing w:after="0" w:line="360" w:lineRule="auto"/>
              <w:ind w:firstLine="456" w:firstLineChars="200"/>
              <w:rPr>
                <w:rFonts w:ascii="Times New Roman" w:hAnsi="Times New Roman"/>
                <w:spacing w:val="-6"/>
                <w:sz w:val="24"/>
              </w:rPr>
            </w:pPr>
            <w:r>
              <w:rPr>
                <w:rFonts w:hint="eastAsia" w:ascii="Times New Roman" w:hAnsi="Times New Roman"/>
                <w:spacing w:val="-6"/>
                <w:sz w:val="24"/>
              </w:rPr>
              <w:t>本项目技术改造后排水方式不变，仍实施雨污分流，雨水经雨水管沟排入衡钢公司雨水管网；生活污水经化粪池预处理后进入衡钢东区污水处理站；净环水经冷却处理后循环使用，系统强制排污水进入浊环水系统；浊环水经隔油、沉淀、冷却处理后大部分循环使用，少部分排至衡钢东区污水处理站，净环水反冲洗废水经砂石过滤器处理后回用至浊环水系统。</w:t>
            </w:r>
          </w:p>
          <w:p w14:paraId="59389707">
            <w:pPr>
              <w:widowControl/>
              <w:spacing w:line="360" w:lineRule="auto"/>
              <w:ind w:firstLine="480" w:firstLineChars="200"/>
              <w:rPr>
                <w:sz w:val="24"/>
              </w:rPr>
            </w:pPr>
            <w:r>
              <w:rPr>
                <w:rFonts w:hint="eastAsia"/>
                <w:sz w:val="24"/>
              </w:rPr>
              <w:t>项目热轧生产线主要包括净环水系统、浊环水系统和生活污水，其中外排废水为生活污水。本次技改工程不新增劳动定员，不新增废水污染物排放量。</w:t>
            </w:r>
          </w:p>
          <w:p w14:paraId="2C52ACB9">
            <w:pPr>
              <w:widowControl/>
              <w:spacing w:line="360" w:lineRule="auto"/>
              <w:ind w:firstLine="482" w:firstLineChars="200"/>
              <w:rPr>
                <w:b/>
                <w:sz w:val="24"/>
              </w:rPr>
            </w:pPr>
            <w:r>
              <w:rPr>
                <w:rFonts w:hint="eastAsia"/>
                <w:b/>
                <w:sz w:val="24"/>
              </w:rPr>
              <w:t>2、废水污染物源强核算过程</w:t>
            </w:r>
          </w:p>
          <w:p w14:paraId="1020DBB6">
            <w:pPr>
              <w:widowControl/>
              <w:spacing w:line="360" w:lineRule="auto"/>
              <w:ind w:firstLine="480" w:firstLineChars="200"/>
              <w:rPr>
                <w:sz w:val="24"/>
              </w:rPr>
            </w:pPr>
            <w:r>
              <w:rPr>
                <w:rFonts w:hint="eastAsia"/>
                <w:sz w:val="24"/>
              </w:rPr>
              <w:t>（1）间接冷却废水</w:t>
            </w:r>
          </w:p>
          <w:p w14:paraId="79AACC50">
            <w:pPr>
              <w:widowControl/>
              <w:spacing w:line="360" w:lineRule="auto"/>
              <w:ind w:firstLine="480" w:firstLineChars="200"/>
              <w:rPr>
                <w:sz w:val="24"/>
              </w:rPr>
            </w:pPr>
            <w:r>
              <w:rPr>
                <w:rFonts w:hint="eastAsia"/>
                <w:sz w:val="24"/>
              </w:rPr>
              <w:t>项目热轧生产线间接冷却水主要为环形炉冷却水、步进炉冷却水等，</w:t>
            </w:r>
            <w:r>
              <w:rPr>
                <w:rFonts w:hint="eastAsia"/>
                <w:spacing w:val="-6"/>
                <w:sz w:val="24"/>
              </w:rPr>
              <w:t>技术改造后</w:t>
            </w:r>
            <w:r>
              <w:rPr>
                <w:rFonts w:hint="eastAsia"/>
                <w:sz w:val="24"/>
              </w:rPr>
              <w:t>用水量约为210m</w:t>
            </w:r>
            <w:r>
              <w:rPr>
                <w:rFonts w:hint="eastAsia"/>
                <w:sz w:val="24"/>
                <w:vertAlign w:val="superscript"/>
              </w:rPr>
              <w:t>3</w:t>
            </w:r>
            <w:r>
              <w:rPr>
                <w:rFonts w:hint="eastAsia"/>
                <w:sz w:val="24"/>
              </w:rPr>
              <w:t>/h，补充新鲜水量约5.6m</w:t>
            </w:r>
            <w:r>
              <w:rPr>
                <w:rFonts w:hint="eastAsia"/>
                <w:sz w:val="24"/>
                <w:vertAlign w:val="superscript"/>
              </w:rPr>
              <w:t>3</w:t>
            </w:r>
            <w:r>
              <w:rPr>
                <w:rFonts w:hint="eastAsia"/>
                <w:sz w:val="24"/>
              </w:rPr>
              <w:t>/h，间接冷却水仅温度升高，不含其它污染物，，主要污染因子为水温、盐分（&lt;600mg/L），工程设置净环水系统，使用后的排水经降温后循环使用，少量</w:t>
            </w:r>
            <w:r>
              <w:rPr>
                <w:sz w:val="24"/>
              </w:rPr>
              <w:t>强制排污水（约</w:t>
            </w:r>
            <w:r>
              <w:rPr>
                <w:rFonts w:hint="eastAsia"/>
                <w:sz w:val="24"/>
              </w:rPr>
              <w:t>2.8m</w:t>
            </w:r>
            <w:r>
              <w:rPr>
                <w:rFonts w:hint="eastAsia"/>
                <w:sz w:val="24"/>
                <w:vertAlign w:val="superscript"/>
              </w:rPr>
              <w:t>3</w:t>
            </w:r>
            <w:r>
              <w:rPr>
                <w:rFonts w:hint="eastAsia"/>
                <w:sz w:val="24"/>
              </w:rPr>
              <w:t>/h</w:t>
            </w:r>
            <w:r>
              <w:rPr>
                <w:sz w:val="24"/>
              </w:rPr>
              <w:t>）进入浊环水系统。</w:t>
            </w:r>
          </w:p>
          <w:p w14:paraId="2B19935E">
            <w:pPr>
              <w:widowControl/>
              <w:spacing w:line="360" w:lineRule="auto"/>
              <w:ind w:firstLine="480" w:firstLineChars="200"/>
              <w:rPr>
                <w:rFonts w:ascii="宋体" w:hAnsi="宋体" w:cs="宋体"/>
                <w:sz w:val="24"/>
              </w:rPr>
            </w:pPr>
            <w:r>
              <w:rPr>
                <w:rFonts w:hint="eastAsia"/>
                <w:sz w:val="24"/>
              </w:rPr>
              <w:t>89分厂现有1套净环水处理系统，采</w:t>
            </w:r>
            <w:r>
              <w:rPr>
                <w:rFonts w:hint="eastAsia" w:ascii="宋体" w:hAnsi="宋体" w:cs="宋体"/>
                <w:sz w:val="24"/>
              </w:rPr>
              <w:t>用循环冷却</w:t>
            </w:r>
            <w:r>
              <w:rPr>
                <w:rFonts w:hint="eastAsia"/>
                <w:sz w:val="24"/>
              </w:rPr>
              <w:t>塔处理工艺，处理能力1360m</w:t>
            </w:r>
            <w:r>
              <w:rPr>
                <w:rFonts w:hint="eastAsia"/>
                <w:sz w:val="24"/>
                <w:vertAlign w:val="superscript"/>
              </w:rPr>
              <w:t>3</w:t>
            </w:r>
            <w:r>
              <w:rPr>
                <w:rFonts w:hint="eastAsia"/>
                <w:sz w:val="24"/>
              </w:rPr>
              <w:t>/h，处理后循环使用，不外排。本项目改造实施后净环水产生量为210m</w:t>
            </w:r>
            <w:r>
              <w:rPr>
                <w:rFonts w:hint="eastAsia"/>
                <w:sz w:val="24"/>
                <w:vertAlign w:val="superscript"/>
              </w:rPr>
              <w:t>3</w:t>
            </w:r>
            <w:r>
              <w:rPr>
                <w:rFonts w:hint="eastAsia"/>
                <w:sz w:val="24"/>
              </w:rPr>
              <w:t>/h，改造工程实施后热轧生产线净环水依托现有净环水处理系统处理可行。</w:t>
            </w:r>
          </w:p>
          <w:p w14:paraId="00A4CEB0">
            <w:pPr>
              <w:widowControl/>
              <w:spacing w:line="360" w:lineRule="auto"/>
              <w:ind w:firstLine="480" w:firstLineChars="200"/>
              <w:rPr>
                <w:sz w:val="24"/>
              </w:rPr>
            </w:pPr>
            <w:r>
              <w:rPr>
                <w:rFonts w:hint="eastAsia"/>
                <w:sz w:val="24"/>
              </w:rPr>
              <w:t>（2）直接冷却废水</w:t>
            </w:r>
          </w:p>
          <w:p w14:paraId="11027411">
            <w:pPr>
              <w:pStyle w:val="30"/>
              <w:adjustRightInd w:val="0"/>
              <w:snapToGrid w:val="0"/>
              <w:spacing w:after="0" w:line="360" w:lineRule="auto"/>
              <w:ind w:firstLine="480" w:firstLineChars="200"/>
              <w:rPr>
                <w:rFonts w:ascii="Times New Roman"/>
                <w:sz w:val="24"/>
              </w:rPr>
            </w:pPr>
            <w:r>
              <w:rPr>
                <w:rFonts w:ascii="Times New Roman"/>
                <w:sz w:val="24"/>
              </w:rPr>
              <w:t>项目热轧生产线直接冷却用水主要为穿孔冷却用水、芯棒直接冷却用水、</w:t>
            </w:r>
            <w:r>
              <w:rPr>
                <w:rFonts w:ascii="Times New Roman"/>
                <w:spacing w:val="10"/>
                <w:sz w:val="24"/>
              </w:rPr>
              <w:t>石墨润滑用水、</w:t>
            </w:r>
            <w:r>
              <w:rPr>
                <w:rFonts w:ascii="Times New Roman"/>
                <w:sz w:val="24"/>
              </w:rPr>
              <w:t>高压水除鳞用水、轧机设备直接冷却用水、张减机直接冷却用水等，</w:t>
            </w:r>
            <w:r>
              <w:rPr>
                <w:rFonts w:hint="eastAsia" w:ascii="Times New Roman" w:hAnsi="Times New Roman"/>
                <w:spacing w:val="-6"/>
                <w:sz w:val="24"/>
              </w:rPr>
              <w:t>技术改造后</w:t>
            </w:r>
            <w:r>
              <w:rPr>
                <w:rFonts w:ascii="Times New Roman"/>
                <w:sz w:val="24"/>
              </w:rPr>
              <w:t>用水量约为</w:t>
            </w:r>
            <w:r>
              <w:rPr>
                <w:rFonts w:hint="eastAsia" w:ascii="Times New Roman" w:hAnsi="Times New Roman"/>
                <w:sz w:val="24"/>
              </w:rPr>
              <w:t>574</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/h</w:t>
            </w:r>
            <w:r>
              <w:rPr>
                <w:rFonts w:ascii="Times New Roman"/>
                <w:sz w:val="24"/>
              </w:rPr>
              <w:t>，补充新鲜水量约</w:t>
            </w:r>
            <w:r>
              <w:rPr>
                <w:rFonts w:hint="eastAsia" w:ascii="Times New Roman" w:hAnsi="Times New Roman"/>
                <w:sz w:val="24"/>
              </w:rPr>
              <w:t>11.2</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/h</w:t>
            </w:r>
            <w:r>
              <w:rPr>
                <w:rFonts w:ascii="Times New Roman"/>
                <w:sz w:val="24"/>
              </w:rPr>
              <w:t>，主要污染物为石油类和</w:t>
            </w:r>
            <w:r>
              <w:rPr>
                <w:rFonts w:ascii="Times New Roman" w:hAnsi="Times New Roman"/>
                <w:sz w:val="24"/>
              </w:rPr>
              <w:t>SS</w:t>
            </w:r>
            <w:r>
              <w:rPr>
                <w:rFonts w:ascii="Times New Roman"/>
                <w:sz w:val="24"/>
              </w:rPr>
              <w:t>，污染物浓度为</w:t>
            </w:r>
            <w:r>
              <w:rPr>
                <w:rFonts w:ascii="Times New Roman" w:hAnsi="Times New Roman"/>
                <w:sz w:val="24"/>
              </w:rPr>
              <w:t>SS900mg/L</w:t>
            </w:r>
            <w:r>
              <w:rPr>
                <w:rFonts w:ascii="Times New Roman"/>
                <w:sz w:val="24"/>
              </w:rPr>
              <w:t>，石油类</w:t>
            </w:r>
            <w:r>
              <w:rPr>
                <w:rFonts w:ascii="Times New Roman" w:hAnsi="Times New Roman"/>
                <w:sz w:val="24"/>
              </w:rPr>
              <w:t>15mg/L</w:t>
            </w:r>
            <w:r>
              <w:rPr>
                <w:rFonts w:ascii="Times New Roman"/>
                <w:sz w:val="24"/>
              </w:rPr>
              <w:t>。工程设浊废水循环系统，废水经旋流池、化学除油器处理工艺等处理后循环使用，循环系统排出的少量废水（约</w:t>
            </w:r>
            <w:r>
              <w:rPr>
                <w:rFonts w:hint="eastAsia" w:ascii="Times New Roman" w:hAnsi="Times New Roman"/>
                <w:sz w:val="24"/>
              </w:rPr>
              <w:t>5.6</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/h</w:t>
            </w:r>
            <w:r>
              <w:rPr>
                <w:rFonts w:ascii="Times New Roman"/>
                <w:sz w:val="24"/>
              </w:rPr>
              <w:t>）进入衡钢东区污水处理站净化后循环使用。</w:t>
            </w:r>
          </w:p>
          <w:p w14:paraId="4E3D0F7B">
            <w:pPr>
              <w:pStyle w:val="30"/>
              <w:adjustRightInd w:val="0"/>
              <w:snapToGrid w:val="0"/>
              <w:spacing w:after="0" w:line="360" w:lineRule="auto"/>
              <w:ind w:firstLine="480" w:firstLineChars="200"/>
              <w:rPr>
                <w:rFonts w:ascii="Times New Roman"/>
                <w:sz w:val="24"/>
              </w:rPr>
            </w:pPr>
            <w:r>
              <w:rPr>
                <w:rFonts w:hint="eastAsia" w:ascii="Times New Roman" w:hAnsi="Times New Roman"/>
                <w:sz w:val="24"/>
              </w:rPr>
              <w:t>89分厂</w:t>
            </w:r>
            <w:r>
              <w:rPr>
                <w:rFonts w:hint="eastAsia" w:ascii="Times New Roman"/>
                <w:sz w:val="24"/>
              </w:rPr>
              <w:t xml:space="preserve">现有1套浊环水处理系统，处理工艺为沉淀→除油→过滤→冷却，处理能力 </w:t>
            </w:r>
            <w:r>
              <w:rPr>
                <w:rFonts w:hint="eastAsia" w:ascii="Times New Roman" w:hAnsi="Times New Roman"/>
                <w:sz w:val="24"/>
              </w:rPr>
              <w:t>1080m</w:t>
            </w:r>
            <w:r>
              <w:rPr>
                <w:rFonts w:hint="eastAsia" w:ascii="Times New Roman" w:hAnsi="Times New Roman"/>
                <w:sz w:val="24"/>
                <w:vertAlign w:val="superscript"/>
              </w:rPr>
              <w:t>3</w:t>
            </w:r>
            <w:r>
              <w:rPr>
                <w:rFonts w:hint="eastAsia" w:ascii="Times New Roman" w:hAnsi="Times New Roman"/>
                <w:sz w:val="24"/>
              </w:rPr>
              <w:t>/h</w:t>
            </w:r>
            <w:r>
              <w:rPr>
                <w:rFonts w:hint="eastAsia" w:ascii="Times New Roman"/>
                <w:sz w:val="24"/>
              </w:rPr>
              <w:t>，处理后出水全部回用于生产，不外排。本项目改造实施后浊环水产生量为</w:t>
            </w:r>
            <w:r>
              <w:rPr>
                <w:rFonts w:hint="eastAsia" w:ascii="Times New Roman" w:hAnsi="Times New Roman"/>
                <w:sz w:val="24"/>
              </w:rPr>
              <w:t>574</w:t>
            </w:r>
            <w:r>
              <w:rPr>
                <w:rFonts w:ascii="Times New Roman" w:hAnsi="Times New Roman"/>
                <w:sz w:val="24"/>
              </w:rPr>
              <w:t>m</w:t>
            </w:r>
            <w:r>
              <w:rPr>
                <w:rFonts w:ascii="Times New Roman" w:hAnsi="Times New Roman"/>
                <w:sz w:val="24"/>
                <w:vertAlign w:val="superscript"/>
              </w:rPr>
              <w:t>3</w:t>
            </w:r>
            <w:r>
              <w:rPr>
                <w:rFonts w:ascii="Times New Roman" w:hAnsi="Times New Roman"/>
                <w:sz w:val="24"/>
              </w:rPr>
              <w:t>/h</w:t>
            </w:r>
            <w:r>
              <w:rPr>
                <w:rFonts w:hint="eastAsia" w:ascii="Times New Roman"/>
                <w:sz w:val="24"/>
              </w:rPr>
              <w:t>，改造工程实施后厚板车间净环水依托现有净环水处理系统处理可行。</w:t>
            </w:r>
          </w:p>
          <w:p w14:paraId="788D85F0">
            <w:pPr>
              <w:pStyle w:val="30"/>
              <w:adjustRightInd w:val="0"/>
              <w:snapToGrid w:val="0"/>
              <w:spacing w:after="0" w:line="360" w:lineRule="auto"/>
              <w:ind w:firstLine="480" w:firstLineChars="200"/>
              <w:rPr>
                <w:rFonts w:ascii="Times New Roman"/>
                <w:sz w:val="24"/>
              </w:rPr>
            </w:pPr>
            <w:r>
              <w:rPr>
                <w:rFonts w:hint="eastAsia" w:ascii="Times New Roman"/>
                <w:sz w:val="24"/>
              </w:rPr>
              <w:t>浊环水经“沉淀→除油→过滤→冷却”处理后，出水满足企业自设水质要求。因此，改造工程实施后</w:t>
            </w:r>
            <w:r>
              <w:rPr>
                <w:rFonts w:hint="eastAsia"/>
                <w:sz w:val="24"/>
              </w:rPr>
              <w:t>热轧生产线</w:t>
            </w:r>
            <w:r>
              <w:rPr>
                <w:rFonts w:hint="eastAsia" w:ascii="Times New Roman"/>
                <w:sz w:val="24"/>
              </w:rPr>
              <w:t>浊环水依托现有浊环水处理系统处理可行。</w:t>
            </w:r>
          </w:p>
          <w:p w14:paraId="0555BB9F">
            <w:pPr>
              <w:pStyle w:val="30"/>
              <w:adjustRightInd w:val="0"/>
              <w:snapToGrid w:val="0"/>
              <w:spacing w:after="0" w:line="360" w:lineRule="auto"/>
              <w:ind w:firstLine="0" w:firstLineChars="0"/>
              <w:rPr>
                <w:rFonts w:ascii="Times New Roman" w:hAnsi="Times New Roman"/>
                <w:spacing w:val="-6"/>
                <w:sz w:val="24"/>
              </w:rPr>
            </w:pPr>
            <w:r>
              <w:object>
                <v:shape id="_x0000_i1031" o:spt="75" type="#_x0000_t75" style="height:196.5pt;width:446.25pt;" o:ole="t" filled="f" o:preferrelative="t" stroked="f" coordsize="21600,21600">
                  <v:path/>
                  <v:fill on="f" focussize="0,0"/>
                  <v:stroke on="f" joinstyle="miter"/>
                  <v:imagedata r:id="rId9" o:title=""/>
                  <o:lock v:ext="edit" aspectratio="t"/>
                  <w10:wrap type="none"/>
                  <w10:anchorlock/>
                </v:shape>
                <o:OLEObject Type="Embed" ProgID="Visio.Drawing.15" ShapeID="_x0000_i1031" DrawAspect="Content" ObjectID="_1468075731" r:id="rId27">
                  <o:LockedField>false</o:LockedField>
                </o:OLEObject>
              </w:object>
            </w:r>
          </w:p>
          <w:p w14:paraId="2DE45A5E">
            <w:pPr>
              <w:spacing w:afterLines="50"/>
              <w:jc w:val="center"/>
              <w:rPr>
                <w:rFonts w:hAnsiTheme="minorEastAsia"/>
                <w:b/>
                <w:szCs w:val="21"/>
              </w:rPr>
            </w:pPr>
            <w:r>
              <w:rPr>
                <w:rFonts w:hint="eastAsia" w:hAnsiTheme="minorEastAsia"/>
                <w:b/>
                <w:szCs w:val="21"/>
              </w:rPr>
              <w:t>图4-1  技改后热轧生产线水平衡图  单位：t/h</w:t>
            </w:r>
          </w:p>
          <w:p w14:paraId="09DD7C1A">
            <w:pPr>
              <w:adjustRightInd w:val="0"/>
              <w:snapToGrid w:val="0"/>
              <w:spacing w:line="360" w:lineRule="auto"/>
              <w:ind w:firstLine="482" w:firstLineChars="200"/>
              <w:rPr>
                <w:b/>
                <w:sz w:val="24"/>
              </w:rPr>
            </w:pPr>
            <w:r>
              <w:rPr>
                <w:rFonts w:hint="eastAsia"/>
                <w:b/>
                <w:sz w:val="24"/>
              </w:rPr>
              <w:t>3、废水治理设施技术可行性分析</w:t>
            </w:r>
          </w:p>
          <w:p w14:paraId="13554162">
            <w:pPr>
              <w:spacing w:line="360" w:lineRule="auto"/>
              <w:ind w:firstLine="480" w:firstLineChars="200"/>
              <w:rPr>
                <w:kern w:val="0"/>
                <w:sz w:val="24"/>
              </w:rPr>
            </w:pPr>
            <w:r>
              <w:rPr>
                <w:rFonts w:hint="eastAsia"/>
                <w:kern w:val="0"/>
                <w:sz w:val="24"/>
              </w:rPr>
              <w:t>根据《排污许可证申请与核发技术规范 钢铁工业》（HJ846-2017），热轧直接冷却废水（不外排；排至厂内综合污水处理站）推荐可行性技术为“除油+沉淀+过滤、稀土磁盘”。</w:t>
            </w:r>
          </w:p>
          <w:p w14:paraId="64399C43">
            <w:pPr>
              <w:spacing w:line="360" w:lineRule="auto"/>
              <w:ind w:firstLine="480" w:firstLineChars="200"/>
              <w:rPr>
                <w:kern w:val="0"/>
                <w:sz w:val="24"/>
              </w:rPr>
            </w:pPr>
            <w:r>
              <w:rPr>
                <w:rFonts w:hint="eastAsia"/>
                <w:kern w:val="0"/>
                <w:sz w:val="24"/>
              </w:rPr>
              <w:t>本项目浊环水采用“沉淀→除油→过滤→冷却”工艺处理后全部回用，不外排，属于《排污许可证申请与核发技术规范 钢铁工业（HJ846-2017）》推荐可行性技术。</w:t>
            </w:r>
          </w:p>
          <w:p w14:paraId="0822FC13">
            <w:pPr>
              <w:spacing w:line="360" w:lineRule="auto"/>
              <w:ind w:firstLine="480" w:firstLineChars="200"/>
              <w:rPr>
                <w:b/>
                <w:sz w:val="24"/>
              </w:rPr>
            </w:pPr>
            <w:r>
              <w:rPr>
                <w:rFonts w:hint="eastAsia"/>
                <w:kern w:val="0"/>
                <w:sz w:val="24"/>
              </w:rPr>
              <w:t>综上可知，本项目废水治理措施合理可行，技改后</w:t>
            </w:r>
            <w:r>
              <w:rPr>
                <w:sz w:val="24"/>
              </w:rPr>
              <w:t>热轧生产线</w:t>
            </w:r>
            <w:r>
              <w:rPr>
                <w:rFonts w:hint="eastAsia"/>
                <w:kern w:val="0"/>
                <w:sz w:val="24"/>
              </w:rPr>
              <w:t>不新增外排废水，对周围水环境影响较小</w:t>
            </w:r>
            <w:r>
              <w:rPr>
                <w:rFonts w:hint="eastAsia" w:ascii="宋体" w:cs="宋体"/>
                <w:kern w:val="0"/>
                <w:sz w:val="24"/>
              </w:rPr>
              <w:t>。</w:t>
            </w:r>
          </w:p>
          <w:p w14:paraId="2FA2E88C">
            <w:pPr>
              <w:adjustRightInd w:val="0"/>
              <w:snapToGrid w:val="0"/>
              <w:spacing w:line="360" w:lineRule="auto"/>
              <w:ind w:firstLine="482" w:firstLineChars="200"/>
              <w:rPr>
                <w:b/>
                <w:sz w:val="24"/>
              </w:rPr>
            </w:pPr>
            <w:r>
              <w:rPr>
                <w:rFonts w:hint="eastAsia"/>
                <w:b/>
                <w:sz w:val="24"/>
              </w:rPr>
              <w:t>三、噪声</w:t>
            </w:r>
          </w:p>
          <w:p w14:paraId="6D7D37BA">
            <w:pPr>
              <w:spacing w:line="360" w:lineRule="auto"/>
              <w:ind w:firstLine="482" w:firstLineChars="200"/>
              <w:rPr>
                <w:rFonts w:hAnsi="宋体"/>
                <w:b/>
                <w:kern w:val="0"/>
                <w:sz w:val="24"/>
              </w:rPr>
            </w:pPr>
            <w:r>
              <w:rPr>
                <w:rFonts w:hint="eastAsia" w:hAnsi="宋体"/>
                <w:b/>
                <w:kern w:val="0"/>
                <w:sz w:val="24"/>
              </w:rPr>
              <w:t>1、噪声污染源情况</w:t>
            </w:r>
          </w:p>
          <w:p w14:paraId="0C58D2F9">
            <w:pPr>
              <w:spacing w:line="360" w:lineRule="auto"/>
              <w:ind w:firstLine="480" w:firstLineChars="200"/>
              <w:rPr>
                <w:rFonts w:hAnsi="宋体"/>
                <w:kern w:val="0"/>
                <w:sz w:val="24"/>
              </w:rPr>
            </w:pPr>
            <w:r>
              <w:rPr>
                <w:rFonts w:hint="eastAsia" w:hAnsi="宋体"/>
                <w:kern w:val="0"/>
                <w:sz w:val="24"/>
              </w:rPr>
              <w:t>本项目通过更新淘汰部分生产设备，提高设备作业率和工作效率，以增加生产规模，不新增主要产噪设备。因此，本次技术改造工程实施后，</w:t>
            </w:r>
            <w:r>
              <w:rPr>
                <w:sz w:val="24"/>
              </w:rPr>
              <w:t>热轧生产线主要</w:t>
            </w:r>
            <w:r>
              <w:rPr>
                <w:rFonts w:hint="eastAsia" w:hAnsi="宋体"/>
                <w:kern w:val="0"/>
                <w:sz w:val="24"/>
              </w:rPr>
              <w:t>产噪设备种类、数量、分布位置均可维持不变。</w:t>
            </w:r>
          </w:p>
          <w:p w14:paraId="04992480">
            <w:pPr>
              <w:spacing w:line="360" w:lineRule="auto"/>
              <w:ind w:firstLine="482" w:firstLineChars="200"/>
              <w:rPr>
                <w:rFonts w:hAnsi="宋体"/>
                <w:b/>
                <w:kern w:val="0"/>
                <w:sz w:val="24"/>
              </w:rPr>
            </w:pPr>
            <w:r>
              <w:rPr>
                <w:rFonts w:hint="eastAsia" w:hAnsi="宋体"/>
                <w:b/>
                <w:kern w:val="0"/>
                <w:sz w:val="24"/>
              </w:rPr>
              <w:t>2、噪声排放达标分析</w:t>
            </w:r>
          </w:p>
          <w:p w14:paraId="09CA33BB">
            <w:pPr>
              <w:spacing w:line="360" w:lineRule="auto"/>
              <w:ind w:firstLine="480" w:firstLineChars="200"/>
              <w:rPr>
                <w:rFonts w:hAnsi="宋体"/>
                <w:kern w:val="0"/>
                <w:sz w:val="24"/>
              </w:rPr>
            </w:pPr>
            <w:r>
              <w:rPr>
                <w:rFonts w:hint="eastAsia" w:hAnsi="宋体"/>
                <w:kern w:val="0"/>
                <w:sz w:val="24"/>
              </w:rPr>
              <w:t>根据衡钢2023年度自行监测结果，衡钢公司厂界噪声满足《工业企业厂界环境噪声排放标准》（GB12348-2008）中3类限值要求。本次技术改造工程实施后，衡钢公司厂界噪声可维持在现有水平。</w:t>
            </w:r>
          </w:p>
          <w:p w14:paraId="74BBC94F">
            <w:pPr>
              <w:spacing w:line="360" w:lineRule="auto"/>
              <w:ind w:firstLine="482" w:firstLineChars="200"/>
              <w:rPr>
                <w:rFonts w:hAnsi="宋体"/>
                <w:b/>
                <w:kern w:val="0"/>
                <w:sz w:val="24"/>
              </w:rPr>
            </w:pPr>
            <w:r>
              <w:rPr>
                <w:rFonts w:hint="eastAsia" w:hAnsi="宋体"/>
                <w:b/>
                <w:kern w:val="0"/>
                <w:sz w:val="24"/>
              </w:rPr>
              <w:t>3、噪声治理可行性</w:t>
            </w:r>
          </w:p>
          <w:p w14:paraId="4F5ADA47">
            <w:pPr>
              <w:spacing w:line="360" w:lineRule="auto"/>
              <w:ind w:firstLine="480" w:firstLineChars="200"/>
              <w:rPr>
                <w:rFonts w:hAnsi="宋体"/>
                <w:kern w:val="0"/>
                <w:sz w:val="24"/>
              </w:rPr>
            </w:pPr>
            <w:r>
              <w:rPr>
                <w:rFonts w:hint="eastAsia" w:hAnsi="宋体"/>
                <w:kern w:val="0"/>
                <w:sz w:val="24"/>
              </w:rPr>
              <w:t>根据《排污许可证申请与核发技术规范 工业噪声》（HJ1301-2023），泵、风机、空压机、冷却塔、发电机、振动筛、球磨机、破碎机、切割机、汽轮机、磨煤机、焚烧炉、排气放空设备、其他等主要产噪设施推荐噪声防治设施为：基础减振、管道外壳阻尼、软连接；消声器；隔声罩、隔声间、隔声屏障、厂房隔声；吸声喷涂；其他。</w:t>
            </w:r>
          </w:p>
          <w:p w14:paraId="582D3279">
            <w:pPr>
              <w:spacing w:line="360" w:lineRule="auto"/>
              <w:ind w:firstLine="480" w:firstLineChars="200"/>
              <w:rPr>
                <w:rFonts w:hAnsi="宋体"/>
                <w:kern w:val="0"/>
                <w:sz w:val="24"/>
              </w:rPr>
            </w:pPr>
            <w:r>
              <w:rPr>
                <w:rFonts w:hint="eastAsia" w:hAnsi="宋体"/>
                <w:kern w:val="0"/>
                <w:sz w:val="24"/>
              </w:rPr>
              <w:t>本项目现有主要生产设施设备（</w:t>
            </w:r>
            <w:r>
              <w:rPr>
                <w:rFonts w:hint="eastAsia"/>
                <w:sz w:val="24"/>
                <w:szCs w:val="21"/>
              </w:rPr>
              <w:t>环形加热炉、步进式加热炉、</w:t>
            </w:r>
            <w:r>
              <w:rPr>
                <w:rFonts w:hint="eastAsia" w:hAnsi="宋体"/>
                <w:kern w:val="0"/>
                <w:sz w:val="24"/>
              </w:rPr>
              <w:t>轧机等）均布设在车间内，采用基础减振、厂房隔声和距离衰减等降噪措施，</w:t>
            </w:r>
            <w:r>
              <w:rPr>
                <w:rFonts w:hint="eastAsia"/>
                <w:sz w:val="24"/>
                <w:szCs w:val="21"/>
              </w:rPr>
              <w:t>环形加热炉、步进式加热炉</w:t>
            </w:r>
            <w:r>
              <w:rPr>
                <w:rFonts w:hint="eastAsia" w:hAnsi="宋体"/>
                <w:kern w:val="0"/>
                <w:sz w:val="24"/>
              </w:rPr>
              <w:t>风机布设于专用风机房（隔声间）内隔声处理，室外辅助生产设备循环冷却塔、水泵等采用基础减振、距离衰减等降噪措施，均属于《排污许可证申请与核发技术规范 工业噪声》（HJ1301-2023）推荐噪声防治技术，因此，本项目噪声治理措施可行。</w:t>
            </w:r>
          </w:p>
          <w:p w14:paraId="79FC47C2">
            <w:pPr>
              <w:spacing w:line="360" w:lineRule="auto"/>
              <w:ind w:firstLine="482" w:firstLineChars="200"/>
              <w:rPr>
                <w:rFonts w:hAnsi="宋体"/>
                <w:b/>
                <w:kern w:val="0"/>
                <w:sz w:val="24"/>
              </w:rPr>
            </w:pPr>
            <w:r>
              <w:rPr>
                <w:rFonts w:hint="eastAsia" w:hAnsi="宋体"/>
                <w:b/>
                <w:kern w:val="0"/>
                <w:sz w:val="24"/>
              </w:rPr>
              <w:t>4、噪声监测计划</w:t>
            </w:r>
          </w:p>
          <w:p w14:paraId="1C261A6D">
            <w:pPr>
              <w:spacing w:line="360" w:lineRule="auto"/>
              <w:ind w:firstLine="480" w:firstLineChars="200"/>
              <w:rPr>
                <w:rFonts w:hAnsi="宋体"/>
                <w:kern w:val="0"/>
                <w:sz w:val="24"/>
              </w:rPr>
            </w:pPr>
            <w:r>
              <w:rPr>
                <w:rFonts w:hAnsi="宋体"/>
                <w:kern w:val="0"/>
                <w:sz w:val="24"/>
              </w:rPr>
              <w:t>根据</w:t>
            </w:r>
            <w:r>
              <w:rPr>
                <w:rFonts w:hint="eastAsia"/>
                <w:sz w:val="24"/>
              </w:rPr>
              <w:t>《排污单位自行监测技术指南 总则》（HJ819-2017）及《排污许可证申请与核发技术规范 工业噪声》（HJ1301-2023）的要求对项目噪声污染源情况以及污染治理设施的运转情况进行定期检查，监测可委托有资质的单位实施，监测方法按环境监测技术规范进行。</w:t>
            </w:r>
          </w:p>
          <w:p w14:paraId="64B3B678">
            <w:pPr>
              <w:spacing w:beforeLines="50"/>
              <w:jc w:val="center"/>
              <w:rPr>
                <w:b/>
                <w:szCs w:val="21"/>
              </w:rPr>
            </w:pPr>
            <w:r>
              <w:rPr>
                <w:b/>
                <w:szCs w:val="21"/>
              </w:rPr>
              <w:t>表</w:t>
            </w:r>
            <w:r>
              <w:rPr>
                <w:rFonts w:hint="eastAsia"/>
                <w:b/>
                <w:szCs w:val="21"/>
              </w:rPr>
              <w:t>4-7  运营期噪声监测计划表</w:t>
            </w:r>
          </w:p>
          <w:tbl>
            <w:tblPr>
              <w:tblStyle w:val="3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4"/>
              <w:gridCol w:w="1995"/>
              <w:gridCol w:w="1496"/>
              <w:gridCol w:w="1628"/>
              <w:gridCol w:w="3448"/>
            </w:tblGrid>
            <w:tr w14:paraId="50F44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3" w:type="pct"/>
                  <w:shd w:val="clear" w:color="auto" w:fill="auto"/>
                  <w:vAlign w:val="center"/>
                </w:tcPr>
                <w:p w14:paraId="6EEBB044">
                  <w:pPr>
                    <w:jc w:val="center"/>
                    <w:rPr>
                      <w:b/>
                      <w:szCs w:val="21"/>
                    </w:rPr>
                  </w:pPr>
                  <w:r>
                    <w:rPr>
                      <w:rFonts w:hint="eastAsia"/>
                      <w:b/>
                      <w:szCs w:val="21"/>
                    </w:rPr>
                    <w:t>编号</w:t>
                  </w:r>
                </w:p>
              </w:tc>
              <w:tc>
                <w:tcPr>
                  <w:tcW w:w="1059" w:type="pct"/>
                  <w:shd w:val="clear" w:color="auto" w:fill="auto"/>
                  <w:vAlign w:val="center"/>
                </w:tcPr>
                <w:p w14:paraId="47C43332">
                  <w:pPr>
                    <w:jc w:val="center"/>
                    <w:rPr>
                      <w:b/>
                      <w:szCs w:val="21"/>
                    </w:rPr>
                  </w:pPr>
                  <w:r>
                    <w:rPr>
                      <w:rFonts w:hint="eastAsia"/>
                      <w:b/>
                      <w:szCs w:val="21"/>
                    </w:rPr>
                    <w:t>监测点位</w:t>
                  </w:r>
                </w:p>
              </w:tc>
              <w:tc>
                <w:tcPr>
                  <w:tcW w:w="794" w:type="pct"/>
                  <w:shd w:val="clear" w:color="auto" w:fill="auto"/>
                  <w:vAlign w:val="center"/>
                </w:tcPr>
                <w:p w14:paraId="3A8B1F62">
                  <w:pPr>
                    <w:jc w:val="center"/>
                    <w:rPr>
                      <w:b/>
                      <w:szCs w:val="21"/>
                    </w:rPr>
                  </w:pPr>
                  <w:r>
                    <w:rPr>
                      <w:rFonts w:hint="eastAsia"/>
                      <w:b/>
                      <w:szCs w:val="21"/>
                    </w:rPr>
                    <w:t>监测指标</w:t>
                  </w:r>
                </w:p>
              </w:tc>
              <w:tc>
                <w:tcPr>
                  <w:tcW w:w="864" w:type="pct"/>
                  <w:shd w:val="clear" w:color="auto" w:fill="auto"/>
                  <w:vAlign w:val="center"/>
                </w:tcPr>
                <w:p w14:paraId="3759ECA0">
                  <w:pPr>
                    <w:jc w:val="center"/>
                    <w:rPr>
                      <w:b/>
                      <w:szCs w:val="21"/>
                    </w:rPr>
                  </w:pPr>
                  <w:r>
                    <w:rPr>
                      <w:rFonts w:hint="eastAsia"/>
                      <w:b/>
                      <w:szCs w:val="21"/>
                    </w:rPr>
                    <w:t>监测频次</w:t>
                  </w:r>
                </w:p>
              </w:tc>
              <w:tc>
                <w:tcPr>
                  <w:tcW w:w="1830" w:type="pct"/>
                  <w:shd w:val="clear" w:color="auto" w:fill="auto"/>
                  <w:vAlign w:val="center"/>
                </w:tcPr>
                <w:p w14:paraId="1E368F6E">
                  <w:pPr>
                    <w:pStyle w:val="4"/>
                    <w:spacing w:after="0"/>
                    <w:ind w:left="0" w:leftChars="0" w:firstLine="422"/>
                    <w:jc w:val="center"/>
                  </w:pPr>
                  <w:r>
                    <w:rPr>
                      <w:rFonts w:hint="eastAsia"/>
                      <w:b/>
                      <w:szCs w:val="21"/>
                    </w:rPr>
                    <w:t>执行标准</w:t>
                  </w:r>
                </w:p>
              </w:tc>
            </w:tr>
            <w:tr w14:paraId="0B940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53" w:type="pct"/>
                  <w:shd w:val="clear" w:color="auto" w:fill="auto"/>
                  <w:vAlign w:val="center"/>
                </w:tcPr>
                <w:p w14:paraId="0F35A955">
                  <w:pPr>
                    <w:jc w:val="center"/>
                    <w:rPr>
                      <w:bCs/>
                      <w:szCs w:val="21"/>
                    </w:rPr>
                  </w:pPr>
                  <w:r>
                    <w:rPr>
                      <w:rFonts w:hint="eastAsia"/>
                      <w:bCs/>
                      <w:szCs w:val="21"/>
                    </w:rPr>
                    <w:t>1</w:t>
                  </w:r>
                </w:p>
              </w:tc>
              <w:tc>
                <w:tcPr>
                  <w:tcW w:w="1059" w:type="pct"/>
                  <w:shd w:val="clear" w:color="auto" w:fill="auto"/>
                  <w:vAlign w:val="center"/>
                </w:tcPr>
                <w:p w14:paraId="217A444B">
                  <w:pPr>
                    <w:jc w:val="center"/>
                    <w:rPr>
                      <w:bCs/>
                      <w:szCs w:val="21"/>
                    </w:rPr>
                  </w:pPr>
                  <w:r>
                    <w:rPr>
                      <w:rFonts w:hint="eastAsia"/>
                      <w:bCs/>
                      <w:szCs w:val="21"/>
                    </w:rPr>
                    <w:t>衡钢东、南、西北厂界外1m</w:t>
                  </w:r>
                </w:p>
              </w:tc>
              <w:tc>
                <w:tcPr>
                  <w:tcW w:w="794" w:type="pct"/>
                  <w:shd w:val="clear" w:color="auto" w:fill="auto"/>
                  <w:vAlign w:val="center"/>
                </w:tcPr>
                <w:p w14:paraId="342EDA57">
                  <w:pPr>
                    <w:jc w:val="center"/>
                    <w:rPr>
                      <w:bCs/>
                      <w:szCs w:val="21"/>
                    </w:rPr>
                  </w:pPr>
                  <w:r>
                    <w:rPr>
                      <w:bCs/>
                      <w:szCs w:val="21"/>
                    </w:rPr>
                    <w:t>连续等效A声级</w:t>
                  </w:r>
                </w:p>
              </w:tc>
              <w:tc>
                <w:tcPr>
                  <w:tcW w:w="864" w:type="pct"/>
                  <w:shd w:val="clear" w:color="auto" w:fill="auto"/>
                  <w:vAlign w:val="center"/>
                </w:tcPr>
                <w:p w14:paraId="750A7A90">
                  <w:pPr>
                    <w:jc w:val="center"/>
                    <w:rPr>
                      <w:bCs/>
                      <w:szCs w:val="21"/>
                    </w:rPr>
                  </w:pPr>
                  <w:r>
                    <w:rPr>
                      <w:rFonts w:hint="eastAsia"/>
                      <w:bCs/>
                      <w:szCs w:val="21"/>
                    </w:rPr>
                    <w:t>1次/季度，昼夜各1 次</w:t>
                  </w:r>
                </w:p>
              </w:tc>
              <w:tc>
                <w:tcPr>
                  <w:tcW w:w="1830" w:type="pct"/>
                  <w:shd w:val="clear" w:color="auto" w:fill="auto"/>
                  <w:vAlign w:val="center"/>
                </w:tcPr>
                <w:p w14:paraId="568D4361">
                  <w:pPr>
                    <w:pStyle w:val="4"/>
                    <w:spacing w:after="0"/>
                    <w:ind w:left="0" w:leftChars="0"/>
                    <w:jc w:val="center"/>
                  </w:pPr>
                  <w:r>
                    <w:rPr>
                      <w:bCs/>
                      <w:szCs w:val="21"/>
                    </w:rPr>
                    <w:t>《工业企业厂界环境噪声排放标准》（GB3096-2008）</w:t>
                  </w:r>
                  <w:r>
                    <w:rPr>
                      <w:rFonts w:hint="eastAsia"/>
                      <w:bCs/>
                      <w:szCs w:val="21"/>
                    </w:rPr>
                    <w:t>3</w:t>
                  </w:r>
                  <w:r>
                    <w:rPr>
                      <w:bCs/>
                      <w:szCs w:val="21"/>
                    </w:rPr>
                    <w:t>类标准</w:t>
                  </w:r>
                </w:p>
              </w:tc>
            </w:tr>
          </w:tbl>
          <w:p w14:paraId="1C240178">
            <w:pPr>
              <w:spacing w:line="360" w:lineRule="auto"/>
              <w:ind w:firstLine="482" w:firstLineChars="200"/>
              <w:rPr>
                <w:rFonts w:hAnsi="宋体"/>
                <w:b/>
                <w:kern w:val="0"/>
                <w:sz w:val="24"/>
              </w:rPr>
            </w:pPr>
            <w:r>
              <w:rPr>
                <w:rFonts w:hint="eastAsia" w:hAnsi="宋体"/>
                <w:b/>
                <w:kern w:val="0"/>
                <w:sz w:val="24"/>
              </w:rPr>
              <w:t>四、固体废物</w:t>
            </w:r>
          </w:p>
          <w:p w14:paraId="6BA6321D">
            <w:pPr>
              <w:spacing w:line="360" w:lineRule="auto"/>
              <w:ind w:firstLine="540" w:firstLineChars="225"/>
              <w:rPr>
                <w:rFonts w:hAnsi="宋体"/>
                <w:kern w:val="0"/>
                <w:sz w:val="24"/>
              </w:rPr>
            </w:pPr>
            <w:r>
              <w:rPr>
                <w:rFonts w:hint="eastAsia" w:hAnsi="宋体"/>
                <w:kern w:val="0"/>
                <w:sz w:val="24"/>
              </w:rPr>
              <w:t>项目产生的固体废物主要为</w:t>
            </w:r>
            <w:r>
              <w:rPr>
                <w:rFonts w:hAnsi="宋体"/>
                <w:kern w:val="0"/>
                <w:sz w:val="24"/>
              </w:rPr>
              <w:t>切头、切尾等废钢</w:t>
            </w:r>
            <w:r>
              <w:rPr>
                <w:rFonts w:hint="eastAsia" w:hAnsi="宋体"/>
                <w:kern w:val="0"/>
                <w:sz w:val="24"/>
              </w:rPr>
              <w:t>；</w:t>
            </w:r>
            <w:r>
              <w:rPr>
                <w:rFonts w:hAnsi="宋体"/>
                <w:kern w:val="0"/>
                <w:sz w:val="24"/>
              </w:rPr>
              <w:t>氧化铁皮</w:t>
            </w:r>
            <w:r>
              <w:rPr>
                <w:rFonts w:hint="eastAsia" w:hAnsi="宋体"/>
                <w:kern w:val="0"/>
                <w:sz w:val="24"/>
              </w:rPr>
              <w:t>；</w:t>
            </w:r>
            <w:r>
              <w:rPr>
                <w:rFonts w:hAnsi="宋体"/>
                <w:kern w:val="0"/>
                <w:sz w:val="24"/>
              </w:rPr>
              <w:t>除尘器收集粉尘；</w:t>
            </w:r>
            <w:r>
              <w:rPr>
                <w:rFonts w:hint="eastAsia" w:hAnsi="宋体"/>
                <w:kern w:val="0"/>
                <w:sz w:val="24"/>
              </w:rPr>
              <w:t>废耐火材料；</w:t>
            </w:r>
            <w:r>
              <w:rPr>
                <w:rFonts w:hAnsi="宋体"/>
                <w:kern w:val="0"/>
                <w:sz w:val="24"/>
              </w:rPr>
              <w:t>废润滑油、隔油渣及生活垃圾。</w:t>
            </w:r>
          </w:p>
          <w:p w14:paraId="244A37EC">
            <w:pPr>
              <w:spacing w:line="360" w:lineRule="auto"/>
              <w:ind w:firstLine="540" w:firstLineChars="225"/>
              <w:rPr>
                <w:rFonts w:hAnsi="宋体"/>
                <w:kern w:val="0"/>
                <w:sz w:val="24"/>
              </w:rPr>
            </w:pPr>
            <w:r>
              <w:rPr>
                <w:rFonts w:hint="eastAsia" w:hAnsi="宋体"/>
                <w:kern w:val="0"/>
                <w:sz w:val="24"/>
              </w:rPr>
              <w:t>①</w:t>
            </w:r>
            <w:r>
              <w:rPr>
                <w:rFonts w:hAnsi="宋体"/>
                <w:kern w:val="0"/>
                <w:sz w:val="24"/>
              </w:rPr>
              <w:t>切头、切尾等废钢</w:t>
            </w:r>
          </w:p>
          <w:p w14:paraId="1C186CF9">
            <w:pPr>
              <w:spacing w:line="360" w:lineRule="auto"/>
              <w:ind w:firstLine="540" w:firstLineChars="225"/>
              <w:rPr>
                <w:rFonts w:hAnsi="宋体"/>
                <w:kern w:val="0"/>
                <w:sz w:val="24"/>
              </w:rPr>
            </w:pPr>
            <w:r>
              <w:rPr>
                <w:rFonts w:hint="eastAsia" w:hAnsi="宋体"/>
                <w:kern w:val="0"/>
                <w:sz w:val="24"/>
              </w:rPr>
              <w:t>根据企业实际生产运行经验，项目技术改造后热轧生产线废钢产生量约占比方坯使用量的 7.135%。因此，本项目实施后</w:t>
            </w:r>
            <w:r>
              <w:rPr>
                <w:rFonts w:hAnsi="宋体"/>
                <w:kern w:val="0"/>
                <w:sz w:val="24"/>
              </w:rPr>
              <w:t>产生切头、切尾等废钢量约为</w:t>
            </w:r>
            <w:r>
              <w:rPr>
                <w:rFonts w:hint="eastAsia" w:hAnsi="宋体"/>
                <w:kern w:val="0"/>
                <w:sz w:val="24"/>
              </w:rPr>
              <w:t>21947.8t/a，</w:t>
            </w:r>
            <w:r>
              <w:rPr>
                <w:rFonts w:hAnsi="宋体"/>
                <w:kern w:val="0"/>
                <w:sz w:val="24"/>
              </w:rPr>
              <w:t>送炼钢厂炼钢综合利用；</w:t>
            </w:r>
          </w:p>
          <w:p w14:paraId="0C94D7A2">
            <w:pPr>
              <w:spacing w:line="360" w:lineRule="auto"/>
              <w:ind w:firstLine="540" w:firstLineChars="225"/>
              <w:rPr>
                <w:rFonts w:hAnsi="宋体"/>
                <w:kern w:val="0"/>
                <w:sz w:val="24"/>
              </w:rPr>
            </w:pPr>
            <w:r>
              <w:rPr>
                <w:rFonts w:hint="eastAsia" w:hAnsi="宋体"/>
                <w:kern w:val="0"/>
                <w:sz w:val="24"/>
              </w:rPr>
              <w:t>②</w:t>
            </w:r>
            <w:r>
              <w:rPr>
                <w:rFonts w:hAnsi="宋体"/>
                <w:kern w:val="0"/>
                <w:sz w:val="24"/>
              </w:rPr>
              <w:t>氧化铁皮</w:t>
            </w:r>
          </w:p>
          <w:p w14:paraId="22072746">
            <w:pPr>
              <w:spacing w:line="360" w:lineRule="auto"/>
              <w:ind w:firstLine="540" w:firstLineChars="225"/>
              <w:rPr>
                <w:rFonts w:hAnsi="宋体"/>
                <w:kern w:val="0"/>
                <w:sz w:val="24"/>
              </w:rPr>
            </w:pPr>
            <w:r>
              <w:rPr>
                <w:rFonts w:hint="eastAsia" w:hAnsi="宋体"/>
                <w:kern w:val="0"/>
                <w:sz w:val="24"/>
              </w:rPr>
              <w:t>根据企业实际生产运行经验及本次技改运行参数优化，项目技改后氧化铁皮生成量约占比方坯使用量的2%，</w:t>
            </w:r>
            <w:r>
              <w:rPr>
                <w:rFonts w:hAnsi="宋体"/>
                <w:kern w:val="0"/>
                <w:sz w:val="24"/>
              </w:rPr>
              <w:t>产生氧化铁皮</w:t>
            </w:r>
            <w:r>
              <w:rPr>
                <w:rFonts w:hint="eastAsia" w:hAnsi="宋体"/>
                <w:kern w:val="0"/>
                <w:sz w:val="24"/>
              </w:rPr>
              <w:t>产生</w:t>
            </w:r>
            <w:r>
              <w:rPr>
                <w:rFonts w:hAnsi="宋体"/>
                <w:kern w:val="0"/>
                <w:sz w:val="24"/>
              </w:rPr>
              <w:t>量约为</w:t>
            </w:r>
            <w:r>
              <w:rPr>
                <w:rFonts w:hint="eastAsia" w:hAnsi="宋体"/>
                <w:kern w:val="0"/>
                <w:sz w:val="24"/>
              </w:rPr>
              <w:t>6162.2t/a。氧化铁皮通过高压水除鳞全部去除，</w:t>
            </w:r>
            <w:r>
              <w:rPr>
                <w:rFonts w:hAnsi="宋体"/>
                <w:kern w:val="0"/>
                <w:sz w:val="24"/>
              </w:rPr>
              <w:t>送往烧结系统用作原料；</w:t>
            </w:r>
          </w:p>
          <w:p w14:paraId="1DE5B26F">
            <w:pPr>
              <w:spacing w:line="360" w:lineRule="auto"/>
              <w:ind w:firstLine="540" w:firstLineChars="225"/>
              <w:rPr>
                <w:rFonts w:hAnsi="宋体"/>
                <w:kern w:val="0"/>
                <w:sz w:val="24"/>
              </w:rPr>
            </w:pPr>
            <w:r>
              <w:rPr>
                <w:rFonts w:hint="eastAsia" w:hAnsi="宋体"/>
                <w:kern w:val="0"/>
                <w:sz w:val="24"/>
              </w:rPr>
              <w:t>③</w:t>
            </w:r>
            <w:r>
              <w:rPr>
                <w:rFonts w:hAnsi="宋体"/>
                <w:kern w:val="0"/>
                <w:sz w:val="24"/>
              </w:rPr>
              <w:t>除尘器收集粉尘</w:t>
            </w:r>
          </w:p>
          <w:p w14:paraId="7D96648F">
            <w:pPr>
              <w:spacing w:line="360" w:lineRule="auto"/>
              <w:ind w:firstLine="540" w:firstLineChars="225"/>
              <w:rPr>
                <w:rFonts w:hAnsi="宋体"/>
                <w:kern w:val="0"/>
                <w:sz w:val="24"/>
              </w:rPr>
            </w:pPr>
            <w:r>
              <w:rPr>
                <w:rFonts w:hint="eastAsia" w:hAnsi="宋体"/>
                <w:kern w:val="0"/>
                <w:sz w:val="24"/>
              </w:rPr>
              <w:t>根据工程分析，</w:t>
            </w:r>
            <w:r>
              <w:rPr>
                <w:rFonts w:hAnsi="宋体"/>
                <w:kern w:val="0"/>
                <w:sz w:val="24"/>
              </w:rPr>
              <w:t>除尘器收集粉尘量</w:t>
            </w:r>
            <w:r>
              <w:rPr>
                <w:rFonts w:hint="eastAsia" w:hAnsi="宋体"/>
                <w:kern w:val="0"/>
                <w:sz w:val="24"/>
              </w:rPr>
              <w:t>为460.35t/a，</w:t>
            </w:r>
            <w:r>
              <w:rPr>
                <w:rFonts w:hAnsi="宋体"/>
                <w:kern w:val="0"/>
                <w:sz w:val="24"/>
              </w:rPr>
              <w:t>送往烧结系统用作原料；</w:t>
            </w:r>
          </w:p>
          <w:p w14:paraId="4C6F869E">
            <w:pPr>
              <w:spacing w:line="360" w:lineRule="auto"/>
              <w:ind w:firstLine="540" w:firstLineChars="225"/>
              <w:rPr>
                <w:rFonts w:hAnsi="宋体"/>
                <w:kern w:val="0"/>
                <w:sz w:val="24"/>
              </w:rPr>
            </w:pPr>
            <w:r>
              <w:rPr>
                <w:rFonts w:hint="eastAsia" w:hAnsi="宋体"/>
                <w:kern w:val="0"/>
                <w:sz w:val="24"/>
              </w:rPr>
              <w:t>④废耐火材料</w:t>
            </w:r>
          </w:p>
          <w:p w14:paraId="76ABB24E">
            <w:pPr>
              <w:spacing w:line="360" w:lineRule="auto"/>
              <w:ind w:firstLine="540" w:firstLineChars="225"/>
              <w:rPr>
                <w:rFonts w:hAnsi="宋体"/>
                <w:kern w:val="0"/>
                <w:sz w:val="24"/>
              </w:rPr>
            </w:pPr>
            <w:r>
              <w:rPr>
                <w:rFonts w:hint="eastAsia" w:hAnsi="宋体"/>
                <w:kern w:val="0"/>
                <w:sz w:val="24"/>
              </w:rPr>
              <w:t>根据企业实际生产运行经验，项目技术改造后</w:t>
            </w:r>
            <w:r>
              <w:rPr>
                <w:rFonts w:hAnsi="宋体"/>
                <w:kern w:val="0"/>
                <w:sz w:val="24"/>
              </w:rPr>
              <w:t>产生</w:t>
            </w:r>
            <w:r>
              <w:rPr>
                <w:rFonts w:hint="eastAsia" w:hAnsi="宋体"/>
                <w:kern w:val="0"/>
                <w:sz w:val="24"/>
              </w:rPr>
              <w:t>废耐火材料</w:t>
            </w:r>
            <w:r>
              <w:rPr>
                <w:rFonts w:hAnsi="宋体"/>
                <w:kern w:val="0"/>
                <w:sz w:val="24"/>
              </w:rPr>
              <w:t>量约为</w:t>
            </w:r>
            <w:r>
              <w:rPr>
                <w:rFonts w:hint="eastAsia" w:hAnsi="宋体"/>
                <w:kern w:val="0"/>
                <w:sz w:val="24"/>
              </w:rPr>
              <w:t>14t/a，</w:t>
            </w:r>
            <w:r>
              <w:rPr>
                <w:rFonts w:hAnsi="宋体"/>
                <w:kern w:val="0"/>
                <w:sz w:val="24"/>
              </w:rPr>
              <w:t>外售用作建筑材料；</w:t>
            </w:r>
          </w:p>
          <w:p w14:paraId="78E705D3">
            <w:pPr>
              <w:spacing w:line="360" w:lineRule="auto"/>
              <w:ind w:firstLine="540" w:firstLineChars="225"/>
              <w:rPr>
                <w:rFonts w:hAnsi="宋体"/>
                <w:kern w:val="0"/>
                <w:sz w:val="24"/>
              </w:rPr>
            </w:pPr>
            <w:r>
              <w:rPr>
                <w:rFonts w:hint="eastAsia" w:hAnsi="宋体"/>
                <w:kern w:val="0"/>
                <w:sz w:val="24"/>
              </w:rPr>
              <w:t>⑤</w:t>
            </w:r>
            <w:r>
              <w:rPr>
                <w:rFonts w:hAnsi="宋体"/>
                <w:kern w:val="0"/>
                <w:sz w:val="24"/>
              </w:rPr>
              <w:t>废润滑油、隔油渣</w:t>
            </w:r>
          </w:p>
          <w:p w14:paraId="3E086A4F">
            <w:pPr>
              <w:adjustRightInd w:val="0"/>
              <w:snapToGrid w:val="0"/>
              <w:spacing w:line="360" w:lineRule="auto"/>
              <w:ind w:firstLine="480" w:firstLineChars="200"/>
              <w:rPr>
                <w:rFonts w:hAnsi="宋体"/>
                <w:kern w:val="0"/>
                <w:sz w:val="24"/>
              </w:rPr>
            </w:pPr>
            <w:r>
              <w:rPr>
                <w:rFonts w:hint="eastAsia" w:hAnsi="宋体"/>
                <w:kern w:val="0"/>
                <w:sz w:val="24"/>
              </w:rPr>
              <w:t>根据企业实际生产运行经验，项目技术改造后</w:t>
            </w:r>
            <w:r>
              <w:rPr>
                <w:rFonts w:hAnsi="宋体"/>
                <w:kern w:val="0"/>
                <w:sz w:val="24"/>
              </w:rPr>
              <w:t>产生废润滑油、隔油渣量约为</w:t>
            </w:r>
            <w:r>
              <w:rPr>
                <w:rFonts w:hint="eastAsia" w:hAnsi="宋体"/>
                <w:kern w:val="0"/>
                <w:sz w:val="24"/>
              </w:rPr>
              <w:t>5t/a，</w:t>
            </w:r>
            <w:r>
              <w:rPr>
                <w:rFonts w:hAnsi="宋体"/>
                <w:kern w:val="0"/>
                <w:sz w:val="24"/>
              </w:rPr>
              <w:t>废润滑油和隔油渣</w:t>
            </w:r>
            <w:r>
              <w:rPr>
                <w:rFonts w:hint="eastAsia" w:hAnsi="宋体"/>
                <w:kern w:val="0"/>
                <w:sz w:val="24"/>
              </w:rPr>
              <w:t>属于危险废物，废物类别为HW08 废矿物油与含矿物油废物，废物代码为900-217-08“使用工业齿轮油进行机械设备润滑过程中产生的废润滑油”，于危废间暂存后， 委托有资质单位处理。</w:t>
            </w:r>
          </w:p>
          <w:p w14:paraId="6AB1B0DE">
            <w:pPr>
              <w:spacing w:line="360" w:lineRule="auto"/>
              <w:ind w:firstLine="540" w:firstLineChars="225"/>
              <w:rPr>
                <w:rFonts w:hAnsi="宋体"/>
                <w:kern w:val="0"/>
                <w:sz w:val="24"/>
              </w:rPr>
            </w:pPr>
            <w:r>
              <w:rPr>
                <w:rFonts w:hint="eastAsia" w:hAnsi="宋体"/>
                <w:kern w:val="0"/>
                <w:sz w:val="24"/>
              </w:rPr>
              <w:t>⑥生活垃圾</w:t>
            </w:r>
          </w:p>
          <w:p w14:paraId="193F9C1E">
            <w:pPr>
              <w:spacing w:line="360" w:lineRule="auto"/>
              <w:ind w:firstLine="540" w:firstLineChars="225"/>
              <w:rPr>
                <w:rFonts w:hAnsi="宋体"/>
                <w:kern w:val="0"/>
                <w:sz w:val="24"/>
              </w:rPr>
            </w:pPr>
            <w:r>
              <w:rPr>
                <w:rFonts w:hint="eastAsia" w:hAnsi="宋体"/>
                <w:kern w:val="0"/>
                <w:sz w:val="24"/>
              </w:rPr>
              <w:t>本项目不新增员工，</w:t>
            </w:r>
            <w:r>
              <w:rPr>
                <w:rFonts w:hAnsi="宋体"/>
                <w:kern w:val="0"/>
                <w:sz w:val="24"/>
              </w:rPr>
              <w:t>项目共有员工</w:t>
            </w:r>
            <w:r>
              <w:rPr>
                <w:rFonts w:hint="eastAsia" w:hAnsi="宋体"/>
                <w:kern w:val="0"/>
                <w:sz w:val="24"/>
              </w:rPr>
              <w:t>500人，</w:t>
            </w:r>
            <w:r>
              <w:rPr>
                <w:rFonts w:hAnsi="宋体"/>
                <w:kern w:val="0"/>
                <w:sz w:val="24"/>
              </w:rPr>
              <w:t>生活垃圾产生量</w:t>
            </w:r>
            <w:r>
              <w:rPr>
                <w:rFonts w:hint="eastAsia" w:hAnsi="宋体"/>
                <w:kern w:val="0"/>
                <w:sz w:val="24"/>
              </w:rPr>
              <w:t>140t/a，</w:t>
            </w:r>
            <w:r>
              <w:rPr>
                <w:rFonts w:hAnsi="宋体"/>
                <w:kern w:val="0"/>
                <w:sz w:val="24"/>
              </w:rPr>
              <w:t>交由环卫部门统一清运处理。</w:t>
            </w:r>
          </w:p>
          <w:p w14:paraId="01066D83">
            <w:pPr>
              <w:autoSpaceDE w:val="0"/>
              <w:autoSpaceDN w:val="0"/>
              <w:adjustRightInd w:val="0"/>
              <w:spacing w:line="360" w:lineRule="auto"/>
              <w:ind w:firstLine="442" w:firstLineChars="200"/>
              <w:rPr>
                <w:rFonts w:hAnsi="宋体"/>
                <w:b/>
                <w:bCs/>
                <w:spacing w:val="-10"/>
                <w:sz w:val="24"/>
              </w:rPr>
            </w:pPr>
            <w:r>
              <w:rPr>
                <w:rFonts w:hint="eastAsia"/>
                <w:b/>
                <w:bCs/>
                <w:spacing w:val="-10"/>
                <w:sz w:val="24"/>
              </w:rPr>
              <w:t>5</w:t>
            </w:r>
            <w:r>
              <w:rPr>
                <w:rFonts w:hAnsi="宋体"/>
                <w:b/>
                <w:bCs/>
                <w:spacing w:val="-10"/>
                <w:sz w:val="24"/>
              </w:rPr>
              <w:t>、环境</w:t>
            </w:r>
            <w:r>
              <w:rPr>
                <w:rFonts w:hint="eastAsia" w:hAnsi="宋体"/>
                <w:b/>
                <w:bCs/>
                <w:spacing w:val="-10"/>
                <w:sz w:val="24"/>
              </w:rPr>
              <w:t>管理</w:t>
            </w:r>
            <w:r>
              <w:rPr>
                <w:rFonts w:hAnsi="宋体"/>
                <w:b/>
                <w:bCs/>
                <w:spacing w:val="-10"/>
                <w:sz w:val="24"/>
              </w:rPr>
              <w:t>要求</w:t>
            </w:r>
          </w:p>
          <w:p w14:paraId="0BAFC26C">
            <w:pPr>
              <w:spacing w:line="360" w:lineRule="auto"/>
              <w:ind w:firstLine="482"/>
              <w:jc w:val="left"/>
              <w:rPr>
                <w:b/>
                <w:bCs/>
                <w:sz w:val="24"/>
              </w:rPr>
            </w:pPr>
            <w:r>
              <w:rPr>
                <w:rFonts w:hint="eastAsia"/>
                <w:b/>
                <w:bCs/>
                <w:sz w:val="24"/>
              </w:rPr>
              <w:t>（1）一般固废管理措施</w:t>
            </w:r>
          </w:p>
          <w:p w14:paraId="0E869CD1">
            <w:pPr>
              <w:spacing w:line="360" w:lineRule="auto"/>
              <w:ind w:firstLine="482"/>
              <w:jc w:val="left"/>
              <w:rPr>
                <w:bCs/>
                <w:sz w:val="24"/>
              </w:rPr>
            </w:pPr>
            <w:r>
              <w:rPr>
                <w:rFonts w:hint="eastAsia" w:hAnsiTheme="majorEastAsia" w:eastAsiaTheme="majorEastAsia"/>
                <w:kern w:val="0"/>
                <w:sz w:val="24"/>
              </w:rPr>
              <w:t>本项目的一般固废主要为</w:t>
            </w:r>
            <w:r>
              <w:rPr>
                <w:rFonts w:hAnsi="宋体"/>
                <w:kern w:val="0"/>
                <w:sz w:val="24"/>
              </w:rPr>
              <w:t>切头、切尾等废钢</w:t>
            </w:r>
            <w:r>
              <w:rPr>
                <w:rFonts w:hint="eastAsia" w:hAnsi="宋体"/>
                <w:kern w:val="0"/>
                <w:sz w:val="24"/>
              </w:rPr>
              <w:t>；</w:t>
            </w:r>
            <w:r>
              <w:rPr>
                <w:rFonts w:hAnsi="宋体"/>
                <w:kern w:val="0"/>
                <w:sz w:val="24"/>
              </w:rPr>
              <w:t>氧化铁皮</w:t>
            </w:r>
            <w:r>
              <w:rPr>
                <w:rFonts w:hint="eastAsia" w:hAnsi="宋体"/>
                <w:kern w:val="0"/>
                <w:sz w:val="24"/>
              </w:rPr>
              <w:t>；</w:t>
            </w:r>
            <w:r>
              <w:rPr>
                <w:rFonts w:hAnsi="宋体"/>
                <w:kern w:val="0"/>
                <w:sz w:val="24"/>
              </w:rPr>
              <w:t>除尘器收集粉尘；</w:t>
            </w:r>
            <w:r>
              <w:rPr>
                <w:rFonts w:hint="eastAsia" w:hAnsi="宋体"/>
                <w:kern w:val="0"/>
                <w:sz w:val="24"/>
              </w:rPr>
              <w:t>废耐火材料</w:t>
            </w:r>
            <w:r>
              <w:rPr>
                <w:rFonts w:hint="eastAsia" w:hAnsiTheme="majorEastAsia" w:eastAsiaTheme="majorEastAsia"/>
                <w:kern w:val="0"/>
                <w:sz w:val="24"/>
              </w:rPr>
              <w:t>。</w:t>
            </w:r>
            <w:r>
              <w:rPr>
                <w:sz w:val="24"/>
              </w:rPr>
              <w:t>切头、切尾等废钢送炼钢厂炼钢处理；氧化铁皮</w:t>
            </w:r>
            <w:r>
              <w:rPr>
                <w:rFonts w:hint="eastAsia"/>
                <w:sz w:val="24"/>
              </w:rPr>
              <w:t>及</w:t>
            </w:r>
            <w:r>
              <w:rPr>
                <w:sz w:val="24"/>
              </w:rPr>
              <w:t>除尘器收集粉尘送往烧结系统用作原料；</w:t>
            </w:r>
            <w:r>
              <w:rPr>
                <w:rFonts w:hint="eastAsia" w:ascii="宋体" w:hAnsi="宋体" w:cs="宋体"/>
                <w:sz w:val="24"/>
              </w:rPr>
              <w:t>废耐火材料</w:t>
            </w:r>
            <w:r>
              <w:rPr>
                <w:sz w:val="24"/>
              </w:rPr>
              <w:t>外售用作建筑材料</w:t>
            </w:r>
            <w:r>
              <w:rPr>
                <w:rFonts w:hint="eastAsia"/>
                <w:sz w:val="24"/>
              </w:rPr>
              <w:t>。</w:t>
            </w:r>
          </w:p>
          <w:p w14:paraId="72FE809F">
            <w:pPr>
              <w:spacing w:line="360" w:lineRule="auto"/>
              <w:ind w:firstLine="480" w:firstLineChars="200"/>
              <w:jc w:val="left"/>
              <w:rPr>
                <w:sz w:val="24"/>
              </w:rPr>
            </w:pPr>
            <w:r>
              <w:rPr>
                <w:rFonts w:hint="eastAsia"/>
                <w:sz w:val="24"/>
              </w:rPr>
              <w:t>一般固废为室内贮存，不适用《一般工业固体废物贮存和填埋污染控制标准》（GB18599-2020），其贮存过程应满足相应防渗漏、防雨淋、防扬尘等环境保护要求，一般固废不得露天堆放。</w:t>
            </w:r>
          </w:p>
          <w:p w14:paraId="0FF769C4">
            <w:pPr>
              <w:spacing w:line="360" w:lineRule="auto"/>
              <w:ind w:firstLine="480" w:firstLineChars="200"/>
              <w:jc w:val="left"/>
              <w:rPr>
                <w:sz w:val="24"/>
              </w:rPr>
            </w:pPr>
            <w:r>
              <w:rPr>
                <w:rFonts w:hint="eastAsia"/>
                <w:sz w:val="24"/>
              </w:rPr>
              <w:t>89分厂现有一座占地约2200m</w:t>
            </w:r>
            <w:r>
              <w:rPr>
                <w:rFonts w:hint="eastAsia"/>
                <w:sz w:val="24"/>
                <w:vertAlign w:val="superscript"/>
              </w:rPr>
              <w:t>2</w:t>
            </w:r>
            <w:r>
              <w:rPr>
                <w:rFonts w:hint="eastAsia"/>
                <w:sz w:val="24"/>
              </w:rPr>
              <w:t>一般固废间用于存放89分厂产生的一般固废，位于厂区东北角。目前固废堆存场地可堆存固废余量约1000t，本次技改增加固废约</w:t>
            </w:r>
            <w:r>
              <w:rPr>
                <w:rFonts w:hint="eastAsia"/>
                <w:color w:val="FF0000"/>
                <w:sz w:val="24"/>
              </w:rPr>
              <w:t>98t</w:t>
            </w:r>
            <w:r>
              <w:rPr>
                <w:rFonts w:hint="eastAsia"/>
                <w:sz w:val="24"/>
              </w:rPr>
              <w:t>，可满足本次技改固废堆存量，依托可行</w:t>
            </w:r>
            <w:r>
              <w:rPr>
                <w:sz w:val="24"/>
              </w:rPr>
              <w:t>。</w:t>
            </w:r>
          </w:p>
          <w:p w14:paraId="0E28E0D8">
            <w:pPr>
              <w:spacing w:line="360" w:lineRule="auto"/>
              <w:ind w:firstLine="482"/>
              <w:jc w:val="left"/>
              <w:rPr>
                <w:b/>
                <w:bCs/>
                <w:sz w:val="24"/>
              </w:rPr>
            </w:pPr>
            <w:r>
              <w:rPr>
                <w:rFonts w:hint="eastAsia"/>
                <w:b/>
                <w:bCs/>
                <w:sz w:val="24"/>
              </w:rPr>
              <w:t>（2）危险废物管理措施</w:t>
            </w:r>
          </w:p>
          <w:p w14:paraId="2136C29E">
            <w:pPr>
              <w:spacing w:line="360" w:lineRule="auto"/>
              <w:ind w:firstLine="480" w:firstLineChars="200"/>
              <w:rPr>
                <w:rFonts w:hAnsiTheme="majorEastAsia" w:eastAsiaTheme="majorEastAsia"/>
                <w:kern w:val="0"/>
                <w:sz w:val="24"/>
              </w:rPr>
            </w:pPr>
            <w:r>
              <w:rPr>
                <w:rFonts w:hint="eastAsia" w:hAnsiTheme="majorEastAsia" w:eastAsiaTheme="majorEastAsia"/>
                <w:kern w:val="0"/>
                <w:sz w:val="24"/>
              </w:rPr>
              <w:t>危险废物具有长期性、隐蔽性和潜在性，根据《危险废物贮存污染控制标准》（GB18597-2023），需从以下几方面加强对危险废物的管理力度。</w:t>
            </w:r>
          </w:p>
          <w:p w14:paraId="32D0765B">
            <w:pPr>
              <w:spacing w:line="360" w:lineRule="auto"/>
              <w:ind w:firstLine="480" w:firstLineChars="200"/>
              <w:rPr>
                <w:rFonts w:hAnsiTheme="majorEastAsia" w:eastAsiaTheme="majorEastAsia"/>
                <w:kern w:val="0"/>
                <w:sz w:val="24"/>
              </w:rPr>
            </w:pPr>
            <w:r>
              <w:rPr>
                <w:rFonts w:hint="eastAsia" w:hAnsiTheme="majorEastAsia" w:eastAsiaTheme="majorEastAsia"/>
                <w:kern w:val="0"/>
                <w:sz w:val="24"/>
              </w:rPr>
              <w:t>项目危废间及空中转桶暂存区域地面与墙角应当落实防腐防渗措施，建筑材料与危险废物相容；危废间内有安全照明设施和观察窗口；用以存放装载液体、半固体危险废物容器的地方，有耐腐蚀的硬化地面，且表面无裂隙；设置堵截泄流的裙脚，地面与裙脚所围建的容积不低于堵截最大容器的最大储量或总储量的五分之一；不相容的危险废物分开存放，并设有隔离间隔断；定期清运库存，减少厂区暂存量，且储桶需定期检修，保证桶壁完好，避免出现破损渗漏情况。</w:t>
            </w:r>
          </w:p>
          <w:p w14:paraId="21986E69">
            <w:pPr>
              <w:spacing w:line="360" w:lineRule="auto"/>
              <w:ind w:firstLine="480" w:firstLineChars="200"/>
              <w:rPr>
                <w:rFonts w:hAnsiTheme="majorEastAsia" w:eastAsiaTheme="majorEastAsia"/>
                <w:kern w:val="0"/>
                <w:sz w:val="24"/>
              </w:rPr>
            </w:pPr>
            <w:r>
              <w:rPr>
                <w:rFonts w:hint="eastAsia" w:hAnsiTheme="majorEastAsia" w:eastAsiaTheme="majorEastAsia"/>
                <w:kern w:val="0"/>
                <w:sz w:val="24"/>
              </w:rPr>
              <w:t>危险废物盛装容器使用符合标准的容器（完好无损、衬里要与危险废物相容（不相互反应）等）盛装危险废物，此外暂存含液态固废底部需设置托盘，暂存库有专人管理，各类危险废物包装物外张贴符合规定的标志。</w:t>
            </w:r>
          </w:p>
          <w:p w14:paraId="4092AB4D">
            <w:pPr>
              <w:spacing w:line="360" w:lineRule="auto"/>
              <w:ind w:firstLine="480" w:firstLineChars="200"/>
              <w:rPr>
                <w:rFonts w:hAnsiTheme="majorEastAsia" w:eastAsiaTheme="majorEastAsia"/>
                <w:kern w:val="0"/>
                <w:sz w:val="24"/>
              </w:rPr>
            </w:pPr>
            <w:r>
              <w:rPr>
                <w:rFonts w:hint="eastAsia" w:hAnsiTheme="majorEastAsia" w:eastAsiaTheme="majorEastAsia"/>
                <w:kern w:val="0"/>
                <w:sz w:val="24"/>
              </w:rPr>
              <w:t>危险废物的堆放要求：堆放危险废物的高度应根据地面承载能力确定；不相容的危险废物不能堆放在一起；总贮存量不超过300kg（L）的危险废物要放入符合标准的容器内，加上标签，容器放入坚固的柜或箱中，柜或箱应设多个直径不少于30mm的排气孔。不相容危险废物要分别存放或存放在不渗透间隔分开的区域内，每个部分都应有防漏裙脚或储漏盘，防漏裙脚或储漏盘的材料要与危险废物相容。</w:t>
            </w:r>
          </w:p>
          <w:p w14:paraId="09675684">
            <w:pPr>
              <w:spacing w:line="360" w:lineRule="auto"/>
              <w:ind w:firstLine="480" w:firstLineChars="200"/>
              <w:rPr>
                <w:rFonts w:hAnsiTheme="majorEastAsia" w:eastAsiaTheme="majorEastAsia"/>
                <w:kern w:val="0"/>
                <w:sz w:val="24"/>
              </w:rPr>
            </w:pPr>
            <w:r>
              <w:rPr>
                <w:rFonts w:hint="eastAsia" w:hAnsiTheme="majorEastAsia" w:eastAsiaTheme="majorEastAsia"/>
                <w:kern w:val="0"/>
                <w:sz w:val="24"/>
              </w:rPr>
              <w:t>危险废物贮存设施的安全防护：危险废物贮存设施都必须按 GB15562.2 的规定设置警示标志；危险废物贮存设施周围应设置围墙或其它防护栅栏；危险废物贮存设施应配备通讯设备、照明设施、安全防护服装及工具，并设有应急防护设施；危险废物贮存设施内清理出来的泄漏物，一律按危险废物处理，并及时收集并贮存在容器中，定期委托有资质的单位进行处理。此外，需按照相关规范要求，做好防火措施。</w:t>
            </w:r>
          </w:p>
          <w:p w14:paraId="06B7F03D">
            <w:pPr>
              <w:spacing w:line="360" w:lineRule="auto"/>
              <w:ind w:firstLine="480" w:firstLineChars="200"/>
              <w:rPr>
                <w:sz w:val="24"/>
              </w:rPr>
            </w:pPr>
            <w:r>
              <w:rPr>
                <w:rFonts w:hint="eastAsia"/>
                <w:sz w:val="24"/>
              </w:rPr>
              <w:t>本项目实施后，增加危废量约1t/a，目前衡阳华菱连轧管有限公司现有一座100m</w:t>
            </w:r>
            <w:r>
              <w:rPr>
                <w:rFonts w:hint="eastAsia"/>
                <w:sz w:val="24"/>
                <w:vertAlign w:val="superscript"/>
              </w:rPr>
              <w:t>2</w:t>
            </w:r>
            <w:r>
              <w:rPr>
                <w:rFonts w:hint="eastAsia"/>
                <w:sz w:val="24"/>
              </w:rPr>
              <w:t>危废暂存间，可暂存危险废物量约为500t，目前公司危废暂存间余量空间可暂存危废量约 100t，可满足本次技改项目危废暂存量，现有危废暂存间已严格按照《危险废物贮存污染控制标准》（GB18597-2023）要求建设，依托可行</w:t>
            </w:r>
            <w:r>
              <w:rPr>
                <w:sz w:val="24"/>
              </w:rPr>
              <w:t>。</w:t>
            </w:r>
          </w:p>
          <w:p w14:paraId="5A20359A">
            <w:pPr>
              <w:spacing w:line="360" w:lineRule="auto"/>
              <w:ind w:firstLine="482" w:firstLineChars="200"/>
              <w:rPr>
                <w:b/>
                <w:sz w:val="24"/>
              </w:rPr>
            </w:pPr>
            <w:r>
              <w:rPr>
                <w:rFonts w:hint="eastAsia"/>
                <w:b/>
                <w:sz w:val="24"/>
              </w:rPr>
              <w:t>（3）生活垃圾管理要求</w:t>
            </w:r>
          </w:p>
          <w:p w14:paraId="06771FBE">
            <w:pPr>
              <w:spacing w:line="360" w:lineRule="auto"/>
              <w:ind w:firstLine="480" w:firstLineChars="200"/>
              <w:rPr>
                <w:sz w:val="24"/>
              </w:rPr>
            </w:pPr>
            <w:r>
              <w:rPr>
                <w:rFonts w:hint="eastAsia"/>
                <w:sz w:val="24"/>
              </w:rPr>
              <w:t>生活垃圾日产日清，及时委托环卫部门清运处理</w:t>
            </w:r>
            <w:r>
              <w:rPr>
                <w:sz w:val="24"/>
              </w:rPr>
              <w:t>。</w:t>
            </w:r>
          </w:p>
          <w:p w14:paraId="40990673">
            <w:pPr>
              <w:spacing w:line="360" w:lineRule="auto"/>
              <w:ind w:firstLine="482" w:firstLineChars="200"/>
              <w:rPr>
                <w:b/>
                <w:sz w:val="24"/>
              </w:rPr>
            </w:pPr>
            <w:r>
              <w:rPr>
                <w:rFonts w:hint="eastAsia"/>
                <w:b/>
                <w:sz w:val="24"/>
              </w:rPr>
              <w:t>（4）日常管理要求</w:t>
            </w:r>
          </w:p>
          <w:p w14:paraId="7AAAF988">
            <w:pPr>
              <w:spacing w:line="360" w:lineRule="auto"/>
              <w:ind w:firstLine="440" w:firstLineChars="200"/>
              <w:rPr>
                <w:bCs/>
                <w:spacing w:val="-10"/>
                <w:sz w:val="24"/>
              </w:rPr>
            </w:pPr>
            <w:r>
              <w:rPr>
                <w:rFonts w:hint="eastAsia"/>
                <w:bCs/>
                <w:spacing w:val="-10"/>
                <w:sz w:val="24"/>
              </w:rPr>
              <w:t>建设单位需建立并做好固体废物日常管理工作，履行申报登记制度、建立台账管理制度等，保存时间不低于 5 年，对于危险废物还应向生态环境主管部门进行申报，并执行转移联单制度，规范并如实记录危险废物管理台账。</w:t>
            </w:r>
          </w:p>
          <w:p w14:paraId="05EC2CB5">
            <w:pPr>
              <w:spacing w:line="360" w:lineRule="auto"/>
              <w:ind w:firstLine="440" w:firstLineChars="200"/>
              <w:rPr>
                <w:rFonts w:hAnsi="宋体"/>
                <w:b/>
                <w:kern w:val="0"/>
                <w:sz w:val="24"/>
              </w:rPr>
            </w:pPr>
            <w:r>
              <w:rPr>
                <w:rFonts w:hint="eastAsia"/>
                <w:bCs/>
                <w:spacing w:val="-10"/>
                <w:sz w:val="24"/>
              </w:rPr>
              <w:t>综上，项目运营期固体废物通过以上措施处理后，可以得到及时、妥善的处理和处置，不会造成二次污染，对周围环境影响很小，环保措施可行</w:t>
            </w:r>
            <w:r>
              <w:rPr>
                <w:rFonts w:hint="eastAsia"/>
                <w:bCs/>
                <w:sz w:val="24"/>
              </w:rPr>
              <w:t>。</w:t>
            </w:r>
          </w:p>
          <w:p w14:paraId="3BB252E1">
            <w:pPr>
              <w:spacing w:line="360" w:lineRule="auto"/>
              <w:ind w:firstLine="442" w:firstLineChars="200"/>
              <w:rPr>
                <w:b/>
                <w:bCs/>
                <w:spacing w:val="-10"/>
                <w:sz w:val="24"/>
              </w:rPr>
            </w:pPr>
            <w:r>
              <w:rPr>
                <w:rFonts w:hint="eastAsia"/>
                <w:b/>
                <w:bCs/>
                <w:spacing w:val="-10"/>
                <w:sz w:val="24"/>
              </w:rPr>
              <w:t>五</w:t>
            </w:r>
            <w:r>
              <w:rPr>
                <w:b/>
                <w:bCs/>
                <w:spacing w:val="-10"/>
                <w:sz w:val="24"/>
              </w:rPr>
              <w:t>、地下水</w:t>
            </w:r>
            <w:r>
              <w:rPr>
                <w:rFonts w:hint="eastAsia"/>
                <w:b/>
                <w:bCs/>
                <w:spacing w:val="-10"/>
                <w:sz w:val="24"/>
              </w:rPr>
              <w:t>环境影响和保护措施</w:t>
            </w:r>
          </w:p>
          <w:p w14:paraId="6F267A00">
            <w:pPr>
              <w:spacing w:line="360" w:lineRule="auto"/>
              <w:ind w:firstLine="440" w:firstLineChars="200"/>
              <w:rPr>
                <w:bCs/>
                <w:spacing w:val="-10"/>
                <w:sz w:val="24"/>
              </w:rPr>
            </w:pPr>
            <w:r>
              <w:rPr>
                <w:rFonts w:hint="eastAsia"/>
                <w:bCs/>
                <w:spacing w:val="-10"/>
                <w:sz w:val="24"/>
              </w:rPr>
              <w:t>本项目对土壤产生污染的途径主要包括垂直入渗，主要产生可能性来自：厂区内污水处理设施、废水池在未采取防渗防漏措施或防渗层破损的情况下，废水从构筑物下渗进而污染地下水及土壤。</w:t>
            </w:r>
          </w:p>
          <w:p w14:paraId="3AE69239">
            <w:pPr>
              <w:spacing w:line="360" w:lineRule="auto"/>
              <w:ind w:firstLine="440" w:firstLineChars="200"/>
              <w:rPr>
                <w:bCs/>
                <w:spacing w:val="-10"/>
                <w:sz w:val="24"/>
              </w:rPr>
            </w:pPr>
            <w:r>
              <w:rPr>
                <w:rFonts w:hint="eastAsia"/>
                <w:bCs/>
                <w:spacing w:val="-10"/>
                <w:sz w:val="24"/>
              </w:rPr>
              <w:t>本项目土壤污染防治措施按照“源头控制、分区防渗”相结合的原则，从污染物的产生、入渗进行控制。具体措施如下</w:t>
            </w:r>
          </w:p>
          <w:p w14:paraId="79B7433C">
            <w:pPr>
              <w:spacing w:line="360" w:lineRule="auto"/>
              <w:ind w:firstLine="440" w:firstLineChars="200"/>
              <w:rPr>
                <w:bCs/>
                <w:spacing w:val="-10"/>
                <w:sz w:val="24"/>
              </w:rPr>
            </w:pPr>
            <w:r>
              <w:rPr>
                <w:rFonts w:hint="eastAsia"/>
                <w:bCs/>
                <w:spacing w:val="-10"/>
                <w:sz w:val="24"/>
              </w:rPr>
              <w:t>①源头控制：主要包括在管道、废水池、废水处理设施采取相应措施，防止和降低污染物跑、冒、滴、漏，将污染物泄漏的环境风险事故降到最低程度，减少由于埋地管道泄漏而造成的地下水污染。</w:t>
            </w:r>
          </w:p>
          <w:p w14:paraId="4EA40793">
            <w:pPr>
              <w:spacing w:line="360" w:lineRule="auto"/>
              <w:ind w:firstLine="440" w:firstLineChars="200"/>
              <w:rPr>
                <w:bCs/>
                <w:spacing w:val="-10"/>
                <w:sz w:val="24"/>
              </w:rPr>
            </w:pPr>
            <w:r>
              <w:rPr>
                <w:rFonts w:hint="eastAsia"/>
                <w:bCs/>
                <w:spacing w:val="-10"/>
                <w:sz w:val="24"/>
              </w:rPr>
              <w:t>②分区防控：结合建设场区生产设备、管道、废水池、废水处理设施等布局，实行防渗措施有区别的防渗原则。对管道、废水池、废水处理设备进行重点防渗，车间进行简单防渗，道路进行一般防渗处理，防止污染物渗入地下，并将遗漏滞留在地面的污染物及时收集处理。</w:t>
            </w:r>
          </w:p>
          <w:p w14:paraId="0FCAAD5C">
            <w:pPr>
              <w:spacing w:line="360" w:lineRule="auto"/>
              <w:ind w:firstLine="440" w:firstLineChars="200"/>
              <w:rPr>
                <w:bCs/>
                <w:spacing w:val="-10"/>
                <w:sz w:val="24"/>
              </w:rPr>
            </w:pPr>
            <w:r>
              <w:rPr>
                <w:rFonts w:hint="eastAsia"/>
                <w:bCs/>
                <w:spacing w:val="-10"/>
                <w:sz w:val="24"/>
              </w:rPr>
              <w:t>综上所述，本项目采取以上措施后，对土壤环境影响较小。</w:t>
            </w:r>
          </w:p>
          <w:p w14:paraId="2CEAEA56">
            <w:pPr>
              <w:spacing w:line="360" w:lineRule="auto"/>
              <w:ind w:firstLine="442" w:firstLineChars="200"/>
              <w:rPr>
                <w:b/>
                <w:bCs/>
                <w:spacing w:val="-10"/>
                <w:sz w:val="24"/>
              </w:rPr>
            </w:pPr>
            <w:r>
              <w:rPr>
                <w:b/>
                <w:bCs/>
                <w:spacing w:val="-10"/>
                <w:sz w:val="24"/>
              </w:rPr>
              <w:t>六、生态环境</w:t>
            </w:r>
          </w:p>
          <w:p w14:paraId="7CE058A4">
            <w:pPr>
              <w:spacing w:line="360" w:lineRule="auto"/>
              <w:ind w:firstLine="440" w:firstLineChars="200"/>
              <w:rPr>
                <w:bCs/>
                <w:spacing w:val="-10"/>
                <w:sz w:val="24"/>
              </w:rPr>
            </w:pPr>
            <w:r>
              <w:rPr>
                <w:rFonts w:hint="eastAsia"/>
                <w:bCs/>
                <w:spacing w:val="-10"/>
                <w:sz w:val="24"/>
              </w:rPr>
              <w:t>本项目位于湖南省衡阳市蒸湘（区）大栗新村10号（</w:t>
            </w:r>
            <w:r>
              <w:rPr>
                <w:bCs/>
                <w:spacing w:val="-10"/>
                <w:sz w:val="24"/>
              </w:rPr>
              <w:t>衡阳华菱钢管有限公司</w:t>
            </w:r>
            <w:r>
              <w:rPr>
                <w:rFonts w:hint="eastAsia"/>
                <w:bCs/>
                <w:spacing w:val="-10"/>
                <w:sz w:val="24"/>
              </w:rPr>
              <w:t>89分厂</w:t>
            </w:r>
            <w:r>
              <w:rPr>
                <w:bCs/>
                <w:spacing w:val="-10"/>
                <w:sz w:val="24"/>
              </w:rPr>
              <w:t>现有厂区</w:t>
            </w:r>
            <w:r>
              <w:rPr>
                <w:rFonts w:hint="eastAsia"/>
                <w:bCs/>
                <w:spacing w:val="-10"/>
                <w:sz w:val="24"/>
              </w:rPr>
              <w:t>内），选址范围内无生态环境保护目标，因此本项目不会对周边生态环境产生影响。</w:t>
            </w:r>
          </w:p>
          <w:p w14:paraId="7BEA74AA">
            <w:pPr>
              <w:pStyle w:val="2"/>
              <w:adjustRightInd/>
              <w:spacing w:line="360" w:lineRule="auto"/>
              <w:ind w:firstLine="482" w:firstLineChars="200"/>
              <w:jc w:val="both"/>
              <w:rPr>
                <w:rFonts w:ascii="Times New Roman" w:cs="Times New Roman"/>
                <w:color w:val="auto"/>
              </w:rPr>
            </w:pPr>
            <w:r>
              <w:rPr>
                <w:rFonts w:ascii="Times New Roman" w:cs="Times New Roman"/>
                <w:b/>
                <w:color w:val="auto"/>
              </w:rPr>
              <w:t>七、环境风险</w:t>
            </w:r>
          </w:p>
          <w:p w14:paraId="313DE86F">
            <w:pPr>
              <w:spacing w:line="360" w:lineRule="auto"/>
              <w:ind w:firstLine="480" w:firstLineChars="200"/>
              <w:rPr>
                <w:sz w:val="24"/>
              </w:rPr>
            </w:pPr>
            <w:r>
              <w:rPr>
                <w:rFonts w:hint="eastAsia"/>
                <w:sz w:val="24"/>
              </w:rPr>
              <w:t>根据《建设项目环境风险评价技术导则》（HJ 169-2018），环境风险评价应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14:paraId="70B8D04F">
            <w:pPr>
              <w:spacing w:line="360" w:lineRule="auto"/>
              <w:ind w:firstLine="482" w:firstLineChars="200"/>
              <w:rPr>
                <w:b/>
                <w:sz w:val="24"/>
              </w:rPr>
            </w:pPr>
            <w:r>
              <w:rPr>
                <w:rFonts w:hint="eastAsia"/>
                <w:b/>
                <w:sz w:val="24"/>
              </w:rPr>
              <w:t>1、评价依据</w:t>
            </w:r>
          </w:p>
          <w:p w14:paraId="4035C73F">
            <w:pPr>
              <w:spacing w:line="360" w:lineRule="auto"/>
              <w:ind w:firstLine="480" w:firstLineChars="200"/>
              <w:rPr>
                <w:sz w:val="24"/>
              </w:rPr>
            </w:pPr>
            <w:r>
              <w:rPr>
                <w:rFonts w:hint="eastAsia"/>
                <w:sz w:val="24"/>
              </w:rPr>
              <w:t>（1）风险调查</w:t>
            </w:r>
          </w:p>
          <w:p w14:paraId="008EC86B">
            <w:pPr>
              <w:spacing w:line="360" w:lineRule="auto"/>
              <w:ind w:firstLine="480" w:firstLineChars="200"/>
              <w:rPr>
                <w:sz w:val="24"/>
              </w:rPr>
            </w:pPr>
            <w:r>
              <w:rPr>
                <w:rFonts w:hint="eastAsia"/>
                <w:sz w:val="24"/>
              </w:rPr>
              <w:t>根据生态环境部办公厅2020年12月24日印发的《建设项目环境影响报告表编制技术指南（污染影响类）（试行）》中具体编制要求“明确有毒有害和易燃易爆等风险物质和风险源分布及可能影响途径，并提出相应环境风险防范措施”。本项目为水基清洗剂、水性切削液、润滑油、碳氢清洗剂生产建设项目，通过对项目生产过程中原辅材料进行分析、对比，同时参考《建设项目环境风险评价技术导则》（HJ169-2018）附录B进行对比，本项目风险物质主要为管道内天然气、危险废物等。</w:t>
            </w:r>
          </w:p>
          <w:p w14:paraId="0DED90E8">
            <w:pPr>
              <w:spacing w:line="360" w:lineRule="auto"/>
              <w:ind w:firstLine="480" w:firstLineChars="200"/>
              <w:rPr>
                <w:sz w:val="24"/>
              </w:rPr>
            </w:pPr>
            <w:r>
              <w:rPr>
                <w:rFonts w:hint="eastAsia"/>
                <w:sz w:val="24"/>
              </w:rPr>
              <w:t>（2）风险潜势初判</w:t>
            </w:r>
          </w:p>
          <w:p w14:paraId="47AFC572">
            <w:pPr>
              <w:spacing w:line="360" w:lineRule="auto"/>
              <w:ind w:firstLine="480" w:firstLineChars="200"/>
              <w:rPr>
                <w:sz w:val="24"/>
              </w:rPr>
            </w:pPr>
            <w:r>
              <w:rPr>
                <w:rFonts w:hint="eastAsia"/>
                <w:sz w:val="24"/>
              </w:rPr>
              <w:t>根据《建设项目环境风险评价技术导则》（HJ 169－2018）附录C，计算所涉及的每种危险物质在厂界内的最大存在总量与其在附录B 中对应临界量的比值Q。</w:t>
            </w:r>
          </w:p>
          <w:p w14:paraId="15D1378B">
            <w:pPr>
              <w:autoSpaceDE w:val="0"/>
              <w:autoSpaceDN w:val="0"/>
              <w:adjustRightInd w:val="0"/>
              <w:spacing w:line="360" w:lineRule="auto"/>
              <w:ind w:firstLine="480" w:firstLineChars="200"/>
              <w:rPr>
                <w:rFonts w:eastAsiaTheme="majorEastAsia"/>
                <w:sz w:val="24"/>
              </w:rPr>
            </w:pPr>
            <w:r>
              <w:rPr>
                <w:rFonts w:hint="eastAsia" w:eastAsiaTheme="majorEastAsia"/>
                <w:sz w:val="24"/>
              </w:rPr>
              <w:t>当只涉及一种危险物质时，计算该物质的总量与其临界量比值，即为Q；</w:t>
            </w:r>
          </w:p>
          <w:p w14:paraId="5CB80910">
            <w:pPr>
              <w:autoSpaceDE w:val="0"/>
              <w:autoSpaceDN w:val="0"/>
              <w:adjustRightInd w:val="0"/>
              <w:spacing w:line="360" w:lineRule="auto"/>
              <w:ind w:firstLine="480" w:firstLineChars="200"/>
              <w:rPr>
                <w:rFonts w:eastAsiaTheme="majorEastAsia"/>
                <w:sz w:val="24"/>
              </w:rPr>
            </w:pPr>
            <w:r>
              <w:rPr>
                <w:rFonts w:hint="eastAsia" w:eastAsiaTheme="majorEastAsia"/>
                <w:sz w:val="24"/>
              </w:rPr>
              <w:t>当存在多种危险物质时，则按式（1）计算物质总量与其临界量比值（Q）：</w:t>
            </w:r>
          </w:p>
          <w:p w14:paraId="392479E0">
            <w:pPr>
              <w:autoSpaceDE w:val="0"/>
              <w:autoSpaceDN w:val="0"/>
              <w:adjustRightInd w:val="0"/>
              <w:spacing w:line="360" w:lineRule="auto"/>
              <w:ind w:firstLine="480" w:firstLineChars="200"/>
              <w:jc w:val="center"/>
              <w:rPr>
                <w:rFonts w:eastAsiaTheme="majorEastAsia"/>
                <w:sz w:val="24"/>
              </w:rPr>
            </w:pPr>
            <w:r>
              <w:rPr>
                <w:rFonts w:eastAsiaTheme="majorEastAsia"/>
                <w:sz w:val="24"/>
              </w:rPr>
              <w:drawing>
                <wp:inline distT="0" distB="0" distL="0" distR="0">
                  <wp:extent cx="1733550" cy="485775"/>
                  <wp:effectExtent l="19050" t="0" r="0" b="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noChangeArrowheads="1"/>
                          </pic:cNvPicPr>
                        </pic:nvPicPr>
                        <pic:blipFill>
                          <a:blip r:embed="rId28" cstate="print"/>
                          <a:srcRect/>
                          <a:stretch>
                            <a:fillRect/>
                          </a:stretch>
                        </pic:blipFill>
                        <pic:spPr>
                          <a:xfrm>
                            <a:off x="0" y="0"/>
                            <a:ext cx="1733550" cy="485775"/>
                          </a:xfrm>
                          <a:prstGeom prst="rect">
                            <a:avLst/>
                          </a:prstGeom>
                          <a:noFill/>
                          <a:ln w="9525">
                            <a:noFill/>
                            <a:miter lim="800000"/>
                            <a:headEnd/>
                            <a:tailEnd/>
                          </a:ln>
                        </pic:spPr>
                      </pic:pic>
                    </a:graphicData>
                  </a:graphic>
                </wp:inline>
              </w:drawing>
            </w:r>
          </w:p>
          <w:p w14:paraId="60524C6C">
            <w:pPr>
              <w:autoSpaceDE w:val="0"/>
              <w:autoSpaceDN w:val="0"/>
              <w:adjustRightInd w:val="0"/>
              <w:spacing w:line="360" w:lineRule="auto"/>
              <w:ind w:firstLine="480" w:firstLineChars="200"/>
              <w:rPr>
                <w:rFonts w:eastAsiaTheme="majorEastAsia"/>
                <w:sz w:val="24"/>
              </w:rPr>
            </w:pPr>
            <w:r>
              <w:rPr>
                <w:rFonts w:hint="eastAsia" w:eastAsiaTheme="majorEastAsia"/>
                <w:sz w:val="24"/>
              </w:rPr>
              <w:t>式中：q</w:t>
            </w:r>
            <w:r>
              <w:rPr>
                <w:rFonts w:hint="eastAsia" w:eastAsiaTheme="majorEastAsia"/>
                <w:sz w:val="24"/>
                <w:vertAlign w:val="subscript"/>
              </w:rPr>
              <w:t>1</w:t>
            </w:r>
            <w:r>
              <w:rPr>
                <w:rFonts w:hint="eastAsia" w:eastAsiaTheme="majorEastAsia"/>
                <w:sz w:val="24"/>
              </w:rPr>
              <w:t>，q</w:t>
            </w:r>
            <w:r>
              <w:rPr>
                <w:rFonts w:hint="eastAsia" w:eastAsiaTheme="majorEastAsia"/>
                <w:sz w:val="24"/>
                <w:vertAlign w:val="subscript"/>
              </w:rPr>
              <w:t>2</w:t>
            </w:r>
            <w:r>
              <w:rPr>
                <w:rFonts w:hint="eastAsia" w:eastAsiaTheme="majorEastAsia"/>
                <w:sz w:val="24"/>
              </w:rPr>
              <w:t>，q</w:t>
            </w:r>
            <w:r>
              <w:rPr>
                <w:rFonts w:hint="eastAsia" w:eastAsiaTheme="majorEastAsia"/>
                <w:sz w:val="24"/>
                <w:vertAlign w:val="subscript"/>
              </w:rPr>
              <w:t>3</w:t>
            </w:r>
            <w:r>
              <w:rPr>
                <w:rFonts w:hint="eastAsia" w:eastAsiaTheme="majorEastAsia"/>
                <w:sz w:val="24"/>
              </w:rPr>
              <w:t>……q</w:t>
            </w:r>
            <w:r>
              <w:rPr>
                <w:rFonts w:hint="eastAsia" w:eastAsiaTheme="majorEastAsia"/>
                <w:sz w:val="24"/>
                <w:vertAlign w:val="subscript"/>
              </w:rPr>
              <w:t>n</w:t>
            </w:r>
            <w:r>
              <w:rPr>
                <w:rFonts w:hint="eastAsia" w:eastAsiaTheme="majorEastAsia"/>
                <w:sz w:val="24"/>
              </w:rPr>
              <w:t>——每种危险物质的最大存在量，t；</w:t>
            </w:r>
          </w:p>
          <w:p w14:paraId="36ABAA61">
            <w:pPr>
              <w:autoSpaceDE w:val="0"/>
              <w:autoSpaceDN w:val="0"/>
              <w:adjustRightInd w:val="0"/>
              <w:spacing w:line="360" w:lineRule="auto"/>
              <w:ind w:firstLine="1200" w:firstLineChars="500"/>
              <w:rPr>
                <w:rFonts w:eastAsiaTheme="majorEastAsia"/>
                <w:sz w:val="24"/>
              </w:rPr>
            </w:pPr>
            <w:r>
              <w:rPr>
                <w:rFonts w:hint="eastAsia" w:eastAsiaTheme="majorEastAsia"/>
                <w:sz w:val="24"/>
              </w:rPr>
              <w:t>Q</w:t>
            </w:r>
            <w:r>
              <w:rPr>
                <w:rFonts w:hint="eastAsia" w:eastAsiaTheme="majorEastAsia"/>
                <w:sz w:val="24"/>
                <w:vertAlign w:val="subscript"/>
              </w:rPr>
              <w:t>1</w:t>
            </w:r>
            <w:r>
              <w:rPr>
                <w:rFonts w:hint="eastAsia" w:eastAsiaTheme="majorEastAsia"/>
                <w:sz w:val="24"/>
              </w:rPr>
              <w:t>，Q</w:t>
            </w:r>
            <w:r>
              <w:rPr>
                <w:rFonts w:hint="eastAsia" w:eastAsiaTheme="majorEastAsia"/>
                <w:sz w:val="24"/>
                <w:vertAlign w:val="subscript"/>
              </w:rPr>
              <w:t>2</w:t>
            </w:r>
            <w:r>
              <w:rPr>
                <w:rFonts w:hint="eastAsia" w:eastAsiaTheme="majorEastAsia"/>
                <w:sz w:val="24"/>
              </w:rPr>
              <w:t>，Q</w:t>
            </w:r>
            <w:r>
              <w:rPr>
                <w:rFonts w:hint="eastAsia" w:eastAsiaTheme="majorEastAsia"/>
                <w:sz w:val="24"/>
                <w:vertAlign w:val="subscript"/>
              </w:rPr>
              <w:t>3</w:t>
            </w:r>
            <w:r>
              <w:rPr>
                <w:rFonts w:hint="eastAsia" w:eastAsiaTheme="majorEastAsia"/>
                <w:sz w:val="24"/>
              </w:rPr>
              <w:t>……Q</w:t>
            </w:r>
            <w:r>
              <w:rPr>
                <w:rFonts w:hint="eastAsia" w:eastAsiaTheme="majorEastAsia"/>
                <w:sz w:val="24"/>
                <w:vertAlign w:val="subscript"/>
              </w:rPr>
              <w:t>n</w:t>
            </w:r>
            <w:r>
              <w:rPr>
                <w:rFonts w:hint="eastAsia" w:eastAsiaTheme="majorEastAsia"/>
                <w:sz w:val="24"/>
              </w:rPr>
              <w:t>——每种危险物质的临界量，t；</w:t>
            </w:r>
          </w:p>
          <w:p w14:paraId="4173938B">
            <w:pPr>
              <w:autoSpaceDE w:val="0"/>
              <w:autoSpaceDN w:val="0"/>
              <w:adjustRightInd w:val="0"/>
              <w:spacing w:line="360" w:lineRule="auto"/>
              <w:ind w:firstLine="1200" w:firstLineChars="500"/>
              <w:rPr>
                <w:rFonts w:eastAsiaTheme="majorEastAsia"/>
                <w:sz w:val="24"/>
              </w:rPr>
            </w:pPr>
            <w:r>
              <w:rPr>
                <w:rFonts w:hint="eastAsia" w:eastAsiaTheme="majorEastAsia"/>
                <w:sz w:val="24"/>
              </w:rPr>
              <w:t>当Q＜1时，该项目环境风险潜势为</w:t>
            </w:r>
            <w:r>
              <w:rPr>
                <w:rFonts w:hint="eastAsia" w:asciiTheme="majorEastAsia" w:hAnsiTheme="majorEastAsia" w:eastAsiaTheme="majorEastAsia"/>
                <w:sz w:val="24"/>
              </w:rPr>
              <w:t>Ⅰ</w:t>
            </w:r>
            <w:r>
              <w:rPr>
                <w:rFonts w:hint="eastAsia" w:eastAsiaTheme="majorEastAsia"/>
                <w:sz w:val="24"/>
              </w:rPr>
              <w:t>。</w:t>
            </w:r>
          </w:p>
          <w:p w14:paraId="5FC95319">
            <w:pPr>
              <w:autoSpaceDE w:val="0"/>
              <w:autoSpaceDN w:val="0"/>
              <w:adjustRightInd w:val="0"/>
              <w:spacing w:line="360" w:lineRule="auto"/>
              <w:ind w:firstLine="1200" w:firstLineChars="500"/>
              <w:rPr>
                <w:rFonts w:eastAsiaTheme="majorEastAsia"/>
                <w:sz w:val="24"/>
              </w:rPr>
            </w:pPr>
            <w:r>
              <w:rPr>
                <w:rFonts w:hint="eastAsia" w:eastAsiaTheme="majorEastAsia"/>
                <w:sz w:val="24"/>
              </w:rPr>
              <w:t>当Q≥1时，将Q值划分为：（1）1≤Q＜10；（2）10≤Q＜100；（3）Q≥100。</w:t>
            </w:r>
          </w:p>
          <w:p w14:paraId="15F25CA8">
            <w:pPr>
              <w:autoSpaceDE w:val="0"/>
              <w:autoSpaceDN w:val="0"/>
              <w:adjustRightInd w:val="0"/>
              <w:spacing w:line="360" w:lineRule="auto"/>
              <w:ind w:firstLine="480" w:firstLineChars="200"/>
              <w:rPr>
                <w:sz w:val="24"/>
                <w:szCs w:val="20"/>
              </w:rPr>
            </w:pPr>
            <w:r>
              <w:rPr>
                <w:rFonts w:hint="eastAsia"/>
                <w:sz w:val="24"/>
              </w:rPr>
              <w:t>项目涉及《建设项目环境风险评价技术导则》（HJ/T169-2018）附录 B重点关注的危险废物为危险废物</w:t>
            </w:r>
            <w:r>
              <w:rPr>
                <w:sz w:val="24"/>
                <w:szCs w:val="20"/>
              </w:rPr>
              <w:t>，临界量按照</w:t>
            </w:r>
            <w:r>
              <w:rPr>
                <w:rFonts w:hint="eastAsia"/>
                <w:sz w:val="24"/>
                <w:szCs w:val="20"/>
              </w:rPr>
              <w:t>《</w:t>
            </w:r>
            <w:r>
              <w:rPr>
                <w:sz w:val="24"/>
                <w:szCs w:val="20"/>
              </w:rPr>
              <w:t>建设项目环境风险评价技术导则</w:t>
            </w:r>
            <w:r>
              <w:rPr>
                <w:rFonts w:hint="eastAsia"/>
                <w:sz w:val="24"/>
                <w:szCs w:val="20"/>
              </w:rPr>
              <w:t>》</w:t>
            </w:r>
            <w:r>
              <w:rPr>
                <w:sz w:val="24"/>
                <w:szCs w:val="20"/>
              </w:rPr>
              <w:t>（HJ169-2018）中附录B-表B.1</w:t>
            </w:r>
            <w:r>
              <w:rPr>
                <w:rFonts w:hint="eastAsia"/>
                <w:sz w:val="24"/>
                <w:szCs w:val="20"/>
              </w:rPr>
              <w:t>和B.2</w:t>
            </w:r>
            <w:r>
              <w:rPr>
                <w:sz w:val="24"/>
                <w:szCs w:val="20"/>
              </w:rPr>
              <w:t>所列的风险物质，其推荐临界量</w:t>
            </w:r>
            <w:r>
              <w:rPr>
                <w:rFonts w:hint="eastAsia"/>
                <w:sz w:val="24"/>
                <w:szCs w:val="20"/>
              </w:rPr>
              <w:t>和最大存在量如下。</w:t>
            </w:r>
          </w:p>
          <w:p w14:paraId="6EBF11E4">
            <w:pPr>
              <w:spacing w:beforeLines="50"/>
              <w:jc w:val="center"/>
              <w:rPr>
                <w:b/>
                <w:szCs w:val="21"/>
              </w:rPr>
            </w:pPr>
            <w:r>
              <w:rPr>
                <w:b/>
                <w:szCs w:val="21"/>
              </w:rPr>
              <w:t>表</w:t>
            </w:r>
            <w:r>
              <w:rPr>
                <w:rFonts w:hint="eastAsia"/>
                <w:b/>
                <w:szCs w:val="21"/>
              </w:rPr>
              <w:t>4-8</w:t>
            </w:r>
            <w:r>
              <w:rPr>
                <w:b/>
                <w:szCs w:val="21"/>
              </w:rPr>
              <w:t xml:space="preserve"> </w:t>
            </w:r>
            <w:r>
              <w:rPr>
                <w:rFonts w:hint="eastAsia"/>
                <w:b/>
                <w:szCs w:val="21"/>
              </w:rPr>
              <w:t xml:space="preserve"> </w:t>
            </w:r>
            <w:r>
              <w:rPr>
                <w:b/>
                <w:szCs w:val="21"/>
              </w:rPr>
              <w:t>本项目Q值计算表</w:t>
            </w:r>
          </w:p>
          <w:tbl>
            <w:tblPr>
              <w:tblStyle w:val="3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740"/>
              <w:gridCol w:w="1809"/>
              <w:gridCol w:w="1809"/>
              <w:gridCol w:w="1345"/>
              <w:gridCol w:w="1860"/>
              <w:gridCol w:w="1858"/>
            </w:tblGrid>
            <w:tr w14:paraId="367371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393" w:type="pct"/>
                  <w:vAlign w:val="center"/>
                </w:tcPr>
                <w:p w14:paraId="4F010793">
                  <w:pPr>
                    <w:tabs>
                      <w:tab w:val="left" w:pos="3480"/>
                    </w:tabs>
                    <w:adjustRightInd w:val="0"/>
                    <w:snapToGrid w:val="0"/>
                    <w:jc w:val="center"/>
                    <w:rPr>
                      <w:b/>
                    </w:rPr>
                  </w:pPr>
                  <w:r>
                    <w:rPr>
                      <w:b/>
                    </w:rPr>
                    <w:t>序号</w:t>
                  </w:r>
                </w:p>
              </w:tc>
              <w:tc>
                <w:tcPr>
                  <w:tcW w:w="960" w:type="pct"/>
                  <w:vAlign w:val="center"/>
                </w:tcPr>
                <w:p w14:paraId="602FB597">
                  <w:pPr>
                    <w:tabs>
                      <w:tab w:val="left" w:pos="3480"/>
                    </w:tabs>
                    <w:adjustRightInd w:val="0"/>
                    <w:snapToGrid w:val="0"/>
                    <w:jc w:val="center"/>
                    <w:rPr>
                      <w:b/>
                    </w:rPr>
                  </w:pPr>
                  <w:r>
                    <w:rPr>
                      <w:b/>
                    </w:rPr>
                    <w:t>名称</w:t>
                  </w:r>
                </w:p>
              </w:tc>
              <w:tc>
                <w:tcPr>
                  <w:tcW w:w="960" w:type="pct"/>
                  <w:vAlign w:val="center"/>
                </w:tcPr>
                <w:p w14:paraId="7CA16B0F">
                  <w:pPr>
                    <w:tabs>
                      <w:tab w:val="left" w:pos="3480"/>
                    </w:tabs>
                    <w:adjustRightInd w:val="0"/>
                    <w:snapToGrid w:val="0"/>
                    <w:jc w:val="center"/>
                    <w:rPr>
                      <w:b/>
                    </w:rPr>
                  </w:pPr>
                  <w:r>
                    <w:rPr>
                      <w:b/>
                    </w:rPr>
                    <w:t>分布情况</w:t>
                  </w:r>
                </w:p>
              </w:tc>
              <w:tc>
                <w:tcPr>
                  <w:tcW w:w="714" w:type="pct"/>
                  <w:vAlign w:val="center"/>
                </w:tcPr>
                <w:p w14:paraId="37BCEFCD">
                  <w:pPr>
                    <w:tabs>
                      <w:tab w:val="left" w:pos="3480"/>
                    </w:tabs>
                    <w:adjustRightInd w:val="0"/>
                    <w:snapToGrid w:val="0"/>
                    <w:jc w:val="center"/>
                    <w:rPr>
                      <w:b/>
                    </w:rPr>
                  </w:pPr>
                  <w:r>
                    <w:rPr>
                      <w:b/>
                    </w:rPr>
                    <w:t>最大</w:t>
                  </w:r>
                  <w:r>
                    <w:rPr>
                      <w:rFonts w:hint="eastAsia"/>
                      <w:b/>
                    </w:rPr>
                    <w:t>存在</w:t>
                  </w:r>
                  <w:r>
                    <w:rPr>
                      <w:b/>
                    </w:rPr>
                    <w:t>量（t）</w:t>
                  </w:r>
                </w:p>
              </w:tc>
              <w:tc>
                <w:tcPr>
                  <w:tcW w:w="987" w:type="pct"/>
                  <w:vAlign w:val="center"/>
                </w:tcPr>
                <w:p w14:paraId="413E8402">
                  <w:pPr>
                    <w:tabs>
                      <w:tab w:val="left" w:pos="3480"/>
                    </w:tabs>
                    <w:adjustRightInd w:val="0"/>
                    <w:snapToGrid w:val="0"/>
                    <w:jc w:val="center"/>
                    <w:rPr>
                      <w:b/>
                    </w:rPr>
                  </w:pPr>
                  <w:r>
                    <w:rPr>
                      <w:b/>
                    </w:rPr>
                    <w:t>临界储存量（t）</w:t>
                  </w:r>
                </w:p>
              </w:tc>
              <w:tc>
                <w:tcPr>
                  <w:tcW w:w="986" w:type="pct"/>
                  <w:vAlign w:val="center"/>
                </w:tcPr>
                <w:p w14:paraId="3B3E8572">
                  <w:pPr>
                    <w:tabs>
                      <w:tab w:val="left" w:pos="3480"/>
                    </w:tabs>
                    <w:adjustRightInd w:val="0"/>
                    <w:snapToGrid w:val="0"/>
                    <w:jc w:val="center"/>
                    <w:rPr>
                      <w:b/>
                    </w:rPr>
                  </w:pPr>
                  <w:r>
                    <w:rPr>
                      <w:rFonts w:hint="eastAsia"/>
                      <w:b/>
                    </w:rPr>
                    <w:t>该种危险物质Q值</w:t>
                  </w:r>
                </w:p>
              </w:tc>
            </w:tr>
            <w:tr w14:paraId="339C9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393" w:type="pct"/>
                  <w:vAlign w:val="center"/>
                </w:tcPr>
                <w:p w14:paraId="74DBA49E">
                  <w:pPr>
                    <w:keepNext/>
                    <w:tabs>
                      <w:tab w:val="left" w:pos="3480"/>
                    </w:tabs>
                    <w:adjustRightInd w:val="0"/>
                    <w:snapToGrid w:val="0"/>
                    <w:jc w:val="center"/>
                  </w:pPr>
                  <w:r>
                    <w:rPr>
                      <w:rFonts w:hint="eastAsia"/>
                    </w:rPr>
                    <w:t>1</w:t>
                  </w:r>
                </w:p>
              </w:tc>
              <w:tc>
                <w:tcPr>
                  <w:tcW w:w="960" w:type="pct"/>
                  <w:vAlign w:val="center"/>
                </w:tcPr>
                <w:p w14:paraId="3BCB9DD4">
                  <w:pPr>
                    <w:jc w:val="center"/>
                    <w:rPr>
                      <w:szCs w:val="21"/>
                    </w:rPr>
                  </w:pPr>
                  <w:r>
                    <w:rPr>
                      <w:szCs w:val="21"/>
                    </w:rPr>
                    <w:t>天然气</w:t>
                  </w:r>
                </w:p>
              </w:tc>
              <w:tc>
                <w:tcPr>
                  <w:tcW w:w="960" w:type="pct"/>
                  <w:vAlign w:val="center"/>
                </w:tcPr>
                <w:p w14:paraId="6CAAE737">
                  <w:pPr>
                    <w:jc w:val="center"/>
                    <w:rPr>
                      <w:szCs w:val="21"/>
                    </w:rPr>
                  </w:pPr>
                  <w:r>
                    <w:rPr>
                      <w:szCs w:val="21"/>
                    </w:rPr>
                    <w:t>管道在线量</w:t>
                  </w:r>
                  <w:r>
                    <w:rPr>
                      <w:rFonts w:hint="eastAsia"/>
                      <w:szCs w:val="21"/>
                    </w:rPr>
                    <w:t>*</w:t>
                  </w:r>
                </w:p>
              </w:tc>
              <w:tc>
                <w:tcPr>
                  <w:tcW w:w="714" w:type="pct"/>
                  <w:vAlign w:val="center"/>
                </w:tcPr>
                <w:p w14:paraId="62297395">
                  <w:pPr>
                    <w:tabs>
                      <w:tab w:val="left" w:pos="3480"/>
                    </w:tabs>
                    <w:adjustRightInd w:val="0"/>
                    <w:snapToGrid w:val="0"/>
                    <w:jc w:val="center"/>
                  </w:pPr>
                  <w:r>
                    <w:rPr>
                      <w:rFonts w:hint="eastAsia"/>
                    </w:rPr>
                    <w:t>0.93</w:t>
                  </w:r>
                </w:p>
              </w:tc>
              <w:tc>
                <w:tcPr>
                  <w:tcW w:w="987" w:type="pct"/>
                  <w:vAlign w:val="center"/>
                </w:tcPr>
                <w:p w14:paraId="76E51FCE">
                  <w:pPr>
                    <w:tabs>
                      <w:tab w:val="left" w:pos="3480"/>
                    </w:tabs>
                    <w:adjustRightInd w:val="0"/>
                    <w:snapToGrid w:val="0"/>
                    <w:jc w:val="center"/>
                  </w:pPr>
                  <w:r>
                    <w:rPr>
                      <w:rFonts w:hint="eastAsia"/>
                    </w:rPr>
                    <w:t>10</w:t>
                  </w:r>
                </w:p>
              </w:tc>
              <w:tc>
                <w:tcPr>
                  <w:tcW w:w="986" w:type="pct"/>
                  <w:vAlign w:val="center"/>
                </w:tcPr>
                <w:p w14:paraId="0D40BF72">
                  <w:pPr>
                    <w:jc w:val="center"/>
                    <w:rPr>
                      <w:color w:val="000000"/>
                      <w:szCs w:val="21"/>
                    </w:rPr>
                  </w:pPr>
                  <w:r>
                    <w:rPr>
                      <w:rFonts w:hint="eastAsia"/>
                      <w:color w:val="000000"/>
                      <w:szCs w:val="21"/>
                    </w:rPr>
                    <w:t>0.093</w:t>
                  </w:r>
                </w:p>
              </w:tc>
            </w:tr>
            <w:tr w14:paraId="0B6B8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393" w:type="pct"/>
                  <w:vAlign w:val="center"/>
                </w:tcPr>
                <w:p w14:paraId="72A732EC">
                  <w:pPr>
                    <w:keepNext/>
                    <w:tabs>
                      <w:tab w:val="left" w:pos="3480"/>
                    </w:tabs>
                    <w:adjustRightInd w:val="0"/>
                    <w:snapToGrid w:val="0"/>
                    <w:jc w:val="center"/>
                  </w:pPr>
                  <w:r>
                    <w:rPr>
                      <w:rFonts w:hint="eastAsia"/>
                    </w:rPr>
                    <w:t>2</w:t>
                  </w:r>
                </w:p>
              </w:tc>
              <w:tc>
                <w:tcPr>
                  <w:tcW w:w="960" w:type="pct"/>
                  <w:vAlign w:val="center"/>
                </w:tcPr>
                <w:p w14:paraId="2B07DFDA">
                  <w:pPr>
                    <w:jc w:val="center"/>
                    <w:rPr>
                      <w:szCs w:val="21"/>
                    </w:rPr>
                  </w:pPr>
                  <w:r>
                    <w:rPr>
                      <w:rFonts w:hint="eastAsia"/>
                      <w:szCs w:val="21"/>
                    </w:rPr>
                    <w:t>废润滑油、隔油渣</w:t>
                  </w:r>
                </w:p>
              </w:tc>
              <w:tc>
                <w:tcPr>
                  <w:tcW w:w="960" w:type="pct"/>
                  <w:vAlign w:val="center"/>
                </w:tcPr>
                <w:p w14:paraId="2CD2CADD">
                  <w:pPr>
                    <w:jc w:val="center"/>
                    <w:rPr>
                      <w:szCs w:val="21"/>
                    </w:rPr>
                  </w:pPr>
                  <w:r>
                    <w:rPr>
                      <w:szCs w:val="21"/>
                    </w:rPr>
                    <w:t>危废暂存间</w:t>
                  </w:r>
                </w:p>
              </w:tc>
              <w:tc>
                <w:tcPr>
                  <w:tcW w:w="714" w:type="pct"/>
                  <w:vAlign w:val="center"/>
                </w:tcPr>
                <w:p w14:paraId="3643453A">
                  <w:pPr>
                    <w:tabs>
                      <w:tab w:val="left" w:pos="3480"/>
                    </w:tabs>
                    <w:adjustRightInd w:val="0"/>
                    <w:snapToGrid w:val="0"/>
                    <w:jc w:val="center"/>
                  </w:pPr>
                  <w:r>
                    <w:rPr>
                      <w:rFonts w:hint="eastAsia"/>
                    </w:rPr>
                    <w:t>5</w:t>
                  </w:r>
                </w:p>
              </w:tc>
              <w:tc>
                <w:tcPr>
                  <w:tcW w:w="987" w:type="pct"/>
                  <w:vAlign w:val="center"/>
                </w:tcPr>
                <w:p w14:paraId="377C77F6">
                  <w:pPr>
                    <w:tabs>
                      <w:tab w:val="left" w:pos="3480"/>
                    </w:tabs>
                    <w:adjustRightInd w:val="0"/>
                    <w:snapToGrid w:val="0"/>
                    <w:jc w:val="center"/>
                  </w:pPr>
                  <w:r>
                    <w:rPr>
                      <w:rFonts w:hint="eastAsia"/>
                    </w:rPr>
                    <w:t>2500</w:t>
                  </w:r>
                </w:p>
              </w:tc>
              <w:tc>
                <w:tcPr>
                  <w:tcW w:w="986" w:type="pct"/>
                  <w:vAlign w:val="center"/>
                </w:tcPr>
                <w:p w14:paraId="36F9A610">
                  <w:pPr>
                    <w:jc w:val="center"/>
                    <w:rPr>
                      <w:color w:val="000000"/>
                      <w:szCs w:val="21"/>
                    </w:rPr>
                  </w:pPr>
                  <w:r>
                    <w:rPr>
                      <w:rFonts w:hint="eastAsia"/>
                      <w:color w:val="000000"/>
                      <w:szCs w:val="21"/>
                    </w:rPr>
                    <w:t>0.002</w:t>
                  </w:r>
                </w:p>
              </w:tc>
            </w:tr>
            <w:tr w14:paraId="57E6A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4014" w:type="pct"/>
                  <w:gridSpan w:val="5"/>
                  <w:vAlign w:val="center"/>
                </w:tcPr>
                <w:p w14:paraId="1DBD6C12">
                  <w:pPr>
                    <w:tabs>
                      <w:tab w:val="left" w:pos="3480"/>
                    </w:tabs>
                    <w:adjustRightInd w:val="0"/>
                    <w:snapToGrid w:val="0"/>
                    <w:jc w:val="center"/>
                  </w:pPr>
                  <w:r>
                    <w:t>合计</w:t>
                  </w:r>
                </w:p>
              </w:tc>
              <w:tc>
                <w:tcPr>
                  <w:tcW w:w="986" w:type="pct"/>
                  <w:vAlign w:val="center"/>
                </w:tcPr>
                <w:p w14:paraId="714E45D5">
                  <w:pPr>
                    <w:tabs>
                      <w:tab w:val="left" w:pos="3480"/>
                    </w:tabs>
                    <w:adjustRightInd w:val="0"/>
                    <w:snapToGrid w:val="0"/>
                    <w:jc w:val="center"/>
                  </w:pPr>
                  <w:r>
                    <w:rPr>
                      <w:rFonts w:hint="eastAsia"/>
                    </w:rPr>
                    <w:t>0.095</w:t>
                  </w:r>
                </w:p>
              </w:tc>
            </w:tr>
          </w:tbl>
          <w:p w14:paraId="7ABBC849">
            <w:pPr>
              <w:spacing w:line="360" w:lineRule="auto"/>
              <w:ind w:firstLine="480" w:firstLineChars="200"/>
              <w:rPr>
                <w:sz w:val="24"/>
              </w:rPr>
            </w:pPr>
            <w:r>
              <w:rPr>
                <w:rFonts w:hint="eastAsia" w:eastAsiaTheme="majorEastAsia"/>
                <w:sz w:val="24"/>
              </w:rPr>
              <w:t>注：*天然气密度按0.7174kg/Nm</w:t>
            </w:r>
            <w:r>
              <w:rPr>
                <w:rFonts w:hint="eastAsia" w:eastAsiaTheme="majorEastAsia"/>
                <w:sz w:val="24"/>
                <w:vertAlign w:val="superscript"/>
              </w:rPr>
              <w:t>3</w:t>
            </w:r>
            <w:r>
              <w:rPr>
                <w:rFonts w:hint="eastAsia" w:eastAsiaTheme="majorEastAsia"/>
                <w:sz w:val="24"/>
              </w:rPr>
              <w:t>计算，技改后天然气用量约为2609.96万Nm</w:t>
            </w:r>
            <w:r>
              <w:rPr>
                <w:rFonts w:hint="eastAsia" w:eastAsiaTheme="majorEastAsia"/>
                <w:sz w:val="24"/>
                <w:vertAlign w:val="superscript"/>
              </w:rPr>
              <w:t>3</w:t>
            </w:r>
            <w:r>
              <w:rPr>
                <w:rFonts w:hint="eastAsia" w:eastAsiaTheme="majorEastAsia"/>
                <w:sz w:val="24"/>
              </w:rPr>
              <w:t>/a，按20min产生量核算为1295m</w:t>
            </w:r>
            <w:r>
              <w:rPr>
                <w:rFonts w:hint="eastAsia" w:eastAsiaTheme="majorEastAsia"/>
                <w:sz w:val="24"/>
                <w:vertAlign w:val="superscript"/>
              </w:rPr>
              <w:t>3</w:t>
            </w:r>
            <w:r>
              <w:rPr>
                <w:rFonts w:hint="eastAsia" w:eastAsiaTheme="majorEastAsia"/>
                <w:sz w:val="24"/>
              </w:rPr>
              <w:t>（约0.93t）。</w:t>
            </w:r>
          </w:p>
          <w:p w14:paraId="3EE87996">
            <w:pPr>
              <w:spacing w:line="360" w:lineRule="auto"/>
              <w:ind w:firstLine="480" w:firstLineChars="200"/>
              <w:rPr>
                <w:sz w:val="24"/>
              </w:rPr>
            </w:pPr>
            <w:r>
              <w:rPr>
                <w:rFonts w:hint="eastAsia"/>
                <w:sz w:val="24"/>
              </w:rPr>
              <w:t>根据计算，Q值划分为Q=0.095＜1。</w:t>
            </w:r>
          </w:p>
          <w:p w14:paraId="6C0E9C7A">
            <w:pPr>
              <w:spacing w:line="360" w:lineRule="auto"/>
              <w:ind w:firstLine="480" w:firstLineChars="200"/>
              <w:rPr>
                <w:sz w:val="24"/>
              </w:rPr>
            </w:pPr>
            <w:r>
              <w:rPr>
                <w:rFonts w:hint="eastAsia"/>
                <w:sz w:val="24"/>
              </w:rPr>
              <w:t>（3）评价工作等级</w:t>
            </w:r>
          </w:p>
          <w:p w14:paraId="4537D16E">
            <w:pPr>
              <w:spacing w:line="360" w:lineRule="auto"/>
              <w:ind w:firstLine="480" w:firstLineChars="200"/>
              <w:rPr>
                <w:sz w:val="24"/>
              </w:rPr>
            </w:pPr>
            <w:r>
              <w:rPr>
                <w:rFonts w:hint="eastAsia"/>
                <w:sz w:val="24"/>
              </w:rPr>
              <w:t>根据项目危险物质数量与临界量的比值Q，对比《建设项目环境风险评价技术导则》（HJ/T169-2018）表1，可知项目环境风险评价工作等级为简单分析。</w:t>
            </w:r>
          </w:p>
          <w:p w14:paraId="186EA998">
            <w:pPr>
              <w:spacing w:beforeLines="50"/>
              <w:jc w:val="center"/>
              <w:rPr>
                <w:b/>
                <w:szCs w:val="21"/>
              </w:rPr>
            </w:pPr>
            <w:r>
              <w:rPr>
                <w:b/>
                <w:szCs w:val="21"/>
              </w:rPr>
              <w:t>表4-</w:t>
            </w:r>
            <w:r>
              <w:rPr>
                <w:rFonts w:hint="eastAsia"/>
                <w:b/>
                <w:szCs w:val="21"/>
              </w:rPr>
              <w:t xml:space="preserve">9 </w:t>
            </w:r>
            <w:r>
              <w:rPr>
                <w:b/>
                <w:szCs w:val="21"/>
              </w:rPr>
              <w:t xml:space="preserve"> 评价工作等级划分</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042"/>
              <w:gridCol w:w="1632"/>
              <w:gridCol w:w="1916"/>
              <w:gridCol w:w="1703"/>
              <w:gridCol w:w="2128"/>
            </w:tblGrid>
            <w:tr w14:paraId="680EDC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7" w:hRule="atLeast"/>
                <w:jc w:val="center"/>
              </w:trPr>
              <w:tc>
                <w:tcPr>
                  <w:tcW w:w="1084" w:type="pct"/>
                  <w:vAlign w:val="center"/>
                </w:tcPr>
                <w:p w14:paraId="5F48DE54">
                  <w:pPr>
                    <w:adjustRightInd w:val="0"/>
                    <w:snapToGrid w:val="0"/>
                    <w:jc w:val="center"/>
                    <w:rPr>
                      <w:b/>
                      <w:bCs/>
                      <w:szCs w:val="21"/>
                    </w:rPr>
                  </w:pPr>
                  <w:r>
                    <w:rPr>
                      <w:b/>
                      <w:bCs/>
                      <w:szCs w:val="21"/>
                    </w:rPr>
                    <w:t>环境风险潜势</w:t>
                  </w:r>
                </w:p>
              </w:tc>
              <w:tc>
                <w:tcPr>
                  <w:tcW w:w="866" w:type="pct"/>
                  <w:vAlign w:val="center"/>
                </w:tcPr>
                <w:p w14:paraId="3F59B3A4">
                  <w:pPr>
                    <w:adjustRightInd w:val="0"/>
                    <w:snapToGrid w:val="0"/>
                    <w:jc w:val="center"/>
                    <w:rPr>
                      <w:b/>
                      <w:bCs/>
                      <w:szCs w:val="21"/>
                    </w:rPr>
                  </w:pPr>
                  <w:r>
                    <w:rPr>
                      <w:b/>
                      <w:bCs/>
                      <w:szCs w:val="21"/>
                    </w:rPr>
                    <w:fldChar w:fldCharType="begin"/>
                  </w:r>
                  <w:r>
                    <w:rPr>
                      <w:b/>
                      <w:bCs/>
                      <w:szCs w:val="21"/>
                    </w:rPr>
                    <w:instrText xml:space="preserve"> = 4 \* ROMAN </w:instrText>
                  </w:r>
                  <w:r>
                    <w:rPr>
                      <w:b/>
                      <w:bCs/>
                      <w:szCs w:val="21"/>
                    </w:rPr>
                    <w:fldChar w:fldCharType="separate"/>
                  </w:r>
                  <w:r>
                    <w:rPr>
                      <w:b/>
                      <w:bCs/>
                      <w:szCs w:val="21"/>
                    </w:rPr>
                    <w:t>IV</w:t>
                  </w:r>
                  <w:r>
                    <w:rPr>
                      <w:b/>
                      <w:bCs/>
                      <w:szCs w:val="21"/>
                    </w:rPr>
                    <w:fldChar w:fldCharType="end"/>
                  </w:r>
                  <w:r>
                    <w:rPr>
                      <w:b/>
                      <w:bCs/>
                      <w:szCs w:val="21"/>
                    </w:rPr>
                    <w:t>、</w:t>
                  </w:r>
                  <w:r>
                    <w:rPr>
                      <w:b/>
                      <w:bCs/>
                      <w:szCs w:val="21"/>
                    </w:rPr>
                    <w:fldChar w:fldCharType="begin"/>
                  </w:r>
                  <w:r>
                    <w:rPr>
                      <w:b/>
                      <w:bCs/>
                      <w:szCs w:val="21"/>
                    </w:rPr>
                    <w:instrText xml:space="preserve"> = 4 \* ROMAN </w:instrText>
                  </w:r>
                  <w:r>
                    <w:rPr>
                      <w:b/>
                      <w:bCs/>
                      <w:szCs w:val="21"/>
                    </w:rPr>
                    <w:fldChar w:fldCharType="separate"/>
                  </w:r>
                  <w:r>
                    <w:rPr>
                      <w:b/>
                      <w:bCs/>
                      <w:szCs w:val="21"/>
                    </w:rPr>
                    <w:t>IV</w:t>
                  </w:r>
                  <w:r>
                    <w:rPr>
                      <w:b/>
                      <w:bCs/>
                      <w:szCs w:val="21"/>
                    </w:rPr>
                    <w:fldChar w:fldCharType="end"/>
                  </w:r>
                  <w:r>
                    <w:rPr>
                      <w:b/>
                      <w:bCs/>
                      <w:szCs w:val="21"/>
                      <w:vertAlign w:val="superscript"/>
                    </w:rPr>
                    <w:t>+</w:t>
                  </w:r>
                </w:p>
              </w:tc>
              <w:tc>
                <w:tcPr>
                  <w:tcW w:w="1017" w:type="pct"/>
                  <w:vAlign w:val="center"/>
                </w:tcPr>
                <w:p w14:paraId="306EB851">
                  <w:pPr>
                    <w:adjustRightInd w:val="0"/>
                    <w:snapToGrid w:val="0"/>
                    <w:jc w:val="center"/>
                    <w:rPr>
                      <w:b/>
                      <w:bCs/>
                      <w:szCs w:val="21"/>
                    </w:rPr>
                  </w:pPr>
                  <w:r>
                    <w:rPr>
                      <w:b/>
                      <w:bCs/>
                      <w:szCs w:val="21"/>
                    </w:rPr>
                    <w:fldChar w:fldCharType="begin"/>
                  </w:r>
                  <w:r>
                    <w:rPr>
                      <w:b/>
                      <w:bCs/>
                      <w:szCs w:val="21"/>
                    </w:rPr>
                    <w:instrText xml:space="preserve"> = 3 \* ROMAN </w:instrText>
                  </w:r>
                  <w:r>
                    <w:rPr>
                      <w:b/>
                      <w:bCs/>
                      <w:szCs w:val="21"/>
                    </w:rPr>
                    <w:fldChar w:fldCharType="separate"/>
                  </w:r>
                  <w:r>
                    <w:rPr>
                      <w:b/>
                      <w:bCs/>
                      <w:szCs w:val="21"/>
                    </w:rPr>
                    <w:t>III</w:t>
                  </w:r>
                  <w:r>
                    <w:rPr>
                      <w:b/>
                      <w:bCs/>
                      <w:szCs w:val="21"/>
                    </w:rPr>
                    <w:fldChar w:fldCharType="end"/>
                  </w:r>
                </w:p>
              </w:tc>
              <w:tc>
                <w:tcPr>
                  <w:tcW w:w="904" w:type="pct"/>
                  <w:vAlign w:val="center"/>
                </w:tcPr>
                <w:p w14:paraId="27037BD1">
                  <w:pPr>
                    <w:adjustRightInd w:val="0"/>
                    <w:snapToGrid w:val="0"/>
                    <w:jc w:val="center"/>
                    <w:rPr>
                      <w:b/>
                      <w:bCs/>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p>
              </w:tc>
              <w:tc>
                <w:tcPr>
                  <w:tcW w:w="1129" w:type="pct"/>
                  <w:vAlign w:val="center"/>
                </w:tcPr>
                <w:p w14:paraId="24A47D95">
                  <w:pPr>
                    <w:adjustRightInd w:val="0"/>
                    <w:snapToGrid w:val="0"/>
                    <w:jc w:val="center"/>
                    <w:rPr>
                      <w:b/>
                      <w:bCs/>
                      <w:szCs w:val="21"/>
                    </w:rPr>
                  </w:pPr>
                  <w:r>
                    <w:rPr>
                      <w:b/>
                      <w:bCs/>
                      <w:szCs w:val="21"/>
                    </w:rPr>
                    <w:fldChar w:fldCharType="begin"/>
                  </w:r>
                  <w:r>
                    <w:rPr>
                      <w:b/>
                      <w:bCs/>
                      <w:szCs w:val="21"/>
                    </w:rPr>
                    <w:instrText xml:space="preserve"> = 1 \* ROMAN </w:instrText>
                  </w:r>
                  <w:r>
                    <w:rPr>
                      <w:b/>
                      <w:bCs/>
                      <w:szCs w:val="21"/>
                    </w:rPr>
                    <w:fldChar w:fldCharType="separate"/>
                  </w:r>
                  <w:r>
                    <w:rPr>
                      <w:b/>
                      <w:bCs/>
                      <w:szCs w:val="21"/>
                    </w:rPr>
                    <w:t>I</w:t>
                  </w:r>
                  <w:r>
                    <w:rPr>
                      <w:b/>
                      <w:bCs/>
                      <w:szCs w:val="21"/>
                    </w:rPr>
                    <w:fldChar w:fldCharType="end"/>
                  </w:r>
                </w:p>
              </w:tc>
            </w:tr>
            <w:tr w14:paraId="493EB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84" w:type="pct"/>
                  <w:vAlign w:val="center"/>
                </w:tcPr>
                <w:p w14:paraId="13477C9B">
                  <w:pPr>
                    <w:adjustRightInd w:val="0"/>
                    <w:snapToGrid w:val="0"/>
                    <w:jc w:val="center"/>
                    <w:rPr>
                      <w:szCs w:val="21"/>
                    </w:rPr>
                  </w:pPr>
                  <w:r>
                    <w:rPr>
                      <w:szCs w:val="21"/>
                    </w:rPr>
                    <w:t>评价工作等级</w:t>
                  </w:r>
                </w:p>
              </w:tc>
              <w:tc>
                <w:tcPr>
                  <w:tcW w:w="866" w:type="pct"/>
                  <w:vAlign w:val="center"/>
                </w:tcPr>
                <w:p w14:paraId="634D0B32">
                  <w:pPr>
                    <w:adjustRightInd w:val="0"/>
                    <w:snapToGrid w:val="0"/>
                    <w:jc w:val="center"/>
                    <w:rPr>
                      <w:szCs w:val="21"/>
                    </w:rPr>
                  </w:pPr>
                  <w:r>
                    <w:rPr>
                      <w:szCs w:val="21"/>
                    </w:rPr>
                    <w:t>一</w:t>
                  </w:r>
                </w:p>
              </w:tc>
              <w:tc>
                <w:tcPr>
                  <w:tcW w:w="1017" w:type="pct"/>
                  <w:vAlign w:val="center"/>
                </w:tcPr>
                <w:p w14:paraId="2564BABD">
                  <w:pPr>
                    <w:adjustRightInd w:val="0"/>
                    <w:snapToGrid w:val="0"/>
                    <w:jc w:val="center"/>
                    <w:rPr>
                      <w:szCs w:val="21"/>
                    </w:rPr>
                  </w:pPr>
                  <w:r>
                    <w:rPr>
                      <w:szCs w:val="21"/>
                    </w:rPr>
                    <w:t>二</w:t>
                  </w:r>
                </w:p>
              </w:tc>
              <w:tc>
                <w:tcPr>
                  <w:tcW w:w="904" w:type="pct"/>
                  <w:vAlign w:val="center"/>
                </w:tcPr>
                <w:p w14:paraId="52F14B25">
                  <w:pPr>
                    <w:adjustRightInd w:val="0"/>
                    <w:snapToGrid w:val="0"/>
                    <w:jc w:val="center"/>
                    <w:rPr>
                      <w:szCs w:val="21"/>
                    </w:rPr>
                  </w:pPr>
                  <w:r>
                    <w:rPr>
                      <w:szCs w:val="21"/>
                    </w:rPr>
                    <w:t>三</w:t>
                  </w:r>
                </w:p>
              </w:tc>
              <w:tc>
                <w:tcPr>
                  <w:tcW w:w="1129" w:type="pct"/>
                  <w:shd w:val="clear" w:color="auto" w:fill="D9D9D9"/>
                  <w:vAlign w:val="center"/>
                </w:tcPr>
                <w:p w14:paraId="67627C93">
                  <w:pPr>
                    <w:adjustRightInd w:val="0"/>
                    <w:snapToGrid w:val="0"/>
                    <w:jc w:val="center"/>
                    <w:rPr>
                      <w:szCs w:val="21"/>
                    </w:rPr>
                  </w:pPr>
                  <w:r>
                    <w:rPr>
                      <w:szCs w:val="21"/>
                    </w:rPr>
                    <w:t>简单分析</w:t>
                  </w:r>
                  <w:r>
                    <w:rPr>
                      <w:szCs w:val="21"/>
                      <w:vertAlign w:val="superscript"/>
                    </w:rPr>
                    <w:t>a</w:t>
                  </w:r>
                </w:p>
              </w:tc>
            </w:tr>
          </w:tbl>
          <w:p w14:paraId="32AD4DAC">
            <w:pPr>
              <w:spacing w:line="360" w:lineRule="auto"/>
              <w:ind w:firstLine="482" w:firstLineChars="200"/>
              <w:rPr>
                <w:b/>
                <w:sz w:val="24"/>
              </w:rPr>
            </w:pPr>
            <w:r>
              <w:rPr>
                <w:rFonts w:hint="eastAsia"/>
                <w:b/>
                <w:sz w:val="24"/>
              </w:rPr>
              <w:t>2、环境敏感目标概况</w:t>
            </w:r>
          </w:p>
          <w:p w14:paraId="78957B74">
            <w:pPr>
              <w:spacing w:line="360" w:lineRule="auto"/>
              <w:ind w:firstLine="480" w:firstLineChars="200"/>
              <w:rPr>
                <w:sz w:val="24"/>
              </w:rPr>
            </w:pPr>
            <w:r>
              <w:rPr>
                <w:rFonts w:hint="eastAsia"/>
                <w:sz w:val="24"/>
              </w:rPr>
              <w:t>项目周围环境敏感点详见表3-3。</w:t>
            </w:r>
          </w:p>
          <w:p w14:paraId="402F932E">
            <w:pPr>
              <w:spacing w:line="360" w:lineRule="auto"/>
              <w:ind w:firstLine="482" w:firstLineChars="200"/>
              <w:rPr>
                <w:b/>
                <w:sz w:val="24"/>
              </w:rPr>
            </w:pPr>
            <w:r>
              <w:rPr>
                <w:rFonts w:hint="eastAsia"/>
                <w:b/>
                <w:sz w:val="24"/>
              </w:rPr>
              <w:t>3、环境风险识别</w:t>
            </w:r>
          </w:p>
          <w:p w14:paraId="06B6D68F">
            <w:pPr>
              <w:spacing w:line="360" w:lineRule="auto"/>
              <w:ind w:firstLine="480" w:firstLineChars="200"/>
              <w:rPr>
                <w:sz w:val="24"/>
              </w:rPr>
            </w:pPr>
            <w:r>
              <w:rPr>
                <w:rFonts w:hint="eastAsia"/>
                <w:sz w:val="24"/>
              </w:rPr>
              <w:t>根据《建设项目环境风险评价技术导则》（HJ169-2018）附录 B，中所规定的危险化学品物质，项目使用生产环境风险物质，主要环境风险事故情景是液态化学品、危险废物储存泄漏，污染物事故排放及火灾伴生次生风险</w:t>
            </w:r>
            <w:r>
              <w:rPr>
                <w:sz w:val="24"/>
              </w:rPr>
              <w:t>。</w:t>
            </w:r>
          </w:p>
          <w:p w14:paraId="5F7F4E06">
            <w:pPr>
              <w:spacing w:beforeLines="50"/>
              <w:jc w:val="center"/>
              <w:rPr>
                <w:b/>
                <w:szCs w:val="21"/>
              </w:rPr>
            </w:pPr>
            <w:r>
              <w:rPr>
                <w:b/>
                <w:szCs w:val="21"/>
              </w:rPr>
              <w:t>表4-</w:t>
            </w:r>
            <w:r>
              <w:rPr>
                <w:rFonts w:hint="eastAsia"/>
                <w:b/>
                <w:szCs w:val="21"/>
              </w:rPr>
              <w:t xml:space="preserve">10 </w:t>
            </w:r>
            <w:r>
              <w:rPr>
                <w:b/>
                <w:szCs w:val="21"/>
              </w:rPr>
              <w:t xml:space="preserve"> </w:t>
            </w:r>
            <w:r>
              <w:rPr>
                <w:rFonts w:hint="eastAsia"/>
                <w:b/>
                <w:szCs w:val="21"/>
              </w:rPr>
              <w:t>生产</w:t>
            </w:r>
            <w:r>
              <w:rPr>
                <w:b/>
                <w:szCs w:val="21"/>
              </w:rPr>
              <w:t>及贮存过程中潜在危险因素分析</w:t>
            </w:r>
          </w:p>
          <w:tbl>
            <w:tblPr>
              <w:tblStyle w:val="3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8"/>
              <w:gridCol w:w="1134"/>
              <w:gridCol w:w="1276"/>
              <w:gridCol w:w="992"/>
              <w:gridCol w:w="1134"/>
              <w:gridCol w:w="1800"/>
              <w:gridCol w:w="1179"/>
              <w:gridCol w:w="1178"/>
            </w:tblGrid>
            <w:tr w14:paraId="3F37CF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8" w:type="dxa"/>
                  <w:vAlign w:val="center"/>
                </w:tcPr>
                <w:p w14:paraId="5BC1B9C7">
                  <w:pPr>
                    <w:jc w:val="center"/>
                    <w:rPr>
                      <w:b/>
                      <w:szCs w:val="21"/>
                    </w:rPr>
                  </w:pPr>
                  <w:r>
                    <w:rPr>
                      <w:rFonts w:hint="eastAsia"/>
                      <w:b/>
                      <w:szCs w:val="21"/>
                    </w:rPr>
                    <w:t>序号</w:t>
                  </w:r>
                </w:p>
              </w:tc>
              <w:tc>
                <w:tcPr>
                  <w:tcW w:w="1134" w:type="dxa"/>
                  <w:vAlign w:val="center"/>
                </w:tcPr>
                <w:p w14:paraId="11E7499F">
                  <w:pPr>
                    <w:jc w:val="center"/>
                    <w:rPr>
                      <w:b/>
                      <w:szCs w:val="21"/>
                    </w:rPr>
                  </w:pPr>
                  <w:r>
                    <w:rPr>
                      <w:rFonts w:hint="eastAsia"/>
                      <w:b/>
                      <w:szCs w:val="21"/>
                    </w:rPr>
                    <w:t>危险单元</w:t>
                  </w:r>
                </w:p>
              </w:tc>
              <w:tc>
                <w:tcPr>
                  <w:tcW w:w="1276" w:type="dxa"/>
                  <w:vAlign w:val="center"/>
                </w:tcPr>
                <w:p w14:paraId="123E171D">
                  <w:pPr>
                    <w:jc w:val="center"/>
                    <w:rPr>
                      <w:b/>
                      <w:szCs w:val="21"/>
                    </w:rPr>
                  </w:pPr>
                  <w:r>
                    <w:rPr>
                      <w:rFonts w:hint="eastAsia"/>
                      <w:b/>
                      <w:szCs w:val="21"/>
                    </w:rPr>
                    <w:t>风险源</w:t>
                  </w:r>
                </w:p>
              </w:tc>
              <w:tc>
                <w:tcPr>
                  <w:tcW w:w="992" w:type="dxa"/>
                  <w:vAlign w:val="center"/>
                </w:tcPr>
                <w:p w14:paraId="00D0F546">
                  <w:pPr>
                    <w:jc w:val="center"/>
                    <w:rPr>
                      <w:b/>
                      <w:szCs w:val="21"/>
                    </w:rPr>
                  </w:pPr>
                  <w:r>
                    <w:rPr>
                      <w:rFonts w:hint="eastAsia"/>
                      <w:b/>
                      <w:szCs w:val="21"/>
                    </w:rPr>
                    <w:t>主要风险物质</w:t>
                  </w:r>
                </w:p>
              </w:tc>
              <w:tc>
                <w:tcPr>
                  <w:tcW w:w="1134" w:type="dxa"/>
                  <w:vAlign w:val="center"/>
                </w:tcPr>
                <w:p w14:paraId="7B6A9C24">
                  <w:pPr>
                    <w:jc w:val="center"/>
                    <w:rPr>
                      <w:b/>
                      <w:szCs w:val="21"/>
                    </w:rPr>
                  </w:pPr>
                  <w:r>
                    <w:rPr>
                      <w:rFonts w:hint="eastAsia"/>
                      <w:b/>
                      <w:szCs w:val="21"/>
                    </w:rPr>
                    <w:t>环境风险类型</w:t>
                  </w:r>
                </w:p>
              </w:tc>
              <w:tc>
                <w:tcPr>
                  <w:tcW w:w="1800" w:type="dxa"/>
                  <w:vAlign w:val="center"/>
                </w:tcPr>
                <w:p w14:paraId="3A74406D">
                  <w:pPr>
                    <w:jc w:val="center"/>
                    <w:rPr>
                      <w:b/>
                      <w:szCs w:val="21"/>
                    </w:rPr>
                  </w:pPr>
                  <w:r>
                    <w:rPr>
                      <w:rFonts w:hint="eastAsia"/>
                      <w:b/>
                      <w:szCs w:val="21"/>
                    </w:rPr>
                    <w:t>环境风险途径</w:t>
                  </w:r>
                </w:p>
              </w:tc>
              <w:tc>
                <w:tcPr>
                  <w:tcW w:w="1179" w:type="dxa"/>
                  <w:vAlign w:val="center"/>
                </w:tcPr>
                <w:p w14:paraId="2453CED0">
                  <w:pPr>
                    <w:jc w:val="center"/>
                    <w:rPr>
                      <w:b/>
                      <w:szCs w:val="21"/>
                    </w:rPr>
                  </w:pPr>
                  <w:r>
                    <w:rPr>
                      <w:rFonts w:hint="eastAsia"/>
                      <w:b/>
                      <w:szCs w:val="21"/>
                    </w:rPr>
                    <w:t>次数/伴生污染物</w:t>
                  </w:r>
                </w:p>
              </w:tc>
              <w:tc>
                <w:tcPr>
                  <w:tcW w:w="1178" w:type="dxa"/>
                  <w:vAlign w:val="center"/>
                </w:tcPr>
                <w:p w14:paraId="13B00282">
                  <w:pPr>
                    <w:jc w:val="center"/>
                    <w:rPr>
                      <w:b/>
                      <w:szCs w:val="21"/>
                    </w:rPr>
                  </w:pPr>
                  <w:r>
                    <w:rPr>
                      <w:rFonts w:hint="eastAsia"/>
                      <w:b/>
                      <w:szCs w:val="21"/>
                    </w:rPr>
                    <w:t>可能影响的环境敏感目标</w:t>
                  </w:r>
                </w:p>
              </w:tc>
            </w:tr>
            <w:tr w14:paraId="0F2E8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8" w:type="dxa"/>
                  <w:vAlign w:val="center"/>
                </w:tcPr>
                <w:p w14:paraId="274012EF">
                  <w:pPr>
                    <w:jc w:val="center"/>
                    <w:rPr>
                      <w:szCs w:val="21"/>
                    </w:rPr>
                  </w:pPr>
                  <w:r>
                    <w:rPr>
                      <w:rFonts w:hint="eastAsia"/>
                      <w:szCs w:val="21"/>
                    </w:rPr>
                    <w:t>1</w:t>
                  </w:r>
                </w:p>
              </w:tc>
              <w:tc>
                <w:tcPr>
                  <w:tcW w:w="1134" w:type="dxa"/>
                  <w:vAlign w:val="center"/>
                </w:tcPr>
                <w:p w14:paraId="1AABF4E3">
                  <w:pPr>
                    <w:jc w:val="center"/>
                    <w:rPr>
                      <w:szCs w:val="21"/>
                    </w:rPr>
                  </w:pPr>
                  <w:r>
                    <w:rPr>
                      <w:rFonts w:hint="eastAsia"/>
                      <w:szCs w:val="21"/>
                    </w:rPr>
                    <w:t>加热炉</w:t>
                  </w:r>
                </w:p>
              </w:tc>
              <w:tc>
                <w:tcPr>
                  <w:tcW w:w="1276" w:type="dxa"/>
                  <w:vAlign w:val="center"/>
                </w:tcPr>
                <w:p w14:paraId="0125CF94">
                  <w:pPr>
                    <w:jc w:val="center"/>
                    <w:rPr>
                      <w:szCs w:val="21"/>
                    </w:rPr>
                  </w:pPr>
                  <w:r>
                    <w:rPr>
                      <w:rFonts w:hint="eastAsia"/>
                      <w:szCs w:val="21"/>
                    </w:rPr>
                    <w:t>加热系统</w:t>
                  </w:r>
                </w:p>
              </w:tc>
              <w:tc>
                <w:tcPr>
                  <w:tcW w:w="992" w:type="dxa"/>
                  <w:vAlign w:val="center"/>
                </w:tcPr>
                <w:p w14:paraId="67A78409">
                  <w:pPr>
                    <w:jc w:val="center"/>
                    <w:rPr>
                      <w:szCs w:val="21"/>
                    </w:rPr>
                  </w:pPr>
                  <w:r>
                    <w:rPr>
                      <w:rFonts w:hint="eastAsia"/>
                      <w:szCs w:val="21"/>
                    </w:rPr>
                    <w:t>天然气</w:t>
                  </w:r>
                </w:p>
              </w:tc>
              <w:tc>
                <w:tcPr>
                  <w:tcW w:w="1134" w:type="dxa"/>
                  <w:vAlign w:val="center"/>
                </w:tcPr>
                <w:p w14:paraId="3625433A">
                  <w:pPr>
                    <w:jc w:val="center"/>
                    <w:rPr>
                      <w:szCs w:val="21"/>
                    </w:rPr>
                  </w:pPr>
                  <w:r>
                    <w:rPr>
                      <w:rFonts w:hint="eastAsia"/>
                      <w:szCs w:val="21"/>
                    </w:rPr>
                    <w:t>泄漏、火灾、爆炸</w:t>
                  </w:r>
                </w:p>
              </w:tc>
              <w:tc>
                <w:tcPr>
                  <w:tcW w:w="1800" w:type="dxa"/>
                  <w:vAlign w:val="center"/>
                </w:tcPr>
                <w:p w14:paraId="05DA80C4">
                  <w:pPr>
                    <w:jc w:val="center"/>
                    <w:rPr>
                      <w:szCs w:val="21"/>
                    </w:rPr>
                  </w:pPr>
                  <w:r>
                    <w:rPr>
                      <w:rFonts w:hint="eastAsia"/>
                      <w:szCs w:val="21"/>
                    </w:rPr>
                    <w:t>遇明火燃烧，甚至发生爆炸</w:t>
                  </w:r>
                </w:p>
              </w:tc>
              <w:tc>
                <w:tcPr>
                  <w:tcW w:w="1179" w:type="dxa"/>
                  <w:vAlign w:val="center"/>
                </w:tcPr>
                <w:p w14:paraId="1F6B9EF9">
                  <w:pPr>
                    <w:jc w:val="center"/>
                    <w:rPr>
                      <w:szCs w:val="21"/>
                    </w:rPr>
                  </w:pPr>
                  <w:r>
                    <w:rPr>
                      <w:rFonts w:hint="eastAsia"/>
                      <w:szCs w:val="21"/>
                    </w:rPr>
                    <w:t>SO</w:t>
                  </w:r>
                  <w:r>
                    <w:rPr>
                      <w:rFonts w:hint="eastAsia"/>
                      <w:szCs w:val="21"/>
                      <w:vertAlign w:val="subscript"/>
                    </w:rPr>
                    <w:t>2</w:t>
                  </w:r>
                  <w:r>
                    <w:rPr>
                      <w:rFonts w:hint="eastAsia"/>
                      <w:szCs w:val="21"/>
                    </w:rPr>
                    <w:t>、CO</w:t>
                  </w:r>
                </w:p>
              </w:tc>
              <w:tc>
                <w:tcPr>
                  <w:tcW w:w="1178" w:type="dxa"/>
                  <w:vAlign w:val="center"/>
                </w:tcPr>
                <w:p w14:paraId="685E224B">
                  <w:pPr>
                    <w:jc w:val="center"/>
                    <w:rPr>
                      <w:szCs w:val="21"/>
                    </w:rPr>
                  </w:pPr>
                  <w:r>
                    <w:rPr>
                      <w:rFonts w:hint="eastAsia"/>
                      <w:szCs w:val="21"/>
                    </w:rPr>
                    <w:t>环境空气</w:t>
                  </w:r>
                </w:p>
              </w:tc>
            </w:tr>
            <w:tr w14:paraId="74EF76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8" w:type="dxa"/>
                  <w:vAlign w:val="center"/>
                </w:tcPr>
                <w:p w14:paraId="7C310553">
                  <w:pPr>
                    <w:jc w:val="center"/>
                    <w:rPr>
                      <w:szCs w:val="21"/>
                    </w:rPr>
                  </w:pPr>
                  <w:r>
                    <w:rPr>
                      <w:rFonts w:hint="eastAsia"/>
                      <w:szCs w:val="21"/>
                    </w:rPr>
                    <w:t>2</w:t>
                  </w:r>
                </w:p>
              </w:tc>
              <w:tc>
                <w:tcPr>
                  <w:tcW w:w="1134" w:type="dxa"/>
                  <w:vAlign w:val="center"/>
                </w:tcPr>
                <w:p w14:paraId="393E4332">
                  <w:pPr>
                    <w:jc w:val="center"/>
                    <w:rPr>
                      <w:szCs w:val="21"/>
                    </w:rPr>
                  </w:pPr>
                  <w:r>
                    <w:rPr>
                      <w:rFonts w:hint="eastAsia"/>
                      <w:szCs w:val="21"/>
                    </w:rPr>
                    <w:t>危废暂存间</w:t>
                  </w:r>
                </w:p>
              </w:tc>
              <w:tc>
                <w:tcPr>
                  <w:tcW w:w="1276" w:type="dxa"/>
                  <w:vAlign w:val="center"/>
                </w:tcPr>
                <w:p w14:paraId="0DD85F5D">
                  <w:pPr>
                    <w:jc w:val="center"/>
                    <w:rPr>
                      <w:szCs w:val="21"/>
                    </w:rPr>
                  </w:pPr>
                  <w:r>
                    <w:rPr>
                      <w:rFonts w:hint="eastAsia"/>
                      <w:szCs w:val="21"/>
                    </w:rPr>
                    <w:t>废润滑油、隔油渣</w:t>
                  </w:r>
                </w:p>
              </w:tc>
              <w:tc>
                <w:tcPr>
                  <w:tcW w:w="992" w:type="dxa"/>
                  <w:vAlign w:val="center"/>
                </w:tcPr>
                <w:p w14:paraId="6FABAA39">
                  <w:pPr>
                    <w:jc w:val="center"/>
                    <w:rPr>
                      <w:szCs w:val="21"/>
                    </w:rPr>
                  </w:pPr>
                  <w:r>
                    <w:rPr>
                      <w:rFonts w:hint="eastAsia"/>
                      <w:szCs w:val="21"/>
                    </w:rPr>
                    <w:t>油类物质</w:t>
                  </w:r>
                </w:p>
              </w:tc>
              <w:tc>
                <w:tcPr>
                  <w:tcW w:w="1134" w:type="dxa"/>
                  <w:vAlign w:val="center"/>
                </w:tcPr>
                <w:p w14:paraId="36BA2360">
                  <w:pPr>
                    <w:jc w:val="center"/>
                    <w:rPr>
                      <w:szCs w:val="21"/>
                    </w:rPr>
                  </w:pPr>
                  <w:r>
                    <w:rPr>
                      <w:rFonts w:hint="eastAsia"/>
                      <w:szCs w:val="21"/>
                    </w:rPr>
                    <w:t>泄漏、火灾、爆炸</w:t>
                  </w:r>
                </w:p>
              </w:tc>
              <w:tc>
                <w:tcPr>
                  <w:tcW w:w="1800" w:type="dxa"/>
                  <w:vAlign w:val="center"/>
                </w:tcPr>
                <w:p w14:paraId="51D80973">
                  <w:pPr>
                    <w:jc w:val="center"/>
                    <w:rPr>
                      <w:szCs w:val="21"/>
                    </w:rPr>
                  </w:pPr>
                  <w:r>
                    <w:rPr>
                      <w:rFonts w:hint="eastAsia"/>
                      <w:szCs w:val="21"/>
                    </w:rPr>
                    <w:t>液体物质、发生泄漏遇明火或其他易燃物质会发生火灾，甚至发生爆炸</w:t>
                  </w:r>
                </w:p>
              </w:tc>
              <w:tc>
                <w:tcPr>
                  <w:tcW w:w="1179" w:type="dxa"/>
                  <w:vAlign w:val="center"/>
                </w:tcPr>
                <w:p w14:paraId="61A8BF1D">
                  <w:pPr>
                    <w:jc w:val="center"/>
                    <w:rPr>
                      <w:szCs w:val="21"/>
                    </w:rPr>
                  </w:pPr>
                  <w:r>
                    <w:rPr>
                      <w:rFonts w:hint="eastAsia"/>
                      <w:szCs w:val="21"/>
                    </w:rPr>
                    <w:t>SO</w:t>
                  </w:r>
                  <w:r>
                    <w:rPr>
                      <w:rFonts w:hint="eastAsia"/>
                      <w:szCs w:val="21"/>
                      <w:vertAlign w:val="subscript"/>
                    </w:rPr>
                    <w:t>2</w:t>
                  </w:r>
                  <w:r>
                    <w:rPr>
                      <w:rFonts w:hint="eastAsia"/>
                      <w:szCs w:val="21"/>
                    </w:rPr>
                    <w:t>、CO</w:t>
                  </w:r>
                </w:p>
              </w:tc>
              <w:tc>
                <w:tcPr>
                  <w:tcW w:w="1178" w:type="dxa"/>
                  <w:vAlign w:val="center"/>
                </w:tcPr>
                <w:p w14:paraId="6D85A350">
                  <w:pPr>
                    <w:jc w:val="center"/>
                    <w:rPr>
                      <w:szCs w:val="21"/>
                    </w:rPr>
                  </w:pPr>
                  <w:r>
                    <w:rPr>
                      <w:rFonts w:hint="eastAsia"/>
                      <w:szCs w:val="21"/>
                    </w:rPr>
                    <w:t>环境空气、地下水</w:t>
                  </w:r>
                </w:p>
              </w:tc>
            </w:tr>
          </w:tbl>
          <w:p w14:paraId="41A5F34F">
            <w:pPr>
              <w:spacing w:line="360" w:lineRule="auto"/>
              <w:ind w:firstLine="482" w:firstLineChars="200"/>
              <w:rPr>
                <w:b/>
                <w:sz w:val="24"/>
              </w:rPr>
            </w:pPr>
            <w:r>
              <w:rPr>
                <w:rFonts w:hint="eastAsia"/>
                <w:b/>
                <w:sz w:val="24"/>
              </w:rPr>
              <w:t>4、环境风险分析</w:t>
            </w:r>
          </w:p>
          <w:p w14:paraId="17B0ADC0">
            <w:pPr>
              <w:autoSpaceDE w:val="0"/>
              <w:autoSpaceDN w:val="0"/>
              <w:adjustRightInd w:val="0"/>
              <w:spacing w:line="360" w:lineRule="auto"/>
              <w:ind w:firstLine="480" w:firstLineChars="200"/>
              <w:rPr>
                <w:sz w:val="24"/>
              </w:rPr>
            </w:pPr>
            <w:r>
              <w:rPr>
                <w:rFonts w:hint="eastAsia"/>
                <w:sz w:val="24"/>
              </w:rPr>
              <w:t>从建设项目环境风险识别表可见，项目风险类型主要为泄漏、爆炸、火灾，由于主要危险物质在厂区内储存量较小，哪怕发生风险事故的影响范围也不是很大，只要做好泄漏后的收集工作，环境风险总体可控，不会对环境敏感目标造成大的影响。</w:t>
            </w:r>
          </w:p>
          <w:p w14:paraId="3A099555">
            <w:pPr>
              <w:autoSpaceDE w:val="0"/>
              <w:autoSpaceDN w:val="0"/>
              <w:adjustRightInd w:val="0"/>
              <w:spacing w:line="360" w:lineRule="auto"/>
              <w:ind w:firstLine="482" w:firstLineChars="200"/>
              <w:rPr>
                <w:b/>
                <w:sz w:val="24"/>
              </w:rPr>
            </w:pPr>
            <w:r>
              <w:rPr>
                <w:rFonts w:hint="eastAsia"/>
                <w:b/>
                <w:sz w:val="24"/>
              </w:rPr>
              <w:t>5、环境风险防范措施及应急要求</w:t>
            </w:r>
          </w:p>
          <w:p w14:paraId="0FE6688A">
            <w:pPr>
              <w:adjustRightInd w:val="0"/>
              <w:spacing w:line="360" w:lineRule="auto"/>
              <w:ind w:firstLine="480" w:firstLineChars="200"/>
              <w:rPr>
                <w:sz w:val="24"/>
              </w:rPr>
            </w:pPr>
            <w:r>
              <w:rPr>
                <w:rFonts w:hint="eastAsia"/>
                <w:sz w:val="24"/>
              </w:rPr>
              <w:t>①厂区总平面布置应符合防范事故要求，规范设置应急救援设施及救援及应急疏散通道。生产区建构筑物、装置、设备之间应按规范要求设置安全防护距离、防火间距和安全通道，具备疏散、消防、急救的必要条件。各功能区之间设置环行通道，有利于安全疏散和消防。各构建筑物均按火灾危险等级进行设计，部分钢结构作防火处理。</w:t>
            </w:r>
          </w:p>
          <w:p w14:paraId="4E041382">
            <w:pPr>
              <w:adjustRightInd w:val="0"/>
              <w:spacing w:line="360" w:lineRule="auto"/>
              <w:ind w:firstLine="480" w:firstLineChars="200"/>
              <w:rPr>
                <w:sz w:val="24"/>
              </w:rPr>
            </w:pPr>
            <w:r>
              <w:rPr>
                <w:rFonts w:hint="eastAsia"/>
                <w:sz w:val="24"/>
              </w:rPr>
              <w:t>②天然气管道和附件的连接可采用法兰，其他部位应尽量采用焊接，天然气管道应采取消除静电和防雷的措施。</w:t>
            </w:r>
          </w:p>
          <w:p w14:paraId="58FA4BD7">
            <w:pPr>
              <w:adjustRightInd w:val="0"/>
              <w:spacing w:line="360" w:lineRule="auto"/>
              <w:ind w:firstLine="480" w:firstLineChars="200"/>
              <w:rPr>
                <w:sz w:val="24"/>
              </w:rPr>
            </w:pPr>
            <w:r>
              <w:rPr>
                <w:rFonts w:hint="eastAsia"/>
                <w:sz w:val="24"/>
              </w:rPr>
              <w:t>③天然气管道应架空敷设。天然气架空管道，内壁和外表面应涂刷防锈涂料。天然气管道经常检修的部位设可靠的隔断装置，隔断装置不应使用铜质部件，采取必要的防冻措施，天然气总管上宜装设防爆板或防爆阀，在天然气管道上应设天然气低压报警装置。</w:t>
            </w:r>
          </w:p>
          <w:p w14:paraId="6041E2D1">
            <w:pPr>
              <w:adjustRightInd w:val="0"/>
              <w:spacing w:line="360" w:lineRule="auto"/>
              <w:ind w:firstLine="480" w:firstLineChars="200"/>
              <w:rPr>
                <w:sz w:val="24"/>
              </w:rPr>
            </w:pPr>
            <w:r>
              <w:rPr>
                <w:rFonts w:hint="eastAsia"/>
                <w:sz w:val="24"/>
              </w:rPr>
              <w:t>④爆炸危险区域内电气设备必须有防爆措施、防雷设施及接地装置，应符合防爆要求， 因需要在爆炸危险区域使用非防爆设备时应采取隔爆措施。</w:t>
            </w:r>
          </w:p>
          <w:p w14:paraId="25094A61">
            <w:pPr>
              <w:adjustRightInd w:val="0"/>
              <w:spacing w:line="360" w:lineRule="auto"/>
              <w:ind w:firstLine="480" w:firstLineChars="200"/>
              <w:rPr>
                <w:sz w:val="24"/>
              </w:rPr>
            </w:pPr>
            <w:r>
              <w:rPr>
                <w:rFonts w:hint="eastAsia"/>
                <w:sz w:val="24"/>
              </w:rPr>
              <w:t>⑤对加热炉可能泄漏天然气的设备和工作场所应设安全警示标志，严禁携带打火机、烟头等火种进入。不准穿有钉鞋和化纤衣服的人员以及汽车、电瓶车或其他机动车辆进入煤气易泄漏区域。</w:t>
            </w:r>
          </w:p>
          <w:p w14:paraId="69857C80">
            <w:pPr>
              <w:adjustRightInd w:val="0"/>
              <w:spacing w:line="360" w:lineRule="auto"/>
              <w:ind w:firstLine="480" w:firstLineChars="200"/>
              <w:rPr>
                <w:sz w:val="24"/>
              </w:rPr>
            </w:pPr>
            <w:r>
              <w:rPr>
                <w:rFonts w:hint="eastAsia"/>
                <w:sz w:val="24"/>
              </w:rPr>
              <w:t>⑥在加热炉所在区域安装气体泄漏检测仪及报警装置，同时配备便携式气体检测仪。</w:t>
            </w:r>
          </w:p>
          <w:p w14:paraId="47F980CC">
            <w:pPr>
              <w:adjustRightInd w:val="0"/>
              <w:spacing w:line="360" w:lineRule="auto"/>
              <w:ind w:firstLine="480" w:firstLineChars="200"/>
              <w:rPr>
                <w:sz w:val="24"/>
              </w:rPr>
            </w:pPr>
            <w:r>
              <w:rPr>
                <w:rFonts w:hint="eastAsia"/>
                <w:sz w:val="24"/>
              </w:rPr>
              <w:t>⑦设足够数量的温度测点及压力、流量监测装置，并通过PLC在控制室电脑上进行显示和报警（声音报警），以便运行人员采取必要的措施进行处理，避免事故的发生。</w:t>
            </w:r>
          </w:p>
          <w:p w14:paraId="7A227AA4">
            <w:pPr>
              <w:adjustRightInd w:val="0"/>
              <w:spacing w:line="360" w:lineRule="auto"/>
              <w:ind w:firstLine="480" w:firstLineChars="200"/>
              <w:rPr>
                <w:sz w:val="24"/>
              </w:rPr>
            </w:pPr>
            <w:r>
              <w:rPr>
                <w:rFonts w:hint="eastAsia"/>
                <w:sz w:val="24"/>
              </w:rPr>
              <w:t>⑧危废暂存库应做好地面防渗和泄漏收集设施等，并设围堰；</w:t>
            </w:r>
          </w:p>
          <w:p w14:paraId="23DE9B77">
            <w:pPr>
              <w:adjustRightInd w:val="0"/>
              <w:spacing w:line="360" w:lineRule="auto"/>
              <w:ind w:firstLine="480" w:firstLineChars="200"/>
              <w:rPr>
                <w:sz w:val="24"/>
              </w:rPr>
            </w:pPr>
            <w:r>
              <w:rPr>
                <w:rFonts w:hint="eastAsia"/>
                <w:sz w:val="24"/>
              </w:rPr>
              <w:t>⑨制定完善的风险应急预案并定期演练</w:t>
            </w:r>
            <w:r>
              <w:rPr>
                <w:rFonts w:hint="eastAsia"/>
                <w:kern w:val="0"/>
                <w:sz w:val="24"/>
              </w:rPr>
              <w:t>。</w:t>
            </w:r>
          </w:p>
          <w:p w14:paraId="3F0C6DA5">
            <w:pPr>
              <w:autoSpaceDE w:val="0"/>
              <w:autoSpaceDN w:val="0"/>
              <w:adjustRightInd w:val="0"/>
              <w:spacing w:line="360" w:lineRule="auto"/>
              <w:ind w:firstLine="482" w:firstLineChars="200"/>
              <w:rPr>
                <w:b/>
                <w:kern w:val="0"/>
                <w:sz w:val="24"/>
              </w:rPr>
            </w:pPr>
            <w:r>
              <w:rPr>
                <w:rFonts w:hint="eastAsia"/>
                <w:b/>
                <w:sz w:val="24"/>
              </w:rPr>
              <w:t>6、</w:t>
            </w:r>
            <w:r>
              <w:rPr>
                <w:rFonts w:hint="eastAsia"/>
                <w:b/>
                <w:kern w:val="0"/>
                <w:sz w:val="24"/>
              </w:rPr>
              <w:t>环境风险分析结论</w:t>
            </w:r>
          </w:p>
          <w:p w14:paraId="38E28162">
            <w:pPr>
              <w:adjustRightInd w:val="0"/>
              <w:snapToGrid w:val="0"/>
              <w:spacing w:line="360" w:lineRule="auto"/>
              <w:ind w:firstLine="480" w:firstLineChars="200"/>
              <w:rPr>
                <w:kern w:val="0"/>
                <w:sz w:val="24"/>
              </w:rPr>
            </w:pPr>
            <w:r>
              <w:rPr>
                <w:rFonts w:hint="eastAsia"/>
                <w:kern w:val="0"/>
                <w:sz w:val="24"/>
              </w:rPr>
              <w:t>综上，经物质及生产设施危险性分析，本项目无重大风险源，在加强厂区防火管理、完善事故应急预案的基础上，事故发生概率很低，经过妥善的风险防范措施，本项目环境风险在可接受的范围内。</w:t>
            </w:r>
          </w:p>
          <w:p w14:paraId="0866A083">
            <w:pPr>
              <w:spacing w:beforeLines="50"/>
              <w:jc w:val="center"/>
              <w:rPr>
                <w:b/>
                <w:szCs w:val="21"/>
              </w:rPr>
            </w:pPr>
            <w:r>
              <w:rPr>
                <w:rFonts w:hint="eastAsia"/>
                <w:b/>
                <w:szCs w:val="21"/>
              </w:rPr>
              <w:t>表4-11  建设项目环境风险简单分析内容表</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28"/>
              <w:gridCol w:w="1398"/>
              <w:gridCol w:w="1630"/>
              <w:gridCol w:w="1328"/>
              <w:gridCol w:w="2037"/>
            </w:tblGrid>
            <w:tr w14:paraId="035C43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07" w:type="pct"/>
                  <w:vAlign w:val="center"/>
                </w:tcPr>
                <w:p w14:paraId="3AAFE779">
                  <w:pPr>
                    <w:pStyle w:val="110"/>
                  </w:pPr>
                  <w:r>
                    <w:rPr>
                      <w:rFonts w:hAnsi="宋体" w:eastAsia="宋体"/>
                    </w:rPr>
                    <w:t>建设项目名称</w:t>
                  </w:r>
                </w:p>
              </w:tc>
              <w:tc>
                <w:tcPr>
                  <w:tcW w:w="3393" w:type="pct"/>
                  <w:gridSpan w:val="4"/>
                  <w:vAlign w:val="center"/>
                </w:tcPr>
                <w:p w14:paraId="49BE5F83">
                  <w:pPr>
                    <w:pStyle w:val="110"/>
                    <w:rPr>
                      <w:rFonts w:eastAsia="宋体"/>
                    </w:rPr>
                  </w:pPr>
                  <w:r>
                    <w:rPr>
                      <w:rFonts w:hint="eastAsia" w:eastAsia="宋体"/>
                    </w:rPr>
                    <w:t>衡钢89厂连轧后工艺路线改造项目</w:t>
                  </w:r>
                </w:p>
              </w:tc>
            </w:tr>
            <w:tr w14:paraId="3BEB7A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07" w:type="pct"/>
                  <w:vAlign w:val="center"/>
                </w:tcPr>
                <w:p w14:paraId="62B292CE">
                  <w:pPr>
                    <w:pStyle w:val="110"/>
                  </w:pPr>
                  <w:r>
                    <w:rPr>
                      <w:rFonts w:hAnsi="宋体" w:eastAsia="宋体"/>
                    </w:rPr>
                    <w:t>建设地点</w:t>
                  </w:r>
                </w:p>
              </w:tc>
              <w:tc>
                <w:tcPr>
                  <w:tcW w:w="742" w:type="pct"/>
                  <w:vAlign w:val="center"/>
                </w:tcPr>
                <w:p w14:paraId="162FB3F6">
                  <w:pPr>
                    <w:pStyle w:val="110"/>
                  </w:pPr>
                  <w:r>
                    <w:rPr>
                      <w:rFonts w:hAnsi="宋体" w:eastAsia="宋体"/>
                    </w:rPr>
                    <w:t>（湖南）省</w:t>
                  </w:r>
                </w:p>
              </w:tc>
              <w:tc>
                <w:tcPr>
                  <w:tcW w:w="865" w:type="pct"/>
                  <w:vAlign w:val="center"/>
                </w:tcPr>
                <w:p w14:paraId="0787199A">
                  <w:pPr>
                    <w:pStyle w:val="110"/>
                  </w:pPr>
                  <w:r>
                    <w:rPr>
                      <w:rFonts w:hAnsi="宋体" w:eastAsia="宋体"/>
                    </w:rPr>
                    <w:t>（衡阳）市</w:t>
                  </w:r>
                </w:p>
              </w:tc>
              <w:tc>
                <w:tcPr>
                  <w:tcW w:w="705" w:type="pct"/>
                  <w:vAlign w:val="center"/>
                </w:tcPr>
                <w:p w14:paraId="4EFD66AB">
                  <w:pPr>
                    <w:pStyle w:val="110"/>
                  </w:pPr>
                  <w:r>
                    <w:rPr>
                      <w:rFonts w:hAnsi="宋体" w:eastAsia="宋体"/>
                    </w:rPr>
                    <w:t>（</w:t>
                  </w:r>
                  <w:r>
                    <w:rPr>
                      <w:rFonts w:hint="eastAsia" w:hAnsi="宋体" w:eastAsia="宋体"/>
                    </w:rPr>
                    <w:t>蒸湘</w:t>
                  </w:r>
                  <w:r>
                    <w:rPr>
                      <w:rFonts w:hAnsi="宋体" w:eastAsia="宋体"/>
                    </w:rPr>
                    <w:t>）</w:t>
                  </w:r>
                  <w:r>
                    <w:rPr>
                      <w:rFonts w:hint="eastAsia" w:hAnsi="宋体" w:eastAsia="宋体"/>
                    </w:rPr>
                    <w:t>区</w:t>
                  </w:r>
                </w:p>
              </w:tc>
              <w:tc>
                <w:tcPr>
                  <w:tcW w:w="1081" w:type="pct"/>
                  <w:vAlign w:val="center"/>
                </w:tcPr>
                <w:p w14:paraId="6A96C532">
                  <w:pPr>
                    <w:pStyle w:val="110"/>
                  </w:pPr>
                  <w:r>
                    <w:rPr>
                      <w:rFonts w:hint="eastAsia" w:hAnsi="宋体" w:eastAsia="宋体"/>
                    </w:rPr>
                    <w:t>大栗新村10号</w:t>
                  </w:r>
                </w:p>
              </w:tc>
            </w:tr>
            <w:tr w14:paraId="40C951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07" w:type="pct"/>
                  <w:vAlign w:val="center"/>
                </w:tcPr>
                <w:p w14:paraId="6E43142A">
                  <w:pPr>
                    <w:pStyle w:val="110"/>
                  </w:pPr>
                  <w:r>
                    <w:rPr>
                      <w:rFonts w:hAnsi="宋体" w:eastAsia="宋体"/>
                    </w:rPr>
                    <w:t>地理坐标</w:t>
                  </w:r>
                </w:p>
              </w:tc>
              <w:tc>
                <w:tcPr>
                  <w:tcW w:w="742" w:type="pct"/>
                  <w:vAlign w:val="center"/>
                </w:tcPr>
                <w:p w14:paraId="073B174B">
                  <w:pPr>
                    <w:pStyle w:val="110"/>
                  </w:pPr>
                  <w:r>
                    <w:rPr>
                      <w:rFonts w:hAnsi="宋体" w:eastAsia="宋体"/>
                    </w:rPr>
                    <w:t>经度</w:t>
                  </w:r>
                </w:p>
              </w:tc>
              <w:tc>
                <w:tcPr>
                  <w:tcW w:w="865" w:type="pct"/>
                  <w:vAlign w:val="center"/>
                </w:tcPr>
                <w:p w14:paraId="11E6211D">
                  <w:pPr>
                    <w:pStyle w:val="110"/>
                  </w:pPr>
                  <w:r>
                    <w:t xml:space="preserve">E </w:t>
                  </w:r>
                  <w:r>
                    <w:rPr>
                      <w:rFonts w:hint="eastAsia"/>
                    </w:rPr>
                    <w:t>112°35′24.639″</w:t>
                  </w:r>
                </w:p>
              </w:tc>
              <w:tc>
                <w:tcPr>
                  <w:tcW w:w="705" w:type="pct"/>
                  <w:vAlign w:val="center"/>
                </w:tcPr>
                <w:p w14:paraId="62EE449C">
                  <w:pPr>
                    <w:pStyle w:val="110"/>
                  </w:pPr>
                  <w:r>
                    <w:rPr>
                      <w:rFonts w:hAnsi="宋体" w:eastAsia="宋体"/>
                    </w:rPr>
                    <w:t>纬度</w:t>
                  </w:r>
                </w:p>
              </w:tc>
              <w:tc>
                <w:tcPr>
                  <w:tcW w:w="1081" w:type="pct"/>
                  <w:vAlign w:val="center"/>
                </w:tcPr>
                <w:p w14:paraId="56313F11">
                  <w:pPr>
                    <w:pStyle w:val="110"/>
                  </w:pPr>
                  <w:r>
                    <w:t xml:space="preserve">N </w:t>
                  </w:r>
                  <w:r>
                    <w:rPr>
                      <w:rFonts w:hint="eastAsia"/>
                    </w:rPr>
                    <w:t>26°52′39.981″</w:t>
                  </w:r>
                </w:p>
              </w:tc>
            </w:tr>
            <w:tr w14:paraId="64BC73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07" w:type="pct"/>
                  <w:vAlign w:val="center"/>
                </w:tcPr>
                <w:p w14:paraId="1C102D62">
                  <w:pPr>
                    <w:pStyle w:val="110"/>
                  </w:pPr>
                  <w:r>
                    <w:rPr>
                      <w:rFonts w:hAnsi="宋体" w:eastAsia="宋体"/>
                    </w:rPr>
                    <w:t>主要危险物质及分布</w:t>
                  </w:r>
                </w:p>
              </w:tc>
              <w:tc>
                <w:tcPr>
                  <w:tcW w:w="3393" w:type="pct"/>
                  <w:gridSpan w:val="4"/>
                  <w:vAlign w:val="center"/>
                </w:tcPr>
                <w:p w14:paraId="3BA61917">
                  <w:pPr>
                    <w:pStyle w:val="110"/>
                    <w:jc w:val="both"/>
                    <w:rPr>
                      <w:rFonts w:eastAsia="宋体"/>
                    </w:rPr>
                  </w:pPr>
                  <w:r>
                    <w:rPr>
                      <w:rFonts w:hint="eastAsia" w:eastAsia="宋体"/>
                    </w:rPr>
                    <w:t>加热炉、危废暂存间</w:t>
                  </w:r>
                  <w:r>
                    <w:rPr>
                      <w:rFonts w:eastAsia="宋体"/>
                    </w:rPr>
                    <w:t>。</w:t>
                  </w:r>
                </w:p>
              </w:tc>
            </w:tr>
            <w:tr w14:paraId="56ADFC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07" w:type="pct"/>
                  <w:vAlign w:val="center"/>
                </w:tcPr>
                <w:p w14:paraId="5CF829A2">
                  <w:pPr>
                    <w:pStyle w:val="110"/>
                  </w:pPr>
                  <w:r>
                    <w:rPr>
                      <w:rFonts w:hAnsi="宋体" w:eastAsia="宋体"/>
                    </w:rPr>
                    <w:t>环境影响途径及危害后果（大气、地表水、地下水等）</w:t>
                  </w:r>
                </w:p>
              </w:tc>
              <w:tc>
                <w:tcPr>
                  <w:tcW w:w="3393" w:type="pct"/>
                  <w:gridSpan w:val="4"/>
                  <w:vAlign w:val="center"/>
                </w:tcPr>
                <w:p w14:paraId="77C4053D">
                  <w:pPr>
                    <w:pStyle w:val="110"/>
                    <w:jc w:val="both"/>
                  </w:pPr>
                  <w:r>
                    <w:rPr>
                      <w:rFonts w:hint="eastAsia" w:hAnsi="宋体" w:eastAsia="宋体"/>
                    </w:rPr>
                    <w:t>详见“环境风险识别”</w:t>
                  </w:r>
                  <w:r>
                    <w:rPr>
                      <w:rFonts w:hAnsi="宋体" w:eastAsia="宋体"/>
                    </w:rPr>
                    <w:t>。</w:t>
                  </w:r>
                </w:p>
              </w:tc>
            </w:tr>
            <w:tr w14:paraId="3D6111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07" w:type="pct"/>
                  <w:vAlign w:val="center"/>
                </w:tcPr>
                <w:p w14:paraId="47989438">
                  <w:pPr>
                    <w:pStyle w:val="110"/>
                  </w:pPr>
                  <w:r>
                    <w:rPr>
                      <w:rFonts w:eastAsia="宋体"/>
                    </w:rPr>
                    <w:t>环境风险防范措施要求</w:t>
                  </w:r>
                </w:p>
              </w:tc>
              <w:tc>
                <w:tcPr>
                  <w:tcW w:w="3393" w:type="pct"/>
                  <w:gridSpan w:val="4"/>
                  <w:vAlign w:val="center"/>
                </w:tcPr>
                <w:p w14:paraId="382644A9">
                  <w:pPr>
                    <w:pStyle w:val="110"/>
                    <w:jc w:val="both"/>
                    <w:rPr>
                      <w:rFonts w:eastAsia="等线"/>
                    </w:rPr>
                  </w:pPr>
                  <w:r>
                    <w:rPr>
                      <w:rFonts w:hint="eastAsia" w:hAnsi="宋体" w:eastAsia="宋体"/>
                    </w:rPr>
                    <w:t>详见“环境风险防范措施及应急要求”。</w:t>
                  </w:r>
                </w:p>
              </w:tc>
            </w:tr>
            <w:tr w14:paraId="476096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vAlign w:val="center"/>
                </w:tcPr>
                <w:p w14:paraId="0724876F">
                  <w:pPr>
                    <w:pStyle w:val="110"/>
                    <w:jc w:val="both"/>
                  </w:pPr>
                  <w:r>
                    <w:rPr>
                      <w:rFonts w:hAnsi="宋体" w:eastAsia="宋体"/>
                    </w:rPr>
                    <w:t>填表说明（列出项目相关信息及评价说明）：</w:t>
                  </w:r>
                </w:p>
                <w:p w14:paraId="6E6A7CD4">
                  <w:pPr>
                    <w:pStyle w:val="110"/>
                    <w:jc w:val="both"/>
                  </w:pPr>
                  <w:r>
                    <w:rPr>
                      <w:rFonts w:hAnsi="宋体" w:eastAsia="宋体"/>
                    </w:rPr>
                    <w:t>本项目经风险调查、风险潜势初判，确定项目风险潜势为</w:t>
                  </w:r>
                  <w:r>
                    <w:rPr>
                      <w:rFonts w:eastAsia="宋体"/>
                    </w:rPr>
                    <w:t>Ⅰ</w:t>
                  </w:r>
                  <w:r>
                    <w:rPr>
                      <w:rFonts w:hAnsi="宋体" w:eastAsia="宋体"/>
                    </w:rPr>
                    <w:t>，仅对项目进行简单分析</w:t>
                  </w:r>
                </w:p>
              </w:tc>
            </w:tr>
          </w:tbl>
          <w:p w14:paraId="6DE9302D">
            <w:pPr>
              <w:pStyle w:val="2"/>
              <w:rPr>
                <w:color w:val="auto"/>
                <w:kern w:val="0"/>
              </w:rPr>
            </w:pPr>
          </w:p>
          <w:p w14:paraId="3FA4D183">
            <w:pPr>
              <w:pStyle w:val="4"/>
              <w:spacing w:after="0"/>
              <w:ind w:firstLine="480"/>
              <w:rPr>
                <w:kern w:val="0"/>
                <w:sz w:val="24"/>
              </w:rPr>
            </w:pPr>
          </w:p>
          <w:p w14:paraId="06F9267A">
            <w:pPr>
              <w:rPr>
                <w:kern w:val="0"/>
                <w:sz w:val="24"/>
              </w:rPr>
            </w:pPr>
          </w:p>
          <w:p w14:paraId="27F149E3">
            <w:pPr>
              <w:pStyle w:val="2"/>
            </w:pPr>
          </w:p>
          <w:p w14:paraId="53F21DDC">
            <w:pPr>
              <w:pStyle w:val="4"/>
              <w:spacing w:after="0"/>
            </w:pPr>
          </w:p>
          <w:p w14:paraId="4736E876"/>
          <w:p w14:paraId="35E79225">
            <w:pPr>
              <w:pStyle w:val="2"/>
            </w:pPr>
          </w:p>
          <w:p w14:paraId="13DF99F3">
            <w:pPr>
              <w:pStyle w:val="4"/>
              <w:spacing w:after="0"/>
            </w:pPr>
          </w:p>
          <w:p w14:paraId="2A1844F7"/>
          <w:p w14:paraId="48521280">
            <w:pPr>
              <w:pStyle w:val="2"/>
            </w:pPr>
          </w:p>
          <w:p w14:paraId="16D13114">
            <w:pPr>
              <w:pStyle w:val="4"/>
              <w:spacing w:after="0"/>
            </w:pPr>
          </w:p>
          <w:p w14:paraId="11803200"/>
          <w:p w14:paraId="2A76996A">
            <w:pPr>
              <w:pStyle w:val="2"/>
            </w:pPr>
          </w:p>
          <w:p w14:paraId="47910220">
            <w:pPr>
              <w:pStyle w:val="4"/>
              <w:spacing w:after="0"/>
            </w:pPr>
          </w:p>
          <w:p w14:paraId="53A7B4FF"/>
          <w:p w14:paraId="658DB358">
            <w:pPr>
              <w:pStyle w:val="2"/>
            </w:pPr>
          </w:p>
          <w:p w14:paraId="6FEA81A1">
            <w:pPr>
              <w:pStyle w:val="4"/>
              <w:spacing w:after="0"/>
            </w:pPr>
          </w:p>
          <w:p w14:paraId="7F72AD8E"/>
          <w:p w14:paraId="4EA12B14">
            <w:pPr>
              <w:pStyle w:val="2"/>
            </w:pPr>
          </w:p>
          <w:p w14:paraId="1E9C1D13">
            <w:pPr>
              <w:pStyle w:val="4"/>
              <w:spacing w:after="0"/>
            </w:pPr>
          </w:p>
          <w:p w14:paraId="00CA4842"/>
          <w:p w14:paraId="57E1D830">
            <w:pPr>
              <w:pStyle w:val="2"/>
            </w:pPr>
          </w:p>
          <w:p w14:paraId="01B47A68">
            <w:pPr>
              <w:pStyle w:val="4"/>
              <w:spacing w:after="0"/>
            </w:pPr>
          </w:p>
          <w:p w14:paraId="042FE4E3">
            <w:pPr>
              <w:adjustRightInd w:val="0"/>
              <w:snapToGrid w:val="0"/>
              <w:spacing w:line="360" w:lineRule="auto"/>
              <w:ind w:firstLine="480" w:firstLineChars="200"/>
              <w:rPr>
                <w:rFonts w:hAnsi="宋体"/>
                <w:kern w:val="0"/>
                <w:sz w:val="24"/>
              </w:rPr>
            </w:pPr>
          </w:p>
        </w:tc>
      </w:tr>
    </w:tbl>
    <w:p w14:paraId="251ACD43">
      <w:pPr>
        <w:jc w:val="center"/>
        <w:rPr>
          <w:b/>
        </w:rPr>
        <w:sectPr>
          <w:pgSz w:w="11907" w:h="16840"/>
          <w:pgMar w:top="1701" w:right="1531" w:bottom="2126" w:left="1531" w:header="851" w:footer="851" w:gutter="0"/>
          <w:cols w:space="720" w:num="1"/>
          <w:docGrid w:linePitch="312" w:charSpace="0"/>
        </w:sectPr>
      </w:pPr>
    </w:p>
    <w:p w14:paraId="04086680">
      <w:pPr>
        <w:pStyle w:val="28"/>
        <w:spacing w:before="0" w:beforeAutospacing="0" w:after="0" w:afterAutospacing="0"/>
        <w:jc w:val="center"/>
        <w:outlineLvl w:val="0"/>
        <w:rPr>
          <w:rFonts w:ascii="黑体" w:hAnsi="黑体" w:eastAsia="黑体"/>
          <w:snapToGrid w:val="0"/>
          <w:sz w:val="30"/>
          <w:szCs w:val="30"/>
        </w:rPr>
      </w:pPr>
      <w:bookmarkStart w:id="13" w:name="_Toc111712330"/>
      <w:r>
        <w:rPr>
          <w:rFonts w:hint="eastAsia" w:ascii="黑体" w:hAnsi="黑体" w:eastAsia="黑体"/>
          <w:snapToGrid w:val="0"/>
          <w:sz w:val="30"/>
          <w:szCs w:val="30"/>
        </w:rPr>
        <w:t>五、</w:t>
      </w:r>
      <w:bookmarkStart w:id="14" w:name="_Hlk54167917"/>
      <w:r>
        <w:rPr>
          <w:rFonts w:hint="eastAsia" w:ascii="黑体" w:hAnsi="黑体" w:eastAsia="黑体"/>
          <w:snapToGrid w:val="0"/>
          <w:sz w:val="30"/>
          <w:szCs w:val="30"/>
        </w:rPr>
        <w:t>环境保护措施监督检查清单</w:t>
      </w:r>
      <w:bookmarkEnd w:id="13"/>
      <w:bookmarkEnd w:id="14"/>
    </w:p>
    <w:tbl>
      <w:tblPr>
        <w:tblStyle w:val="31"/>
        <w:tblW w:w="102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03"/>
        <w:gridCol w:w="1700"/>
        <w:gridCol w:w="1620"/>
        <w:gridCol w:w="2250"/>
        <w:gridCol w:w="3233"/>
      </w:tblGrid>
      <w:tr w14:paraId="34D1BD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03" w:type="dxa"/>
            <w:tcBorders>
              <w:tl2br w:val="single" w:color="auto" w:sz="12" w:space="0"/>
            </w:tcBorders>
            <w:vAlign w:val="center"/>
          </w:tcPr>
          <w:p w14:paraId="351B73C1">
            <w:pPr>
              <w:adjustRightInd w:val="0"/>
              <w:snapToGrid w:val="0"/>
              <w:ind w:firstLine="422" w:firstLineChars="200"/>
              <w:rPr>
                <w:b/>
                <w:szCs w:val="21"/>
              </w:rPr>
            </w:pPr>
            <w:r>
              <w:rPr>
                <w:b/>
                <w:szCs w:val="21"/>
              </w:rPr>
              <w:t>内容</w:t>
            </w:r>
          </w:p>
          <w:p w14:paraId="7FF25860">
            <w:pPr>
              <w:adjustRightInd w:val="0"/>
              <w:snapToGrid w:val="0"/>
              <w:jc w:val="center"/>
              <w:rPr>
                <w:b/>
                <w:szCs w:val="21"/>
              </w:rPr>
            </w:pPr>
            <w:r>
              <w:rPr>
                <w:b/>
                <w:szCs w:val="21"/>
              </w:rPr>
              <w:t>要素</w:t>
            </w:r>
          </w:p>
        </w:tc>
        <w:tc>
          <w:tcPr>
            <w:tcW w:w="1700" w:type="dxa"/>
            <w:vAlign w:val="center"/>
          </w:tcPr>
          <w:p w14:paraId="7D895CFE">
            <w:pPr>
              <w:adjustRightInd w:val="0"/>
              <w:snapToGrid w:val="0"/>
              <w:jc w:val="center"/>
              <w:rPr>
                <w:b/>
                <w:szCs w:val="21"/>
              </w:rPr>
            </w:pPr>
            <w:r>
              <w:rPr>
                <w:b/>
                <w:szCs w:val="21"/>
              </w:rPr>
              <w:t>排放口（编号、名称）/污染源</w:t>
            </w:r>
          </w:p>
        </w:tc>
        <w:tc>
          <w:tcPr>
            <w:tcW w:w="1620" w:type="dxa"/>
            <w:vAlign w:val="center"/>
          </w:tcPr>
          <w:p w14:paraId="06083117">
            <w:pPr>
              <w:adjustRightInd w:val="0"/>
              <w:snapToGrid w:val="0"/>
              <w:jc w:val="center"/>
              <w:rPr>
                <w:b/>
                <w:szCs w:val="21"/>
              </w:rPr>
            </w:pPr>
            <w:r>
              <w:rPr>
                <w:b/>
                <w:szCs w:val="21"/>
              </w:rPr>
              <w:t>污染物项目</w:t>
            </w:r>
          </w:p>
        </w:tc>
        <w:tc>
          <w:tcPr>
            <w:tcW w:w="2250" w:type="dxa"/>
            <w:vAlign w:val="center"/>
          </w:tcPr>
          <w:p w14:paraId="310ADCB6">
            <w:pPr>
              <w:adjustRightInd w:val="0"/>
              <w:snapToGrid w:val="0"/>
              <w:jc w:val="center"/>
              <w:rPr>
                <w:b/>
                <w:szCs w:val="21"/>
              </w:rPr>
            </w:pPr>
            <w:r>
              <w:rPr>
                <w:b/>
                <w:szCs w:val="21"/>
              </w:rPr>
              <w:t>环境保护措施</w:t>
            </w:r>
          </w:p>
        </w:tc>
        <w:tc>
          <w:tcPr>
            <w:tcW w:w="3233" w:type="dxa"/>
            <w:vAlign w:val="center"/>
          </w:tcPr>
          <w:p w14:paraId="628C4C07">
            <w:pPr>
              <w:adjustRightInd w:val="0"/>
              <w:snapToGrid w:val="0"/>
              <w:jc w:val="center"/>
              <w:rPr>
                <w:b/>
                <w:szCs w:val="21"/>
              </w:rPr>
            </w:pPr>
            <w:r>
              <w:rPr>
                <w:b/>
                <w:szCs w:val="21"/>
              </w:rPr>
              <w:t>执行标准</w:t>
            </w:r>
          </w:p>
        </w:tc>
      </w:tr>
      <w:tr w14:paraId="4D04D2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03" w:type="dxa"/>
            <w:vMerge w:val="restart"/>
            <w:vAlign w:val="center"/>
          </w:tcPr>
          <w:p w14:paraId="5F81B23B">
            <w:pPr>
              <w:adjustRightInd w:val="0"/>
              <w:snapToGrid w:val="0"/>
              <w:jc w:val="center"/>
              <w:rPr>
                <w:b/>
                <w:szCs w:val="21"/>
              </w:rPr>
            </w:pPr>
            <w:r>
              <w:rPr>
                <w:b/>
                <w:szCs w:val="21"/>
              </w:rPr>
              <w:t>大气环境</w:t>
            </w:r>
          </w:p>
        </w:tc>
        <w:tc>
          <w:tcPr>
            <w:tcW w:w="1700" w:type="dxa"/>
            <w:vAlign w:val="center"/>
          </w:tcPr>
          <w:p w14:paraId="1270D3F8">
            <w:pPr>
              <w:adjustRightInd w:val="0"/>
              <w:snapToGrid w:val="0"/>
              <w:jc w:val="center"/>
              <w:rPr>
                <w:szCs w:val="21"/>
              </w:rPr>
            </w:pPr>
            <w:r>
              <w:rPr>
                <w:kern w:val="0"/>
              </w:rPr>
              <w:t>环形炉尾气（</w:t>
            </w:r>
            <w:r>
              <w:rPr>
                <w:szCs w:val="21"/>
              </w:rPr>
              <w:t>FQ-</w:t>
            </w:r>
            <w:r>
              <w:rPr>
                <w:rFonts w:hint="eastAsia"/>
                <w:szCs w:val="21"/>
              </w:rPr>
              <w:t>1排气筒</w:t>
            </w:r>
            <w:r>
              <w:rPr>
                <w:kern w:val="0"/>
              </w:rPr>
              <w:t>）</w:t>
            </w:r>
          </w:p>
        </w:tc>
        <w:tc>
          <w:tcPr>
            <w:tcW w:w="1620" w:type="dxa"/>
            <w:vAlign w:val="center"/>
          </w:tcPr>
          <w:p w14:paraId="0A3AAFED">
            <w:pPr>
              <w:adjustRightInd w:val="0"/>
              <w:snapToGrid w:val="0"/>
              <w:jc w:val="center"/>
              <w:rPr>
                <w:szCs w:val="21"/>
              </w:rPr>
            </w:pPr>
            <w:r>
              <w:rPr>
                <w:szCs w:val="21"/>
              </w:rPr>
              <w:t>颗粒物</w:t>
            </w:r>
          </w:p>
          <w:p w14:paraId="110BB63D">
            <w:pPr>
              <w:pStyle w:val="2"/>
              <w:jc w:val="center"/>
              <w:rPr>
                <w:rFonts w:ascii="Times New Roman" w:cs="Times New Roman"/>
                <w:color w:val="auto"/>
                <w:sz w:val="21"/>
                <w:szCs w:val="21"/>
              </w:rPr>
            </w:pPr>
            <w:r>
              <w:rPr>
                <w:rFonts w:ascii="Times New Roman" w:cs="Times New Roman"/>
                <w:color w:val="auto"/>
                <w:sz w:val="21"/>
                <w:szCs w:val="21"/>
              </w:rPr>
              <w:t>二氧化硫</w:t>
            </w:r>
          </w:p>
          <w:p w14:paraId="261C57A2">
            <w:pPr>
              <w:pStyle w:val="4"/>
              <w:spacing w:after="0"/>
              <w:ind w:left="0" w:leftChars="0" w:firstLine="0" w:firstLineChars="0"/>
              <w:jc w:val="center"/>
              <w:rPr>
                <w:szCs w:val="21"/>
              </w:rPr>
            </w:pPr>
            <w:r>
              <w:rPr>
                <w:rFonts w:hint="eastAsia"/>
                <w:szCs w:val="21"/>
              </w:rPr>
              <w:t>氮氧化物</w:t>
            </w:r>
          </w:p>
        </w:tc>
        <w:tc>
          <w:tcPr>
            <w:tcW w:w="2250" w:type="dxa"/>
            <w:vAlign w:val="center"/>
          </w:tcPr>
          <w:p w14:paraId="44AF727A">
            <w:pPr>
              <w:adjustRightInd w:val="0"/>
              <w:snapToGrid w:val="0"/>
              <w:jc w:val="center"/>
              <w:rPr>
                <w:szCs w:val="21"/>
              </w:rPr>
            </w:pPr>
            <w:r>
              <w:rPr>
                <w:kern w:val="0"/>
              </w:rPr>
              <w:t>通过80m FQ-1排气筒高空达标排放</w:t>
            </w:r>
          </w:p>
        </w:tc>
        <w:tc>
          <w:tcPr>
            <w:tcW w:w="3233" w:type="dxa"/>
            <w:vMerge w:val="restart"/>
            <w:vAlign w:val="center"/>
          </w:tcPr>
          <w:p w14:paraId="549D8C4C">
            <w:pPr>
              <w:autoSpaceDE w:val="0"/>
              <w:autoSpaceDN w:val="0"/>
              <w:adjustRightInd w:val="0"/>
              <w:jc w:val="center"/>
              <w:rPr>
                <w:szCs w:val="21"/>
              </w:rPr>
            </w:pPr>
            <w:r>
              <w:rPr>
                <w:rFonts w:hint="eastAsia"/>
                <w:szCs w:val="21"/>
              </w:rPr>
              <w:t>《关于推进实施钢铁行业超低排放的意见（环大气[2019]35号）》附件2中钢铁企业超低排放标准</w:t>
            </w:r>
          </w:p>
        </w:tc>
      </w:tr>
      <w:tr w14:paraId="0A469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03" w:type="dxa"/>
            <w:vMerge w:val="continue"/>
            <w:vAlign w:val="center"/>
          </w:tcPr>
          <w:p w14:paraId="34A4F4DC">
            <w:pPr>
              <w:adjustRightInd w:val="0"/>
              <w:snapToGrid w:val="0"/>
              <w:jc w:val="center"/>
              <w:rPr>
                <w:b/>
                <w:szCs w:val="21"/>
              </w:rPr>
            </w:pPr>
          </w:p>
        </w:tc>
        <w:tc>
          <w:tcPr>
            <w:tcW w:w="1700" w:type="dxa"/>
            <w:vAlign w:val="center"/>
          </w:tcPr>
          <w:p w14:paraId="42F75192">
            <w:pPr>
              <w:adjustRightInd w:val="0"/>
              <w:snapToGrid w:val="0"/>
              <w:jc w:val="center"/>
              <w:rPr>
                <w:szCs w:val="21"/>
              </w:rPr>
            </w:pPr>
            <w:r>
              <w:rPr>
                <w:kern w:val="0"/>
              </w:rPr>
              <w:t>步进炉尾气（</w:t>
            </w:r>
            <w:r>
              <w:rPr>
                <w:szCs w:val="21"/>
              </w:rPr>
              <w:t>FQ-</w:t>
            </w:r>
            <w:r>
              <w:rPr>
                <w:rFonts w:hint="eastAsia"/>
                <w:szCs w:val="21"/>
              </w:rPr>
              <w:t>2排气筒</w:t>
            </w:r>
            <w:r>
              <w:rPr>
                <w:kern w:val="0"/>
              </w:rPr>
              <w:t>）</w:t>
            </w:r>
          </w:p>
        </w:tc>
        <w:tc>
          <w:tcPr>
            <w:tcW w:w="1620" w:type="dxa"/>
            <w:vAlign w:val="center"/>
          </w:tcPr>
          <w:p w14:paraId="029530C0">
            <w:pPr>
              <w:adjustRightInd w:val="0"/>
              <w:snapToGrid w:val="0"/>
              <w:jc w:val="center"/>
              <w:rPr>
                <w:szCs w:val="21"/>
              </w:rPr>
            </w:pPr>
            <w:r>
              <w:rPr>
                <w:szCs w:val="21"/>
              </w:rPr>
              <w:t>颗粒物</w:t>
            </w:r>
          </w:p>
          <w:p w14:paraId="249C0E14">
            <w:pPr>
              <w:pStyle w:val="2"/>
              <w:jc w:val="center"/>
              <w:rPr>
                <w:rFonts w:ascii="Times New Roman" w:cs="Times New Roman"/>
                <w:color w:val="auto"/>
                <w:sz w:val="21"/>
                <w:szCs w:val="21"/>
              </w:rPr>
            </w:pPr>
            <w:r>
              <w:rPr>
                <w:rFonts w:ascii="Times New Roman" w:cs="Times New Roman"/>
                <w:color w:val="auto"/>
                <w:sz w:val="21"/>
                <w:szCs w:val="21"/>
              </w:rPr>
              <w:t>二氧化硫</w:t>
            </w:r>
          </w:p>
          <w:p w14:paraId="7AD2A3BC">
            <w:pPr>
              <w:adjustRightInd w:val="0"/>
              <w:snapToGrid w:val="0"/>
              <w:jc w:val="center"/>
              <w:rPr>
                <w:bCs/>
                <w:spacing w:val="-10"/>
                <w:szCs w:val="21"/>
              </w:rPr>
            </w:pPr>
            <w:r>
              <w:rPr>
                <w:rFonts w:hint="eastAsia"/>
                <w:szCs w:val="21"/>
              </w:rPr>
              <w:t>氮氧化物</w:t>
            </w:r>
          </w:p>
        </w:tc>
        <w:tc>
          <w:tcPr>
            <w:tcW w:w="2250" w:type="dxa"/>
            <w:vAlign w:val="center"/>
          </w:tcPr>
          <w:p w14:paraId="5F4F6D19">
            <w:pPr>
              <w:adjustRightInd w:val="0"/>
              <w:snapToGrid w:val="0"/>
              <w:jc w:val="center"/>
              <w:rPr>
                <w:szCs w:val="21"/>
              </w:rPr>
            </w:pPr>
            <w:r>
              <w:rPr>
                <w:kern w:val="0"/>
              </w:rPr>
              <w:t>通过</w:t>
            </w:r>
            <w:r>
              <w:rPr>
                <w:rFonts w:hint="eastAsia"/>
                <w:kern w:val="0"/>
              </w:rPr>
              <w:t>68</w:t>
            </w:r>
            <w:r>
              <w:rPr>
                <w:kern w:val="0"/>
              </w:rPr>
              <w:t>m FQ-</w:t>
            </w:r>
            <w:r>
              <w:rPr>
                <w:rFonts w:hint="eastAsia"/>
                <w:kern w:val="0"/>
              </w:rPr>
              <w:t>2</w:t>
            </w:r>
            <w:r>
              <w:rPr>
                <w:kern w:val="0"/>
              </w:rPr>
              <w:t>排气筒高空达标排放</w:t>
            </w:r>
          </w:p>
        </w:tc>
        <w:tc>
          <w:tcPr>
            <w:tcW w:w="3233" w:type="dxa"/>
            <w:vMerge w:val="continue"/>
            <w:vAlign w:val="center"/>
          </w:tcPr>
          <w:p w14:paraId="0B0032E3">
            <w:pPr>
              <w:autoSpaceDE w:val="0"/>
              <w:autoSpaceDN w:val="0"/>
              <w:adjustRightInd w:val="0"/>
              <w:jc w:val="center"/>
              <w:rPr>
                <w:szCs w:val="21"/>
              </w:rPr>
            </w:pPr>
          </w:p>
        </w:tc>
      </w:tr>
      <w:tr w14:paraId="7CF40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03" w:type="dxa"/>
            <w:vMerge w:val="continue"/>
            <w:vAlign w:val="center"/>
          </w:tcPr>
          <w:p w14:paraId="1CFB915D">
            <w:pPr>
              <w:adjustRightInd w:val="0"/>
              <w:snapToGrid w:val="0"/>
              <w:jc w:val="center"/>
              <w:rPr>
                <w:b/>
                <w:szCs w:val="21"/>
              </w:rPr>
            </w:pPr>
          </w:p>
        </w:tc>
        <w:tc>
          <w:tcPr>
            <w:tcW w:w="1700" w:type="dxa"/>
            <w:vAlign w:val="center"/>
          </w:tcPr>
          <w:p w14:paraId="63944096">
            <w:pPr>
              <w:adjustRightInd w:val="0"/>
              <w:snapToGrid w:val="0"/>
              <w:jc w:val="center"/>
              <w:rPr>
                <w:szCs w:val="21"/>
              </w:rPr>
            </w:pPr>
            <w:r>
              <w:rPr>
                <w:rFonts w:hint="eastAsia"/>
              </w:rPr>
              <w:t>喷硼砂作业、连轧管作业粉尘</w:t>
            </w:r>
            <w:r>
              <w:rPr>
                <w:kern w:val="0"/>
              </w:rPr>
              <w:t>（</w:t>
            </w:r>
            <w:r>
              <w:rPr>
                <w:szCs w:val="21"/>
              </w:rPr>
              <w:t>FQ-</w:t>
            </w:r>
            <w:r>
              <w:rPr>
                <w:rFonts w:hint="eastAsia"/>
                <w:szCs w:val="21"/>
              </w:rPr>
              <w:t>3排气筒</w:t>
            </w:r>
            <w:r>
              <w:rPr>
                <w:kern w:val="0"/>
              </w:rPr>
              <w:t>）</w:t>
            </w:r>
          </w:p>
        </w:tc>
        <w:tc>
          <w:tcPr>
            <w:tcW w:w="1620" w:type="dxa"/>
            <w:vAlign w:val="center"/>
          </w:tcPr>
          <w:p w14:paraId="57C07FB5">
            <w:pPr>
              <w:adjustRightInd w:val="0"/>
              <w:snapToGrid w:val="0"/>
              <w:jc w:val="center"/>
              <w:rPr>
                <w:szCs w:val="21"/>
              </w:rPr>
            </w:pPr>
            <w:r>
              <w:rPr>
                <w:szCs w:val="21"/>
              </w:rPr>
              <w:t>颗粒物</w:t>
            </w:r>
          </w:p>
        </w:tc>
        <w:tc>
          <w:tcPr>
            <w:tcW w:w="2250" w:type="dxa"/>
            <w:vAlign w:val="center"/>
          </w:tcPr>
          <w:p w14:paraId="3513BFDF">
            <w:pPr>
              <w:adjustRightInd w:val="0"/>
              <w:snapToGrid w:val="0"/>
              <w:jc w:val="center"/>
              <w:rPr>
                <w:szCs w:val="21"/>
              </w:rPr>
            </w:pPr>
            <w:r>
              <w:t>经塑烧板除尘器</w:t>
            </w:r>
            <w:r>
              <w:rPr>
                <w:rFonts w:hint="eastAsia"/>
              </w:rPr>
              <w:t>后通过18m FQ-3排气筒高空达标排放</w:t>
            </w:r>
          </w:p>
        </w:tc>
        <w:tc>
          <w:tcPr>
            <w:tcW w:w="3233" w:type="dxa"/>
            <w:vAlign w:val="center"/>
          </w:tcPr>
          <w:p w14:paraId="5452FFE0">
            <w:pPr>
              <w:autoSpaceDE w:val="0"/>
              <w:autoSpaceDN w:val="0"/>
              <w:adjustRightInd w:val="0"/>
              <w:jc w:val="center"/>
              <w:rPr>
                <w:szCs w:val="21"/>
              </w:rPr>
            </w:pPr>
            <w:r>
              <w:rPr>
                <w:rFonts w:hint="eastAsia"/>
                <w:szCs w:val="21"/>
              </w:rPr>
              <w:t>《轧钢工业大气污染物排放标准》（GB28665-2012）表3新建企业大气污染物排放限值</w:t>
            </w:r>
          </w:p>
        </w:tc>
      </w:tr>
      <w:tr w14:paraId="1EAF60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03" w:type="dxa"/>
            <w:vMerge w:val="continue"/>
            <w:vAlign w:val="center"/>
          </w:tcPr>
          <w:p w14:paraId="4C8EED06">
            <w:pPr>
              <w:adjustRightInd w:val="0"/>
              <w:snapToGrid w:val="0"/>
              <w:jc w:val="center"/>
              <w:rPr>
                <w:b/>
                <w:szCs w:val="21"/>
              </w:rPr>
            </w:pPr>
          </w:p>
        </w:tc>
        <w:tc>
          <w:tcPr>
            <w:tcW w:w="1700" w:type="dxa"/>
            <w:vAlign w:val="center"/>
          </w:tcPr>
          <w:p w14:paraId="2D42CC62">
            <w:pPr>
              <w:adjustRightInd w:val="0"/>
              <w:snapToGrid w:val="0"/>
              <w:jc w:val="center"/>
              <w:rPr>
                <w:szCs w:val="21"/>
              </w:rPr>
            </w:pPr>
            <w:r>
              <w:rPr>
                <w:rFonts w:hint="eastAsia"/>
                <w:szCs w:val="21"/>
              </w:rPr>
              <w:t>厂界无组织废气</w:t>
            </w:r>
          </w:p>
        </w:tc>
        <w:tc>
          <w:tcPr>
            <w:tcW w:w="1620" w:type="dxa"/>
            <w:vAlign w:val="center"/>
          </w:tcPr>
          <w:p w14:paraId="11B57BE9">
            <w:pPr>
              <w:adjustRightInd w:val="0"/>
              <w:snapToGrid w:val="0"/>
              <w:jc w:val="center"/>
              <w:rPr>
                <w:bCs/>
                <w:spacing w:val="-10"/>
                <w:szCs w:val="21"/>
              </w:rPr>
            </w:pPr>
            <w:r>
              <w:rPr>
                <w:szCs w:val="21"/>
              </w:rPr>
              <w:t>颗粒物</w:t>
            </w:r>
          </w:p>
        </w:tc>
        <w:tc>
          <w:tcPr>
            <w:tcW w:w="2250" w:type="dxa"/>
            <w:vAlign w:val="center"/>
          </w:tcPr>
          <w:p w14:paraId="589AAF58">
            <w:pPr>
              <w:adjustRightInd w:val="0"/>
              <w:snapToGrid w:val="0"/>
              <w:jc w:val="center"/>
              <w:rPr>
                <w:szCs w:val="21"/>
              </w:rPr>
            </w:pPr>
            <w:r>
              <w:rPr>
                <w:rFonts w:hint="eastAsia" w:eastAsiaTheme="minorEastAsia"/>
                <w:szCs w:val="21"/>
              </w:rPr>
              <w:t>加强车间通风</w:t>
            </w:r>
          </w:p>
        </w:tc>
        <w:tc>
          <w:tcPr>
            <w:tcW w:w="3233" w:type="dxa"/>
            <w:vAlign w:val="center"/>
          </w:tcPr>
          <w:p w14:paraId="7D052AEF">
            <w:pPr>
              <w:autoSpaceDE w:val="0"/>
              <w:autoSpaceDN w:val="0"/>
              <w:adjustRightInd w:val="0"/>
              <w:jc w:val="center"/>
              <w:rPr>
                <w:szCs w:val="21"/>
              </w:rPr>
            </w:pPr>
            <w:r>
              <w:rPr>
                <w:rFonts w:hint="eastAsia"/>
                <w:szCs w:val="21"/>
              </w:rPr>
              <w:t>《轧钢工业大气污染物排放标准》（GB28665-2012）表4大气污染物无组织排放浓度限值</w:t>
            </w:r>
          </w:p>
        </w:tc>
      </w:tr>
      <w:tr w14:paraId="47FE6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03" w:type="dxa"/>
            <w:vMerge w:val="restart"/>
            <w:vAlign w:val="center"/>
          </w:tcPr>
          <w:p w14:paraId="308FC995">
            <w:pPr>
              <w:adjustRightInd w:val="0"/>
              <w:snapToGrid w:val="0"/>
              <w:jc w:val="center"/>
              <w:rPr>
                <w:b/>
                <w:szCs w:val="21"/>
              </w:rPr>
            </w:pPr>
            <w:r>
              <w:rPr>
                <w:b/>
                <w:szCs w:val="21"/>
              </w:rPr>
              <w:t>地表水环境</w:t>
            </w:r>
          </w:p>
        </w:tc>
        <w:tc>
          <w:tcPr>
            <w:tcW w:w="1700" w:type="dxa"/>
            <w:vAlign w:val="center"/>
          </w:tcPr>
          <w:p w14:paraId="5AEF88AB">
            <w:pPr>
              <w:adjustRightInd w:val="0"/>
              <w:snapToGrid w:val="0"/>
              <w:jc w:val="center"/>
              <w:rPr>
                <w:szCs w:val="21"/>
              </w:rPr>
            </w:pPr>
            <w:r>
              <w:rPr>
                <w:rFonts w:hint="eastAsia"/>
                <w:szCs w:val="21"/>
              </w:rPr>
              <w:t>生活</w:t>
            </w:r>
            <w:r>
              <w:rPr>
                <w:szCs w:val="21"/>
              </w:rPr>
              <w:t>污水</w:t>
            </w:r>
          </w:p>
        </w:tc>
        <w:tc>
          <w:tcPr>
            <w:tcW w:w="1620" w:type="dxa"/>
            <w:vAlign w:val="center"/>
          </w:tcPr>
          <w:p w14:paraId="071A4E6A">
            <w:pPr>
              <w:adjustRightInd w:val="0"/>
              <w:snapToGrid w:val="0"/>
              <w:jc w:val="center"/>
              <w:rPr>
                <w:szCs w:val="21"/>
              </w:rPr>
            </w:pPr>
            <w:r>
              <w:rPr>
                <w:rFonts w:hint="eastAsia"/>
                <w:szCs w:val="21"/>
              </w:rPr>
              <w:t>COD</w:t>
            </w:r>
            <w:r>
              <w:rPr>
                <w:rFonts w:hint="eastAsia"/>
                <w:szCs w:val="21"/>
                <w:vertAlign w:val="subscript"/>
              </w:rPr>
              <w:t>Cr</w:t>
            </w:r>
            <w:r>
              <w:rPr>
                <w:rFonts w:hint="eastAsia"/>
                <w:szCs w:val="21"/>
              </w:rPr>
              <w:t>、BOD</w:t>
            </w:r>
            <w:r>
              <w:rPr>
                <w:rFonts w:hint="eastAsia"/>
                <w:szCs w:val="21"/>
                <w:vertAlign w:val="subscript"/>
              </w:rPr>
              <w:t>5</w:t>
            </w:r>
            <w:r>
              <w:rPr>
                <w:rFonts w:hint="eastAsia"/>
                <w:szCs w:val="21"/>
              </w:rPr>
              <w:t>、SS、氨氮、动植物油等</w:t>
            </w:r>
          </w:p>
        </w:tc>
        <w:tc>
          <w:tcPr>
            <w:tcW w:w="2250" w:type="dxa"/>
            <w:vAlign w:val="center"/>
          </w:tcPr>
          <w:p w14:paraId="630CED3B">
            <w:pPr>
              <w:adjustRightInd w:val="0"/>
              <w:snapToGrid w:val="0"/>
              <w:jc w:val="center"/>
              <w:rPr>
                <w:szCs w:val="21"/>
              </w:rPr>
            </w:pPr>
            <w:r>
              <w:rPr>
                <w:rFonts w:hint="eastAsia"/>
                <w:szCs w:val="21"/>
              </w:rPr>
              <w:t>衡钢东区污染处理站污水处理站处理</w:t>
            </w:r>
          </w:p>
        </w:tc>
        <w:tc>
          <w:tcPr>
            <w:tcW w:w="3233" w:type="dxa"/>
            <w:vAlign w:val="center"/>
          </w:tcPr>
          <w:p w14:paraId="79CAE8DC">
            <w:pPr>
              <w:adjustRightInd w:val="0"/>
              <w:snapToGrid w:val="0"/>
              <w:jc w:val="center"/>
              <w:rPr>
                <w:szCs w:val="21"/>
              </w:rPr>
            </w:pPr>
            <w:r>
              <w:rPr>
                <w:rFonts w:hint="eastAsia"/>
                <w:szCs w:val="21"/>
              </w:rPr>
              <w:t>《钢铁工业水污染物排放标准》（GB13456-2012）中钢铁联合企业排放限值</w:t>
            </w:r>
          </w:p>
        </w:tc>
      </w:tr>
      <w:tr w14:paraId="37DD3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03" w:type="dxa"/>
            <w:vMerge w:val="continue"/>
            <w:vAlign w:val="center"/>
          </w:tcPr>
          <w:p w14:paraId="70AF3B0C">
            <w:pPr>
              <w:adjustRightInd w:val="0"/>
              <w:snapToGrid w:val="0"/>
              <w:jc w:val="center"/>
              <w:rPr>
                <w:b/>
                <w:szCs w:val="21"/>
              </w:rPr>
            </w:pPr>
          </w:p>
        </w:tc>
        <w:tc>
          <w:tcPr>
            <w:tcW w:w="1700" w:type="dxa"/>
            <w:vAlign w:val="center"/>
          </w:tcPr>
          <w:p w14:paraId="75F33F95">
            <w:pPr>
              <w:adjustRightInd w:val="0"/>
              <w:snapToGrid w:val="0"/>
              <w:jc w:val="center"/>
              <w:rPr>
                <w:szCs w:val="21"/>
              </w:rPr>
            </w:pPr>
            <w:r>
              <w:rPr>
                <w:rFonts w:hint="eastAsia"/>
                <w:szCs w:val="21"/>
              </w:rPr>
              <w:t>净环水</w:t>
            </w:r>
          </w:p>
        </w:tc>
        <w:tc>
          <w:tcPr>
            <w:tcW w:w="1620" w:type="dxa"/>
            <w:vAlign w:val="center"/>
          </w:tcPr>
          <w:p w14:paraId="1B391B55">
            <w:pPr>
              <w:adjustRightInd w:val="0"/>
              <w:snapToGrid w:val="0"/>
              <w:jc w:val="center"/>
              <w:rPr>
                <w:szCs w:val="21"/>
              </w:rPr>
            </w:pPr>
            <w:r>
              <w:rPr>
                <w:rFonts w:hint="eastAsia"/>
                <w:szCs w:val="21"/>
              </w:rPr>
              <w:t>/</w:t>
            </w:r>
          </w:p>
        </w:tc>
        <w:tc>
          <w:tcPr>
            <w:tcW w:w="2250" w:type="dxa"/>
            <w:vAlign w:val="center"/>
          </w:tcPr>
          <w:p w14:paraId="79A453CD">
            <w:pPr>
              <w:adjustRightInd w:val="0"/>
              <w:snapToGrid w:val="0"/>
              <w:jc w:val="center"/>
              <w:rPr>
                <w:szCs w:val="21"/>
              </w:rPr>
            </w:pPr>
            <w:r>
              <w:rPr>
                <w:rFonts w:hint="eastAsia"/>
                <w:szCs w:val="21"/>
              </w:rPr>
              <w:t>经冷却处理后循环使用，系统强制排污水进入浊环水系统；净环水反冲洗废水经砂石过滤器处理后回用至浊环水系统</w:t>
            </w:r>
          </w:p>
        </w:tc>
        <w:tc>
          <w:tcPr>
            <w:tcW w:w="3233" w:type="dxa"/>
            <w:vAlign w:val="center"/>
          </w:tcPr>
          <w:p w14:paraId="2D2760BB">
            <w:pPr>
              <w:adjustRightInd w:val="0"/>
              <w:snapToGrid w:val="0"/>
              <w:jc w:val="center"/>
              <w:rPr>
                <w:szCs w:val="21"/>
              </w:rPr>
            </w:pPr>
            <w:r>
              <w:rPr>
                <w:rFonts w:hint="eastAsia"/>
                <w:szCs w:val="21"/>
              </w:rPr>
              <w:t>符合环保要求</w:t>
            </w:r>
          </w:p>
        </w:tc>
      </w:tr>
      <w:tr w14:paraId="29A6F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03" w:type="dxa"/>
            <w:vMerge w:val="continue"/>
            <w:vAlign w:val="center"/>
          </w:tcPr>
          <w:p w14:paraId="5B668ADD">
            <w:pPr>
              <w:adjustRightInd w:val="0"/>
              <w:snapToGrid w:val="0"/>
              <w:jc w:val="center"/>
              <w:rPr>
                <w:b/>
                <w:szCs w:val="21"/>
              </w:rPr>
            </w:pPr>
          </w:p>
        </w:tc>
        <w:tc>
          <w:tcPr>
            <w:tcW w:w="1700" w:type="dxa"/>
            <w:vAlign w:val="center"/>
          </w:tcPr>
          <w:p w14:paraId="675F9D4B">
            <w:pPr>
              <w:adjustRightInd w:val="0"/>
              <w:snapToGrid w:val="0"/>
              <w:jc w:val="center"/>
              <w:rPr>
                <w:szCs w:val="21"/>
              </w:rPr>
            </w:pPr>
            <w:r>
              <w:rPr>
                <w:rFonts w:hint="eastAsia"/>
                <w:szCs w:val="21"/>
              </w:rPr>
              <w:t>浊环水</w:t>
            </w:r>
          </w:p>
        </w:tc>
        <w:tc>
          <w:tcPr>
            <w:tcW w:w="1620" w:type="dxa"/>
            <w:vAlign w:val="center"/>
          </w:tcPr>
          <w:p w14:paraId="58B16173">
            <w:pPr>
              <w:adjustRightInd w:val="0"/>
              <w:snapToGrid w:val="0"/>
              <w:jc w:val="center"/>
              <w:rPr>
                <w:szCs w:val="21"/>
              </w:rPr>
            </w:pPr>
            <w:r>
              <w:rPr>
                <w:rFonts w:hint="eastAsia"/>
                <w:szCs w:val="21"/>
              </w:rPr>
              <w:t>SS、石油类</w:t>
            </w:r>
          </w:p>
        </w:tc>
        <w:tc>
          <w:tcPr>
            <w:tcW w:w="2250" w:type="dxa"/>
            <w:vAlign w:val="center"/>
          </w:tcPr>
          <w:p w14:paraId="5E43FD55">
            <w:pPr>
              <w:adjustRightInd w:val="0"/>
              <w:snapToGrid w:val="0"/>
              <w:jc w:val="center"/>
              <w:rPr>
                <w:szCs w:val="21"/>
              </w:rPr>
            </w:pPr>
            <w:r>
              <w:rPr>
                <w:rFonts w:hint="eastAsia"/>
                <w:szCs w:val="21"/>
              </w:rPr>
              <w:t>浊环水经隔油、沉淀、冷却处理后大部分循环使用，少部分排至衡钢东区污水处理站</w:t>
            </w:r>
          </w:p>
        </w:tc>
        <w:tc>
          <w:tcPr>
            <w:tcW w:w="3233" w:type="dxa"/>
            <w:vAlign w:val="center"/>
          </w:tcPr>
          <w:p w14:paraId="29AB532B">
            <w:pPr>
              <w:adjustRightInd w:val="0"/>
              <w:snapToGrid w:val="0"/>
              <w:jc w:val="center"/>
              <w:rPr>
                <w:szCs w:val="21"/>
              </w:rPr>
            </w:pPr>
            <w:r>
              <w:rPr>
                <w:rFonts w:hint="eastAsia"/>
                <w:szCs w:val="21"/>
              </w:rPr>
              <w:t>符合环保要求</w:t>
            </w:r>
          </w:p>
        </w:tc>
      </w:tr>
      <w:tr w14:paraId="5F3E01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03" w:type="dxa"/>
            <w:vAlign w:val="center"/>
          </w:tcPr>
          <w:p w14:paraId="47CC1F95">
            <w:pPr>
              <w:adjustRightInd w:val="0"/>
              <w:snapToGrid w:val="0"/>
              <w:jc w:val="center"/>
              <w:rPr>
                <w:b/>
                <w:szCs w:val="21"/>
              </w:rPr>
            </w:pPr>
            <w:r>
              <w:rPr>
                <w:b/>
                <w:szCs w:val="21"/>
              </w:rPr>
              <w:t>声环境</w:t>
            </w:r>
          </w:p>
        </w:tc>
        <w:tc>
          <w:tcPr>
            <w:tcW w:w="1700" w:type="dxa"/>
            <w:vAlign w:val="center"/>
          </w:tcPr>
          <w:p w14:paraId="790033C2">
            <w:pPr>
              <w:adjustRightInd w:val="0"/>
              <w:snapToGrid w:val="0"/>
              <w:jc w:val="center"/>
              <w:rPr>
                <w:szCs w:val="21"/>
              </w:rPr>
            </w:pPr>
            <w:r>
              <w:rPr>
                <w:szCs w:val="21"/>
              </w:rPr>
              <w:t>噪声</w:t>
            </w:r>
          </w:p>
        </w:tc>
        <w:tc>
          <w:tcPr>
            <w:tcW w:w="3870" w:type="dxa"/>
            <w:gridSpan w:val="2"/>
            <w:vAlign w:val="center"/>
          </w:tcPr>
          <w:p w14:paraId="1B6F3BB0">
            <w:pPr>
              <w:pStyle w:val="2"/>
              <w:jc w:val="center"/>
              <w:rPr>
                <w:rFonts w:ascii="Times New Roman" w:cs="Times New Roman"/>
                <w:color w:val="auto"/>
                <w:sz w:val="21"/>
                <w:szCs w:val="21"/>
              </w:rPr>
            </w:pPr>
            <w:r>
              <w:rPr>
                <w:rFonts w:ascii="Times New Roman" w:cs="Times New Roman"/>
                <w:color w:val="auto"/>
                <w:sz w:val="21"/>
                <w:szCs w:val="21"/>
              </w:rPr>
              <w:t>选用低噪声设备、基础减振，建筑隔声</w:t>
            </w:r>
          </w:p>
        </w:tc>
        <w:tc>
          <w:tcPr>
            <w:tcW w:w="3233" w:type="dxa"/>
            <w:vAlign w:val="center"/>
          </w:tcPr>
          <w:p w14:paraId="2487DE68">
            <w:pPr>
              <w:adjustRightInd w:val="0"/>
              <w:snapToGrid w:val="0"/>
              <w:jc w:val="center"/>
              <w:rPr>
                <w:szCs w:val="21"/>
              </w:rPr>
            </w:pPr>
            <w:r>
              <w:rPr>
                <w:szCs w:val="21"/>
              </w:rPr>
              <w:t>《工业企业厂界环境噪声排放标准》（GB12348-2008）</w:t>
            </w:r>
            <w:r>
              <w:rPr>
                <w:rFonts w:hint="eastAsia"/>
                <w:szCs w:val="21"/>
              </w:rPr>
              <w:t>3</w:t>
            </w:r>
            <w:r>
              <w:rPr>
                <w:szCs w:val="21"/>
              </w:rPr>
              <w:t>类</w:t>
            </w:r>
          </w:p>
        </w:tc>
      </w:tr>
      <w:tr w14:paraId="0B1812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03" w:type="dxa"/>
            <w:vAlign w:val="center"/>
          </w:tcPr>
          <w:p w14:paraId="17708FFA">
            <w:pPr>
              <w:adjustRightInd w:val="0"/>
              <w:snapToGrid w:val="0"/>
              <w:jc w:val="center"/>
              <w:rPr>
                <w:b/>
                <w:szCs w:val="21"/>
              </w:rPr>
            </w:pPr>
            <w:r>
              <w:rPr>
                <w:b/>
                <w:szCs w:val="21"/>
              </w:rPr>
              <w:t>电磁辐射</w:t>
            </w:r>
          </w:p>
        </w:tc>
        <w:tc>
          <w:tcPr>
            <w:tcW w:w="1700" w:type="dxa"/>
            <w:vAlign w:val="center"/>
          </w:tcPr>
          <w:p w14:paraId="5EAEE0A1">
            <w:pPr>
              <w:adjustRightInd w:val="0"/>
              <w:snapToGrid w:val="0"/>
              <w:jc w:val="center"/>
              <w:rPr>
                <w:szCs w:val="21"/>
              </w:rPr>
            </w:pPr>
            <w:r>
              <w:rPr>
                <w:szCs w:val="21"/>
              </w:rPr>
              <w:t>无</w:t>
            </w:r>
          </w:p>
        </w:tc>
        <w:tc>
          <w:tcPr>
            <w:tcW w:w="1620" w:type="dxa"/>
            <w:vAlign w:val="center"/>
          </w:tcPr>
          <w:p w14:paraId="34F59BF6">
            <w:pPr>
              <w:adjustRightInd w:val="0"/>
              <w:snapToGrid w:val="0"/>
              <w:jc w:val="center"/>
              <w:rPr>
                <w:szCs w:val="21"/>
              </w:rPr>
            </w:pPr>
            <w:r>
              <w:rPr>
                <w:szCs w:val="21"/>
              </w:rPr>
              <w:t>无</w:t>
            </w:r>
          </w:p>
        </w:tc>
        <w:tc>
          <w:tcPr>
            <w:tcW w:w="2250" w:type="dxa"/>
            <w:vAlign w:val="center"/>
          </w:tcPr>
          <w:p w14:paraId="1F43E353">
            <w:pPr>
              <w:adjustRightInd w:val="0"/>
              <w:snapToGrid w:val="0"/>
              <w:jc w:val="center"/>
              <w:rPr>
                <w:szCs w:val="21"/>
              </w:rPr>
            </w:pPr>
            <w:r>
              <w:rPr>
                <w:szCs w:val="21"/>
              </w:rPr>
              <w:t>无</w:t>
            </w:r>
          </w:p>
        </w:tc>
        <w:tc>
          <w:tcPr>
            <w:tcW w:w="3233" w:type="dxa"/>
            <w:vAlign w:val="center"/>
          </w:tcPr>
          <w:p w14:paraId="0BA3D1D8">
            <w:pPr>
              <w:adjustRightInd w:val="0"/>
              <w:snapToGrid w:val="0"/>
              <w:jc w:val="center"/>
              <w:rPr>
                <w:szCs w:val="21"/>
              </w:rPr>
            </w:pPr>
            <w:r>
              <w:rPr>
                <w:szCs w:val="21"/>
              </w:rPr>
              <w:t>无</w:t>
            </w:r>
          </w:p>
        </w:tc>
      </w:tr>
      <w:tr w14:paraId="53CB7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03" w:type="dxa"/>
            <w:vAlign w:val="center"/>
          </w:tcPr>
          <w:p w14:paraId="77940A8B">
            <w:pPr>
              <w:adjustRightInd w:val="0"/>
              <w:snapToGrid w:val="0"/>
              <w:jc w:val="center"/>
              <w:rPr>
                <w:b/>
                <w:szCs w:val="21"/>
              </w:rPr>
            </w:pPr>
            <w:r>
              <w:rPr>
                <w:b/>
                <w:szCs w:val="21"/>
              </w:rPr>
              <w:t>固体废物</w:t>
            </w:r>
          </w:p>
        </w:tc>
        <w:tc>
          <w:tcPr>
            <w:tcW w:w="8803" w:type="dxa"/>
            <w:gridSpan w:val="4"/>
            <w:vAlign w:val="center"/>
          </w:tcPr>
          <w:p w14:paraId="302D6CDF">
            <w:pPr>
              <w:pStyle w:val="2"/>
              <w:rPr>
                <w:rFonts w:ascii="Times New Roman" w:cs="Times New Roman"/>
                <w:color w:val="auto"/>
                <w:sz w:val="21"/>
                <w:szCs w:val="21"/>
              </w:rPr>
            </w:pPr>
            <w:r>
              <w:rPr>
                <w:rFonts w:ascii="Times New Roman" w:hAnsi="宋体" w:cs="Times New Roman"/>
                <w:color w:val="auto"/>
                <w:sz w:val="21"/>
                <w:szCs w:val="21"/>
              </w:rPr>
              <w:t>①</w:t>
            </w:r>
            <w:r>
              <w:rPr>
                <w:rFonts w:ascii="Times New Roman" w:cs="Times New Roman"/>
                <w:color w:val="auto"/>
                <w:sz w:val="21"/>
                <w:szCs w:val="21"/>
              </w:rPr>
              <w:t>生活垃圾：收集后交由当地环卫部门统一清运；</w:t>
            </w:r>
          </w:p>
          <w:p w14:paraId="28645E59">
            <w:pPr>
              <w:pStyle w:val="2"/>
              <w:rPr>
                <w:rFonts w:ascii="Times New Roman" w:cs="Times New Roman"/>
                <w:color w:val="auto"/>
                <w:sz w:val="21"/>
                <w:szCs w:val="21"/>
              </w:rPr>
            </w:pPr>
            <w:r>
              <w:rPr>
                <w:rFonts w:ascii="Times New Roman" w:hAnsi="宋体" w:cs="Times New Roman"/>
                <w:color w:val="auto"/>
                <w:sz w:val="21"/>
                <w:szCs w:val="21"/>
              </w:rPr>
              <w:t>②</w:t>
            </w:r>
            <w:r>
              <w:rPr>
                <w:rFonts w:ascii="Times New Roman" w:cs="Times New Roman"/>
                <w:color w:val="auto"/>
                <w:sz w:val="21"/>
                <w:szCs w:val="21"/>
              </w:rPr>
              <w:t>一般固废：</w:t>
            </w:r>
            <w:r>
              <w:rPr>
                <w:rFonts w:hint="eastAsia" w:ascii="Times New Roman" w:cs="Times New Roman"/>
                <w:color w:val="auto"/>
                <w:sz w:val="21"/>
                <w:szCs w:val="21"/>
              </w:rPr>
              <w:t>切头、切尾等废钢送炼钢厂炼钢处理；氧化铁皮及除尘器收集粉尘送往烧结系统用作原料；废耐火材料外售用作建筑材料</w:t>
            </w:r>
            <w:r>
              <w:rPr>
                <w:rFonts w:ascii="Times New Roman" w:cs="Times New Roman"/>
                <w:color w:val="auto"/>
                <w:sz w:val="21"/>
                <w:szCs w:val="21"/>
              </w:rPr>
              <w:t>。</w:t>
            </w:r>
          </w:p>
          <w:p w14:paraId="15B315A0">
            <w:pPr>
              <w:pStyle w:val="2"/>
              <w:rPr>
                <w:rFonts w:ascii="Times New Roman" w:cs="Times New Roman"/>
                <w:color w:val="auto"/>
                <w:sz w:val="21"/>
                <w:szCs w:val="21"/>
              </w:rPr>
            </w:pPr>
            <w:r>
              <w:rPr>
                <w:rFonts w:ascii="Times New Roman" w:hAnsi="宋体" w:cs="Times New Roman"/>
                <w:color w:val="auto"/>
                <w:sz w:val="21"/>
                <w:szCs w:val="21"/>
              </w:rPr>
              <w:t>③</w:t>
            </w:r>
            <w:r>
              <w:rPr>
                <w:rFonts w:ascii="Times New Roman" w:cs="Times New Roman"/>
                <w:color w:val="auto"/>
                <w:sz w:val="21"/>
                <w:szCs w:val="21"/>
              </w:rPr>
              <w:t>危险废物：</w:t>
            </w:r>
            <w:r>
              <w:rPr>
                <w:rFonts w:hint="eastAsia" w:ascii="Times New Roman" w:cs="Times New Roman"/>
                <w:color w:val="auto"/>
                <w:sz w:val="21"/>
                <w:szCs w:val="21"/>
              </w:rPr>
              <w:t>废润滑油、隔油渣等危险废物，分类收集后暂存于危废暂存间，定期委托有相应类别危险废物处置资质的单位回收处置，同时暂存过程按危险废物的有关规定和要求进行环境监管</w:t>
            </w:r>
            <w:r>
              <w:rPr>
                <w:rFonts w:ascii="Times New Roman" w:cs="Times New Roman"/>
                <w:color w:val="auto"/>
                <w:sz w:val="21"/>
                <w:szCs w:val="21"/>
              </w:rPr>
              <w:t>。</w:t>
            </w:r>
          </w:p>
        </w:tc>
      </w:tr>
      <w:tr w14:paraId="6FC6E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03" w:type="dxa"/>
            <w:vAlign w:val="center"/>
          </w:tcPr>
          <w:p w14:paraId="107C7D20">
            <w:pPr>
              <w:adjustRightInd w:val="0"/>
              <w:snapToGrid w:val="0"/>
              <w:jc w:val="center"/>
              <w:rPr>
                <w:b/>
                <w:szCs w:val="21"/>
              </w:rPr>
            </w:pPr>
            <w:r>
              <w:rPr>
                <w:b/>
                <w:szCs w:val="21"/>
              </w:rPr>
              <w:t>土壤及地下水污染防治措施</w:t>
            </w:r>
          </w:p>
        </w:tc>
        <w:tc>
          <w:tcPr>
            <w:tcW w:w="8803" w:type="dxa"/>
            <w:gridSpan w:val="4"/>
            <w:vAlign w:val="center"/>
          </w:tcPr>
          <w:p w14:paraId="00181134">
            <w:pPr>
              <w:adjustRightInd w:val="0"/>
              <w:snapToGrid w:val="0"/>
              <w:rPr>
                <w:szCs w:val="21"/>
              </w:rPr>
            </w:pPr>
            <w:r>
              <w:rPr>
                <w:rFonts w:hint="eastAsia"/>
              </w:rPr>
              <w:t>按照“源头控制、分区防渗”相结合的原则，从污染物的产生、入渗、进行控制</w:t>
            </w:r>
          </w:p>
        </w:tc>
      </w:tr>
      <w:tr w14:paraId="00F43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03" w:type="dxa"/>
            <w:vAlign w:val="center"/>
          </w:tcPr>
          <w:p w14:paraId="4282B8E1">
            <w:pPr>
              <w:adjustRightInd w:val="0"/>
              <w:snapToGrid w:val="0"/>
              <w:jc w:val="center"/>
              <w:rPr>
                <w:b/>
                <w:szCs w:val="21"/>
              </w:rPr>
            </w:pPr>
            <w:r>
              <w:rPr>
                <w:b/>
                <w:szCs w:val="21"/>
              </w:rPr>
              <w:t>生态保护措施</w:t>
            </w:r>
          </w:p>
        </w:tc>
        <w:tc>
          <w:tcPr>
            <w:tcW w:w="8803" w:type="dxa"/>
            <w:gridSpan w:val="4"/>
            <w:vAlign w:val="center"/>
          </w:tcPr>
          <w:p w14:paraId="63BA3B63">
            <w:pPr>
              <w:adjustRightInd w:val="0"/>
              <w:snapToGrid w:val="0"/>
              <w:jc w:val="center"/>
              <w:rPr>
                <w:szCs w:val="21"/>
              </w:rPr>
            </w:pPr>
            <w:r>
              <w:rPr>
                <w:szCs w:val="21"/>
              </w:rPr>
              <w:t>无</w:t>
            </w:r>
          </w:p>
        </w:tc>
      </w:tr>
      <w:tr w14:paraId="148CE7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03" w:type="dxa"/>
            <w:vAlign w:val="center"/>
          </w:tcPr>
          <w:p w14:paraId="4A27EBDA">
            <w:pPr>
              <w:adjustRightInd w:val="0"/>
              <w:snapToGrid w:val="0"/>
              <w:jc w:val="center"/>
              <w:rPr>
                <w:b/>
                <w:spacing w:val="-8"/>
                <w:szCs w:val="21"/>
              </w:rPr>
            </w:pPr>
            <w:r>
              <w:rPr>
                <w:b/>
                <w:spacing w:val="-8"/>
                <w:szCs w:val="21"/>
              </w:rPr>
              <w:t>环境风险</w:t>
            </w:r>
          </w:p>
          <w:p w14:paraId="1CA1580F">
            <w:pPr>
              <w:adjustRightInd w:val="0"/>
              <w:snapToGrid w:val="0"/>
              <w:jc w:val="center"/>
              <w:rPr>
                <w:b/>
                <w:spacing w:val="-8"/>
                <w:szCs w:val="21"/>
              </w:rPr>
            </w:pPr>
            <w:r>
              <w:rPr>
                <w:b/>
                <w:spacing w:val="-8"/>
                <w:szCs w:val="21"/>
              </w:rPr>
              <w:t>防范措施</w:t>
            </w:r>
          </w:p>
        </w:tc>
        <w:tc>
          <w:tcPr>
            <w:tcW w:w="8803" w:type="dxa"/>
            <w:gridSpan w:val="4"/>
            <w:vAlign w:val="center"/>
          </w:tcPr>
          <w:p w14:paraId="397D6598">
            <w:pPr>
              <w:pStyle w:val="2"/>
              <w:rPr>
                <w:rFonts w:ascii="Times New Roman" w:cs="Times New Roman"/>
                <w:color w:val="auto"/>
                <w:sz w:val="21"/>
                <w:szCs w:val="21"/>
              </w:rPr>
            </w:pPr>
            <w:r>
              <w:rPr>
                <w:rFonts w:hint="eastAsia" w:ascii="Times New Roman" w:cs="Times New Roman"/>
                <w:color w:val="auto"/>
                <w:sz w:val="21"/>
                <w:szCs w:val="21"/>
              </w:rPr>
              <w:t>经物质及生产设施危险性分析，本项目无重大风险源，在加强厂区防火管理、完善事故应急预案的基础上，事故发生概率很低，经过妥善的风险防范措施，本项目环境风险在可接受的范围内。</w:t>
            </w:r>
          </w:p>
        </w:tc>
      </w:tr>
      <w:tr w14:paraId="33AC4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03" w:type="dxa"/>
            <w:vAlign w:val="center"/>
          </w:tcPr>
          <w:p w14:paraId="3F495287">
            <w:pPr>
              <w:adjustRightInd w:val="0"/>
              <w:snapToGrid w:val="0"/>
              <w:jc w:val="center"/>
              <w:rPr>
                <w:b/>
                <w:spacing w:val="-8"/>
                <w:szCs w:val="21"/>
              </w:rPr>
            </w:pPr>
            <w:r>
              <w:rPr>
                <w:b/>
                <w:spacing w:val="-8"/>
                <w:szCs w:val="21"/>
              </w:rPr>
              <w:t>其他环境</w:t>
            </w:r>
          </w:p>
          <w:p w14:paraId="012AB985">
            <w:pPr>
              <w:adjustRightInd w:val="0"/>
              <w:snapToGrid w:val="0"/>
              <w:jc w:val="center"/>
              <w:rPr>
                <w:b/>
                <w:spacing w:val="-8"/>
                <w:szCs w:val="21"/>
              </w:rPr>
            </w:pPr>
            <w:r>
              <w:rPr>
                <w:b/>
                <w:spacing w:val="-8"/>
                <w:szCs w:val="21"/>
              </w:rPr>
              <w:t>管理要求</w:t>
            </w:r>
          </w:p>
        </w:tc>
        <w:tc>
          <w:tcPr>
            <w:tcW w:w="8803" w:type="dxa"/>
            <w:gridSpan w:val="4"/>
            <w:vAlign w:val="center"/>
          </w:tcPr>
          <w:p w14:paraId="56731458">
            <w:pPr>
              <w:pStyle w:val="2"/>
              <w:rPr>
                <w:rFonts w:ascii="Times New Roman" w:cs="Times New Roman"/>
                <w:color w:val="auto"/>
                <w:sz w:val="21"/>
                <w:szCs w:val="21"/>
              </w:rPr>
            </w:pPr>
            <w:r>
              <w:rPr>
                <w:rFonts w:hint="eastAsia" w:ascii="Times New Roman" w:cs="Times New Roman"/>
                <w:color w:val="auto"/>
                <w:sz w:val="21"/>
                <w:szCs w:val="21"/>
              </w:rPr>
              <w:t>（1）企业应根据《关于印发&lt;排污许可证管理暂行规定&gt;的通知》（环水体[2016]186号），在排污许可证有效期内，排污单位在原场址内实施改扩建项目应当在开展环境影响评价的，在通过环境影响评价审批或者备案后，产生实际排污行为前20日内，向原核发机关提出变更排污许可申请。并根据《排污单位自行监测技术指南 总则》（HJ819-2017）、《排污许可证申请与核发技术规范 钢铁工业》（HJ846-2017）的要求，制定运营期环境自行监测计划；</w:t>
            </w:r>
          </w:p>
          <w:p w14:paraId="729858FF">
            <w:pPr>
              <w:pStyle w:val="2"/>
              <w:rPr>
                <w:rFonts w:ascii="Times New Roman" w:cs="Times New Roman"/>
                <w:color w:val="auto"/>
                <w:sz w:val="21"/>
                <w:szCs w:val="21"/>
              </w:rPr>
            </w:pPr>
            <w:r>
              <w:rPr>
                <w:rFonts w:hint="eastAsia" w:ascii="Times New Roman" w:cs="Times New Roman"/>
                <w:color w:val="auto"/>
                <w:sz w:val="21"/>
                <w:szCs w:val="21"/>
              </w:rPr>
              <w:t>（2）项目建成试运行，及时进行自主环保竣工验收；</w:t>
            </w:r>
          </w:p>
          <w:p w14:paraId="1AB33A01">
            <w:pPr>
              <w:pStyle w:val="2"/>
              <w:rPr>
                <w:rFonts w:ascii="Times New Roman" w:cs="Times New Roman"/>
                <w:color w:val="auto"/>
                <w:sz w:val="21"/>
                <w:szCs w:val="21"/>
              </w:rPr>
            </w:pPr>
            <w:r>
              <w:rPr>
                <w:rFonts w:hint="eastAsia" w:ascii="Times New Roman" w:cs="Times New Roman"/>
                <w:color w:val="auto"/>
                <w:sz w:val="21"/>
                <w:szCs w:val="21"/>
              </w:rPr>
              <w:t>（3）项目竣工环保验收合格后，企业应根据监测计划，定期对污染源进行监测，监测结果按排污许可相关管理要求进行公示公开。企业应将监测数据和报告存档，作为编制排污许可执行报告基础材料。监测数据应长期保存，并定期接受当地环保主管部门的考核。</w:t>
            </w:r>
          </w:p>
          <w:p w14:paraId="7EC1CC4F">
            <w:pPr>
              <w:pStyle w:val="4"/>
              <w:spacing w:after="0"/>
            </w:pPr>
          </w:p>
          <w:p w14:paraId="31AB3025"/>
          <w:p w14:paraId="75626AFC">
            <w:pPr>
              <w:pStyle w:val="2"/>
              <w:rPr>
                <w:color w:val="auto"/>
              </w:rPr>
            </w:pPr>
          </w:p>
          <w:p w14:paraId="0F92388C">
            <w:pPr>
              <w:pStyle w:val="4"/>
              <w:spacing w:after="0"/>
            </w:pPr>
          </w:p>
          <w:p w14:paraId="6F676C59"/>
          <w:p w14:paraId="5D4AAAEF">
            <w:pPr>
              <w:pStyle w:val="2"/>
              <w:rPr>
                <w:color w:val="auto"/>
              </w:rPr>
            </w:pPr>
          </w:p>
          <w:p w14:paraId="68763E39">
            <w:pPr>
              <w:pStyle w:val="4"/>
              <w:spacing w:after="0"/>
            </w:pPr>
          </w:p>
          <w:p w14:paraId="764793F7"/>
          <w:p w14:paraId="3D8A8A0C">
            <w:pPr>
              <w:pStyle w:val="2"/>
              <w:rPr>
                <w:color w:val="auto"/>
              </w:rPr>
            </w:pPr>
          </w:p>
          <w:p w14:paraId="38BCA417">
            <w:pPr>
              <w:pStyle w:val="4"/>
              <w:spacing w:after="0"/>
            </w:pPr>
          </w:p>
          <w:p w14:paraId="61A689CF"/>
        </w:tc>
      </w:tr>
    </w:tbl>
    <w:p w14:paraId="4090B072">
      <w:pPr>
        <w:pStyle w:val="28"/>
        <w:spacing w:before="0" w:beforeAutospacing="0" w:after="0" w:afterAutospacing="0"/>
        <w:jc w:val="center"/>
        <w:outlineLvl w:val="0"/>
        <w:rPr>
          <w:rFonts w:ascii="黑体" w:hAnsi="黑体" w:eastAsia="黑体"/>
          <w:snapToGrid w:val="0"/>
          <w:sz w:val="30"/>
          <w:szCs w:val="30"/>
        </w:rPr>
      </w:pPr>
      <w:r>
        <w:rPr>
          <w:snapToGrid w:val="0"/>
        </w:rPr>
        <w:br w:type="page"/>
      </w:r>
      <w:bookmarkStart w:id="15" w:name="_Toc111712331"/>
      <w:r>
        <w:rPr>
          <w:rFonts w:hint="eastAsia" w:ascii="黑体" w:hAnsi="黑体" w:eastAsia="黑体"/>
          <w:snapToGrid w:val="0"/>
          <w:sz w:val="30"/>
          <w:szCs w:val="30"/>
        </w:rPr>
        <w:t>六、结论</w:t>
      </w:r>
      <w:bookmarkEnd w:id="15"/>
    </w:p>
    <w:tbl>
      <w:tblPr>
        <w:tblStyle w:val="31"/>
        <w:tblW w:w="102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06"/>
      </w:tblGrid>
      <w:tr w14:paraId="2BE684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91" w:hRule="atLeast"/>
          <w:jc w:val="center"/>
        </w:trPr>
        <w:tc>
          <w:tcPr>
            <w:tcW w:w="8865" w:type="dxa"/>
            <w:vAlign w:val="center"/>
          </w:tcPr>
          <w:p w14:paraId="0888D83C">
            <w:pPr>
              <w:autoSpaceDE w:val="0"/>
              <w:autoSpaceDN w:val="0"/>
              <w:adjustRightInd w:val="0"/>
              <w:spacing w:line="360" w:lineRule="auto"/>
              <w:ind w:firstLine="480" w:firstLineChars="200"/>
              <w:rPr>
                <w:kern w:val="0"/>
                <w:sz w:val="24"/>
              </w:rPr>
            </w:pPr>
            <w:r>
              <w:rPr>
                <w:kern w:val="0"/>
                <w:sz w:val="24"/>
              </w:rPr>
              <w:t>本项目建设符合国家产业政策和区域环境功能区划，用地性质符合区域土地利用规划，项目选址合理。项目建设符</w:t>
            </w:r>
            <w:r>
              <w:rPr>
                <w:rFonts w:ascii="宋体" w:hAnsi="宋体"/>
                <w:kern w:val="0"/>
                <w:sz w:val="24"/>
              </w:rPr>
              <w:t>合“三线一单”</w:t>
            </w:r>
            <w:r>
              <w:rPr>
                <w:kern w:val="0"/>
                <w:sz w:val="24"/>
              </w:rPr>
              <w:t>要求，项目不属于《产业结构调整指导目录（</w:t>
            </w:r>
            <w:r>
              <w:rPr>
                <w:rFonts w:eastAsia="TimesNewRomanPSMT"/>
                <w:kern w:val="0"/>
                <w:sz w:val="24"/>
              </w:rPr>
              <w:t>20</w:t>
            </w:r>
            <w:r>
              <w:rPr>
                <w:rFonts w:hint="eastAsia" w:eastAsia="TimesNewRomanPSMT"/>
                <w:kern w:val="0"/>
                <w:sz w:val="24"/>
              </w:rPr>
              <w:t>24</w:t>
            </w:r>
            <w:r>
              <w:rPr>
                <w:kern w:val="0"/>
                <w:sz w:val="24"/>
              </w:rPr>
              <w:t>年本）》淘汰类和限制类项目，不属于《市场准入负面清单》（</w:t>
            </w:r>
            <w:r>
              <w:rPr>
                <w:rFonts w:eastAsia="TimesNewRomanPSMT"/>
                <w:kern w:val="0"/>
                <w:sz w:val="24"/>
              </w:rPr>
              <w:t>202</w:t>
            </w:r>
            <w:r>
              <w:rPr>
                <w:rFonts w:hint="eastAsia" w:eastAsia="TimesNewRomanPSMT"/>
                <w:kern w:val="0"/>
                <w:sz w:val="24"/>
              </w:rPr>
              <w:t>2</w:t>
            </w:r>
            <w:r>
              <w:rPr>
                <w:kern w:val="0"/>
                <w:sz w:val="24"/>
              </w:rPr>
              <w:t>年版）的负面清单禁止准入类项目。建设单位应严格落实报告中要求采取的污染防治措施，保证废气、废水、噪声达标排放，妥善处理各类固体废物。建设单位切实落实好本环境影响报告表中的环保措施，则本项目的建设不会对周围的环境产生明显的影响。</w:t>
            </w:r>
          </w:p>
          <w:p w14:paraId="4E2D0301">
            <w:pPr>
              <w:autoSpaceDE w:val="0"/>
              <w:autoSpaceDN w:val="0"/>
              <w:adjustRightInd w:val="0"/>
              <w:spacing w:line="360" w:lineRule="auto"/>
              <w:ind w:firstLine="480" w:firstLineChars="200"/>
              <w:rPr>
                <w:rFonts w:ascii="宋体" w:cs="宋体"/>
                <w:sz w:val="24"/>
              </w:rPr>
            </w:pPr>
            <w:r>
              <w:rPr>
                <w:kern w:val="0"/>
                <w:sz w:val="24"/>
              </w:rPr>
              <w:t>从环境保护的角度分析，本项目建设可行。</w:t>
            </w:r>
          </w:p>
        </w:tc>
      </w:tr>
    </w:tbl>
    <w:p w14:paraId="56481EA5">
      <w:pPr>
        <w:rPr>
          <w:rFonts w:ascii="宋体"/>
        </w:rPr>
        <w:sectPr>
          <w:pgSz w:w="11906" w:h="16838"/>
          <w:pgMar w:top="1701" w:right="1531" w:bottom="1701" w:left="1531" w:header="851" w:footer="851" w:gutter="0"/>
          <w:cols w:space="720" w:num="1"/>
          <w:docGrid w:linePitch="312" w:charSpace="0"/>
        </w:sectPr>
      </w:pPr>
    </w:p>
    <w:p w14:paraId="647655BA">
      <w:pPr>
        <w:pStyle w:val="28"/>
        <w:spacing w:before="0" w:beforeAutospacing="0" w:after="0" w:afterAutospacing="0"/>
        <w:outlineLvl w:val="0"/>
        <w:rPr>
          <w:rFonts w:ascii="黑体" w:hAnsi="黑体" w:eastAsia="黑体"/>
          <w:snapToGrid w:val="0"/>
          <w:sz w:val="30"/>
          <w:szCs w:val="30"/>
        </w:rPr>
      </w:pPr>
      <w:bookmarkStart w:id="16" w:name="_Toc111712332"/>
      <w:r>
        <w:rPr>
          <w:rFonts w:hint="eastAsia" w:ascii="黑体" w:hAnsi="黑体" w:eastAsia="黑体"/>
          <w:snapToGrid w:val="0"/>
          <w:sz w:val="32"/>
          <w:szCs w:val="32"/>
        </w:rPr>
        <w:t>附表</w:t>
      </w:r>
      <w:bookmarkEnd w:id="16"/>
    </w:p>
    <w:p w14:paraId="1E05EA8E">
      <w:pPr>
        <w:pStyle w:val="28"/>
        <w:spacing w:before="0" w:beforeAutospacing="0" w:after="0" w:afterAutospacing="0"/>
        <w:jc w:val="center"/>
        <w:outlineLvl w:val="0"/>
        <w:rPr>
          <w:rFonts w:ascii="黑体" w:hAnsi="黑体" w:eastAsia="黑体"/>
          <w:snapToGrid w:val="0"/>
          <w:sz w:val="30"/>
          <w:szCs w:val="30"/>
        </w:rPr>
      </w:pPr>
      <w:bookmarkStart w:id="17" w:name="_Toc111712333"/>
      <w:r>
        <w:rPr>
          <w:rFonts w:hint="eastAsia" w:ascii="黑体" w:hAnsi="黑体" w:eastAsia="黑体"/>
          <w:snapToGrid w:val="0"/>
          <w:sz w:val="30"/>
          <w:szCs w:val="30"/>
        </w:rPr>
        <w:t>建设项目污染物排放量汇总表</w:t>
      </w:r>
      <w:bookmarkEnd w:id="17"/>
    </w:p>
    <w:tbl>
      <w:tblPr>
        <w:tblStyle w:val="31"/>
        <w:tblW w:w="137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4"/>
        <w:gridCol w:w="1559"/>
        <w:gridCol w:w="1843"/>
        <w:gridCol w:w="1276"/>
        <w:gridCol w:w="1701"/>
        <w:gridCol w:w="1559"/>
        <w:gridCol w:w="1418"/>
        <w:gridCol w:w="1701"/>
        <w:gridCol w:w="1427"/>
      </w:tblGrid>
      <w:tr w14:paraId="1AFB44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304" w:type="dxa"/>
            <w:tcMar>
              <w:left w:w="28" w:type="dxa"/>
              <w:right w:w="28" w:type="dxa"/>
            </w:tcMar>
            <w:vAlign w:val="center"/>
          </w:tcPr>
          <w:p w14:paraId="6AFB071A">
            <w:pPr>
              <w:pStyle w:val="44"/>
              <w:spacing w:beforeLines="0" w:afterLines="0" w:line="240" w:lineRule="auto"/>
              <w:rPr>
                <w:rFonts w:ascii="Times New Roman"/>
                <w:b/>
                <w:snapToGrid w:val="0"/>
                <w:spacing w:val="-6"/>
                <w:kern w:val="21"/>
                <w:szCs w:val="21"/>
              </w:rPr>
            </w:pPr>
            <w:r>
              <w:rPr>
                <w:rFonts w:ascii="Times New Roman"/>
                <w:b/>
                <w:snapToGrid w:val="0"/>
                <w:spacing w:val="-6"/>
                <w:kern w:val="21"/>
                <w:szCs w:val="21"/>
              </w:rPr>
              <w:t>项目</w:t>
            </w:r>
          </w:p>
          <w:p w14:paraId="1109BBFC">
            <w:pPr>
              <w:pStyle w:val="44"/>
              <w:spacing w:beforeLines="0" w:afterLines="0" w:line="240" w:lineRule="auto"/>
              <w:rPr>
                <w:rFonts w:ascii="Times New Roman"/>
                <w:b/>
                <w:snapToGrid w:val="0"/>
                <w:spacing w:val="-6"/>
                <w:kern w:val="21"/>
                <w:szCs w:val="21"/>
              </w:rPr>
            </w:pPr>
            <w:r>
              <w:rPr>
                <w:rFonts w:ascii="Times New Roman"/>
                <w:b/>
                <w:snapToGrid w:val="0"/>
                <w:spacing w:val="-6"/>
                <w:kern w:val="21"/>
                <w:szCs w:val="21"/>
              </w:rPr>
              <w:t>分类</w:t>
            </w:r>
          </w:p>
        </w:tc>
        <w:tc>
          <w:tcPr>
            <w:tcW w:w="1559" w:type="dxa"/>
            <w:tcMar>
              <w:left w:w="28" w:type="dxa"/>
              <w:right w:w="28" w:type="dxa"/>
            </w:tcMar>
            <w:vAlign w:val="center"/>
          </w:tcPr>
          <w:p w14:paraId="7ACC2D43">
            <w:pPr>
              <w:pStyle w:val="44"/>
              <w:spacing w:beforeLines="0" w:afterLines="0" w:line="240" w:lineRule="auto"/>
              <w:rPr>
                <w:rFonts w:ascii="Times New Roman"/>
                <w:b/>
                <w:snapToGrid w:val="0"/>
                <w:spacing w:val="-6"/>
                <w:kern w:val="21"/>
                <w:szCs w:val="21"/>
              </w:rPr>
            </w:pPr>
            <w:r>
              <w:rPr>
                <w:rFonts w:ascii="Times New Roman"/>
                <w:b/>
                <w:snapToGrid w:val="0"/>
                <w:spacing w:val="-6"/>
                <w:kern w:val="21"/>
                <w:szCs w:val="21"/>
              </w:rPr>
              <w:t>污染物名称</w:t>
            </w:r>
          </w:p>
        </w:tc>
        <w:tc>
          <w:tcPr>
            <w:tcW w:w="1843" w:type="dxa"/>
            <w:tcMar>
              <w:left w:w="28" w:type="dxa"/>
              <w:right w:w="28" w:type="dxa"/>
            </w:tcMar>
            <w:vAlign w:val="center"/>
          </w:tcPr>
          <w:p w14:paraId="3217C7B7">
            <w:pPr>
              <w:pStyle w:val="44"/>
              <w:spacing w:beforeLines="0" w:afterLines="0" w:line="240" w:lineRule="auto"/>
              <w:rPr>
                <w:rFonts w:ascii="Times New Roman"/>
                <w:b/>
                <w:snapToGrid w:val="0"/>
                <w:spacing w:val="-6"/>
                <w:kern w:val="21"/>
                <w:szCs w:val="21"/>
              </w:rPr>
            </w:pPr>
            <w:r>
              <w:rPr>
                <w:rFonts w:ascii="Times New Roman"/>
                <w:b/>
                <w:snapToGrid w:val="0"/>
                <w:spacing w:val="-6"/>
                <w:kern w:val="21"/>
                <w:szCs w:val="21"/>
              </w:rPr>
              <w:t>现有工程</w:t>
            </w:r>
          </w:p>
          <w:p w14:paraId="1C2BC947">
            <w:pPr>
              <w:pStyle w:val="44"/>
              <w:spacing w:beforeLines="0" w:afterLines="0" w:line="240" w:lineRule="auto"/>
              <w:rPr>
                <w:rFonts w:ascii="Times New Roman"/>
                <w:b/>
                <w:snapToGrid w:val="0"/>
                <w:spacing w:val="-6"/>
                <w:kern w:val="21"/>
                <w:szCs w:val="21"/>
              </w:rPr>
            </w:pPr>
            <w:r>
              <w:rPr>
                <w:rFonts w:ascii="Times New Roman"/>
                <w:b/>
                <w:snapToGrid w:val="0"/>
                <w:spacing w:val="-6"/>
                <w:kern w:val="21"/>
                <w:szCs w:val="21"/>
              </w:rPr>
              <w:t>排放量（固体废物产生量）</w:t>
            </w:r>
            <w:r>
              <w:rPr>
                <w:rFonts w:ascii="Times New Roman"/>
                <w:b/>
                <w:snapToGrid w:val="0"/>
                <w:spacing w:val="-6"/>
                <w:kern w:val="21"/>
                <w:szCs w:val="21"/>
              </w:rPr>
              <w:fldChar w:fldCharType="begin"/>
            </w:r>
            <w:r>
              <w:rPr>
                <w:rFonts w:ascii="Times New Roman"/>
                <w:b/>
                <w:snapToGrid w:val="0"/>
                <w:spacing w:val="-6"/>
                <w:kern w:val="21"/>
                <w:szCs w:val="21"/>
              </w:rPr>
              <w:instrText xml:space="preserve"> = 1 \* GB3 \* MERGEFORMAT </w:instrText>
            </w:r>
            <w:r>
              <w:rPr>
                <w:rFonts w:ascii="Times New Roman"/>
                <w:b/>
                <w:snapToGrid w:val="0"/>
                <w:spacing w:val="-6"/>
                <w:kern w:val="21"/>
                <w:szCs w:val="21"/>
              </w:rPr>
              <w:fldChar w:fldCharType="separate"/>
            </w:r>
            <w:r>
              <w:rPr>
                <w:rFonts w:ascii="Times New Roman" w:hAnsi="宋体"/>
                <w:b/>
                <w:kern w:val="2"/>
                <w:szCs w:val="21"/>
              </w:rPr>
              <w:t>①</w:t>
            </w:r>
            <w:r>
              <w:rPr>
                <w:rFonts w:ascii="Times New Roman"/>
                <w:b/>
                <w:snapToGrid w:val="0"/>
                <w:spacing w:val="-6"/>
                <w:kern w:val="21"/>
                <w:szCs w:val="21"/>
              </w:rPr>
              <w:fldChar w:fldCharType="end"/>
            </w:r>
          </w:p>
        </w:tc>
        <w:tc>
          <w:tcPr>
            <w:tcW w:w="1276" w:type="dxa"/>
            <w:tcMar>
              <w:left w:w="28" w:type="dxa"/>
              <w:right w:w="28" w:type="dxa"/>
            </w:tcMar>
            <w:vAlign w:val="center"/>
          </w:tcPr>
          <w:p w14:paraId="2A8B6C5A">
            <w:pPr>
              <w:pStyle w:val="44"/>
              <w:spacing w:beforeLines="0" w:afterLines="0" w:line="240" w:lineRule="auto"/>
              <w:rPr>
                <w:rFonts w:ascii="Times New Roman"/>
                <w:b/>
                <w:snapToGrid w:val="0"/>
                <w:spacing w:val="-6"/>
                <w:kern w:val="21"/>
                <w:szCs w:val="21"/>
              </w:rPr>
            </w:pPr>
            <w:r>
              <w:rPr>
                <w:rFonts w:ascii="Times New Roman"/>
                <w:b/>
                <w:snapToGrid w:val="0"/>
                <w:spacing w:val="-6"/>
                <w:kern w:val="21"/>
                <w:szCs w:val="21"/>
              </w:rPr>
              <w:t>现有工程</w:t>
            </w:r>
          </w:p>
          <w:p w14:paraId="288B4C64">
            <w:pPr>
              <w:pStyle w:val="44"/>
              <w:spacing w:beforeLines="0" w:afterLines="0" w:line="240" w:lineRule="auto"/>
              <w:rPr>
                <w:rFonts w:ascii="Times New Roman"/>
                <w:b/>
                <w:snapToGrid w:val="0"/>
                <w:spacing w:val="-6"/>
                <w:kern w:val="21"/>
                <w:szCs w:val="21"/>
              </w:rPr>
            </w:pPr>
            <w:r>
              <w:rPr>
                <w:rFonts w:ascii="Times New Roman"/>
                <w:b/>
                <w:snapToGrid w:val="0"/>
                <w:spacing w:val="-6"/>
                <w:kern w:val="21"/>
                <w:szCs w:val="21"/>
              </w:rPr>
              <w:t>许可排放量</w:t>
            </w:r>
          </w:p>
          <w:p w14:paraId="0EC7ED4E">
            <w:pPr>
              <w:pStyle w:val="44"/>
              <w:spacing w:beforeLines="0" w:afterLines="0" w:line="240" w:lineRule="auto"/>
              <w:rPr>
                <w:rFonts w:ascii="Times New Roman"/>
                <w:b/>
                <w:snapToGrid w:val="0"/>
                <w:spacing w:val="-6"/>
                <w:kern w:val="21"/>
                <w:szCs w:val="21"/>
              </w:rPr>
            </w:pPr>
            <w:r>
              <w:rPr>
                <w:rFonts w:ascii="Times New Roman"/>
                <w:b/>
                <w:snapToGrid w:val="0"/>
                <w:spacing w:val="-6"/>
                <w:kern w:val="21"/>
                <w:szCs w:val="21"/>
              </w:rPr>
              <w:fldChar w:fldCharType="begin"/>
            </w:r>
            <w:r>
              <w:rPr>
                <w:rFonts w:ascii="Times New Roman"/>
                <w:b/>
                <w:snapToGrid w:val="0"/>
                <w:spacing w:val="-6"/>
                <w:kern w:val="21"/>
                <w:szCs w:val="21"/>
              </w:rPr>
              <w:instrText xml:space="preserve"> = 2 \* GB3 \* MERGEFORMAT </w:instrText>
            </w:r>
            <w:r>
              <w:rPr>
                <w:rFonts w:ascii="Times New Roman"/>
                <w:b/>
                <w:snapToGrid w:val="0"/>
                <w:spacing w:val="-6"/>
                <w:kern w:val="21"/>
                <w:szCs w:val="21"/>
              </w:rPr>
              <w:fldChar w:fldCharType="separate"/>
            </w:r>
            <w:r>
              <w:rPr>
                <w:rFonts w:ascii="Times New Roman" w:hAnsi="宋体"/>
                <w:b/>
                <w:snapToGrid w:val="0"/>
                <w:spacing w:val="-6"/>
                <w:kern w:val="21"/>
                <w:szCs w:val="21"/>
              </w:rPr>
              <w:t>②</w:t>
            </w:r>
            <w:r>
              <w:rPr>
                <w:rFonts w:ascii="Times New Roman"/>
                <w:b/>
                <w:snapToGrid w:val="0"/>
                <w:spacing w:val="-6"/>
                <w:kern w:val="21"/>
                <w:szCs w:val="21"/>
              </w:rPr>
              <w:fldChar w:fldCharType="end"/>
            </w:r>
          </w:p>
        </w:tc>
        <w:tc>
          <w:tcPr>
            <w:tcW w:w="1701" w:type="dxa"/>
            <w:tcMar>
              <w:left w:w="28" w:type="dxa"/>
              <w:right w:w="28" w:type="dxa"/>
            </w:tcMar>
            <w:vAlign w:val="center"/>
          </w:tcPr>
          <w:p w14:paraId="7DEB3CE0">
            <w:pPr>
              <w:pStyle w:val="44"/>
              <w:spacing w:beforeLines="0" w:afterLines="0" w:line="240" w:lineRule="auto"/>
              <w:rPr>
                <w:rFonts w:ascii="Times New Roman"/>
                <w:b/>
                <w:snapToGrid w:val="0"/>
                <w:spacing w:val="-6"/>
                <w:kern w:val="21"/>
                <w:szCs w:val="21"/>
              </w:rPr>
            </w:pPr>
            <w:r>
              <w:rPr>
                <w:rFonts w:ascii="Times New Roman"/>
                <w:b/>
                <w:snapToGrid w:val="0"/>
                <w:spacing w:val="-6"/>
                <w:kern w:val="21"/>
                <w:szCs w:val="21"/>
              </w:rPr>
              <w:t>在建工程</w:t>
            </w:r>
          </w:p>
          <w:p w14:paraId="446D267C">
            <w:pPr>
              <w:pStyle w:val="44"/>
              <w:spacing w:beforeLines="0" w:afterLines="0" w:line="240" w:lineRule="auto"/>
              <w:rPr>
                <w:rFonts w:ascii="Times New Roman"/>
                <w:b/>
                <w:snapToGrid w:val="0"/>
                <w:spacing w:val="-6"/>
                <w:kern w:val="21"/>
                <w:szCs w:val="21"/>
              </w:rPr>
            </w:pPr>
            <w:r>
              <w:rPr>
                <w:rFonts w:ascii="Times New Roman"/>
                <w:b/>
                <w:snapToGrid w:val="0"/>
                <w:spacing w:val="-6"/>
                <w:kern w:val="21"/>
                <w:szCs w:val="21"/>
              </w:rPr>
              <w:t>排放量（固体废物产生量）</w:t>
            </w:r>
            <w:r>
              <w:rPr>
                <w:rFonts w:ascii="Times New Roman"/>
                <w:b/>
                <w:snapToGrid w:val="0"/>
                <w:spacing w:val="-6"/>
                <w:kern w:val="21"/>
                <w:szCs w:val="21"/>
              </w:rPr>
              <w:fldChar w:fldCharType="begin"/>
            </w:r>
            <w:r>
              <w:rPr>
                <w:rFonts w:ascii="Times New Roman"/>
                <w:b/>
                <w:snapToGrid w:val="0"/>
                <w:spacing w:val="-6"/>
                <w:kern w:val="21"/>
                <w:szCs w:val="21"/>
              </w:rPr>
              <w:instrText xml:space="preserve"> = 3 \* GB3 \* MERGEFORMAT </w:instrText>
            </w:r>
            <w:r>
              <w:rPr>
                <w:rFonts w:ascii="Times New Roman"/>
                <w:b/>
                <w:snapToGrid w:val="0"/>
                <w:spacing w:val="-6"/>
                <w:kern w:val="21"/>
                <w:szCs w:val="21"/>
              </w:rPr>
              <w:fldChar w:fldCharType="separate"/>
            </w:r>
            <w:r>
              <w:rPr>
                <w:rFonts w:ascii="Times New Roman" w:hAnsi="宋体"/>
                <w:b/>
                <w:kern w:val="2"/>
                <w:szCs w:val="21"/>
              </w:rPr>
              <w:t>③</w:t>
            </w:r>
            <w:r>
              <w:rPr>
                <w:rFonts w:ascii="Times New Roman"/>
                <w:b/>
                <w:snapToGrid w:val="0"/>
                <w:spacing w:val="-6"/>
                <w:kern w:val="21"/>
                <w:szCs w:val="21"/>
              </w:rPr>
              <w:fldChar w:fldCharType="end"/>
            </w:r>
          </w:p>
        </w:tc>
        <w:tc>
          <w:tcPr>
            <w:tcW w:w="1559" w:type="dxa"/>
            <w:tcMar>
              <w:left w:w="28" w:type="dxa"/>
              <w:right w:w="28" w:type="dxa"/>
            </w:tcMar>
            <w:vAlign w:val="center"/>
          </w:tcPr>
          <w:p w14:paraId="1F93B19D">
            <w:pPr>
              <w:pStyle w:val="44"/>
              <w:spacing w:beforeLines="0" w:afterLines="0" w:line="240" w:lineRule="auto"/>
              <w:rPr>
                <w:rFonts w:ascii="Times New Roman"/>
                <w:b/>
                <w:snapToGrid w:val="0"/>
                <w:spacing w:val="-6"/>
                <w:kern w:val="21"/>
                <w:szCs w:val="21"/>
              </w:rPr>
            </w:pPr>
            <w:r>
              <w:rPr>
                <w:rFonts w:ascii="Times New Roman"/>
                <w:b/>
                <w:snapToGrid w:val="0"/>
                <w:spacing w:val="-6"/>
                <w:kern w:val="21"/>
                <w:szCs w:val="21"/>
              </w:rPr>
              <w:t>本项目</w:t>
            </w:r>
          </w:p>
          <w:p w14:paraId="2AA10A57">
            <w:pPr>
              <w:pStyle w:val="44"/>
              <w:spacing w:beforeLines="0" w:afterLines="0" w:line="240" w:lineRule="auto"/>
              <w:rPr>
                <w:rFonts w:ascii="Times New Roman"/>
                <w:b/>
                <w:snapToGrid w:val="0"/>
                <w:spacing w:val="-6"/>
                <w:kern w:val="21"/>
                <w:szCs w:val="21"/>
              </w:rPr>
            </w:pPr>
            <w:r>
              <w:rPr>
                <w:rFonts w:ascii="Times New Roman"/>
                <w:b/>
                <w:snapToGrid w:val="0"/>
                <w:spacing w:val="-6"/>
                <w:kern w:val="21"/>
                <w:szCs w:val="21"/>
              </w:rPr>
              <w:t>排放量（固体废物产生量）</w:t>
            </w:r>
            <w:r>
              <w:rPr>
                <w:rFonts w:ascii="Times New Roman"/>
                <w:b/>
                <w:snapToGrid w:val="0"/>
                <w:spacing w:val="-6"/>
                <w:kern w:val="21"/>
                <w:szCs w:val="21"/>
              </w:rPr>
              <w:fldChar w:fldCharType="begin"/>
            </w:r>
            <w:r>
              <w:rPr>
                <w:rFonts w:ascii="Times New Roman"/>
                <w:b/>
                <w:snapToGrid w:val="0"/>
                <w:spacing w:val="-6"/>
                <w:kern w:val="21"/>
                <w:szCs w:val="21"/>
              </w:rPr>
              <w:instrText xml:space="preserve"> = 4 \* GB3 \* MERGEFORMAT </w:instrText>
            </w:r>
            <w:r>
              <w:rPr>
                <w:rFonts w:ascii="Times New Roman"/>
                <w:b/>
                <w:snapToGrid w:val="0"/>
                <w:spacing w:val="-6"/>
                <w:kern w:val="21"/>
                <w:szCs w:val="21"/>
              </w:rPr>
              <w:fldChar w:fldCharType="separate"/>
            </w:r>
            <w:r>
              <w:rPr>
                <w:rFonts w:ascii="Times New Roman" w:hAnsi="宋体"/>
                <w:b/>
                <w:kern w:val="2"/>
                <w:szCs w:val="21"/>
              </w:rPr>
              <w:t>④</w:t>
            </w:r>
            <w:r>
              <w:rPr>
                <w:rFonts w:ascii="Times New Roman"/>
                <w:b/>
                <w:snapToGrid w:val="0"/>
                <w:spacing w:val="-6"/>
                <w:kern w:val="21"/>
                <w:szCs w:val="21"/>
              </w:rPr>
              <w:fldChar w:fldCharType="end"/>
            </w:r>
          </w:p>
        </w:tc>
        <w:tc>
          <w:tcPr>
            <w:tcW w:w="1418" w:type="dxa"/>
            <w:tcMar>
              <w:left w:w="28" w:type="dxa"/>
              <w:right w:w="28" w:type="dxa"/>
            </w:tcMar>
            <w:vAlign w:val="center"/>
          </w:tcPr>
          <w:p w14:paraId="7F01EA8B">
            <w:pPr>
              <w:pStyle w:val="44"/>
              <w:spacing w:beforeLines="0" w:afterLines="0" w:line="240" w:lineRule="auto"/>
              <w:rPr>
                <w:rFonts w:ascii="Times New Roman"/>
                <w:b/>
                <w:snapToGrid w:val="0"/>
                <w:spacing w:val="-16"/>
                <w:kern w:val="21"/>
                <w:szCs w:val="21"/>
              </w:rPr>
            </w:pPr>
            <w:r>
              <w:rPr>
                <w:rFonts w:ascii="Times New Roman"/>
                <w:b/>
                <w:snapToGrid w:val="0"/>
                <w:spacing w:val="-16"/>
                <w:kern w:val="21"/>
                <w:szCs w:val="21"/>
              </w:rPr>
              <w:t>以新带老削减量</w:t>
            </w:r>
          </w:p>
          <w:p w14:paraId="04728743">
            <w:pPr>
              <w:pStyle w:val="44"/>
              <w:spacing w:beforeLines="0" w:afterLines="0" w:line="240" w:lineRule="auto"/>
              <w:rPr>
                <w:rFonts w:ascii="Times New Roman"/>
                <w:b/>
                <w:snapToGrid w:val="0"/>
                <w:spacing w:val="-16"/>
                <w:kern w:val="21"/>
                <w:szCs w:val="21"/>
              </w:rPr>
            </w:pPr>
            <w:r>
              <w:rPr>
                <w:rFonts w:ascii="Times New Roman"/>
                <w:b/>
                <w:snapToGrid w:val="0"/>
                <w:spacing w:val="-16"/>
                <w:kern w:val="21"/>
                <w:szCs w:val="21"/>
              </w:rPr>
              <w:t>（新建项目不填）</w:t>
            </w:r>
            <w:r>
              <w:rPr>
                <w:rFonts w:ascii="Times New Roman"/>
                <w:b/>
                <w:snapToGrid w:val="0"/>
                <w:spacing w:val="-16"/>
                <w:kern w:val="21"/>
                <w:szCs w:val="21"/>
              </w:rPr>
              <w:fldChar w:fldCharType="begin"/>
            </w:r>
            <w:r>
              <w:rPr>
                <w:rFonts w:ascii="Times New Roman"/>
                <w:b/>
                <w:snapToGrid w:val="0"/>
                <w:spacing w:val="-16"/>
                <w:kern w:val="21"/>
                <w:szCs w:val="21"/>
              </w:rPr>
              <w:instrText xml:space="preserve"> = 5 \* GB3 \* MERGEFORMAT </w:instrText>
            </w:r>
            <w:r>
              <w:rPr>
                <w:rFonts w:ascii="Times New Roman"/>
                <w:b/>
                <w:snapToGrid w:val="0"/>
                <w:spacing w:val="-16"/>
                <w:kern w:val="21"/>
                <w:szCs w:val="21"/>
              </w:rPr>
              <w:fldChar w:fldCharType="separate"/>
            </w:r>
            <w:r>
              <w:rPr>
                <w:rFonts w:ascii="Times New Roman" w:hAnsi="宋体"/>
                <w:b/>
                <w:kern w:val="2"/>
                <w:szCs w:val="21"/>
              </w:rPr>
              <w:t>⑤</w:t>
            </w:r>
            <w:r>
              <w:rPr>
                <w:rFonts w:ascii="Times New Roman"/>
                <w:b/>
                <w:snapToGrid w:val="0"/>
                <w:spacing w:val="-16"/>
                <w:kern w:val="21"/>
                <w:szCs w:val="21"/>
              </w:rPr>
              <w:fldChar w:fldCharType="end"/>
            </w:r>
          </w:p>
        </w:tc>
        <w:tc>
          <w:tcPr>
            <w:tcW w:w="1701" w:type="dxa"/>
            <w:tcMar>
              <w:left w:w="28" w:type="dxa"/>
              <w:right w:w="28" w:type="dxa"/>
            </w:tcMar>
            <w:vAlign w:val="center"/>
          </w:tcPr>
          <w:p w14:paraId="076F1386">
            <w:pPr>
              <w:pStyle w:val="44"/>
              <w:spacing w:beforeLines="0" w:afterLines="0" w:line="240" w:lineRule="auto"/>
              <w:rPr>
                <w:rFonts w:ascii="Times New Roman"/>
                <w:b/>
                <w:snapToGrid w:val="0"/>
                <w:spacing w:val="-16"/>
                <w:kern w:val="21"/>
                <w:szCs w:val="21"/>
              </w:rPr>
            </w:pPr>
            <w:r>
              <w:rPr>
                <w:rFonts w:ascii="Times New Roman"/>
                <w:b/>
                <w:snapToGrid w:val="0"/>
                <w:spacing w:val="-16"/>
                <w:kern w:val="21"/>
                <w:szCs w:val="21"/>
              </w:rPr>
              <w:t>本项目建成后</w:t>
            </w:r>
          </w:p>
          <w:p w14:paraId="2F7D63E1">
            <w:pPr>
              <w:pStyle w:val="44"/>
              <w:spacing w:beforeLines="0" w:afterLines="0" w:line="240" w:lineRule="auto"/>
              <w:rPr>
                <w:rFonts w:ascii="Times New Roman"/>
                <w:b/>
                <w:snapToGrid w:val="0"/>
                <w:spacing w:val="-16"/>
                <w:kern w:val="21"/>
                <w:szCs w:val="21"/>
              </w:rPr>
            </w:pPr>
            <w:r>
              <w:rPr>
                <w:rFonts w:ascii="Times New Roman"/>
                <w:b/>
                <w:snapToGrid w:val="0"/>
                <w:spacing w:val="-16"/>
                <w:kern w:val="21"/>
                <w:szCs w:val="21"/>
              </w:rPr>
              <w:t>全厂排放量（固体废物产生量）</w:t>
            </w:r>
            <w:r>
              <w:rPr>
                <w:rFonts w:ascii="Times New Roman"/>
                <w:b/>
                <w:snapToGrid w:val="0"/>
                <w:spacing w:val="-16"/>
                <w:kern w:val="21"/>
                <w:szCs w:val="21"/>
              </w:rPr>
              <w:fldChar w:fldCharType="begin"/>
            </w:r>
            <w:r>
              <w:rPr>
                <w:rFonts w:ascii="Times New Roman"/>
                <w:b/>
                <w:snapToGrid w:val="0"/>
                <w:spacing w:val="-16"/>
                <w:kern w:val="21"/>
                <w:szCs w:val="21"/>
              </w:rPr>
              <w:instrText xml:space="preserve"> = 6 \* GB3 \* MERGEFORMAT </w:instrText>
            </w:r>
            <w:r>
              <w:rPr>
                <w:rFonts w:ascii="Times New Roman"/>
                <w:b/>
                <w:snapToGrid w:val="0"/>
                <w:spacing w:val="-16"/>
                <w:kern w:val="21"/>
                <w:szCs w:val="21"/>
              </w:rPr>
              <w:fldChar w:fldCharType="separate"/>
            </w:r>
            <w:r>
              <w:rPr>
                <w:rFonts w:ascii="Times New Roman" w:hAnsi="宋体"/>
                <w:b/>
                <w:kern w:val="2"/>
                <w:szCs w:val="21"/>
              </w:rPr>
              <w:t>⑥</w:t>
            </w:r>
            <w:r>
              <w:rPr>
                <w:rFonts w:ascii="Times New Roman"/>
                <w:b/>
                <w:snapToGrid w:val="0"/>
                <w:spacing w:val="-16"/>
                <w:kern w:val="21"/>
                <w:szCs w:val="21"/>
              </w:rPr>
              <w:fldChar w:fldCharType="end"/>
            </w:r>
          </w:p>
        </w:tc>
        <w:tc>
          <w:tcPr>
            <w:tcW w:w="1427" w:type="dxa"/>
            <w:tcMar>
              <w:left w:w="28" w:type="dxa"/>
              <w:right w:w="28" w:type="dxa"/>
            </w:tcMar>
            <w:vAlign w:val="center"/>
          </w:tcPr>
          <w:p w14:paraId="0D981B5F">
            <w:pPr>
              <w:pStyle w:val="44"/>
              <w:spacing w:beforeLines="0" w:afterLines="0" w:line="240" w:lineRule="auto"/>
              <w:rPr>
                <w:rFonts w:ascii="Times New Roman"/>
                <w:b/>
                <w:snapToGrid w:val="0"/>
                <w:spacing w:val="-6"/>
                <w:kern w:val="21"/>
                <w:szCs w:val="21"/>
              </w:rPr>
            </w:pPr>
            <w:r>
              <w:rPr>
                <w:rFonts w:ascii="Times New Roman"/>
                <w:b/>
                <w:snapToGrid w:val="0"/>
                <w:spacing w:val="-6"/>
                <w:kern w:val="21"/>
                <w:szCs w:val="21"/>
              </w:rPr>
              <w:t>变化量</w:t>
            </w:r>
          </w:p>
          <w:p w14:paraId="2B62B0A2">
            <w:pPr>
              <w:pStyle w:val="44"/>
              <w:spacing w:beforeLines="0" w:afterLines="0" w:line="240" w:lineRule="auto"/>
              <w:rPr>
                <w:rFonts w:ascii="Times New Roman"/>
                <w:b/>
                <w:snapToGrid w:val="0"/>
                <w:spacing w:val="-6"/>
                <w:kern w:val="21"/>
                <w:szCs w:val="21"/>
              </w:rPr>
            </w:pPr>
            <w:r>
              <w:rPr>
                <w:rFonts w:ascii="Times New Roman"/>
                <w:b/>
                <w:snapToGrid w:val="0"/>
                <w:spacing w:val="-6"/>
                <w:kern w:val="21"/>
                <w:szCs w:val="21"/>
              </w:rPr>
              <w:fldChar w:fldCharType="begin"/>
            </w:r>
            <w:r>
              <w:rPr>
                <w:rFonts w:ascii="Times New Roman"/>
                <w:b/>
                <w:snapToGrid w:val="0"/>
                <w:spacing w:val="-6"/>
                <w:kern w:val="21"/>
                <w:szCs w:val="21"/>
              </w:rPr>
              <w:instrText xml:space="preserve"> = 7 \* GB3 \* MERGEFORMAT </w:instrText>
            </w:r>
            <w:r>
              <w:rPr>
                <w:rFonts w:ascii="Times New Roman"/>
                <w:b/>
                <w:snapToGrid w:val="0"/>
                <w:spacing w:val="-6"/>
                <w:kern w:val="21"/>
                <w:szCs w:val="21"/>
              </w:rPr>
              <w:fldChar w:fldCharType="separate"/>
            </w:r>
            <w:r>
              <w:rPr>
                <w:rFonts w:ascii="Times New Roman" w:hAnsi="宋体"/>
                <w:b/>
                <w:kern w:val="2"/>
                <w:szCs w:val="21"/>
              </w:rPr>
              <w:t>⑦</w:t>
            </w:r>
            <w:r>
              <w:rPr>
                <w:rFonts w:ascii="Times New Roman"/>
                <w:b/>
                <w:snapToGrid w:val="0"/>
                <w:spacing w:val="-6"/>
                <w:kern w:val="21"/>
                <w:szCs w:val="21"/>
              </w:rPr>
              <w:fldChar w:fldCharType="end"/>
            </w:r>
          </w:p>
        </w:tc>
      </w:tr>
      <w:tr w14:paraId="0D984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304" w:type="dxa"/>
            <w:vMerge w:val="restart"/>
            <w:vAlign w:val="center"/>
          </w:tcPr>
          <w:p w14:paraId="354BA141">
            <w:pPr>
              <w:pStyle w:val="44"/>
              <w:spacing w:beforeLines="0" w:afterLines="0" w:line="240" w:lineRule="auto"/>
              <w:rPr>
                <w:rFonts w:ascii="Times New Roman"/>
                <w:b/>
                <w:snapToGrid w:val="0"/>
                <w:kern w:val="21"/>
                <w:szCs w:val="21"/>
              </w:rPr>
            </w:pPr>
            <w:r>
              <w:rPr>
                <w:rFonts w:ascii="Times New Roman"/>
                <w:b/>
                <w:snapToGrid w:val="0"/>
                <w:kern w:val="21"/>
                <w:szCs w:val="21"/>
              </w:rPr>
              <w:t>废气</w:t>
            </w:r>
          </w:p>
        </w:tc>
        <w:tc>
          <w:tcPr>
            <w:tcW w:w="1559" w:type="dxa"/>
            <w:vAlign w:val="center"/>
          </w:tcPr>
          <w:p w14:paraId="290C1B7E">
            <w:pPr>
              <w:adjustRightInd w:val="0"/>
              <w:snapToGrid w:val="0"/>
              <w:jc w:val="center"/>
              <w:rPr>
                <w:szCs w:val="21"/>
              </w:rPr>
            </w:pPr>
            <w:r>
              <w:rPr>
                <w:szCs w:val="21"/>
              </w:rPr>
              <w:t>颗粒物</w:t>
            </w:r>
          </w:p>
        </w:tc>
        <w:tc>
          <w:tcPr>
            <w:tcW w:w="1843" w:type="dxa"/>
            <w:vAlign w:val="center"/>
          </w:tcPr>
          <w:p w14:paraId="2C935A95">
            <w:pPr>
              <w:pStyle w:val="44"/>
              <w:spacing w:beforeLines="0" w:afterLines="0" w:line="240" w:lineRule="auto"/>
              <w:rPr>
                <w:rFonts w:ascii="Times New Roman"/>
                <w:snapToGrid w:val="0"/>
                <w:kern w:val="21"/>
                <w:szCs w:val="21"/>
              </w:rPr>
            </w:pPr>
            <w:r>
              <w:rPr>
                <w:rFonts w:hint="eastAsia" w:ascii="Times New Roman"/>
                <w:snapToGrid w:val="0"/>
                <w:kern w:val="21"/>
                <w:szCs w:val="21"/>
              </w:rPr>
              <w:t>3.6745</w:t>
            </w:r>
          </w:p>
        </w:tc>
        <w:tc>
          <w:tcPr>
            <w:tcW w:w="1276" w:type="dxa"/>
            <w:vAlign w:val="center"/>
          </w:tcPr>
          <w:p w14:paraId="1628FE53">
            <w:pPr>
              <w:pStyle w:val="44"/>
              <w:spacing w:beforeLines="0" w:afterLines="0" w:line="240" w:lineRule="auto"/>
              <w:rPr>
                <w:rFonts w:ascii="Times New Roman"/>
                <w:snapToGrid w:val="0"/>
                <w:kern w:val="21"/>
                <w:szCs w:val="21"/>
              </w:rPr>
            </w:pPr>
            <w:r>
              <w:rPr>
                <w:rFonts w:hint="eastAsia" w:ascii="Times New Roman"/>
                <w:snapToGrid w:val="0"/>
                <w:kern w:val="21"/>
                <w:szCs w:val="21"/>
              </w:rPr>
              <w:t>7.7</w:t>
            </w:r>
          </w:p>
        </w:tc>
        <w:tc>
          <w:tcPr>
            <w:tcW w:w="1701" w:type="dxa"/>
            <w:vAlign w:val="center"/>
          </w:tcPr>
          <w:p w14:paraId="2A5A6841">
            <w:pPr>
              <w:pStyle w:val="44"/>
              <w:spacing w:beforeLines="0" w:afterLines="0" w:line="240" w:lineRule="auto"/>
              <w:rPr>
                <w:rFonts w:ascii="Times New Roman"/>
                <w:snapToGrid w:val="0"/>
                <w:kern w:val="21"/>
                <w:szCs w:val="21"/>
              </w:rPr>
            </w:pPr>
            <w:r>
              <w:rPr>
                <w:rFonts w:ascii="Times New Roman"/>
                <w:snapToGrid w:val="0"/>
                <w:kern w:val="21"/>
                <w:szCs w:val="21"/>
              </w:rPr>
              <w:t>0</w:t>
            </w:r>
          </w:p>
        </w:tc>
        <w:tc>
          <w:tcPr>
            <w:tcW w:w="1559" w:type="dxa"/>
            <w:vAlign w:val="center"/>
          </w:tcPr>
          <w:p w14:paraId="5E591C8B">
            <w:pPr>
              <w:jc w:val="center"/>
              <w:rPr>
                <w:szCs w:val="21"/>
              </w:rPr>
            </w:pPr>
            <w:r>
              <w:rPr>
                <w:rFonts w:hint="eastAsia"/>
                <w:szCs w:val="21"/>
              </w:rPr>
              <w:t>7.496</w:t>
            </w:r>
          </w:p>
        </w:tc>
        <w:tc>
          <w:tcPr>
            <w:tcW w:w="1418" w:type="dxa"/>
            <w:vAlign w:val="center"/>
          </w:tcPr>
          <w:p w14:paraId="68AC683E">
            <w:pPr>
              <w:pStyle w:val="44"/>
              <w:spacing w:beforeLines="0" w:afterLines="0" w:line="240" w:lineRule="auto"/>
              <w:rPr>
                <w:rFonts w:ascii="Times New Roman"/>
                <w:snapToGrid w:val="0"/>
                <w:kern w:val="21"/>
                <w:szCs w:val="21"/>
              </w:rPr>
            </w:pPr>
            <w:r>
              <w:rPr>
                <w:rFonts w:hint="eastAsia" w:ascii="Times New Roman"/>
                <w:snapToGrid w:val="0"/>
                <w:kern w:val="21"/>
                <w:szCs w:val="21"/>
              </w:rPr>
              <w:t>3.6745</w:t>
            </w:r>
          </w:p>
        </w:tc>
        <w:tc>
          <w:tcPr>
            <w:tcW w:w="1701" w:type="dxa"/>
            <w:vAlign w:val="center"/>
          </w:tcPr>
          <w:p w14:paraId="32CA5DE3">
            <w:pPr>
              <w:jc w:val="center"/>
              <w:rPr>
                <w:szCs w:val="21"/>
              </w:rPr>
            </w:pPr>
            <w:r>
              <w:rPr>
                <w:rFonts w:hint="eastAsia"/>
                <w:szCs w:val="21"/>
              </w:rPr>
              <w:t>7.496</w:t>
            </w:r>
          </w:p>
        </w:tc>
        <w:tc>
          <w:tcPr>
            <w:tcW w:w="1427" w:type="dxa"/>
            <w:vAlign w:val="center"/>
          </w:tcPr>
          <w:p w14:paraId="6D4980FB">
            <w:pPr>
              <w:jc w:val="center"/>
              <w:rPr>
                <w:szCs w:val="21"/>
              </w:rPr>
            </w:pPr>
            <w:r>
              <w:rPr>
                <w:rFonts w:hint="eastAsia"/>
                <w:szCs w:val="21"/>
              </w:rPr>
              <w:t>3.8215</w:t>
            </w:r>
          </w:p>
        </w:tc>
      </w:tr>
      <w:tr w14:paraId="58FD6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304" w:type="dxa"/>
            <w:vMerge w:val="continue"/>
            <w:vAlign w:val="center"/>
          </w:tcPr>
          <w:p w14:paraId="7C7F0F41">
            <w:pPr>
              <w:pStyle w:val="44"/>
              <w:spacing w:beforeLines="0" w:afterLines="0" w:line="240" w:lineRule="auto"/>
              <w:rPr>
                <w:rFonts w:ascii="Times New Roman"/>
                <w:b/>
                <w:snapToGrid w:val="0"/>
                <w:kern w:val="21"/>
                <w:szCs w:val="21"/>
              </w:rPr>
            </w:pPr>
          </w:p>
        </w:tc>
        <w:tc>
          <w:tcPr>
            <w:tcW w:w="1559" w:type="dxa"/>
            <w:vAlign w:val="center"/>
          </w:tcPr>
          <w:p w14:paraId="19CC4808">
            <w:pPr>
              <w:adjustRightInd w:val="0"/>
              <w:snapToGrid w:val="0"/>
              <w:jc w:val="center"/>
              <w:rPr>
                <w:szCs w:val="21"/>
              </w:rPr>
            </w:pPr>
            <w:r>
              <w:rPr>
                <w:szCs w:val="21"/>
              </w:rPr>
              <w:t>二氧化硫</w:t>
            </w:r>
          </w:p>
        </w:tc>
        <w:tc>
          <w:tcPr>
            <w:tcW w:w="1843" w:type="dxa"/>
            <w:vAlign w:val="center"/>
          </w:tcPr>
          <w:p w14:paraId="0BDA6C81">
            <w:pPr>
              <w:pStyle w:val="44"/>
              <w:spacing w:beforeLines="0" w:afterLines="0" w:line="240" w:lineRule="auto"/>
              <w:rPr>
                <w:rFonts w:ascii="Times New Roman"/>
                <w:snapToGrid w:val="0"/>
                <w:kern w:val="21"/>
                <w:szCs w:val="21"/>
              </w:rPr>
            </w:pPr>
            <w:r>
              <w:rPr>
                <w:rFonts w:hint="eastAsia" w:ascii="Times New Roman"/>
                <w:snapToGrid w:val="0"/>
                <w:kern w:val="21"/>
                <w:szCs w:val="21"/>
              </w:rPr>
              <w:t>9.3865</w:t>
            </w:r>
          </w:p>
        </w:tc>
        <w:tc>
          <w:tcPr>
            <w:tcW w:w="1276" w:type="dxa"/>
            <w:vAlign w:val="center"/>
          </w:tcPr>
          <w:p w14:paraId="21E5DCD7">
            <w:pPr>
              <w:pStyle w:val="44"/>
              <w:spacing w:beforeLines="0" w:afterLines="0" w:line="240" w:lineRule="auto"/>
              <w:rPr>
                <w:rFonts w:ascii="Times New Roman"/>
                <w:snapToGrid w:val="0"/>
                <w:kern w:val="21"/>
                <w:szCs w:val="21"/>
              </w:rPr>
            </w:pPr>
            <w:r>
              <w:rPr>
                <w:rFonts w:hint="eastAsia" w:ascii="Times New Roman"/>
                <w:snapToGrid w:val="0"/>
                <w:kern w:val="21"/>
                <w:szCs w:val="21"/>
              </w:rPr>
              <w:t>36.45</w:t>
            </w:r>
          </w:p>
        </w:tc>
        <w:tc>
          <w:tcPr>
            <w:tcW w:w="1701" w:type="dxa"/>
            <w:vAlign w:val="center"/>
          </w:tcPr>
          <w:p w14:paraId="46E6431A">
            <w:pPr>
              <w:pStyle w:val="44"/>
              <w:spacing w:beforeLines="0" w:afterLines="0" w:line="240" w:lineRule="auto"/>
              <w:rPr>
                <w:rFonts w:ascii="Times New Roman"/>
                <w:snapToGrid w:val="0"/>
                <w:kern w:val="21"/>
                <w:szCs w:val="21"/>
              </w:rPr>
            </w:pPr>
            <w:r>
              <w:rPr>
                <w:rFonts w:ascii="Times New Roman"/>
                <w:snapToGrid w:val="0"/>
                <w:kern w:val="21"/>
                <w:szCs w:val="21"/>
              </w:rPr>
              <w:t>0</w:t>
            </w:r>
          </w:p>
        </w:tc>
        <w:tc>
          <w:tcPr>
            <w:tcW w:w="1559" w:type="dxa"/>
            <w:vAlign w:val="center"/>
          </w:tcPr>
          <w:p w14:paraId="5796D146">
            <w:pPr>
              <w:jc w:val="center"/>
              <w:rPr>
                <w:szCs w:val="21"/>
              </w:rPr>
            </w:pPr>
            <w:r>
              <w:rPr>
                <w:rFonts w:hint="eastAsia"/>
                <w:szCs w:val="21"/>
              </w:rPr>
              <w:t>0.072</w:t>
            </w:r>
          </w:p>
        </w:tc>
        <w:tc>
          <w:tcPr>
            <w:tcW w:w="1418" w:type="dxa"/>
            <w:vAlign w:val="center"/>
          </w:tcPr>
          <w:p w14:paraId="057B20AB">
            <w:pPr>
              <w:pStyle w:val="44"/>
              <w:spacing w:beforeLines="0" w:afterLines="0" w:line="240" w:lineRule="auto"/>
              <w:rPr>
                <w:rFonts w:ascii="Times New Roman"/>
                <w:snapToGrid w:val="0"/>
                <w:kern w:val="21"/>
                <w:szCs w:val="21"/>
              </w:rPr>
            </w:pPr>
            <w:r>
              <w:rPr>
                <w:rFonts w:hint="eastAsia" w:ascii="Times New Roman"/>
                <w:snapToGrid w:val="0"/>
                <w:kern w:val="21"/>
                <w:szCs w:val="21"/>
              </w:rPr>
              <w:t>9.3865</w:t>
            </w:r>
          </w:p>
        </w:tc>
        <w:tc>
          <w:tcPr>
            <w:tcW w:w="1701" w:type="dxa"/>
            <w:vAlign w:val="center"/>
          </w:tcPr>
          <w:p w14:paraId="70F88C00">
            <w:pPr>
              <w:jc w:val="center"/>
              <w:rPr>
                <w:szCs w:val="21"/>
              </w:rPr>
            </w:pPr>
            <w:r>
              <w:rPr>
                <w:rFonts w:hint="eastAsia"/>
                <w:szCs w:val="21"/>
              </w:rPr>
              <w:t>0.072</w:t>
            </w:r>
          </w:p>
        </w:tc>
        <w:tc>
          <w:tcPr>
            <w:tcW w:w="1427" w:type="dxa"/>
            <w:vAlign w:val="center"/>
          </w:tcPr>
          <w:p w14:paraId="09FED81C">
            <w:pPr>
              <w:jc w:val="center"/>
              <w:rPr>
                <w:szCs w:val="21"/>
              </w:rPr>
            </w:pPr>
            <w:r>
              <w:rPr>
                <w:rFonts w:hint="eastAsia"/>
                <w:szCs w:val="21"/>
              </w:rPr>
              <w:t>-9.3145</w:t>
            </w:r>
          </w:p>
        </w:tc>
      </w:tr>
      <w:tr w14:paraId="0E975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304" w:type="dxa"/>
            <w:vMerge w:val="continue"/>
            <w:vAlign w:val="center"/>
          </w:tcPr>
          <w:p w14:paraId="43132A7C">
            <w:pPr>
              <w:pStyle w:val="44"/>
              <w:spacing w:beforeLines="0" w:afterLines="0" w:line="240" w:lineRule="auto"/>
              <w:rPr>
                <w:rFonts w:ascii="Times New Roman"/>
                <w:b/>
                <w:snapToGrid w:val="0"/>
                <w:kern w:val="21"/>
                <w:szCs w:val="21"/>
              </w:rPr>
            </w:pPr>
          </w:p>
        </w:tc>
        <w:tc>
          <w:tcPr>
            <w:tcW w:w="1559" w:type="dxa"/>
            <w:vAlign w:val="center"/>
          </w:tcPr>
          <w:p w14:paraId="523316E3">
            <w:pPr>
              <w:adjustRightInd w:val="0"/>
              <w:snapToGrid w:val="0"/>
              <w:jc w:val="center"/>
              <w:rPr>
                <w:szCs w:val="21"/>
              </w:rPr>
            </w:pPr>
            <w:r>
              <w:rPr>
                <w:szCs w:val="21"/>
              </w:rPr>
              <w:t>氮氧化物</w:t>
            </w:r>
          </w:p>
        </w:tc>
        <w:tc>
          <w:tcPr>
            <w:tcW w:w="1843" w:type="dxa"/>
            <w:vAlign w:val="center"/>
          </w:tcPr>
          <w:p w14:paraId="0D5E4AFE">
            <w:pPr>
              <w:pStyle w:val="44"/>
              <w:spacing w:beforeLines="0" w:afterLines="0" w:line="240" w:lineRule="auto"/>
              <w:rPr>
                <w:rFonts w:ascii="Times New Roman"/>
                <w:snapToGrid w:val="0"/>
                <w:kern w:val="21"/>
                <w:szCs w:val="21"/>
              </w:rPr>
            </w:pPr>
            <w:r>
              <w:rPr>
                <w:rFonts w:hint="eastAsia" w:ascii="Times New Roman"/>
                <w:snapToGrid w:val="0"/>
                <w:kern w:val="21"/>
                <w:szCs w:val="21"/>
              </w:rPr>
              <w:t>23.2369</w:t>
            </w:r>
          </w:p>
        </w:tc>
        <w:tc>
          <w:tcPr>
            <w:tcW w:w="1276" w:type="dxa"/>
            <w:vAlign w:val="center"/>
          </w:tcPr>
          <w:p w14:paraId="4C75F1F8">
            <w:pPr>
              <w:pStyle w:val="44"/>
              <w:spacing w:beforeLines="0" w:afterLines="0" w:line="240" w:lineRule="auto"/>
              <w:rPr>
                <w:rFonts w:ascii="Times New Roman"/>
                <w:snapToGrid w:val="0"/>
                <w:kern w:val="21"/>
                <w:szCs w:val="21"/>
              </w:rPr>
            </w:pPr>
            <w:r>
              <w:rPr>
                <w:rFonts w:hint="eastAsia" w:ascii="Times New Roman"/>
                <w:snapToGrid w:val="0"/>
                <w:kern w:val="21"/>
                <w:szCs w:val="21"/>
              </w:rPr>
              <w:t>61</w:t>
            </w:r>
          </w:p>
        </w:tc>
        <w:tc>
          <w:tcPr>
            <w:tcW w:w="1701" w:type="dxa"/>
            <w:vAlign w:val="center"/>
          </w:tcPr>
          <w:p w14:paraId="6458C43C">
            <w:pPr>
              <w:pStyle w:val="44"/>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1559" w:type="dxa"/>
            <w:vAlign w:val="center"/>
          </w:tcPr>
          <w:p w14:paraId="044338C0">
            <w:pPr>
              <w:jc w:val="center"/>
              <w:rPr>
                <w:szCs w:val="21"/>
              </w:rPr>
            </w:pPr>
            <w:r>
              <w:rPr>
                <w:rFonts w:hint="eastAsia"/>
                <w:szCs w:val="21"/>
              </w:rPr>
              <w:t>33.61</w:t>
            </w:r>
          </w:p>
        </w:tc>
        <w:tc>
          <w:tcPr>
            <w:tcW w:w="1418" w:type="dxa"/>
            <w:vAlign w:val="center"/>
          </w:tcPr>
          <w:p w14:paraId="43741652">
            <w:pPr>
              <w:pStyle w:val="44"/>
              <w:spacing w:beforeLines="0" w:afterLines="0" w:line="240" w:lineRule="auto"/>
              <w:rPr>
                <w:rFonts w:ascii="Times New Roman"/>
                <w:snapToGrid w:val="0"/>
                <w:kern w:val="21"/>
                <w:szCs w:val="21"/>
              </w:rPr>
            </w:pPr>
            <w:r>
              <w:rPr>
                <w:rFonts w:hint="eastAsia" w:ascii="Times New Roman"/>
                <w:snapToGrid w:val="0"/>
                <w:kern w:val="21"/>
                <w:szCs w:val="21"/>
              </w:rPr>
              <w:t>23.2369</w:t>
            </w:r>
          </w:p>
        </w:tc>
        <w:tc>
          <w:tcPr>
            <w:tcW w:w="1701" w:type="dxa"/>
            <w:vAlign w:val="center"/>
          </w:tcPr>
          <w:p w14:paraId="169A350D">
            <w:pPr>
              <w:jc w:val="center"/>
              <w:rPr>
                <w:szCs w:val="21"/>
              </w:rPr>
            </w:pPr>
            <w:r>
              <w:rPr>
                <w:rFonts w:hint="eastAsia"/>
                <w:szCs w:val="21"/>
              </w:rPr>
              <w:t>33.61</w:t>
            </w:r>
          </w:p>
        </w:tc>
        <w:tc>
          <w:tcPr>
            <w:tcW w:w="1427" w:type="dxa"/>
            <w:vAlign w:val="center"/>
          </w:tcPr>
          <w:p w14:paraId="7EA2A6AD">
            <w:pPr>
              <w:jc w:val="center"/>
              <w:rPr>
                <w:szCs w:val="21"/>
              </w:rPr>
            </w:pPr>
            <w:r>
              <w:rPr>
                <w:rFonts w:hint="eastAsia"/>
                <w:szCs w:val="21"/>
              </w:rPr>
              <w:t>+10.3731</w:t>
            </w:r>
          </w:p>
        </w:tc>
      </w:tr>
      <w:tr w14:paraId="7B34D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304" w:type="dxa"/>
            <w:vMerge w:val="restart"/>
            <w:vAlign w:val="center"/>
          </w:tcPr>
          <w:p w14:paraId="0499E447">
            <w:pPr>
              <w:pStyle w:val="44"/>
              <w:spacing w:beforeLines="0" w:afterLines="0" w:line="240" w:lineRule="auto"/>
              <w:rPr>
                <w:rFonts w:ascii="Times New Roman"/>
                <w:b/>
                <w:snapToGrid w:val="0"/>
                <w:kern w:val="21"/>
                <w:szCs w:val="21"/>
              </w:rPr>
            </w:pPr>
            <w:r>
              <w:rPr>
                <w:rFonts w:ascii="Times New Roman"/>
                <w:b/>
                <w:snapToGrid w:val="0"/>
                <w:kern w:val="21"/>
                <w:szCs w:val="21"/>
              </w:rPr>
              <w:t>废水</w:t>
            </w:r>
          </w:p>
        </w:tc>
        <w:tc>
          <w:tcPr>
            <w:tcW w:w="1559" w:type="dxa"/>
            <w:vAlign w:val="center"/>
          </w:tcPr>
          <w:p w14:paraId="2938D4E4">
            <w:pPr>
              <w:adjustRightInd w:val="0"/>
              <w:snapToGrid w:val="0"/>
              <w:jc w:val="center"/>
              <w:rPr>
                <w:bCs/>
                <w:spacing w:val="-10"/>
                <w:szCs w:val="21"/>
              </w:rPr>
            </w:pPr>
            <w:r>
              <w:rPr>
                <w:bCs/>
                <w:spacing w:val="-10"/>
                <w:szCs w:val="21"/>
              </w:rPr>
              <w:t>排放量m</w:t>
            </w:r>
            <w:r>
              <w:rPr>
                <w:bCs/>
                <w:spacing w:val="-10"/>
                <w:szCs w:val="21"/>
                <w:vertAlign w:val="superscript"/>
              </w:rPr>
              <w:t>3</w:t>
            </w:r>
            <w:r>
              <w:rPr>
                <w:bCs/>
                <w:spacing w:val="-10"/>
                <w:szCs w:val="21"/>
              </w:rPr>
              <w:t>/a</w:t>
            </w:r>
          </w:p>
        </w:tc>
        <w:tc>
          <w:tcPr>
            <w:tcW w:w="1843" w:type="dxa"/>
            <w:vAlign w:val="center"/>
          </w:tcPr>
          <w:p w14:paraId="6560BDD4">
            <w:pPr>
              <w:pStyle w:val="44"/>
              <w:spacing w:beforeLines="0" w:afterLines="0" w:line="240" w:lineRule="auto"/>
              <w:rPr>
                <w:rFonts w:ascii="Times New Roman"/>
                <w:snapToGrid w:val="0"/>
                <w:kern w:val="21"/>
                <w:szCs w:val="21"/>
              </w:rPr>
            </w:pPr>
            <w:r>
              <w:rPr>
                <w:rFonts w:ascii="Times New Roman"/>
                <w:snapToGrid w:val="0"/>
                <w:kern w:val="21"/>
                <w:szCs w:val="21"/>
              </w:rPr>
              <w:t>0</w:t>
            </w:r>
          </w:p>
        </w:tc>
        <w:tc>
          <w:tcPr>
            <w:tcW w:w="1276" w:type="dxa"/>
            <w:vAlign w:val="center"/>
          </w:tcPr>
          <w:p w14:paraId="1839DFA4">
            <w:pPr>
              <w:pStyle w:val="44"/>
              <w:spacing w:beforeLines="0" w:afterLines="0" w:line="240" w:lineRule="auto"/>
              <w:rPr>
                <w:rFonts w:ascii="Times New Roman"/>
                <w:snapToGrid w:val="0"/>
                <w:kern w:val="21"/>
                <w:szCs w:val="21"/>
              </w:rPr>
            </w:pPr>
            <w:r>
              <w:rPr>
                <w:rFonts w:ascii="Times New Roman"/>
                <w:snapToGrid w:val="0"/>
                <w:kern w:val="21"/>
                <w:szCs w:val="21"/>
              </w:rPr>
              <w:t>0</w:t>
            </w:r>
          </w:p>
        </w:tc>
        <w:tc>
          <w:tcPr>
            <w:tcW w:w="1701" w:type="dxa"/>
            <w:vAlign w:val="center"/>
          </w:tcPr>
          <w:p w14:paraId="55DEF57C">
            <w:pPr>
              <w:pStyle w:val="44"/>
              <w:spacing w:beforeLines="0" w:afterLines="0" w:line="240" w:lineRule="auto"/>
              <w:rPr>
                <w:rFonts w:ascii="Times New Roman"/>
                <w:snapToGrid w:val="0"/>
                <w:kern w:val="21"/>
                <w:szCs w:val="21"/>
              </w:rPr>
            </w:pPr>
            <w:r>
              <w:rPr>
                <w:rFonts w:ascii="Times New Roman"/>
                <w:snapToGrid w:val="0"/>
                <w:kern w:val="21"/>
                <w:szCs w:val="21"/>
              </w:rPr>
              <w:t>0</w:t>
            </w:r>
          </w:p>
        </w:tc>
        <w:tc>
          <w:tcPr>
            <w:tcW w:w="1559" w:type="dxa"/>
            <w:vAlign w:val="center"/>
          </w:tcPr>
          <w:p w14:paraId="5C2C9B4F">
            <w:pPr>
              <w:pStyle w:val="44"/>
              <w:spacing w:beforeLines="0" w:afterLines="0" w:line="240" w:lineRule="auto"/>
              <w:rPr>
                <w:rFonts w:ascii="Times New Roman"/>
                <w:snapToGrid w:val="0"/>
                <w:kern w:val="21"/>
                <w:szCs w:val="21"/>
              </w:rPr>
            </w:pPr>
            <w:r>
              <w:rPr>
                <w:rFonts w:ascii="Times New Roman"/>
                <w:snapToGrid w:val="0"/>
                <w:kern w:val="21"/>
                <w:szCs w:val="21"/>
              </w:rPr>
              <w:t>0</w:t>
            </w:r>
          </w:p>
        </w:tc>
        <w:tc>
          <w:tcPr>
            <w:tcW w:w="1418" w:type="dxa"/>
            <w:vAlign w:val="center"/>
          </w:tcPr>
          <w:p w14:paraId="7A633937">
            <w:pPr>
              <w:pStyle w:val="44"/>
              <w:spacing w:beforeLines="0" w:afterLines="0" w:line="240" w:lineRule="auto"/>
              <w:rPr>
                <w:rFonts w:ascii="Times New Roman"/>
                <w:snapToGrid w:val="0"/>
                <w:kern w:val="21"/>
                <w:szCs w:val="21"/>
              </w:rPr>
            </w:pPr>
            <w:r>
              <w:rPr>
                <w:rFonts w:ascii="Times New Roman"/>
                <w:snapToGrid w:val="0"/>
                <w:kern w:val="21"/>
                <w:szCs w:val="21"/>
              </w:rPr>
              <w:t>0</w:t>
            </w:r>
          </w:p>
        </w:tc>
        <w:tc>
          <w:tcPr>
            <w:tcW w:w="1701" w:type="dxa"/>
            <w:vAlign w:val="center"/>
          </w:tcPr>
          <w:p w14:paraId="36EF714E">
            <w:pPr>
              <w:pStyle w:val="44"/>
              <w:spacing w:beforeLines="0" w:afterLines="0" w:line="240" w:lineRule="auto"/>
              <w:rPr>
                <w:rFonts w:ascii="Times New Roman"/>
                <w:snapToGrid w:val="0"/>
                <w:kern w:val="21"/>
                <w:szCs w:val="21"/>
              </w:rPr>
            </w:pPr>
            <w:r>
              <w:rPr>
                <w:rFonts w:ascii="Times New Roman"/>
                <w:snapToGrid w:val="0"/>
                <w:kern w:val="21"/>
                <w:szCs w:val="21"/>
              </w:rPr>
              <w:t>0</w:t>
            </w:r>
          </w:p>
        </w:tc>
        <w:tc>
          <w:tcPr>
            <w:tcW w:w="1427" w:type="dxa"/>
            <w:vAlign w:val="center"/>
          </w:tcPr>
          <w:p w14:paraId="37200487">
            <w:pPr>
              <w:jc w:val="center"/>
              <w:rPr>
                <w:szCs w:val="21"/>
              </w:rPr>
            </w:pPr>
            <w:r>
              <w:rPr>
                <w:szCs w:val="21"/>
              </w:rPr>
              <w:t>0</w:t>
            </w:r>
          </w:p>
        </w:tc>
      </w:tr>
      <w:tr w14:paraId="41A6D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304" w:type="dxa"/>
            <w:vMerge w:val="continue"/>
            <w:vAlign w:val="center"/>
          </w:tcPr>
          <w:p w14:paraId="0615A20E">
            <w:pPr>
              <w:pStyle w:val="44"/>
              <w:spacing w:beforeLines="0" w:afterLines="0" w:line="240" w:lineRule="auto"/>
              <w:rPr>
                <w:rFonts w:ascii="Times New Roman"/>
                <w:b/>
                <w:snapToGrid w:val="0"/>
                <w:kern w:val="21"/>
                <w:szCs w:val="21"/>
              </w:rPr>
            </w:pPr>
          </w:p>
        </w:tc>
        <w:tc>
          <w:tcPr>
            <w:tcW w:w="1559" w:type="dxa"/>
            <w:vAlign w:val="center"/>
          </w:tcPr>
          <w:p w14:paraId="0989E50D">
            <w:pPr>
              <w:pStyle w:val="44"/>
              <w:spacing w:beforeLines="0" w:afterLines="0" w:line="240" w:lineRule="auto"/>
              <w:rPr>
                <w:rFonts w:ascii="Times New Roman"/>
                <w:snapToGrid w:val="0"/>
                <w:kern w:val="21"/>
                <w:szCs w:val="21"/>
              </w:rPr>
            </w:pPr>
            <w:r>
              <w:rPr>
                <w:rFonts w:ascii="Times New Roman"/>
                <w:snapToGrid w:val="0"/>
                <w:kern w:val="21"/>
                <w:szCs w:val="21"/>
              </w:rPr>
              <w:t>COD</w:t>
            </w:r>
          </w:p>
        </w:tc>
        <w:tc>
          <w:tcPr>
            <w:tcW w:w="1843" w:type="dxa"/>
            <w:vAlign w:val="center"/>
          </w:tcPr>
          <w:p w14:paraId="7D91DE99">
            <w:pPr>
              <w:pStyle w:val="44"/>
              <w:spacing w:beforeLines="0" w:afterLines="0" w:line="240" w:lineRule="auto"/>
              <w:rPr>
                <w:rFonts w:ascii="Times New Roman"/>
                <w:snapToGrid w:val="0"/>
                <w:kern w:val="21"/>
                <w:szCs w:val="21"/>
              </w:rPr>
            </w:pPr>
            <w:r>
              <w:rPr>
                <w:rFonts w:ascii="Times New Roman"/>
                <w:snapToGrid w:val="0"/>
                <w:kern w:val="21"/>
                <w:szCs w:val="21"/>
              </w:rPr>
              <w:t>0</w:t>
            </w:r>
          </w:p>
        </w:tc>
        <w:tc>
          <w:tcPr>
            <w:tcW w:w="1276" w:type="dxa"/>
            <w:vAlign w:val="center"/>
          </w:tcPr>
          <w:p w14:paraId="1696324F">
            <w:pPr>
              <w:pStyle w:val="44"/>
              <w:spacing w:beforeLines="0" w:afterLines="0" w:line="240" w:lineRule="auto"/>
              <w:rPr>
                <w:rFonts w:ascii="Times New Roman"/>
                <w:snapToGrid w:val="0"/>
                <w:kern w:val="21"/>
                <w:szCs w:val="21"/>
              </w:rPr>
            </w:pPr>
            <w:r>
              <w:rPr>
                <w:rFonts w:ascii="Times New Roman"/>
                <w:snapToGrid w:val="0"/>
                <w:kern w:val="21"/>
                <w:szCs w:val="21"/>
              </w:rPr>
              <w:t>0</w:t>
            </w:r>
          </w:p>
        </w:tc>
        <w:tc>
          <w:tcPr>
            <w:tcW w:w="1701" w:type="dxa"/>
            <w:vAlign w:val="center"/>
          </w:tcPr>
          <w:p w14:paraId="1B0047AE">
            <w:pPr>
              <w:pStyle w:val="44"/>
              <w:spacing w:beforeLines="0" w:afterLines="0" w:line="240" w:lineRule="auto"/>
              <w:rPr>
                <w:rFonts w:ascii="Times New Roman"/>
                <w:snapToGrid w:val="0"/>
                <w:kern w:val="21"/>
                <w:szCs w:val="21"/>
              </w:rPr>
            </w:pPr>
            <w:r>
              <w:rPr>
                <w:rFonts w:ascii="Times New Roman"/>
                <w:snapToGrid w:val="0"/>
                <w:kern w:val="21"/>
                <w:szCs w:val="21"/>
              </w:rPr>
              <w:t>0</w:t>
            </w:r>
          </w:p>
        </w:tc>
        <w:tc>
          <w:tcPr>
            <w:tcW w:w="1559" w:type="dxa"/>
            <w:vAlign w:val="center"/>
          </w:tcPr>
          <w:p w14:paraId="401EC246">
            <w:pPr>
              <w:pStyle w:val="44"/>
              <w:spacing w:beforeLines="0" w:afterLines="0" w:line="240" w:lineRule="auto"/>
              <w:rPr>
                <w:rFonts w:ascii="Times New Roman"/>
                <w:snapToGrid w:val="0"/>
                <w:kern w:val="21"/>
                <w:szCs w:val="21"/>
              </w:rPr>
            </w:pPr>
            <w:r>
              <w:rPr>
                <w:rFonts w:ascii="Times New Roman"/>
                <w:snapToGrid w:val="0"/>
                <w:kern w:val="21"/>
                <w:szCs w:val="21"/>
              </w:rPr>
              <w:t>0</w:t>
            </w:r>
          </w:p>
        </w:tc>
        <w:tc>
          <w:tcPr>
            <w:tcW w:w="1418" w:type="dxa"/>
            <w:vAlign w:val="center"/>
          </w:tcPr>
          <w:p w14:paraId="7DD37803">
            <w:pPr>
              <w:pStyle w:val="44"/>
              <w:spacing w:beforeLines="0" w:afterLines="0" w:line="240" w:lineRule="auto"/>
              <w:rPr>
                <w:rFonts w:ascii="Times New Roman"/>
                <w:snapToGrid w:val="0"/>
                <w:kern w:val="21"/>
                <w:szCs w:val="21"/>
              </w:rPr>
            </w:pPr>
            <w:r>
              <w:rPr>
                <w:rFonts w:ascii="Times New Roman"/>
                <w:snapToGrid w:val="0"/>
                <w:kern w:val="21"/>
                <w:szCs w:val="21"/>
              </w:rPr>
              <w:t>0</w:t>
            </w:r>
          </w:p>
        </w:tc>
        <w:tc>
          <w:tcPr>
            <w:tcW w:w="1701" w:type="dxa"/>
            <w:vAlign w:val="center"/>
          </w:tcPr>
          <w:p w14:paraId="020A45E7">
            <w:pPr>
              <w:pStyle w:val="44"/>
              <w:spacing w:beforeLines="0" w:afterLines="0" w:line="240" w:lineRule="auto"/>
              <w:rPr>
                <w:rFonts w:ascii="Times New Roman"/>
                <w:snapToGrid w:val="0"/>
                <w:kern w:val="21"/>
                <w:szCs w:val="21"/>
              </w:rPr>
            </w:pPr>
            <w:r>
              <w:rPr>
                <w:rFonts w:ascii="Times New Roman"/>
                <w:snapToGrid w:val="0"/>
                <w:kern w:val="21"/>
                <w:szCs w:val="21"/>
              </w:rPr>
              <w:t>0</w:t>
            </w:r>
          </w:p>
        </w:tc>
        <w:tc>
          <w:tcPr>
            <w:tcW w:w="1427" w:type="dxa"/>
            <w:vAlign w:val="center"/>
          </w:tcPr>
          <w:p w14:paraId="293CE957">
            <w:pPr>
              <w:jc w:val="center"/>
              <w:rPr>
                <w:szCs w:val="21"/>
              </w:rPr>
            </w:pPr>
            <w:r>
              <w:rPr>
                <w:szCs w:val="21"/>
              </w:rPr>
              <w:t>0</w:t>
            </w:r>
          </w:p>
        </w:tc>
      </w:tr>
      <w:tr w14:paraId="5E93B5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304" w:type="dxa"/>
            <w:vMerge w:val="continue"/>
            <w:vAlign w:val="center"/>
          </w:tcPr>
          <w:p w14:paraId="58334AE2">
            <w:pPr>
              <w:pStyle w:val="44"/>
              <w:spacing w:beforeLines="0" w:afterLines="0" w:line="240" w:lineRule="auto"/>
              <w:rPr>
                <w:rFonts w:ascii="Times New Roman"/>
                <w:b/>
                <w:snapToGrid w:val="0"/>
                <w:kern w:val="21"/>
                <w:szCs w:val="21"/>
              </w:rPr>
            </w:pPr>
          </w:p>
        </w:tc>
        <w:tc>
          <w:tcPr>
            <w:tcW w:w="1559" w:type="dxa"/>
            <w:vAlign w:val="center"/>
          </w:tcPr>
          <w:p w14:paraId="2F708BC8">
            <w:pPr>
              <w:pStyle w:val="44"/>
              <w:spacing w:beforeLines="0" w:afterLines="0" w:line="240" w:lineRule="auto"/>
              <w:rPr>
                <w:rFonts w:ascii="Times New Roman"/>
                <w:snapToGrid w:val="0"/>
                <w:kern w:val="21"/>
                <w:szCs w:val="21"/>
              </w:rPr>
            </w:pPr>
            <w:r>
              <w:rPr>
                <w:rFonts w:ascii="Times New Roman"/>
                <w:snapToGrid w:val="0"/>
                <w:kern w:val="21"/>
                <w:szCs w:val="21"/>
              </w:rPr>
              <w:t>NH</w:t>
            </w:r>
            <w:r>
              <w:rPr>
                <w:rFonts w:ascii="Times New Roman"/>
                <w:snapToGrid w:val="0"/>
                <w:kern w:val="21"/>
                <w:szCs w:val="21"/>
                <w:vertAlign w:val="subscript"/>
              </w:rPr>
              <w:t>3</w:t>
            </w:r>
            <w:r>
              <w:rPr>
                <w:rFonts w:ascii="Times New Roman"/>
                <w:snapToGrid w:val="0"/>
                <w:kern w:val="21"/>
                <w:szCs w:val="21"/>
              </w:rPr>
              <w:t>-N</w:t>
            </w:r>
          </w:p>
        </w:tc>
        <w:tc>
          <w:tcPr>
            <w:tcW w:w="1843" w:type="dxa"/>
            <w:vAlign w:val="center"/>
          </w:tcPr>
          <w:p w14:paraId="7B55BA1E">
            <w:pPr>
              <w:pStyle w:val="44"/>
              <w:spacing w:beforeLines="0" w:afterLines="0" w:line="240" w:lineRule="auto"/>
              <w:rPr>
                <w:rFonts w:ascii="Times New Roman"/>
                <w:snapToGrid w:val="0"/>
                <w:kern w:val="21"/>
                <w:szCs w:val="21"/>
              </w:rPr>
            </w:pPr>
            <w:r>
              <w:rPr>
                <w:rFonts w:ascii="Times New Roman"/>
                <w:snapToGrid w:val="0"/>
                <w:kern w:val="21"/>
                <w:szCs w:val="21"/>
              </w:rPr>
              <w:t>0</w:t>
            </w:r>
          </w:p>
        </w:tc>
        <w:tc>
          <w:tcPr>
            <w:tcW w:w="1276" w:type="dxa"/>
            <w:vAlign w:val="center"/>
          </w:tcPr>
          <w:p w14:paraId="29694CC6">
            <w:pPr>
              <w:pStyle w:val="44"/>
              <w:spacing w:beforeLines="0" w:afterLines="0" w:line="240" w:lineRule="auto"/>
              <w:rPr>
                <w:rFonts w:ascii="Times New Roman"/>
                <w:snapToGrid w:val="0"/>
                <w:kern w:val="21"/>
                <w:szCs w:val="21"/>
              </w:rPr>
            </w:pPr>
            <w:r>
              <w:rPr>
                <w:rFonts w:ascii="Times New Roman"/>
                <w:snapToGrid w:val="0"/>
                <w:kern w:val="21"/>
                <w:szCs w:val="21"/>
              </w:rPr>
              <w:t>0</w:t>
            </w:r>
          </w:p>
        </w:tc>
        <w:tc>
          <w:tcPr>
            <w:tcW w:w="1701" w:type="dxa"/>
            <w:vAlign w:val="center"/>
          </w:tcPr>
          <w:p w14:paraId="6313450A">
            <w:pPr>
              <w:pStyle w:val="44"/>
              <w:spacing w:beforeLines="0" w:afterLines="0" w:line="240" w:lineRule="auto"/>
              <w:rPr>
                <w:rFonts w:ascii="Times New Roman"/>
                <w:snapToGrid w:val="0"/>
                <w:kern w:val="21"/>
                <w:szCs w:val="21"/>
              </w:rPr>
            </w:pPr>
            <w:r>
              <w:rPr>
                <w:rFonts w:ascii="Times New Roman"/>
                <w:snapToGrid w:val="0"/>
                <w:kern w:val="21"/>
                <w:szCs w:val="21"/>
              </w:rPr>
              <w:t>0</w:t>
            </w:r>
          </w:p>
        </w:tc>
        <w:tc>
          <w:tcPr>
            <w:tcW w:w="1559" w:type="dxa"/>
            <w:vAlign w:val="center"/>
          </w:tcPr>
          <w:p w14:paraId="244C726D">
            <w:pPr>
              <w:pStyle w:val="44"/>
              <w:spacing w:beforeLines="0" w:afterLines="0" w:line="240" w:lineRule="auto"/>
              <w:rPr>
                <w:rFonts w:ascii="Times New Roman"/>
                <w:snapToGrid w:val="0"/>
                <w:kern w:val="21"/>
                <w:szCs w:val="21"/>
              </w:rPr>
            </w:pPr>
            <w:r>
              <w:rPr>
                <w:rFonts w:ascii="Times New Roman"/>
                <w:snapToGrid w:val="0"/>
                <w:kern w:val="21"/>
                <w:szCs w:val="21"/>
              </w:rPr>
              <w:t>0</w:t>
            </w:r>
          </w:p>
        </w:tc>
        <w:tc>
          <w:tcPr>
            <w:tcW w:w="1418" w:type="dxa"/>
            <w:vAlign w:val="center"/>
          </w:tcPr>
          <w:p w14:paraId="1592410C">
            <w:pPr>
              <w:pStyle w:val="44"/>
              <w:spacing w:beforeLines="0" w:afterLines="0" w:line="240" w:lineRule="auto"/>
              <w:rPr>
                <w:rFonts w:ascii="Times New Roman"/>
                <w:snapToGrid w:val="0"/>
                <w:kern w:val="21"/>
                <w:szCs w:val="21"/>
              </w:rPr>
            </w:pPr>
            <w:r>
              <w:rPr>
                <w:rFonts w:ascii="Times New Roman"/>
                <w:snapToGrid w:val="0"/>
                <w:kern w:val="21"/>
                <w:szCs w:val="21"/>
              </w:rPr>
              <w:t>0</w:t>
            </w:r>
          </w:p>
        </w:tc>
        <w:tc>
          <w:tcPr>
            <w:tcW w:w="1701" w:type="dxa"/>
            <w:vAlign w:val="center"/>
          </w:tcPr>
          <w:p w14:paraId="39B5C474">
            <w:pPr>
              <w:pStyle w:val="44"/>
              <w:spacing w:beforeLines="0" w:afterLines="0" w:line="240" w:lineRule="auto"/>
              <w:rPr>
                <w:rFonts w:ascii="Times New Roman"/>
                <w:snapToGrid w:val="0"/>
                <w:kern w:val="21"/>
                <w:szCs w:val="21"/>
              </w:rPr>
            </w:pPr>
            <w:r>
              <w:rPr>
                <w:rFonts w:ascii="Times New Roman"/>
                <w:snapToGrid w:val="0"/>
                <w:kern w:val="21"/>
                <w:szCs w:val="21"/>
              </w:rPr>
              <w:t>0</w:t>
            </w:r>
          </w:p>
        </w:tc>
        <w:tc>
          <w:tcPr>
            <w:tcW w:w="1427" w:type="dxa"/>
            <w:vAlign w:val="center"/>
          </w:tcPr>
          <w:p w14:paraId="5A0EAB6A">
            <w:pPr>
              <w:jc w:val="center"/>
              <w:rPr>
                <w:szCs w:val="21"/>
              </w:rPr>
            </w:pPr>
            <w:r>
              <w:rPr>
                <w:szCs w:val="21"/>
              </w:rPr>
              <w:t>0</w:t>
            </w:r>
          </w:p>
        </w:tc>
      </w:tr>
      <w:tr w14:paraId="304C6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304" w:type="dxa"/>
            <w:vMerge w:val="restart"/>
            <w:vAlign w:val="center"/>
          </w:tcPr>
          <w:p w14:paraId="2A295C75">
            <w:pPr>
              <w:pStyle w:val="44"/>
              <w:spacing w:beforeLines="0" w:afterLines="0" w:line="240" w:lineRule="auto"/>
              <w:rPr>
                <w:rFonts w:ascii="Times New Roman"/>
                <w:b/>
                <w:snapToGrid w:val="0"/>
                <w:kern w:val="21"/>
                <w:szCs w:val="21"/>
              </w:rPr>
            </w:pPr>
            <w:r>
              <w:rPr>
                <w:rFonts w:ascii="Times New Roman"/>
                <w:b/>
                <w:snapToGrid w:val="0"/>
                <w:kern w:val="21"/>
                <w:szCs w:val="21"/>
              </w:rPr>
              <w:t>一般工业</w:t>
            </w:r>
          </w:p>
          <w:p w14:paraId="3DA1E523">
            <w:pPr>
              <w:pStyle w:val="44"/>
              <w:spacing w:beforeLines="0" w:afterLines="0" w:line="240" w:lineRule="auto"/>
              <w:rPr>
                <w:rFonts w:ascii="Times New Roman"/>
                <w:b/>
                <w:snapToGrid w:val="0"/>
                <w:kern w:val="21"/>
                <w:szCs w:val="21"/>
              </w:rPr>
            </w:pPr>
            <w:r>
              <w:rPr>
                <w:rFonts w:ascii="Times New Roman"/>
                <w:b/>
                <w:snapToGrid w:val="0"/>
                <w:kern w:val="21"/>
                <w:szCs w:val="21"/>
              </w:rPr>
              <w:t>固体废物</w:t>
            </w:r>
          </w:p>
        </w:tc>
        <w:tc>
          <w:tcPr>
            <w:tcW w:w="1559" w:type="dxa"/>
            <w:vAlign w:val="center"/>
          </w:tcPr>
          <w:p w14:paraId="5AB900AA">
            <w:pPr>
              <w:jc w:val="center"/>
              <w:rPr>
                <w:szCs w:val="21"/>
              </w:rPr>
            </w:pPr>
            <w:r>
              <w:rPr>
                <w:rFonts w:hint="eastAsia"/>
                <w:szCs w:val="21"/>
              </w:rPr>
              <w:t>切头、切尾等废钢</w:t>
            </w:r>
          </w:p>
        </w:tc>
        <w:tc>
          <w:tcPr>
            <w:tcW w:w="1843" w:type="dxa"/>
            <w:vAlign w:val="center"/>
          </w:tcPr>
          <w:p w14:paraId="2CBB2B2C">
            <w:pPr>
              <w:pStyle w:val="44"/>
              <w:spacing w:beforeLines="0" w:afterLines="0" w:line="240" w:lineRule="auto"/>
              <w:rPr>
                <w:rFonts w:ascii="Times New Roman"/>
                <w:snapToGrid w:val="0"/>
                <w:kern w:val="21"/>
                <w:szCs w:val="21"/>
              </w:rPr>
            </w:pPr>
            <w:r>
              <w:rPr>
                <w:rFonts w:hint="eastAsia" w:ascii="Times New Roman"/>
                <w:snapToGrid w:val="0"/>
                <w:kern w:val="21"/>
                <w:szCs w:val="21"/>
              </w:rPr>
              <w:t>18400</w:t>
            </w:r>
          </w:p>
        </w:tc>
        <w:tc>
          <w:tcPr>
            <w:tcW w:w="1276" w:type="dxa"/>
            <w:vAlign w:val="center"/>
          </w:tcPr>
          <w:p w14:paraId="2C664318">
            <w:pPr>
              <w:pStyle w:val="44"/>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1701" w:type="dxa"/>
            <w:vAlign w:val="center"/>
          </w:tcPr>
          <w:p w14:paraId="19FD49EC">
            <w:pPr>
              <w:pStyle w:val="44"/>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1559" w:type="dxa"/>
            <w:vAlign w:val="center"/>
          </w:tcPr>
          <w:p w14:paraId="77E0039E">
            <w:pPr>
              <w:jc w:val="center"/>
              <w:rPr>
                <w:szCs w:val="21"/>
              </w:rPr>
            </w:pPr>
            <w:r>
              <w:rPr>
                <w:rFonts w:hint="eastAsia"/>
                <w:szCs w:val="21"/>
              </w:rPr>
              <w:t>3547.8</w:t>
            </w:r>
          </w:p>
        </w:tc>
        <w:tc>
          <w:tcPr>
            <w:tcW w:w="1418" w:type="dxa"/>
            <w:vAlign w:val="center"/>
          </w:tcPr>
          <w:p w14:paraId="6FED020E">
            <w:pPr>
              <w:pStyle w:val="44"/>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1701" w:type="dxa"/>
            <w:vAlign w:val="center"/>
          </w:tcPr>
          <w:p w14:paraId="230B5632">
            <w:pPr>
              <w:jc w:val="center"/>
              <w:rPr>
                <w:szCs w:val="21"/>
              </w:rPr>
            </w:pPr>
            <w:r>
              <w:rPr>
                <w:rFonts w:hint="eastAsia"/>
                <w:szCs w:val="21"/>
              </w:rPr>
              <w:t>21947.8</w:t>
            </w:r>
          </w:p>
        </w:tc>
        <w:tc>
          <w:tcPr>
            <w:tcW w:w="1427" w:type="dxa"/>
            <w:vAlign w:val="center"/>
          </w:tcPr>
          <w:p w14:paraId="57A92FD0">
            <w:pPr>
              <w:pStyle w:val="44"/>
              <w:spacing w:beforeLines="0" w:afterLines="0" w:line="240" w:lineRule="auto"/>
              <w:rPr>
                <w:rFonts w:ascii="Times New Roman"/>
                <w:snapToGrid w:val="0"/>
                <w:kern w:val="21"/>
                <w:szCs w:val="21"/>
              </w:rPr>
            </w:pPr>
            <w:r>
              <w:rPr>
                <w:rFonts w:hint="eastAsia" w:ascii="Times New Roman"/>
                <w:snapToGrid w:val="0"/>
                <w:kern w:val="21"/>
                <w:szCs w:val="21"/>
              </w:rPr>
              <w:t>+3547.8</w:t>
            </w:r>
          </w:p>
        </w:tc>
      </w:tr>
      <w:tr w14:paraId="122F0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304" w:type="dxa"/>
            <w:vMerge w:val="continue"/>
            <w:vAlign w:val="center"/>
          </w:tcPr>
          <w:p w14:paraId="2D60D94C">
            <w:pPr>
              <w:pStyle w:val="44"/>
              <w:spacing w:beforeLines="0" w:afterLines="0" w:line="240" w:lineRule="auto"/>
              <w:rPr>
                <w:rFonts w:ascii="Times New Roman"/>
                <w:b/>
                <w:snapToGrid w:val="0"/>
                <w:kern w:val="21"/>
                <w:szCs w:val="21"/>
              </w:rPr>
            </w:pPr>
          </w:p>
        </w:tc>
        <w:tc>
          <w:tcPr>
            <w:tcW w:w="1559" w:type="dxa"/>
            <w:vAlign w:val="center"/>
          </w:tcPr>
          <w:p w14:paraId="0C77D931">
            <w:pPr>
              <w:jc w:val="center"/>
              <w:rPr>
                <w:szCs w:val="21"/>
              </w:rPr>
            </w:pPr>
            <w:r>
              <w:rPr>
                <w:rFonts w:hint="eastAsia"/>
                <w:szCs w:val="21"/>
              </w:rPr>
              <w:t>氧化铁皮、除尘器收集粉尘</w:t>
            </w:r>
          </w:p>
        </w:tc>
        <w:tc>
          <w:tcPr>
            <w:tcW w:w="1843" w:type="dxa"/>
            <w:vAlign w:val="center"/>
          </w:tcPr>
          <w:p w14:paraId="248517A9">
            <w:pPr>
              <w:pStyle w:val="44"/>
              <w:spacing w:beforeLines="0" w:afterLines="0" w:line="240" w:lineRule="auto"/>
              <w:rPr>
                <w:rFonts w:ascii="Times New Roman"/>
                <w:snapToGrid w:val="0"/>
                <w:kern w:val="21"/>
                <w:szCs w:val="21"/>
              </w:rPr>
            </w:pPr>
            <w:r>
              <w:rPr>
                <w:rFonts w:hint="eastAsia" w:ascii="Times New Roman"/>
                <w:snapToGrid w:val="0"/>
                <w:kern w:val="21"/>
                <w:szCs w:val="21"/>
              </w:rPr>
              <w:t>6100</w:t>
            </w:r>
          </w:p>
        </w:tc>
        <w:tc>
          <w:tcPr>
            <w:tcW w:w="1276" w:type="dxa"/>
            <w:vAlign w:val="center"/>
          </w:tcPr>
          <w:p w14:paraId="1BAB1AA3">
            <w:pPr>
              <w:pStyle w:val="44"/>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1701" w:type="dxa"/>
            <w:vAlign w:val="center"/>
          </w:tcPr>
          <w:p w14:paraId="4D791CFA">
            <w:pPr>
              <w:pStyle w:val="44"/>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1559" w:type="dxa"/>
            <w:vAlign w:val="center"/>
          </w:tcPr>
          <w:p w14:paraId="23EBEEEE">
            <w:pPr>
              <w:jc w:val="center"/>
              <w:rPr>
                <w:szCs w:val="21"/>
              </w:rPr>
            </w:pPr>
            <w:r>
              <w:rPr>
                <w:rFonts w:hint="eastAsia"/>
                <w:szCs w:val="21"/>
              </w:rPr>
              <w:t>522.55</w:t>
            </w:r>
          </w:p>
        </w:tc>
        <w:tc>
          <w:tcPr>
            <w:tcW w:w="1418" w:type="dxa"/>
            <w:vAlign w:val="center"/>
          </w:tcPr>
          <w:p w14:paraId="5C57C6AB">
            <w:pPr>
              <w:pStyle w:val="44"/>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1701" w:type="dxa"/>
            <w:vAlign w:val="center"/>
          </w:tcPr>
          <w:p w14:paraId="1D073D8A">
            <w:pPr>
              <w:jc w:val="center"/>
              <w:rPr>
                <w:szCs w:val="21"/>
              </w:rPr>
            </w:pPr>
            <w:r>
              <w:rPr>
                <w:rFonts w:hint="eastAsia"/>
                <w:szCs w:val="21"/>
              </w:rPr>
              <w:t>6622.55</w:t>
            </w:r>
          </w:p>
        </w:tc>
        <w:tc>
          <w:tcPr>
            <w:tcW w:w="1427" w:type="dxa"/>
            <w:vAlign w:val="center"/>
          </w:tcPr>
          <w:p w14:paraId="07D5E3B9">
            <w:pPr>
              <w:pStyle w:val="44"/>
              <w:spacing w:beforeLines="0" w:afterLines="0" w:line="240" w:lineRule="auto"/>
              <w:rPr>
                <w:rFonts w:ascii="Times New Roman"/>
                <w:snapToGrid w:val="0"/>
                <w:kern w:val="21"/>
                <w:szCs w:val="21"/>
              </w:rPr>
            </w:pPr>
            <w:r>
              <w:rPr>
                <w:rFonts w:hint="eastAsia" w:ascii="Times New Roman"/>
                <w:snapToGrid w:val="0"/>
                <w:kern w:val="21"/>
                <w:szCs w:val="21"/>
              </w:rPr>
              <w:t>+522.55</w:t>
            </w:r>
          </w:p>
        </w:tc>
      </w:tr>
      <w:tr w14:paraId="73638A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304" w:type="dxa"/>
            <w:vMerge w:val="continue"/>
            <w:vAlign w:val="center"/>
          </w:tcPr>
          <w:p w14:paraId="3D42BB80">
            <w:pPr>
              <w:pStyle w:val="44"/>
              <w:spacing w:beforeLines="0" w:afterLines="0" w:line="240" w:lineRule="auto"/>
              <w:rPr>
                <w:rFonts w:ascii="Times New Roman"/>
                <w:b/>
                <w:snapToGrid w:val="0"/>
                <w:kern w:val="21"/>
                <w:szCs w:val="21"/>
              </w:rPr>
            </w:pPr>
          </w:p>
        </w:tc>
        <w:tc>
          <w:tcPr>
            <w:tcW w:w="1559" w:type="dxa"/>
            <w:vAlign w:val="center"/>
          </w:tcPr>
          <w:p w14:paraId="31CA530D">
            <w:pPr>
              <w:jc w:val="center"/>
              <w:rPr>
                <w:szCs w:val="21"/>
              </w:rPr>
            </w:pPr>
            <w:r>
              <w:rPr>
                <w:rFonts w:hint="eastAsia"/>
                <w:szCs w:val="21"/>
              </w:rPr>
              <w:t>废耐火材料</w:t>
            </w:r>
          </w:p>
        </w:tc>
        <w:tc>
          <w:tcPr>
            <w:tcW w:w="1843" w:type="dxa"/>
            <w:vAlign w:val="center"/>
          </w:tcPr>
          <w:p w14:paraId="5DD9AEE8">
            <w:pPr>
              <w:pStyle w:val="44"/>
              <w:spacing w:beforeLines="0" w:afterLines="0" w:line="240" w:lineRule="auto"/>
              <w:rPr>
                <w:rFonts w:ascii="Times New Roman"/>
                <w:snapToGrid w:val="0"/>
                <w:kern w:val="21"/>
                <w:szCs w:val="21"/>
              </w:rPr>
            </w:pPr>
            <w:r>
              <w:rPr>
                <w:rFonts w:hint="eastAsia" w:ascii="Times New Roman"/>
                <w:snapToGrid w:val="0"/>
                <w:kern w:val="21"/>
                <w:szCs w:val="21"/>
              </w:rPr>
              <w:t>10</w:t>
            </w:r>
          </w:p>
        </w:tc>
        <w:tc>
          <w:tcPr>
            <w:tcW w:w="1276" w:type="dxa"/>
            <w:vAlign w:val="center"/>
          </w:tcPr>
          <w:p w14:paraId="05CB37FD">
            <w:pPr>
              <w:pStyle w:val="44"/>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1701" w:type="dxa"/>
            <w:vAlign w:val="center"/>
          </w:tcPr>
          <w:p w14:paraId="0D4C451A">
            <w:pPr>
              <w:pStyle w:val="44"/>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1559" w:type="dxa"/>
            <w:vAlign w:val="center"/>
          </w:tcPr>
          <w:p w14:paraId="141F6341">
            <w:pPr>
              <w:jc w:val="center"/>
              <w:rPr>
                <w:szCs w:val="21"/>
              </w:rPr>
            </w:pPr>
            <w:r>
              <w:rPr>
                <w:rFonts w:hint="eastAsia"/>
                <w:szCs w:val="21"/>
              </w:rPr>
              <w:t>4</w:t>
            </w:r>
          </w:p>
        </w:tc>
        <w:tc>
          <w:tcPr>
            <w:tcW w:w="1418" w:type="dxa"/>
            <w:vAlign w:val="center"/>
          </w:tcPr>
          <w:p w14:paraId="0CF6BD46">
            <w:pPr>
              <w:pStyle w:val="44"/>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1701" w:type="dxa"/>
            <w:vAlign w:val="center"/>
          </w:tcPr>
          <w:p w14:paraId="40565FD4">
            <w:pPr>
              <w:jc w:val="center"/>
              <w:rPr>
                <w:szCs w:val="21"/>
              </w:rPr>
            </w:pPr>
            <w:r>
              <w:rPr>
                <w:rFonts w:hint="eastAsia"/>
                <w:szCs w:val="21"/>
              </w:rPr>
              <w:t>14</w:t>
            </w:r>
          </w:p>
        </w:tc>
        <w:tc>
          <w:tcPr>
            <w:tcW w:w="1427" w:type="dxa"/>
            <w:vAlign w:val="center"/>
          </w:tcPr>
          <w:p w14:paraId="131D31D9">
            <w:pPr>
              <w:pStyle w:val="44"/>
              <w:spacing w:beforeLines="0" w:afterLines="0" w:line="240" w:lineRule="auto"/>
              <w:rPr>
                <w:rFonts w:ascii="Times New Roman"/>
                <w:snapToGrid w:val="0"/>
                <w:kern w:val="21"/>
                <w:szCs w:val="21"/>
              </w:rPr>
            </w:pPr>
            <w:r>
              <w:rPr>
                <w:rFonts w:hint="eastAsia" w:ascii="Times New Roman"/>
                <w:snapToGrid w:val="0"/>
                <w:kern w:val="21"/>
                <w:szCs w:val="21"/>
              </w:rPr>
              <w:t>+4</w:t>
            </w:r>
          </w:p>
        </w:tc>
      </w:tr>
      <w:tr w14:paraId="58057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304" w:type="dxa"/>
            <w:vMerge w:val="continue"/>
            <w:vAlign w:val="center"/>
          </w:tcPr>
          <w:p w14:paraId="7A23C28B">
            <w:pPr>
              <w:pStyle w:val="44"/>
              <w:spacing w:beforeLines="0" w:afterLines="0" w:line="240" w:lineRule="auto"/>
              <w:rPr>
                <w:rFonts w:ascii="Times New Roman"/>
                <w:b/>
                <w:snapToGrid w:val="0"/>
                <w:kern w:val="21"/>
                <w:szCs w:val="21"/>
              </w:rPr>
            </w:pPr>
          </w:p>
        </w:tc>
        <w:tc>
          <w:tcPr>
            <w:tcW w:w="1559" w:type="dxa"/>
            <w:vAlign w:val="center"/>
          </w:tcPr>
          <w:p w14:paraId="1CA852C7">
            <w:pPr>
              <w:jc w:val="center"/>
              <w:rPr>
                <w:szCs w:val="21"/>
              </w:rPr>
            </w:pPr>
            <w:r>
              <w:rPr>
                <w:rFonts w:hint="eastAsia"/>
                <w:szCs w:val="21"/>
              </w:rPr>
              <w:t>废润滑油、隔油渣</w:t>
            </w:r>
          </w:p>
        </w:tc>
        <w:tc>
          <w:tcPr>
            <w:tcW w:w="1843" w:type="dxa"/>
            <w:vAlign w:val="center"/>
          </w:tcPr>
          <w:p w14:paraId="37BDD2A0">
            <w:pPr>
              <w:pStyle w:val="44"/>
              <w:spacing w:beforeLines="0" w:afterLines="0" w:line="240" w:lineRule="auto"/>
              <w:rPr>
                <w:rFonts w:ascii="Times New Roman"/>
                <w:snapToGrid w:val="0"/>
                <w:kern w:val="21"/>
                <w:szCs w:val="21"/>
              </w:rPr>
            </w:pPr>
            <w:r>
              <w:rPr>
                <w:rFonts w:hint="eastAsia" w:ascii="Times New Roman"/>
                <w:snapToGrid w:val="0"/>
                <w:kern w:val="21"/>
                <w:szCs w:val="21"/>
              </w:rPr>
              <w:t>4</w:t>
            </w:r>
          </w:p>
        </w:tc>
        <w:tc>
          <w:tcPr>
            <w:tcW w:w="1276" w:type="dxa"/>
            <w:vAlign w:val="center"/>
          </w:tcPr>
          <w:p w14:paraId="6FB142C5">
            <w:pPr>
              <w:pStyle w:val="44"/>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1701" w:type="dxa"/>
            <w:vAlign w:val="center"/>
          </w:tcPr>
          <w:p w14:paraId="15F9DD9B">
            <w:pPr>
              <w:pStyle w:val="44"/>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1559" w:type="dxa"/>
            <w:vAlign w:val="center"/>
          </w:tcPr>
          <w:p w14:paraId="73263109">
            <w:pPr>
              <w:jc w:val="center"/>
              <w:rPr>
                <w:szCs w:val="21"/>
              </w:rPr>
            </w:pPr>
            <w:r>
              <w:rPr>
                <w:rFonts w:hint="eastAsia"/>
                <w:szCs w:val="21"/>
              </w:rPr>
              <w:t>1</w:t>
            </w:r>
          </w:p>
        </w:tc>
        <w:tc>
          <w:tcPr>
            <w:tcW w:w="1418" w:type="dxa"/>
            <w:vAlign w:val="center"/>
          </w:tcPr>
          <w:p w14:paraId="6C1B91A7">
            <w:pPr>
              <w:pStyle w:val="44"/>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1701" w:type="dxa"/>
            <w:vAlign w:val="center"/>
          </w:tcPr>
          <w:p w14:paraId="11CF9349">
            <w:pPr>
              <w:jc w:val="center"/>
              <w:rPr>
                <w:szCs w:val="21"/>
              </w:rPr>
            </w:pPr>
            <w:r>
              <w:rPr>
                <w:rFonts w:hint="eastAsia"/>
                <w:szCs w:val="21"/>
              </w:rPr>
              <w:t>5</w:t>
            </w:r>
          </w:p>
        </w:tc>
        <w:tc>
          <w:tcPr>
            <w:tcW w:w="1427" w:type="dxa"/>
            <w:vAlign w:val="center"/>
          </w:tcPr>
          <w:p w14:paraId="6696B64B">
            <w:pPr>
              <w:pStyle w:val="44"/>
              <w:spacing w:beforeLines="0" w:afterLines="0" w:line="240" w:lineRule="auto"/>
              <w:rPr>
                <w:rFonts w:ascii="Times New Roman"/>
                <w:snapToGrid w:val="0"/>
                <w:kern w:val="21"/>
                <w:szCs w:val="21"/>
              </w:rPr>
            </w:pPr>
            <w:r>
              <w:rPr>
                <w:rFonts w:hint="eastAsia" w:ascii="Times New Roman"/>
                <w:snapToGrid w:val="0"/>
                <w:kern w:val="21"/>
                <w:szCs w:val="21"/>
              </w:rPr>
              <w:t>+1</w:t>
            </w:r>
          </w:p>
        </w:tc>
      </w:tr>
      <w:tr w14:paraId="43637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304" w:type="dxa"/>
            <w:vMerge w:val="continue"/>
            <w:vAlign w:val="center"/>
          </w:tcPr>
          <w:p w14:paraId="07047163">
            <w:pPr>
              <w:pStyle w:val="44"/>
              <w:spacing w:beforeLines="0" w:afterLines="0" w:line="240" w:lineRule="auto"/>
              <w:rPr>
                <w:rFonts w:ascii="Times New Roman"/>
                <w:b/>
                <w:snapToGrid w:val="0"/>
                <w:kern w:val="21"/>
                <w:szCs w:val="21"/>
              </w:rPr>
            </w:pPr>
          </w:p>
        </w:tc>
        <w:tc>
          <w:tcPr>
            <w:tcW w:w="1559" w:type="dxa"/>
            <w:vAlign w:val="center"/>
          </w:tcPr>
          <w:p w14:paraId="08877967">
            <w:pPr>
              <w:jc w:val="center"/>
              <w:rPr>
                <w:szCs w:val="21"/>
              </w:rPr>
            </w:pPr>
            <w:r>
              <w:rPr>
                <w:rFonts w:hint="eastAsia"/>
                <w:szCs w:val="21"/>
              </w:rPr>
              <w:t>生活垃圾</w:t>
            </w:r>
          </w:p>
        </w:tc>
        <w:tc>
          <w:tcPr>
            <w:tcW w:w="1843" w:type="dxa"/>
            <w:vAlign w:val="center"/>
          </w:tcPr>
          <w:p w14:paraId="7764C77D">
            <w:pPr>
              <w:pStyle w:val="44"/>
              <w:spacing w:beforeLines="0" w:afterLines="0" w:line="240" w:lineRule="auto"/>
              <w:rPr>
                <w:rFonts w:ascii="Times New Roman"/>
                <w:snapToGrid w:val="0"/>
                <w:kern w:val="21"/>
                <w:szCs w:val="21"/>
              </w:rPr>
            </w:pPr>
            <w:r>
              <w:rPr>
                <w:rFonts w:hint="eastAsia" w:ascii="Times New Roman"/>
                <w:snapToGrid w:val="0"/>
                <w:kern w:val="21"/>
                <w:szCs w:val="21"/>
              </w:rPr>
              <w:t>140</w:t>
            </w:r>
          </w:p>
        </w:tc>
        <w:tc>
          <w:tcPr>
            <w:tcW w:w="1276" w:type="dxa"/>
            <w:vAlign w:val="center"/>
          </w:tcPr>
          <w:p w14:paraId="2FB1F868">
            <w:pPr>
              <w:pStyle w:val="44"/>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1701" w:type="dxa"/>
            <w:vAlign w:val="center"/>
          </w:tcPr>
          <w:p w14:paraId="4401A209">
            <w:pPr>
              <w:pStyle w:val="44"/>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1559" w:type="dxa"/>
            <w:vAlign w:val="center"/>
          </w:tcPr>
          <w:p w14:paraId="50A37D91">
            <w:pPr>
              <w:jc w:val="center"/>
              <w:rPr>
                <w:szCs w:val="21"/>
              </w:rPr>
            </w:pPr>
            <w:r>
              <w:rPr>
                <w:rFonts w:hint="eastAsia"/>
                <w:szCs w:val="21"/>
              </w:rPr>
              <w:t>0</w:t>
            </w:r>
          </w:p>
        </w:tc>
        <w:tc>
          <w:tcPr>
            <w:tcW w:w="1418" w:type="dxa"/>
            <w:vAlign w:val="center"/>
          </w:tcPr>
          <w:p w14:paraId="06A7E666">
            <w:pPr>
              <w:pStyle w:val="44"/>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1701" w:type="dxa"/>
            <w:vAlign w:val="center"/>
          </w:tcPr>
          <w:p w14:paraId="110C09CE">
            <w:pPr>
              <w:jc w:val="center"/>
              <w:rPr>
                <w:szCs w:val="21"/>
              </w:rPr>
            </w:pPr>
            <w:r>
              <w:rPr>
                <w:rFonts w:hint="eastAsia"/>
                <w:szCs w:val="21"/>
              </w:rPr>
              <w:t>140</w:t>
            </w:r>
          </w:p>
        </w:tc>
        <w:tc>
          <w:tcPr>
            <w:tcW w:w="1427" w:type="dxa"/>
            <w:vAlign w:val="center"/>
          </w:tcPr>
          <w:p w14:paraId="154EE0B4">
            <w:pPr>
              <w:pStyle w:val="44"/>
              <w:spacing w:beforeLines="0" w:afterLines="0" w:line="240" w:lineRule="auto"/>
              <w:rPr>
                <w:rFonts w:ascii="Times New Roman"/>
                <w:snapToGrid w:val="0"/>
                <w:kern w:val="21"/>
                <w:szCs w:val="21"/>
              </w:rPr>
            </w:pPr>
            <w:r>
              <w:rPr>
                <w:rFonts w:hint="eastAsia" w:ascii="Times New Roman"/>
                <w:snapToGrid w:val="0"/>
                <w:kern w:val="21"/>
                <w:szCs w:val="21"/>
              </w:rPr>
              <w:t>0</w:t>
            </w:r>
          </w:p>
        </w:tc>
      </w:tr>
    </w:tbl>
    <w:p w14:paraId="345F1C6B">
      <w:pPr>
        <w:pStyle w:val="44"/>
        <w:spacing w:beforeLines="0" w:afterLines="0"/>
        <w:jc w:val="left"/>
        <w:rPr>
          <w:rFonts w:hAnsi="宋体"/>
        </w:rPr>
      </w:pPr>
      <w:r>
        <w:rPr>
          <w:rFonts w:hAnsi="宋体"/>
          <w:snapToGrid w:val="0"/>
          <w:kern w:val="21"/>
          <w:szCs w:val="21"/>
        </w:rPr>
        <w:t>注：</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3 \* GB3 \* MERGEFORMAT </w:instrText>
      </w:r>
      <w:r>
        <w:rPr>
          <w:rFonts w:hAnsi="宋体"/>
          <w:snapToGrid w:val="0"/>
          <w:spacing w:val="-6"/>
          <w:kern w:val="21"/>
          <w:szCs w:val="21"/>
        </w:rPr>
        <w:fldChar w:fldCharType="separate"/>
      </w:r>
      <w:r>
        <w:rPr>
          <w:rFonts w:hint="eastAsia" w:hAnsi="宋体"/>
          <w:szCs w:val="21"/>
        </w:rPr>
        <w:t>③</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4 \* GB3 \* MERGEFORMAT </w:instrText>
      </w:r>
      <w:r>
        <w:rPr>
          <w:rFonts w:hAnsi="宋体"/>
          <w:snapToGrid w:val="0"/>
          <w:spacing w:val="-6"/>
          <w:kern w:val="21"/>
          <w:szCs w:val="21"/>
        </w:rPr>
        <w:fldChar w:fldCharType="separate"/>
      </w:r>
      <w:r>
        <w:rPr>
          <w:rFonts w:hint="eastAsia" w:hAnsi="宋体"/>
          <w:szCs w:val="21"/>
        </w:rPr>
        <w:t>④</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5 \* GB3 \* MERGEFORMAT </w:instrText>
      </w:r>
      <w:r>
        <w:rPr>
          <w:rFonts w:hAnsi="宋体"/>
          <w:snapToGrid w:val="0"/>
          <w:spacing w:val="-16"/>
          <w:kern w:val="21"/>
          <w:szCs w:val="21"/>
        </w:rPr>
        <w:fldChar w:fldCharType="separate"/>
      </w:r>
      <w:r>
        <w:rPr>
          <w:rFonts w:hint="eastAsia" w:hAnsi="宋体"/>
          <w:szCs w:val="21"/>
        </w:rPr>
        <w:t>⑤</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7 \* GB3 \* MERGEFORMAT </w:instrText>
      </w:r>
      <w:r>
        <w:rPr>
          <w:rFonts w:hAnsi="宋体"/>
          <w:snapToGrid w:val="0"/>
          <w:spacing w:val="-6"/>
          <w:kern w:val="21"/>
          <w:szCs w:val="21"/>
        </w:rPr>
        <w:fldChar w:fldCharType="separate"/>
      </w:r>
      <w:r>
        <w:rPr>
          <w:rFonts w:hint="eastAsia" w:hAnsi="宋体"/>
          <w:szCs w:val="21"/>
        </w:rPr>
        <w:t>⑦</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r>
        <w:rPr>
          <w:rFonts w:hint="eastAsia" w:hAnsi="宋体"/>
          <w:snapToGrid w:val="0"/>
          <w:spacing w:val="-6"/>
          <w:kern w:val="21"/>
          <w:szCs w:val="21"/>
        </w:rPr>
        <w:t>；废水中（）代表远期污染物排放量。</w:t>
      </w:r>
    </w:p>
    <w:sectPr>
      <w:footerReference r:id="rId6" w:type="default"/>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imesNewRomanPSMT">
    <w:altName w:val="宋体"/>
    <w:panose1 w:val="00000000000000000000"/>
    <w:charset w:val="00"/>
    <w:family w:val="roman"/>
    <w:pitch w:val="default"/>
    <w:sig w:usb0="00000000" w:usb1="00000000" w:usb2="00000010"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E1E4A">
    <w:pPr>
      <w:pStyle w:val="26"/>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64D0C">
    <w:pPr>
      <w:pStyle w:val="26"/>
      <w:framePr w:wrap="around" w:vAnchor="text" w:hAnchor="margin" w:xAlign="center" w:y="1"/>
      <w:rPr>
        <w:rStyle w:val="36"/>
      </w:rPr>
    </w:pPr>
    <w:r>
      <w:fldChar w:fldCharType="begin"/>
    </w:r>
    <w:r>
      <w:rPr>
        <w:rStyle w:val="36"/>
      </w:rPr>
      <w:instrText xml:space="preserve">PAGE  </w:instrText>
    </w:r>
    <w:r>
      <w:fldChar w:fldCharType="end"/>
    </w:r>
  </w:p>
  <w:p w14:paraId="73CB6F89">
    <w:pPr>
      <w:pStyle w:val="2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62889">
    <w:pPr>
      <w:pStyle w:val="26"/>
      <w:jc w:val="center"/>
    </w:pPr>
    <w:r>
      <w:fldChar w:fldCharType="begin"/>
    </w:r>
    <w:r>
      <w:instrText xml:space="preserve">PAGE   \* MERGEFORMAT</w:instrText>
    </w:r>
    <w:r>
      <w:fldChar w:fldCharType="separate"/>
    </w:r>
    <w:r>
      <w:rPr>
        <w:lang w:val="zh-CN"/>
      </w:rPr>
      <w:t>1</w:t>
    </w:r>
    <w:r>
      <w:rPr>
        <w:lang w:val="zh-CN"/>
      </w:rPr>
      <w:fldChar w:fldCharType="end"/>
    </w:r>
  </w:p>
  <w:p w14:paraId="77F133C4">
    <w:pPr>
      <w:pStyle w:val="26"/>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41127">
    <w:pPr>
      <w:pStyle w:val="26"/>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4B1F78"/>
    <w:multiLevelType w:val="multilevel"/>
    <w:tmpl w:val="454B1F78"/>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1002"/>
        </w:tabs>
        <w:ind w:left="1002" w:hanging="576"/>
      </w:pPr>
    </w:lvl>
    <w:lvl w:ilvl="2" w:tentative="0">
      <w:start w:val="1"/>
      <w:numFmt w:val="decimal"/>
      <w:lvlText w:val="%1.%2.%3"/>
      <w:lvlJc w:val="left"/>
      <w:pPr>
        <w:tabs>
          <w:tab w:val="left" w:pos="1288"/>
        </w:tabs>
        <w:ind w:left="1288" w:hanging="720"/>
      </w:pPr>
      <w:rPr>
        <w:sz w:val="24"/>
        <w:szCs w:val="24"/>
      </w:rPr>
    </w:lvl>
    <w:lvl w:ilvl="3" w:tentative="0">
      <w:start w:val="1"/>
      <w:numFmt w:val="decimal"/>
      <w:pStyle w:val="11"/>
      <w:lvlText w:val="%1.%2.%3.%4"/>
      <w:lvlJc w:val="left"/>
      <w:pPr>
        <w:tabs>
          <w:tab w:val="left" w:pos="1574"/>
        </w:tabs>
        <w:ind w:left="1574" w:hanging="864"/>
      </w:pPr>
      <w:rPr>
        <w:rFonts w:hint="default" w:ascii="Times New Roman" w:hAnsi="Times New Roman" w:cs="Times New Roman"/>
        <w:sz w:val="24"/>
        <w:szCs w:val="24"/>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hideSpellingErrors/>
  <w:attachedTemplate r:id="rId1"/>
  <w:documentProtection w:edit="readOnly" w:enforcement="0"/>
  <w:defaultTabStop w:val="420"/>
  <w:doNotHyphenateCaps/>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lkYmVmNzcyZGNmYmM0MTU3MjkzMDFiMDc4YjhlMzMifQ=="/>
  </w:docVars>
  <w:rsids>
    <w:rsidRoot w:val="00A14947"/>
    <w:rsid w:val="000022F8"/>
    <w:rsid w:val="00004009"/>
    <w:rsid w:val="00004285"/>
    <w:rsid w:val="0000527B"/>
    <w:rsid w:val="00005B7E"/>
    <w:rsid w:val="000060B3"/>
    <w:rsid w:val="000075E8"/>
    <w:rsid w:val="00007EAB"/>
    <w:rsid w:val="0001021C"/>
    <w:rsid w:val="00010480"/>
    <w:rsid w:val="00010611"/>
    <w:rsid w:val="0001217B"/>
    <w:rsid w:val="000127AA"/>
    <w:rsid w:val="00013F7F"/>
    <w:rsid w:val="00015646"/>
    <w:rsid w:val="00016AA9"/>
    <w:rsid w:val="0001725E"/>
    <w:rsid w:val="000172B8"/>
    <w:rsid w:val="00017F38"/>
    <w:rsid w:val="00021938"/>
    <w:rsid w:val="00022523"/>
    <w:rsid w:val="00022A52"/>
    <w:rsid w:val="0002376C"/>
    <w:rsid w:val="000237ED"/>
    <w:rsid w:val="00024846"/>
    <w:rsid w:val="00024DE2"/>
    <w:rsid w:val="0002559C"/>
    <w:rsid w:val="00026C19"/>
    <w:rsid w:val="00026E6C"/>
    <w:rsid w:val="00031B73"/>
    <w:rsid w:val="00031D3B"/>
    <w:rsid w:val="000324D7"/>
    <w:rsid w:val="000345FB"/>
    <w:rsid w:val="00034C5A"/>
    <w:rsid w:val="000366F3"/>
    <w:rsid w:val="000367C8"/>
    <w:rsid w:val="00036B67"/>
    <w:rsid w:val="00037D1E"/>
    <w:rsid w:val="00040322"/>
    <w:rsid w:val="00041BF1"/>
    <w:rsid w:val="00041E8B"/>
    <w:rsid w:val="0004364B"/>
    <w:rsid w:val="00043CB8"/>
    <w:rsid w:val="00043D37"/>
    <w:rsid w:val="00043E9B"/>
    <w:rsid w:val="00044261"/>
    <w:rsid w:val="00044877"/>
    <w:rsid w:val="000448CE"/>
    <w:rsid w:val="00045313"/>
    <w:rsid w:val="0004693D"/>
    <w:rsid w:val="000472EA"/>
    <w:rsid w:val="00047E05"/>
    <w:rsid w:val="00050589"/>
    <w:rsid w:val="00050B1B"/>
    <w:rsid w:val="00051423"/>
    <w:rsid w:val="0005461E"/>
    <w:rsid w:val="00054CC4"/>
    <w:rsid w:val="000560D6"/>
    <w:rsid w:val="0005746C"/>
    <w:rsid w:val="00061B1F"/>
    <w:rsid w:val="00062AB8"/>
    <w:rsid w:val="000653BC"/>
    <w:rsid w:val="0006558E"/>
    <w:rsid w:val="00065E2A"/>
    <w:rsid w:val="00067A61"/>
    <w:rsid w:val="0007111B"/>
    <w:rsid w:val="0007216A"/>
    <w:rsid w:val="00072371"/>
    <w:rsid w:val="00072D19"/>
    <w:rsid w:val="00072D39"/>
    <w:rsid w:val="000733C4"/>
    <w:rsid w:val="00074060"/>
    <w:rsid w:val="00074783"/>
    <w:rsid w:val="000765DB"/>
    <w:rsid w:val="00076818"/>
    <w:rsid w:val="00076B5F"/>
    <w:rsid w:val="00076F82"/>
    <w:rsid w:val="00077D6B"/>
    <w:rsid w:val="0008070B"/>
    <w:rsid w:val="000810AC"/>
    <w:rsid w:val="00081A02"/>
    <w:rsid w:val="00082231"/>
    <w:rsid w:val="00082ACC"/>
    <w:rsid w:val="00082BA6"/>
    <w:rsid w:val="00082BCE"/>
    <w:rsid w:val="00082E1F"/>
    <w:rsid w:val="0008313C"/>
    <w:rsid w:val="00083627"/>
    <w:rsid w:val="000836AF"/>
    <w:rsid w:val="00083BB2"/>
    <w:rsid w:val="00083D87"/>
    <w:rsid w:val="00084333"/>
    <w:rsid w:val="000858FB"/>
    <w:rsid w:val="000864AF"/>
    <w:rsid w:val="00086C4A"/>
    <w:rsid w:val="00086FAC"/>
    <w:rsid w:val="000879AB"/>
    <w:rsid w:val="00087B8A"/>
    <w:rsid w:val="00087CB1"/>
    <w:rsid w:val="00091853"/>
    <w:rsid w:val="00092BD9"/>
    <w:rsid w:val="00092D38"/>
    <w:rsid w:val="0009377B"/>
    <w:rsid w:val="00094B78"/>
    <w:rsid w:val="00095095"/>
    <w:rsid w:val="00095E10"/>
    <w:rsid w:val="00095FCF"/>
    <w:rsid w:val="000974B6"/>
    <w:rsid w:val="000A05E2"/>
    <w:rsid w:val="000A1B4F"/>
    <w:rsid w:val="000A20C9"/>
    <w:rsid w:val="000A2A98"/>
    <w:rsid w:val="000A3099"/>
    <w:rsid w:val="000A40A9"/>
    <w:rsid w:val="000A50C7"/>
    <w:rsid w:val="000A514E"/>
    <w:rsid w:val="000A6291"/>
    <w:rsid w:val="000A7AE8"/>
    <w:rsid w:val="000B0574"/>
    <w:rsid w:val="000B058F"/>
    <w:rsid w:val="000B4147"/>
    <w:rsid w:val="000B4467"/>
    <w:rsid w:val="000B49E3"/>
    <w:rsid w:val="000B4DB9"/>
    <w:rsid w:val="000B6222"/>
    <w:rsid w:val="000B686B"/>
    <w:rsid w:val="000B6B81"/>
    <w:rsid w:val="000B6C91"/>
    <w:rsid w:val="000B75D2"/>
    <w:rsid w:val="000B7D76"/>
    <w:rsid w:val="000B7DDC"/>
    <w:rsid w:val="000B7FBB"/>
    <w:rsid w:val="000C09AC"/>
    <w:rsid w:val="000C0B78"/>
    <w:rsid w:val="000C21B2"/>
    <w:rsid w:val="000C317E"/>
    <w:rsid w:val="000C31AB"/>
    <w:rsid w:val="000C5000"/>
    <w:rsid w:val="000C5D1D"/>
    <w:rsid w:val="000C6F99"/>
    <w:rsid w:val="000C767F"/>
    <w:rsid w:val="000D02CB"/>
    <w:rsid w:val="000D0670"/>
    <w:rsid w:val="000D1AF2"/>
    <w:rsid w:val="000D2B71"/>
    <w:rsid w:val="000D2F5C"/>
    <w:rsid w:val="000D44C7"/>
    <w:rsid w:val="000D46B3"/>
    <w:rsid w:val="000D5A44"/>
    <w:rsid w:val="000D66B3"/>
    <w:rsid w:val="000D7D1C"/>
    <w:rsid w:val="000E0A2C"/>
    <w:rsid w:val="000E1D9A"/>
    <w:rsid w:val="000E1F37"/>
    <w:rsid w:val="000E30D7"/>
    <w:rsid w:val="000E361E"/>
    <w:rsid w:val="000E37EB"/>
    <w:rsid w:val="000E3E7A"/>
    <w:rsid w:val="000E3ED2"/>
    <w:rsid w:val="000E4612"/>
    <w:rsid w:val="000E56A9"/>
    <w:rsid w:val="000E5EA0"/>
    <w:rsid w:val="000E6188"/>
    <w:rsid w:val="000E69A1"/>
    <w:rsid w:val="000E6E81"/>
    <w:rsid w:val="000F014D"/>
    <w:rsid w:val="000F0F80"/>
    <w:rsid w:val="000F1832"/>
    <w:rsid w:val="000F1CB8"/>
    <w:rsid w:val="000F1CE6"/>
    <w:rsid w:val="000F2174"/>
    <w:rsid w:val="000F2ECB"/>
    <w:rsid w:val="000F45C2"/>
    <w:rsid w:val="000F680C"/>
    <w:rsid w:val="000F6EC3"/>
    <w:rsid w:val="000F7A96"/>
    <w:rsid w:val="00101731"/>
    <w:rsid w:val="00101B4A"/>
    <w:rsid w:val="00101C1D"/>
    <w:rsid w:val="0010248E"/>
    <w:rsid w:val="00102891"/>
    <w:rsid w:val="001035CB"/>
    <w:rsid w:val="00103A0A"/>
    <w:rsid w:val="00103B0A"/>
    <w:rsid w:val="00104CE8"/>
    <w:rsid w:val="00104E25"/>
    <w:rsid w:val="0010739F"/>
    <w:rsid w:val="00107558"/>
    <w:rsid w:val="00112BE9"/>
    <w:rsid w:val="00113DDA"/>
    <w:rsid w:val="001140C2"/>
    <w:rsid w:val="001145B1"/>
    <w:rsid w:val="0011492F"/>
    <w:rsid w:val="001155CA"/>
    <w:rsid w:val="00115659"/>
    <w:rsid w:val="001176BF"/>
    <w:rsid w:val="00117F0F"/>
    <w:rsid w:val="00122288"/>
    <w:rsid w:val="00123721"/>
    <w:rsid w:val="0012509B"/>
    <w:rsid w:val="00130FF5"/>
    <w:rsid w:val="00131204"/>
    <w:rsid w:val="00131528"/>
    <w:rsid w:val="00131F42"/>
    <w:rsid w:val="00131FF5"/>
    <w:rsid w:val="00132098"/>
    <w:rsid w:val="0013299B"/>
    <w:rsid w:val="001330EC"/>
    <w:rsid w:val="00133A00"/>
    <w:rsid w:val="00133F7E"/>
    <w:rsid w:val="0013455E"/>
    <w:rsid w:val="001357F1"/>
    <w:rsid w:val="00135B07"/>
    <w:rsid w:val="00135E11"/>
    <w:rsid w:val="00136100"/>
    <w:rsid w:val="00140FA8"/>
    <w:rsid w:val="001410E8"/>
    <w:rsid w:val="0014141E"/>
    <w:rsid w:val="001422F3"/>
    <w:rsid w:val="00142FEB"/>
    <w:rsid w:val="00143A2D"/>
    <w:rsid w:val="00144800"/>
    <w:rsid w:val="00144D52"/>
    <w:rsid w:val="001451CF"/>
    <w:rsid w:val="00145A41"/>
    <w:rsid w:val="001468A2"/>
    <w:rsid w:val="00147AC0"/>
    <w:rsid w:val="00147C1C"/>
    <w:rsid w:val="001500FF"/>
    <w:rsid w:val="00150180"/>
    <w:rsid w:val="0015158A"/>
    <w:rsid w:val="00151675"/>
    <w:rsid w:val="00151BAA"/>
    <w:rsid w:val="00152ED7"/>
    <w:rsid w:val="00153526"/>
    <w:rsid w:val="00154BE3"/>
    <w:rsid w:val="00155E75"/>
    <w:rsid w:val="0015709B"/>
    <w:rsid w:val="00157435"/>
    <w:rsid w:val="00157A4C"/>
    <w:rsid w:val="00157D93"/>
    <w:rsid w:val="001601AF"/>
    <w:rsid w:val="00160EB7"/>
    <w:rsid w:val="00161990"/>
    <w:rsid w:val="001623CC"/>
    <w:rsid w:val="00162ED9"/>
    <w:rsid w:val="00163051"/>
    <w:rsid w:val="001651E1"/>
    <w:rsid w:val="00166A2D"/>
    <w:rsid w:val="001706FB"/>
    <w:rsid w:val="00171880"/>
    <w:rsid w:val="00173C0A"/>
    <w:rsid w:val="00174A54"/>
    <w:rsid w:val="0017504D"/>
    <w:rsid w:val="00175182"/>
    <w:rsid w:val="0017523B"/>
    <w:rsid w:val="0017671A"/>
    <w:rsid w:val="0017723D"/>
    <w:rsid w:val="00177422"/>
    <w:rsid w:val="0018049A"/>
    <w:rsid w:val="00180AFB"/>
    <w:rsid w:val="001844E4"/>
    <w:rsid w:val="00184590"/>
    <w:rsid w:val="001851B1"/>
    <w:rsid w:val="00185C7D"/>
    <w:rsid w:val="00186269"/>
    <w:rsid w:val="001863EE"/>
    <w:rsid w:val="001870D1"/>
    <w:rsid w:val="0018781E"/>
    <w:rsid w:val="001900CC"/>
    <w:rsid w:val="0019262D"/>
    <w:rsid w:val="00193325"/>
    <w:rsid w:val="00193D63"/>
    <w:rsid w:val="00195C9E"/>
    <w:rsid w:val="001A01A2"/>
    <w:rsid w:val="001A0243"/>
    <w:rsid w:val="001A0BC1"/>
    <w:rsid w:val="001A147D"/>
    <w:rsid w:val="001A1B35"/>
    <w:rsid w:val="001A275B"/>
    <w:rsid w:val="001A35B6"/>
    <w:rsid w:val="001A3A93"/>
    <w:rsid w:val="001A48A2"/>
    <w:rsid w:val="001A4DBB"/>
    <w:rsid w:val="001A58E7"/>
    <w:rsid w:val="001A5D52"/>
    <w:rsid w:val="001A6385"/>
    <w:rsid w:val="001A6F61"/>
    <w:rsid w:val="001B0FFD"/>
    <w:rsid w:val="001B16D3"/>
    <w:rsid w:val="001B305C"/>
    <w:rsid w:val="001B5405"/>
    <w:rsid w:val="001B72B8"/>
    <w:rsid w:val="001C02CC"/>
    <w:rsid w:val="001C067F"/>
    <w:rsid w:val="001C21F1"/>
    <w:rsid w:val="001C27CF"/>
    <w:rsid w:val="001C33F5"/>
    <w:rsid w:val="001C3C55"/>
    <w:rsid w:val="001C5152"/>
    <w:rsid w:val="001C60F0"/>
    <w:rsid w:val="001C667C"/>
    <w:rsid w:val="001C69B3"/>
    <w:rsid w:val="001D1468"/>
    <w:rsid w:val="001D3112"/>
    <w:rsid w:val="001D32DC"/>
    <w:rsid w:val="001D46FF"/>
    <w:rsid w:val="001D5595"/>
    <w:rsid w:val="001D6D7F"/>
    <w:rsid w:val="001D75E5"/>
    <w:rsid w:val="001D785D"/>
    <w:rsid w:val="001D7874"/>
    <w:rsid w:val="001D7F22"/>
    <w:rsid w:val="001E221E"/>
    <w:rsid w:val="001E22BF"/>
    <w:rsid w:val="001E2638"/>
    <w:rsid w:val="001E2AD3"/>
    <w:rsid w:val="001E2CA5"/>
    <w:rsid w:val="001E3958"/>
    <w:rsid w:val="001E4155"/>
    <w:rsid w:val="001E42D3"/>
    <w:rsid w:val="001E44AB"/>
    <w:rsid w:val="001E71F9"/>
    <w:rsid w:val="001F0105"/>
    <w:rsid w:val="001F0B1A"/>
    <w:rsid w:val="001F0D10"/>
    <w:rsid w:val="001F0F17"/>
    <w:rsid w:val="001F1058"/>
    <w:rsid w:val="001F2159"/>
    <w:rsid w:val="001F3347"/>
    <w:rsid w:val="001F4B01"/>
    <w:rsid w:val="001F4C2B"/>
    <w:rsid w:val="001F58B7"/>
    <w:rsid w:val="001F5E2D"/>
    <w:rsid w:val="001F69E4"/>
    <w:rsid w:val="001F6CD9"/>
    <w:rsid w:val="001F7229"/>
    <w:rsid w:val="00200EB4"/>
    <w:rsid w:val="00201B43"/>
    <w:rsid w:val="00202C40"/>
    <w:rsid w:val="00202E83"/>
    <w:rsid w:val="002031A1"/>
    <w:rsid w:val="002049CF"/>
    <w:rsid w:val="00204D12"/>
    <w:rsid w:val="002052CB"/>
    <w:rsid w:val="002059E1"/>
    <w:rsid w:val="00205C7B"/>
    <w:rsid w:val="00205FAF"/>
    <w:rsid w:val="0020692D"/>
    <w:rsid w:val="00206AF4"/>
    <w:rsid w:val="00211DCC"/>
    <w:rsid w:val="002125B4"/>
    <w:rsid w:val="00212C39"/>
    <w:rsid w:val="00213592"/>
    <w:rsid w:val="002147AB"/>
    <w:rsid w:val="00214A0C"/>
    <w:rsid w:val="002155B8"/>
    <w:rsid w:val="00215ACA"/>
    <w:rsid w:val="00216C3E"/>
    <w:rsid w:val="00220443"/>
    <w:rsid w:val="00221235"/>
    <w:rsid w:val="00221C5B"/>
    <w:rsid w:val="00221FD8"/>
    <w:rsid w:val="002224CA"/>
    <w:rsid w:val="00222FBC"/>
    <w:rsid w:val="00223ED3"/>
    <w:rsid w:val="00224839"/>
    <w:rsid w:val="002249B2"/>
    <w:rsid w:val="00226566"/>
    <w:rsid w:val="00226574"/>
    <w:rsid w:val="00226FD0"/>
    <w:rsid w:val="002278EC"/>
    <w:rsid w:val="00230253"/>
    <w:rsid w:val="00230697"/>
    <w:rsid w:val="00231DF0"/>
    <w:rsid w:val="00231F57"/>
    <w:rsid w:val="0023280E"/>
    <w:rsid w:val="00232BE6"/>
    <w:rsid w:val="00232C02"/>
    <w:rsid w:val="0023324B"/>
    <w:rsid w:val="002334BB"/>
    <w:rsid w:val="00235DF6"/>
    <w:rsid w:val="0023714D"/>
    <w:rsid w:val="002377D1"/>
    <w:rsid w:val="00237F89"/>
    <w:rsid w:val="00240D6C"/>
    <w:rsid w:val="00241CC9"/>
    <w:rsid w:val="002425AC"/>
    <w:rsid w:val="00242851"/>
    <w:rsid w:val="00242F4A"/>
    <w:rsid w:val="00246B28"/>
    <w:rsid w:val="00246C41"/>
    <w:rsid w:val="00246FAA"/>
    <w:rsid w:val="00247042"/>
    <w:rsid w:val="002479F7"/>
    <w:rsid w:val="00247EAD"/>
    <w:rsid w:val="00247ED6"/>
    <w:rsid w:val="00247F05"/>
    <w:rsid w:val="002506BC"/>
    <w:rsid w:val="002511E0"/>
    <w:rsid w:val="002514FC"/>
    <w:rsid w:val="0025254F"/>
    <w:rsid w:val="002526A4"/>
    <w:rsid w:val="00254345"/>
    <w:rsid w:val="00256E04"/>
    <w:rsid w:val="002571F7"/>
    <w:rsid w:val="002613D7"/>
    <w:rsid w:val="002624DF"/>
    <w:rsid w:val="00263005"/>
    <w:rsid w:val="00263573"/>
    <w:rsid w:val="00264522"/>
    <w:rsid w:val="00264557"/>
    <w:rsid w:val="00265BAC"/>
    <w:rsid w:val="002707B2"/>
    <w:rsid w:val="00271001"/>
    <w:rsid w:val="0027166C"/>
    <w:rsid w:val="00271ACA"/>
    <w:rsid w:val="00271B4D"/>
    <w:rsid w:val="00271FFC"/>
    <w:rsid w:val="00272DD9"/>
    <w:rsid w:val="00274C99"/>
    <w:rsid w:val="00276810"/>
    <w:rsid w:val="00277485"/>
    <w:rsid w:val="00277553"/>
    <w:rsid w:val="00277C1C"/>
    <w:rsid w:val="00280300"/>
    <w:rsid w:val="002805AB"/>
    <w:rsid w:val="00280CFF"/>
    <w:rsid w:val="00281C4A"/>
    <w:rsid w:val="0028232E"/>
    <w:rsid w:val="002826D3"/>
    <w:rsid w:val="00282F50"/>
    <w:rsid w:val="0028323D"/>
    <w:rsid w:val="00284204"/>
    <w:rsid w:val="002862B9"/>
    <w:rsid w:val="002868D0"/>
    <w:rsid w:val="0028733C"/>
    <w:rsid w:val="0028757A"/>
    <w:rsid w:val="00290545"/>
    <w:rsid w:val="00291393"/>
    <w:rsid w:val="00291773"/>
    <w:rsid w:val="00291856"/>
    <w:rsid w:val="00292659"/>
    <w:rsid w:val="0029298A"/>
    <w:rsid w:val="002939A2"/>
    <w:rsid w:val="00294941"/>
    <w:rsid w:val="00294A5F"/>
    <w:rsid w:val="00296318"/>
    <w:rsid w:val="002965FD"/>
    <w:rsid w:val="002A168C"/>
    <w:rsid w:val="002A1B1E"/>
    <w:rsid w:val="002A1D72"/>
    <w:rsid w:val="002A3DC7"/>
    <w:rsid w:val="002A4AAF"/>
    <w:rsid w:val="002A4FA5"/>
    <w:rsid w:val="002A5110"/>
    <w:rsid w:val="002A5EA6"/>
    <w:rsid w:val="002A6CAB"/>
    <w:rsid w:val="002A7C17"/>
    <w:rsid w:val="002B061C"/>
    <w:rsid w:val="002B0BF0"/>
    <w:rsid w:val="002B3793"/>
    <w:rsid w:val="002B40B4"/>
    <w:rsid w:val="002B4761"/>
    <w:rsid w:val="002B49E2"/>
    <w:rsid w:val="002B4BCD"/>
    <w:rsid w:val="002B5734"/>
    <w:rsid w:val="002B669D"/>
    <w:rsid w:val="002B672D"/>
    <w:rsid w:val="002B6E82"/>
    <w:rsid w:val="002B7861"/>
    <w:rsid w:val="002B7B00"/>
    <w:rsid w:val="002B7C44"/>
    <w:rsid w:val="002B7DF0"/>
    <w:rsid w:val="002C0D20"/>
    <w:rsid w:val="002C0EBD"/>
    <w:rsid w:val="002C1985"/>
    <w:rsid w:val="002C2B17"/>
    <w:rsid w:val="002C50C6"/>
    <w:rsid w:val="002C557E"/>
    <w:rsid w:val="002D088A"/>
    <w:rsid w:val="002D17A2"/>
    <w:rsid w:val="002D23D6"/>
    <w:rsid w:val="002D3DD0"/>
    <w:rsid w:val="002D3E9C"/>
    <w:rsid w:val="002D4980"/>
    <w:rsid w:val="002D4D3D"/>
    <w:rsid w:val="002D5027"/>
    <w:rsid w:val="002D65C9"/>
    <w:rsid w:val="002D6E83"/>
    <w:rsid w:val="002D767D"/>
    <w:rsid w:val="002E0016"/>
    <w:rsid w:val="002E1F3A"/>
    <w:rsid w:val="002E298A"/>
    <w:rsid w:val="002E3E2E"/>
    <w:rsid w:val="002E3F95"/>
    <w:rsid w:val="002E5961"/>
    <w:rsid w:val="002E70D3"/>
    <w:rsid w:val="002E745D"/>
    <w:rsid w:val="002F04D9"/>
    <w:rsid w:val="002F0A09"/>
    <w:rsid w:val="002F0B5D"/>
    <w:rsid w:val="002F0C2A"/>
    <w:rsid w:val="002F1527"/>
    <w:rsid w:val="002F32E1"/>
    <w:rsid w:val="002F357D"/>
    <w:rsid w:val="002F4A0A"/>
    <w:rsid w:val="002F6DBF"/>
    <w:rsid w:val="00300168"/>
    <w:rsid w:val="00300625"/>
    <w:rsid w:val="00300B48"/>
    <w:rsid w:val="0030173D"/>
    <w:rsid w:val="00301865"/>
    <w:rsid w:val="00301978"/>
    <w:rsid w:val="003020AF"/>
    <w:rsid w:val="0030332C"/>
    <w:rsid w:val="0030376C"/>
    <w:rsid w:val="00303C52"/>
    <w:rsid w:val="00303FD1"/>
    <w:rsid w:val="00304AAB"/>
    <w:rsid w:val="00304FF4"/>
    <w:rsid w:val="003051C2"/>
    <w:rsid w:val="00305657"/>
    <w:rsid w:val="003063F8"/>
    <w:rsid w:val="00312296"/>
    <w:rsid w:val="00312C39"/>
    <w:rsid w:val="00312E67"/>
    <w:rsid w:val="00313198"/>
    <w:rsid w:val="00313695"/>
    <w:rsid w:val="0031402C"/>
    <w:rsid w:val="00314041"/>
    <w:rsid w:val="00314B6B"/>
    <w:rsid w:val="00314F0E"/>
    <w:rsid w:val="003157FF"/>
    <w:rsid w:val="00315C3A"/>
    <w:rsid w:val="00316EFA"/>
    <w:rsid w:val="0031769C"/>
    <w:rsid w:val="00317EB5"/>
    <w:rsid w:val="00320919"/>
    <w:rsid w:val="00320C20"/>
    <w:rsid w:val="00321D8E"/>
    <w:rsid w:val="00322697"/>
    <w:rsid w:val="00322777"/>
    <w:rsid w:val="003243C2"/>
    <w:rsid w:val="00324668"/>
    <w:rsid w:val="003248CC"/>
    <w:rsid w:val="0032506C"/>
    <w:rsid w:val="00325928"/>
    <w:rsid w:val="00325D9C"/>
    <w:rsid w:val="0032687F"/>
    <w:rsid w:val="00326C75"/>
    <w:rsid w:val="00326F97"/>
    <w:rsid w:val="00331564"/>
    <w:rsid w:val="00332863"/>
    <w:rsid w:val="0033371D"/>
    <w:rsid w:val="00334060"/>
    <w:rsid w:val="00334CE6"/>
    <w:rsid w:val="0033684D"/>
    <w:rsid w:val="00336BDE"/>
    <w:rsid w:val="00337B42"/>
    <w:rsid w:val="00341B42"/>
    <w:rsid w:val="00341B7D"/>
    <w:rsid w:val="00342DAE"/>
    <w:rsid w:val="0034348F"/>
    <w:rsid w:val="0034365E"/>
    <w:rsid w:val="0034397C"/>
    <w:rsid w:val="003444F2"/>
    <w:rsid w:val="003448A2"/>
    <w:rsid w:val="0034688B"/>
    <w:rsid w:val="003478F7"/>
    <w:rsid w:val="00347BE4"/>
    <w:rsid w:val="00347EA6"/>
    <w:rsid w:val="00351730"/>
    <w:rsid w:val="00351F4C"/>
    <w:rsid w:val="00352805"/>
    <w:rsid w:val="0035344A"/>
    <w:rsid w:val="00354011"/>
    <w:rsid w:val="00354029"/>
    <w:rsid w:val="003540DE"/>
    <w:rsid w:val="00354EE5"/>
    <w:rsid w:val="003557F5"/>
    <w:rsid w:val="00355844"/>
    <w:rsid w:val="00355BC0"/>
    <w:rsid w:val="00356653"/>
    <w:rsid w:val="003567BA"/>
    <w:rsid w:val="003570FB"/>
    <w:rsid w:val="0035743F"/>
    <w:rsid w:val="00357BE2"/>
    <w:rsid w:val="00360614"/>
    <w:rsid w:val="00360650"/>
    <w:rsid w:val="003609DC"/>
    <w:rsid w:val="0036170C"/>
    <w:rsid w:val="003623C4"/>
    <w:rsid w:val="00362F31"/>
    <w:rsid w:val="00365C4A"/>
    <w:rsid w:val="00366587"/>
    <w:rsid w:val="00366E0F"/>
    <w:rsid w:val="00367983"/>
    <w:rsid w:val="00372DD3"/>
    <w:rsid w:val="0037475F"/>
    <w:rsid w:val="003761BA"/>
    <w:rsid w:val="003774A5"/>
    <w:rsid w:val="0037797C"/>
    <w:rsid w:val="00380AD7"/>
    <w:rsid w:val="00381A72"/>
    <w:rsid w:val="00381C94"/>
    <w:rsid w:val="003831A9"/>
    <w:rsid w:val="003834D3"/>
    <w:rsid w:val="0038453A"/>
    <w:rsid w:val="00384676"/>
    <w:rsid w:val="00385036"/>
    <w:rsid w:val="003861C4"/>
    <w:rsid w:val="00386552"/>
    <w:rsid w:val="00386778"/>
    <w:rsid w:val="00386C01"/>
    <w:rsid w:val="00386CB6"/>
    <w:rsid w:val="00387A42"/>
    <w:rsid w:val="00387E37"/>
    <w:rsid w:val="00390857"/>
    <w:rsid w:val="00391056"/>
    <w:rsid w:val="003919B6"/>
    <w:rsid w:val="0039319E"/>
    <w:rsid w:val="00394214"/>
    <w:rsid w:val="00395664"/>
    <w:rsid w:val="00395A5E"/>
    <w:rsid w:val="00396A78"/>
    <w:rsid w:val="003973D5"/>
    <w:rsid w:val="003979D7"/>
    <w:rsid w:val="003A1938"/>
    <w:rsid w:val="003A1972"/>
    <w:rsid w:val="003A22E7"/>
    <w:rsid w:val="003A25D9"/>
    <w:rsid w:val="003A2C89"/>
    <w:rsid w:val="003A2DA4"/>
    <w:rsid w:val="003A2DF5"/>
    <w:rsid w:val="003A2E51"/>
    <w:rsid w:val="003A2FDE"/>
    <w:rsid w:val="003A32DB"/>
    <w:rsid w:val="003A36AE"/>
    <w:rsid w:val="003A4343"/>
    <w:rsid w:val="003A4B6F"/>
    <w:rsid w:val="003A4BF3"/>
    <w:rsid w:val="003A4EC9"/>
    <w:rsid w:val="003A663B"/>
    <w:rsid w:val="003A6760"/>
    <w:rsid w:val="003A7EC9"/>
    <w:rsid w:val="003B0218"/>
    <w:rsid w:val="003B2284"/>
    <w:rsid w:val="003B2DDF"/>
    <w:rsid w:val="003B32F6"/>
    <w:rsid w:val="003B39EC"/>
    <w:rsid w:val="003B420D"/>
    <w:rsid w:val="003B4FDB"/>
    <w:rsid w:val="003B59B2"/>
    <w:rsid w:val="003B5A19"/>
    <w:rsid w:val="003B5F95"/>
    <w:rsid w:val="003B6DE5"/>
    <w:rsid w:val="003B7793"/>
    <w:rsid w:val="003C1785"/>
    <w:rsid w:val="003C1F6A"/>
    <w:rsid w:val="003C22B8"/>
    <w:rsid w:val="003C25C4"/>
    <w:rsid w:val="003C2D7F"/>
    <w:rsid w:val="003C2DFC"/>
    <w:rsid w:val="003C4B95"/>
    <w:rsid w:val="003C4C91"/>
    <w:rsid w:val="003C5E11"/>
    <w:rsid w:val="003C6C16"/>
    <w:rsid w:val="003D0E0A"/>
    <w:rsid w:val="003D1647"/>
    <w:rsid w:val="003D1896"/>
    <w:rsid w:val="003D38F0"/>
    <w:rsid w:val="003D42F7"/>
    <w:rsid w:val="003D520F"/>
    <w:rsid w:val="003D5CA4"/>
    <w:rsid w:val="003D5DF9"/>
    <w:rsid w:val="003D794D"/>
    <w:rsid w:val="003E08A1"/>
    <w:rsid w:val="003E0A48"/>
    <w:rsid w:val="003E0DBA"/>
    <w:rsid w:val="003E1043"/>
    <w:rsid w:val="003E1D48"/>
    <w:rsid w:val="003E1F79"/>
    <w:rsid w:val="003E25FA"/>
    <w:rsid w:val="003E3058"/>
    <w:rsid w:val="003E393C"/>
    <w:rsid w:val="003E45EA"/>
    <w:rsid w:val="003E61E8"/>
    <w:rsid w:val="003E73F1"/>
    <w:rsid w:val="003E76A9"/>
    <w:rsid w:val="003E7894"/>
    <w:rsid w:val="003E7EE9"/>
    <w:rsid w:val="003F02F9"/>
    <w:rsid w:val="003F0467"/>
    <w:rsid w:val="003F0809"/>
    <w:rsid w:val="003F1DD8"/>
    <w:rsid w:val="003F1EE7"/>
    <w:rsid w:val="003F3013"/>
    <w:rsid w:val="003F4EC2"/>
    <w:rsid w:val="003F5270"/>
    <w:rsid w:val="003F5363"/>
    <w:rsid w:val="003F6291"/>
    <w:rsid w:val="003F6A8C"/>
    <w:rsid w:val="003F755C"/>
    <w:rsid w:val="003F7562"/>
    <w:rsid w:val="00400454"/>
    <w:rsid w:val="00400A40"/>
    <w:rsid w:val="00401FC5"/>
    <w:rsid w:val="0040228F"/>
    <w:rsid w:val="0040239D"/>
    <w:rsid w:val="0040498C"/>
    <w:rsid w:val="004053F9"/>
    <w:rsid w:val="004069CA"/>
    <w:rsid w:val="00406ABA"/>
    <w:rsid w:val="00406F01"/>
    <w:rsid w:val="00411118"/>
    <w:rsid w:val="004146E4"/>
    <w:rsid w:val="0041494E"/>
    <w:rsid w:val="00415A9C"/>
    <w:rsid w:val="00416D50"/>
    <w:rsid w:val="00416FD5"/>
    <w:rsid w:val="00417772"/>
    <w:rsid w:val="00417AC2"/>
    <w:rsid w:val="00420D68"/>
    <w:rsid w:val="00420E6A"/>
    <w:rsid w:val="00421014"/>
    <w:rsid w:val="00421043"/>
    <w:rsid w:val="00423301"/>
    <w:rsid w:val="00423AC2"/>
    <w:rsid w:val="00424C51"/>
    <w:rsid w:val="00425545"/>
    <w:rsid w:val="004255E6"/>
    <w:rsid w:val="00425A9E"/>
    <w:rsid w:val="00426D6B"/>
    <w:rsid w:val="00426FC2"/>
    <w:rsid w:val="00427115"/>
    <w:rsid w:val="00427C3A"/>
    <w:rsid w:val="004318EE"/>
    <w:rsid w:val="00431E6C"/>
    <w:rsid w:val="004331CB"/>
    <w:rsid w:val="004332B2"/>
    <w:rsid w:val="00433CE7"/>
    <w:rsid w:val="00434AD3"/>
    <w:rsid w:val="00440761"/>
    <w:rsid w:val="00440CC1"/>
    <w:rsid w:val="00441ECA"/>
    <w:rsid w:val="004422BC"/>
    <w:rsid w:val="004427B7"/>
    <w:rsid w:val="00442DFF"/>
    <w:rsid w:val="00443807"/>
    <w:rsid w:val="004439C4"/>
    <w:rsid w:val="00444B06"/>
    <w:rsid w:val="00445EA2"/>
    <w:rsid w:val="0044719C"/>
    <w:rsid w:val="0044744D"/>
    <w:rsid w:val="00447A29"/>
    <w:rsid w:val="004517AD"/>
    <w:rsid w:val="00452523"/>
    <w:rsid w:val="00452738"/>
    <w:rsid w:val="00452D83"/>
    <w:rsid w:val="00452EEA"/>
    <w:rsid w:val="004547EC"/>
    <w:rsid w:val="00454916"/>
    <w:rsid w:val="00454CEF"/>
    <w:rsid w:val="004557D9"/>
    <w:rsid w:val="00456091"/>
    <w:rsid w:val="00456736"/>
    <w:rsid w:val="00456C71"/>
    <w:rsid w:val="0045702C"/>
    <w:rsid w:val="0045758E"/>
    <w:rsid w:val="00461CD4"/>
    <w:rsid w:val="0046383D"/>
    <w:rsid w:val="00463A4C"/>
    <w:rsid w:val="00463A53"/>
    <w:rsid w:val="0046410A"/>
    <w:rsid w:val="0046532D"/>
    <w:rsid w:val="00465746"/>
    <w:rsid w:val="00466321"/>
    <w:rsid w:val="00467847"/>
    <w:rsid w:val="004678C0"/>
    <w:rsid w:val="00470342"/>
    <w:rsid w:val="00470A1F"/>
    <w:rsid w:val="00472004"/>
    <w:rsid w:val="00472BD5"/>
    <w:rsid w:val="00474743"/>
    <w:rsid w:val="00476A8B"/>
    <w:rsid w:val="00476B2D"/>
    <w:rsid w:val="00476E28"/>
    <w:rsid w:val="004802CD"/>
    <w:rsid w:val="00480E83"/>
    <w:rsid w:val="00481780"/>
    <w:rsid w:val="00482557"/>
    <w:rsid w:val="00483FB9"/>
    <w:rsid w:val="00484B9B"/>
    <w:rsid w:val="004855F6"/>
    <w:rsid w:val="00485B53"/>
    <w:rsid w:val="00485DAB"/>
    <w:rsid w:val="00485F23"/>
    <w:rsid w:val="0048661E"/>
    <w:rsid w:val="004866FC"/>
    <w:rsid w:val="00486D4B"/>
    <w:rsid w:val="00486FB8"/>
    <w:rsid w:val="00486FFC"/>
    <w:rsid w:val="004900D5"/>
    <w:rsid w:val="004915CA"/>
    <w:rsid w:val="00491BB0"/>
    <w:rsid w:val="00491CA7"/>
    <w:rsid w:val="00491CFD"/>
    <w:rsid w:val="0049302F"/>
    <w:rsid w:val="00494670"/>
    <w:rsid w:val="00496A76"/>
    <w:rsid w:val="004A08B3"/>
    <w:rsid w:val="004A2649"/>
    <w:rsid w:val="004A2BB4"/>
    <w:rsid w:val="004A3094"/>
    <w:rsid w:val="004A3466"/>
    <w:rsid w:val="004A3823"/>
    <w:rsid w:val="004A40AF"/>
    <w:rsid w:val="004A67B2"/>
    <w:rsid w:val="004A7D10"/>
    <w:rsid w:val="004B288B"/>
    <w:rsid w:val="004B3E38"/>
    <w:rsid w:val="004B3EB4"/>
    <w:rsid w:val="004B4CAC"/>
    <w:rsid w:val="004B5E8D"/>
    <w:rsid w:val="004B6659"/>
    <w:rsid w:val="004B6965"/>
    <w:rsid w:val="004B7665"/>
    <w:rsid w:val="004B76D4"/>
    <w:rsid w:val="004B7D23"/>
    <w:rsid w:val="004C0081"/>
    <w:rsid w:val="004C0575"/>
    <w:rsid w:val="004C0893"/>
    <w:rsid w:val="004C0906"/>
    <w:rsid w:val="004C0F02"/>
    <w:rsid w:val="004C2067"/>
    <w:rsid w:val="004C2331"/>
    <w:rsid w:val="004C3405"/>
    <w:rsid w:val="004C6376"/>
    <w:rsid w:val="004C6CFE"/>
    <w:rsid w:val="004D1D82"/>
    <w:rsid w:val="004D2B05"/>
    <w:rsid w:val="004D3D55"/>
    <w:rsid w:val="004D4236"/>
    <w:rsid w:val="004D43F1"/>
    <w:rsid w:val="004D4588"/>
    <w:rsid w:val="004D5746"/>
    <w:rsid w:val="004D5958"/>
    <w:rsid w:val="004D650C"/>
    <w:rsid w:val="004D65C3"/>
    <w:rsid w:val="004D7324"/>
    <w:rsid w:val="004D7521"/>
    <w:rsid w:val="004E2AB6"/>
    <w:rsid w:val="004E3232"/>
    <w:rsid w:val="004E3B98"/>
    <w:rsid w:val="004E47AA"/>
    <w:rsid w:val="004E5BB0"/>
    <w:rsid w:val="004E629B"/>
    <w:rsid w:val="004E6946"/>
    <w:rsid w:val="004E74C5"/>
    <w:rsid w:val="004E76EC"/>
    <w:rsid w:val="004F108E"/>
    <w:rsid w:val="004F158F"/>
    <w:rsid w:val="004F1AD8"/>
    <w:rsid w:val="004F33E6"/>
    <w:rsid w:val="004F3663"/>
    <w:rsid w:val="004F54DA"/>
    <w:rsid w:val="004F60D1"/>
    <w:rsid w:val="004F6AAD"/>
    <w:rsid w:val="0050015B"/>
    <w:rsid w:val="005017D6"/>
    <w:rsid w:val="005039CB"/>
    <w:rsid w:val="00504C04"/>
    <w:rsid w:val="00505232"/>
    <w:rsid w:val="0050558F"/>
    <w:rsid w:val="00505C67"/>
    <w:rsid w:val="00505DD7"/>
    <w:rsid w:val="00505DEA"/>
    <w:rsid w:val="00506286"/>
    <w:rsid w:val="005077A4"/>
    <w:rsid w:val="00507C21"/>
    <w:rsid w:val="00507FA9"/>
    <w:rsid w:val="005106D9"/>
    <w:rsid w:val="00510813"/>
    <w:rsid w:val="00511990"/>
    <w:rsid w:val="00511DE0"/>
    <w:rsid w:val="0051212C"/>
    <w:rsid w:val="0051285B"/>
    <w:rsid w:val="005128F5"/>
    <w:rsid w:val="00512F47"/>
    <w:rsid w:val="005133F1"/>
    <w:rsid w:val="00513F12"/>
    <w:rsid w:val="00514870"/>
    <w:rsid w:val="00514B9B"/>
    <w:rsid w:val="00515357"/>
    <w:rsid w:val="005159BF"/>
    <w:rsid w:val="0051682F"/>
    <w:rsid w:val="00517589"/>
    <w:rsid w:val="00517F02"/>
    <w:rsid w:val="00520BAC"/>
    <w:rsid w:val="005240D1"/>
    <w:rsid w:val="00524303"/>
    <w:rsid w:val="005246F9"/>
    <w:rsid w:val="00524A3D"/>
    <w:rsid w:val="005258A2"/>
    <w:rsid w:val="00527654"/>
    <w:rsid w:val="00527BA9"/>
    <w:rsid w:val="0053001B"/>
    <w:rsid w:val="005304F6"/>
    <w:rsid w:val="00530CE1"/>
    <w:rsid w:val="00531D1B"/>
    <w:rsid w:val="00533C67"/>
    <w:rsid w:val="005356D1"/>
    <w:rsid w:val="005371F1"/>
    <w:rsid w:val="00537DB0"/>
    <w:rsid w:val="005401AE"/>
    <w:rsid w:val="0054044D"/>
    <w:rsid w:val="005406B3"/>
    <w:rsid w:val="00541A4C"/>
    <w:rsid w:val="00541CE0"/>
    <w:rsid w:val="00542602"/>
    <w:rsid w:val="00542D72"/>
    <w:rsid w:val="00542E07"/>
    <w:rsid w:val="00542F2F"/>
    <w:rsid w:val="00545424"/>
    <w:rsid w:val="00545504"/>
    <w:rsid w:val="0054574E"/>
    <w:rsid w:val="00547272"/>
    <w:rsid w:val="00550B1F"/>
    <w:rsid w:val="00553FBC"/>
    <w:rsid w:val="0055441C"/>
    <w:rsid w:val="00554A7B"/>
    <w:rsid w:val="0055572C"/>
    <w:rsid w:val="0055618D"/>
    <w:rsid w:val="005562B5"/>
    <w:rsid w:val="005564E7"/>
    <w:rsid w:val="0055685A"/>
    <w:rsid w:val="00557178"/>
    <w:rsid w:val="00557383"/>
    <w:rsid w:val="00560012"/>
    <w:rsid w:val="0056106A"/>
    <w:rsid w:val="0056458E"/>
    <w:rsid w:val="00564669"/>
    <w:rsid w:val="005652AF"/>
    <w:rsid w:val="00566069"/>
    <w:rsid w:val="00566A91"/>
    <w:rsid w:val="0056742C"/>
    <w:rsid w:val="0056754F"/>
    <w:rsid w:val="005677B9"/>
    <w:rsid w:val="00570299"/>
    <w:rsid w:val="005720AE"/>
    <w:rsid w:val="005729EB"/>
    <w:rsid w:val="00572A06"/>
    <w:rsid w:val="00573997"/>
    <w:rsid w:val="00574645"/>
    <w:rsid w:val="00574D2C"/>
    <w:rsid w:val="00575256"/>
    <w:rsid w:val="00575FB4"/>
    <w:rsid w:val="00576CAB"/>
    <w:rsid w:val="00576F16"/>
    <w:rsid w:val="00577037"/>
    <w:rsid w:val="00577208"/>
    <w:rsid w:val="0057776A"/>
    <w:rsid w:val="005778CF"/>
    <w:rsid w:val="00582EE0"/>
    <w:rsid w:val="00582FB5"/>
    <w:rsid w:val="0058308E"/>
    <w:rsid w:val="00583269"/>
    <w:rsid w:val="00583338"/>
    <w:rsid w:val="0058338A"/>
    <w:rsid w:val="00583AEF"/>
    <w:rsid w:val="005844E8"/>
    <w:rsid w:val="005846C9"/>
    <w:rsid w:val="005849A8"/>
    <w:rsid w:val="00586CB8"/>
    <w:rsid w:val="00587565"/>
    <w:rsid w:val="00590122"/>
    <w:rsid w:val="005903EA"/>
    <w:rsid w:val="005907FE"/>
    <w:rsid w:val="00590F19"/>
    <w:rsid w:val="0059223F"/>
    <w:rsid w:val="005922E8"/>
    <w:rsid w:val="00592CC0"/>
    <w:rsid w:val="00592FA5"/>
    <w:rsid w:val="005941D6"/>
    <w:rsid w:val="00594D77"/>
    <w:rsid w:val="00595988"/>
    <w:rsid w:val="005969E4"/>
    <w:rsid w:val="005979E2"/>
    <w:rsid w:val="00597CC4"/>
    <w:rsid w:val="005A06B7"/>
    <w:rsid w:val="005A08C2"/>
    <w:rsid w:val="005A0DC2"/>
    <w:rsid w:val="005A1759"/>
    <w:rsid w:val="005A1F72"/>
    <w:rsid w:val="005A2232"/>
    <w:rsid w:val="005A2605"/>
    <w:rsid w:val="005A2FEB"/>
    <w:rsid w:val="005A4046"/>
    <w:rsid w:val="005A4F2C"/>
    <w:rsid w:val="005A5678"/>
    <w:rsid w:val="005A68A7"/>
    <w:rsid w:val="005A7017"/>
    <w:rsid w:val="005A74EC"/>
    <w:rsid w:val="005A78BB"/>
    <w:rsid w:val="005A7B94"/>
    <w:rsid w:val="005B0171"/>
    <w:rsid w:val="005B037B"/>
    <w:rsid w:val="005B0469"/>
    <w:rsid w:val="005B1BEC"/>
    <w:rsid w:val="005B1D52"/>
    <w:rsid w:val="005B3B37"/>
    <w:rsid w:val="005B3BE5"/>
    <w:rsid w:val="005B4014"/>
    <w:rsid w:val="005B6103"/>
    <w:rsid w:val="005B641E"/>
    <w:rsid w:val="005B70C6"/>
    <w:rsid w:val="005C00FF"/>
    <w:rsid w:val="005C0758"/>
    <w:rsid w:val="005C0834"/>
    <w:rsid w:val="005C1298"/>
    <w:rsid w:val="005C2A41"/>
    <w:rsid w:val="005C383A"/>
    <w:rsid w:val="005C412B"/>
    <w:rsid w:val="005C5DF7"/>
    <w:rsid w:val="005C60EA"/>
    <w:rsid w:val="005C7EE1"/>
    <w:rsid w:val="005D2B0C"/>
    <w:rsid w:val="005D36AB"/>
    <w:rsid w:val="005D3D41"/>
    <w:rsid w:val="005D5CC6"/>
    <w:rsid w:val="005D66C2"/>
    <w:rsid w:val="005D77C7"/>
    <w:rsid w:val="005D7D78"/>
    <w:rsid w:val="005E1434"/>
    <w:rsid w:val="005E16F1"/>
    <w:rsid w:val="005E1C55"/>
    <w:rsid w:val="005E2996"/>
    <w:rsid w:val="005E2B27"/>
    <w:rsid w:val="005E412D"/>
    <w:rsid w:val="005E6BE3"/>
    <w:rsid w:val="005E7318"/>
    <w:rsid w:val="005E7AB6"/>
    <w:rsid w:val="005F08EB"/>
    <w:rsid w:val="005F0F73"/>
    <w:rsid w:val="005F2293"/>
    <w:rsid w:val="005F23C9"/>
    <w:rsid w:val="005F3322"/>
    <w:rsid w:val="005F386C"/>
    <w:rsid w:val="005F3FD8"/>
    <w:rsid w:val="005F41CC"/>
    <w:rsid w:val="005F5AEB"/>
    <w:rsid w:val="005F64A9"/>
    <w:rsid w:val="005F6A51"/>
    <w:rsid w:val="005F6FDC"/>
    <w:rsid w:val="005F7721"/>
    <w:rsid w:val="00600069"/>
    <w:rsid w:val="00602550"/>
    <w:rsid w:val="006035D5"/>
    <w:rsid w:val="006060E9"/>
    <w:rsid w:val="006071F6"/>
    <w:rsid w:val="006105FE"/>
    <w:rsid w:val="006109C9"/>
    <w:rsid w:val="00612927"/>
    <w:rsid w:val="00612A3F"/>
    <w:rsid w:val="006134C7"/>
    <w:rsid w:val="0061353B"/>
    <w:rsid w:val="0061452E"/>
    <w:rsid w:val="00614CFD"/>
    <w:rsid w:val="00616873"/>
    <w:rsid w:val="00617CC3"/>
    <w:rsid w:val="00617D2D"/>
    <w:rsid w:val="0062108C"/>
    <w:rsid w:val="006216B7"/>
    <w:rsid w:val="00621AC8"/>
    <w:rsid w:val="00622544"/>
    <w:rsid w:val="006233E8"/>
    <w:rsid w:val="006243F4"/>
    <w:rsid w:val="00625983"/>
    <w:rsid w:val="00627498"/>
    <w:rsid w:val="006300D2"/>
    <w:rsid w:val="00630764"/>
    <w:rsid w:val="00630A9A"/>
    <w:rsid w:val="0063138A"/>
    <w:rsid w:val="0063508D"/>
    <w:rsid w:val="006377A6"/>
    <w:rsid w:val="00637A3D"/>
    <w:rsid w:val="006405EC"/>
    <w:rsid w:val="006411EF"/>
    <w:rsid w:val="00643AC8"/>
    <w:rsid w:val="00643E59"/>
    <w:rsid w:val="00643E89"/>
    <w:rsid w:val="006443AE"/>
    <w:rsid w:val="00645470"/>
    <w:rsid w:val="00646722"/>
    <w:rsid w:val="00647316"/>
    <w:rsid w:val="006478DB"/>
    <w:rsid w:val="00650CEE"/>
    <w:rsid w:val="00650FDD"/>
    <w:rsid w:val="00652B7D"/>
    <w:rsid w:val="00652E03"/>
    <w:rsid w:val="00653548"/>
    <w:rsid w:val="00654AD6"/>
    <w:rsid w:val="0065519D"/>
    <w:rsid w:val="0065683D"/>
    <w:rsid w:val="00656B7B"/>
    <w:rsid w:val="00656EF3"/>
    <w:rsid w:val="0066008E"/>
    <w:rsid w:val="006606FA"/>
    <w:rsid w:val="00661231"/>
    <w:rsid w:val="00662939"/>
    <w:rsid w:val="00663878"/>
    <w:rsid w:val="00664075"/>
    <w:rsid w:val="006643A3"/>
    <w:rsid w:val="006646A2"/>
    <w:rsid w:val="006651D6"/>
    <w:rsid w:val="006654B6"/>
    <w:rsid w:val="00665FE4"/>
    <w:rsid w:val="0066612D"/>
    <w:rsid w:val="006664B2"/>
    <w:rsid w:val="0066790D"/>
    <w:rsid w:val="00667BB9"/>
    <w:rsid w:val="0067038F"/>
    <w:rsid w:val="006707B6"/>
    <w:rsid w:val="0067084A"/>
    <w:rsid w:val="006708C9"/>
    <w:rsid w:val="0067127E"/>
    <w:rsid w:val="006714DC"/>
    <w:rsid w:val="006732F2"/>
    <w:rsid w:val="006734E6"/>
    <w:rsid w:val="0067425C"/>
    <w:rsid w:val="006748B8"/>
    <w:rsid w:val="00674D7A"/>
    <w:rsid w:val="00675183"/>
    <w:rsid w:val="0067597C"/>
    <w:rsid w:val="006775C3"/>
    <w:rsid w:val="00680CD4"/>
    <w:rsid w:val="00682036"/>
    <w:rsid w:val="006830F3"/>
    <w:rsid w:val="0068497E"/>
    <w:rsid w:val="00685812"/>
    <w:rsid w:val="00686298"/>
    <w:rsid w:val="00686E6B"/>
    <w:rsid w:val="006900FA"/>
    <w:rsid w:val="006904A4"/>
    <w:rsid w:val="0069070A"/>
    <w:rsid w:val="00691233"/>
    <w:rsid w:val="0069264D"/>
    <w:rsid w:val="0069290A"/>
    <w:rsid w:val="0069471A"/>
    <w:rsid w:val="00694D4D"/>
    <w:rsid w:val="00696C08"/>
    <w:rsid w:val="006974CF"/>
    <w:rsid w:val="0069775A"/>
    <w:rsid w:val="00697813"/>
    <w:rsid w:val="00697952"/>
    <w:rsid w:val="00697BCB"/>
    <w:rsid w:val="006A052D"/>
    <w:rsid w:val="006A2916"/>
    <w:rsid w:val="006A29E5"/>
    <w:rsid w:val="006A3977"/>
    <w:rsid w:val="006A3EE8"/>
    <w:rsid w:val="006A5865"/>
    <w:rsid w:val="006A6967"/>
    <w:rsid w:val="006A72BF"/>
    <w:rsid w:val="006B021B"/>
    <w:rsid w:val="006B03F2"/>
    <w:rsid w:val="006B0537"/>
    <w:rsid w:val="006B0819"/>
    <w:rsid w:val="006B0F50"/>
    <w:rsid w:val="006B17A2"/>
    <w:rsid w:val="006B37DC"/>
    <w:rsid w:val="006B38B1"/>
    <w:rsid w:val="006B3D4F"/>
    <w:rsid w:val="006B4490"/>
    <w:rsid w:val="006B4F68"/>
    <w:rsid w:val="006B5AB6"/>
    <w:rsid w:val="006B72A5"/>
    <w:rsid w:val="006C032E"/>
    <w:rsid w:val="006C0592"/>
    <w:rsid w:val="006C09EE"/>
    <w:rsid w:val="006C2138"/>
    <w:rsid w:val="006C272E"/>
    <w:rsid w:val="006C2B16"/>
    <w:rsid w:val="006C2B56"/>
    <w:rsid w:val="006C3990"/>
    <w:rsid w:val="006C43A3"/>
    <w:rsid w:val="006C46C8"/>
    <w:rsid w:val="006C5450"/>
    <w:rsid w:val="006C5479"/>
    <w:rsid w:val="006C5D4C"/>
    <w:rsid w:val="006C75C8"/>
    <w:rsid w:val="006C7C78"/>
    <w:rsid w:val="006D13B5"/>
    <w:rsid w:val="006D1E8E"/>
    <w:rsid w:val="006D239E"/>
    <w:rsid w:val="006D2C1D"/>
    <w:rsid w:val="006D37F3"/>
    <w:rsid w:val="006D38B4"/>
    <w:rsid w:val="006D3BA7"/>
    <w:rsid w:val="006D42A4"/>
    <w:rsid w:val="006D4625"/>
    <w:rsid w:val="006D4D4F"/>
    <w:rsid w:val="006D4E75"/>
    <w:rsid w:val="006D57C8"/>
    <w:rsid w:val="006D5D62"/>
    <w:rsid w:val="006D631D"/>
    <w:rsid w:val="006D6475"/>
    <w:rsid w:val="006D7932"/>
    <w:rsid w:val="006E02E8"/>
    <w:rsid w:val="006E12FF"/>
    <w:rsid w:val="006E13C4"/>
    <w:rsid w:val="006E1509"/>
    <w:rsid w:val="006E2461"/>
    <w:rsid w:val="006E298D"/>
    <w:rsid w:val="006E2E3D"/>
    <w:rsid w:val="006E2F76"/>
    <w:rsid w:val="006E5B7C"/>
    <w:rsid w:val="006E607E"/>
    <w:rsid w:val="006E66AE"/>
    <w:rsid w:val="006E6A92"/>
    <w:rsid w:val="006E6E8C"/>
    <w:rsid w:val="006E70AE"/>
    <w:rsid w:val="006F0C2C"/>
    <w:rsid w:val="006F0DC1"/>
    <w:rsid w:val="006F0F5D"/>
    <w:rsid w:val="006F1572"/>
    <w:rsid w:val="006F3042"/>
    <w:rsid w:val="006F3E42"/>
    <w:rsid w:val="006F5D5E"/>
    <w:rsid w:val="006F671D"/>
    <w:rsid w:val="006F6C60"/>
    <w:rsid w:val="006F752E"/>
    <w:rsid w:val="006F7AA5"/>
    <w:rsid w:val="007000DB"/>
    <w:rsid w:val="007015E2"/>
    <w:rsid w:val="00703101"/>
    <w:rsid w:val="00704E65"/>
    <w:rsid w:val="0070602D"/>
    <w:rsid w:val="00706C5D"/>
    <w:rsid w:val="007074CA"/>
    <w:rsid w:val="007112A1"/>
    <w:rsid w:val="007114FF"/>
    <w:rsid w:val="007131FE"/>
    <w:rsid w:val="007132DB"/>
    <w:rsid w:val="00714687"/>
    <w:rsid w:val="007157CB"/>
    <w:rsid w:val="0071625B"/>
    <w:rsid w:val="00716361"/>
    <w:rsid w:val="007163C2"/>
    <w:rsid w:val="007169B8"/>
    <w:rsid w:val="00716BAF"/>
    <w:rsid w:val="00721ABD"/>
    <w:rsid w:val="00721AEE"/>
    <w:rsid w:val="00722CE3"/>
    <w:rsid w:val="007241DA"/>
    <w:rsid w:val="007256C5"/>
    <w:rsid w:val="0072639E"/>
    <w:rsid w:val="0072694C"/>
    <w:rsid w:val="00726C32"/>
    <w:rsid w:val="00727106"/>
    <w:rsid w:val="007271FE"/>
    <w:rsid w:val="00727BAF"/>
    <w:rsid w:val="00732922"/>
    <w:rsid w:val="007335AF"/>
    <w:rsid w:val="00733783"/>
    <w:rsid w:val="00734724"/>
    <w:rsid w:val="0073553B"/>
    <w:rsid w:val="0074052B"/>
    <w:rsid w:val="0074061F"/>
    <w:rsid w:val="00740AAA"/>
    <w:rsid w:val="00741280"/>
    <w:rsid w:val="00741880"/>
    <w:rsid w:val="00742065"/>
    <w:rsid w:val="00742443"/>
    <w:rsid w:val="00742E9B"/>
    <w:rsid w:val="00744FFA"/>
    <w:rsid w:val="0074561E"/>
    <w:rsid w:val="0074799D"/>
    <w:rsid w:val="0075162E"/>
    <w:rsid w:val="007516CC"/>
    <w:rsid w:val="00751D41"/>
    <w:rsid w:val="00752939"/>
    <w:rsid w:val="00752E84"/>
    <w:rsid w:val="00753E7F"/>
    <w:rsid w:val="00754034"/>
    <w:rsid w:val="007549D6"/>
    <w:rsid w:val="00754BD8"/>
    <w:rsid w:val="007558ED"/>
    <w:rsid w:val="007562BF"/>
    <w:rsid w:val="00756556"/>
    <w:rsid w:val="00757190"/>
    <w:rsid w:val="00757E29"/>
    <w:rsid w:val="007600DB"/>
    <w:rsid w:val="00760CF2"/>
    <w:rsid w:val="00761162"/>
    <w:rsid w:val="007616D6"/>
    <w:rsid w:val="007618C4"/>
    <w:rsid w:val="00761F6F"/>
    <w:rsid w:val="007633CC"/>
    <w:rsid w:val="00766111"/>
    <w:rsid w:val="00766AF7"/>
    <w:rsid w:val="00766C57"/>
    <w:rsid w:val="0076704F"/>
    <w:rsid w:val="0076705E"/>
    <w:rsid w:val="007675DD"/>
    <w:rsid w:val="00767980"/>
    <w:rsid w:val="00767EA3"/>
    <w:rsid w:val="00770B19"/>
    <w:rsid w:val="007712AB"/>
    <w:rsid w:val="00771A14"/>
    <w:rsid w:val="00773B13"/>
    <w:rsid w:val="00773CB8"/>
    <w:rsid w:val="0077463F"/>
    <w:rsid w:val="007750ED"/>
    <w:rsid w:val="007754F5"/>
    <w:rsid w:val="00775A69"/>
    <w:rsid w:val="00777F39"/>
    <w:rsid w:val="00781277"/>
    <w:rsid w:val="00781B16"/>
    <w:rsid w:val="00781D13"/>
    <w:rsid w:val="007824B9"/>
    <w:rsid w:val="00782569"/>
    <w:rsid w:val="00783108"/>
    <w:rsid w:val="007836EA"/>
    <w:rsid w:val="00783A95"/>
    <w:rsid w:val="00783BFC"/>
    <w:rsid w:val="00784CDA"/>
    <w:rsid w:val="00784D9D"/>
    <w:rsid w:val="007853B0"/>
    <w:rsid w:val="00787B85"/>
    <w:rsid w:val="007906C4"/>
    <w:rsid w:val="00791585"/>
    <w:rsid w:val="007929B1"/>
    <w:rsid w:val="00793802"/>
    <w:rsid w:val="00793984"/>
    <w:rsid w:val="007940EA"/>
    <w:rsid w:val="007943FE"/>
    <w:rsid w:val="00794525"/>
    <w:rsid w:val="007967E8"/>
    <w:rsid w:val="00796AF6"/>
    <w:rsid w:val="007A0790"/>
    <w:rsid w:val="007A12B7"/>
    <w:rsid w:val="007A1FCE"/>
    <w:rsid w:val="007A2170"/>
    <w:rsid w:val="007A22BF"/>
    <w:rsid w:val="007A2B43"/>
    <w:rsid w:val="007A3323"/>
    <w:rsid w:val="007A4AA4"/>
    <w:rsid w:val="007A555C"/>
    <w:rsid w:val="007A5D19"/>
    <w:rsid w:val="007A6026"/>
    <w:rsid w:val="007A6346"/>
    <w:rsid w:val="007A766C"/>
    <w:rsid w:val="007A7CC9"/>
    <w:rsid w:val="007B0A31"/>
    <w:rsid w:val="007B1348"/>
    <w:rsid w:val="007B36BE"/>
    <w:rsid w:val="007B48AB"/>
    <w:rsid w:val="007B4E87"/>
    <w:rsid w:val="007B60EA"/>
    <w:rsid w:val="007B69D8"/>
    <w:rsid w:val="007B72B8"/>
    <w:rsid w:val="007B7650"/>
    <w:rsid w:val="007B7A58"/>
    <w:rsid w:val="007B7C58"/>
    <w:rsid w:val="007C09A0"/>
    <w:rsid w:val="007C1324"/>
    <w:rsid w:val="007C17AC"/>
    <w:rsid w:val="007C21B5"/>
    <w:rsid w:val="007C34A4"/>
    <w:rsid w:val="007C38EF"/>
    <w:rsid w:val="007C5181"/>
    <w:rsid w:val="007D206F"/>
    <w:rsid w:val="007D2AFE"/>
    <w:rsid w:val="007D3464"/>
    <w:rsid w:val="007D3D65"/>
    <w:rsid w:val="007D4C0C"/>
    <w:rsid w:val="007D4DFD"/>
    <w:rsid w:val="007D4FF7"/>
    <w:rsid w:val="007D6441"/>
    <w:rsid w:val="007D6A99"/>
    <w:rsid w:val="007D787F"/>
    <w:rsid w:val="007D7B6A"/>
    <w:rsid w:val="007E002A"/>
    <w:rsid w:val="007E0E09"/>
    <w:rsid w:val="007E2F39"/>
    <w:rsid w:val="007E31F8"/>
    <w:rsid w:val="007E3FF4"/>
    <w:rsid w:val="007E4349"/>
    <w:rsid w:val="007E4BD2"/>
    <w:rsid w:val="007E7624"/>
    <w:rsid w:val="007E77CC"/>
    <w:rsid w:val="007F06A6"/>
    <w:rsid w:val="007F19A3"/>
    <w:rsid w:val="007F1EC5"/>
    <w:rsid w:val="007F1ECE"/>
    <w:rsid w:val="007F2502"/>
    <w:rsid w:val="007F387B"/>
    <w:rsid w:val="007F4B32"/>
    <w:rsid w:val="007F69F5"/>
    <w:rsid w:val="007F6BC2"/>
    <w:rsid w:val="007F73AA"/>
    <w:rsid w:val="007F7544"/>
    <w:rsid w:val="007F7B66"/>
    <w:rsid w:val="00800D9D"/>
    <w:rsid w:val="00801393"/>
    <w:rsid w:val="00801874"/>
    <w:rsid w:val="008018F0"/>
    <w:rsid w:val="00802397"/>
    <w:rsid w:val="00802A4F"/>
    <w:rsid w:val="00802F88"/>
    <w:rsid w:val="008038CD"/>
    <w:rsid w:val="0080426F"/>
    <w:rsid w:val="008051C1"/>
    <w:rsid w:val="00805CA0"/>
    <w:rsid w:val="008111C6"/>
    <w:rsid w:val="008113DF"/>
    <w:rsid w:val="0081293E"/>
    <w:rsid w:val="0081383E"/>
    <w:rsid w:val="008149CB"/>
    <w:rsid w:val="00814BB6"/>
    <w:rsid w:val="00815465"/>
    <w:rsid w:val="00815F02"/>
    <w:rsid w:val="008160B1"/>
    <w:rsid w:val="00816299"/>
    <w:rsid w:val="00817A6D"/>
    <w:rsid w:val="00817E9A"/>
    <w:rsid w:val="00820673"/>
    <w:rsid w:val="00820713"/>
    <w:rsid w:val="00821572"/>
    <w:rsid w:val="00823620"/>
    <w:rsid w:val="008237AC"/>
    <w:rsid w:val="00824CD9"/>
    <w:rsid w:val="00826751"/>
    <w:rsid w:val="00826943"/>
    <w:rsid w:val="00826CA6"/>
    <w:rsid w:val="00826ED0"/>
    <w:rsid w:val="00827643"/>
    <w:rsid w:val="00830539"/>
    <w:rsid w:val="008306BD"/>
    <w:rsid w:val="00830808"/>
    <w:rsid w:val="00830F52"/>
    <w:rsid w:val="00831A80"/>
    <w:rsid w:val="00832224"/>
    <w:rsid w:val="008322C1"/>
    <w:rsid w:val="00832A9F"/>
    <w:rsid w:val="00833512"/>
    <w:rsid w:val="00833743"/>
    <w:rsid w:val="00833DCA"/>
    <w:rsid w:val="008340A4"/>
    <w:rsid w:val="00835513"/>
    <w:rsid w:val="00836205"/>
    <w:rsid w:val="0084434E"/>
    <w:rsid w:val="0084489A"/>
    <w:rsid w:val="008453CF"/>
    <w:rsid w:val="00845CA0"/>
    <w:rsid w:val="008463BB"/>
    <w:rsid w:val="0084675F"/>
    <w:rsid w:val="008470AD"/>
    <w:rsid w:val="008472A5"/>
    <w:rsid w:val="008501D9"/>
    <w:rsid w:val="0085097C"/>
    <w:rsid w:val="00850C05"/>
    <w:rsid w:val="008522F9"/>
    <w:rsid w:val="00852D41"/>
    <w:rsid w:val="00852EE0"/>
    <w:rsid w:val="00854978"/>
    <w:rsid w:val="0085511D"/>
    <w:rsid w:val="008564D6"/>
    <w:rsid w:val="00856D8A"/>
    <w:rsid w:val="00857089"/>
    <w:rsid w:val="0085738A"/>
    <w:rsid w:val="008575B5"/>
    <w:rsid w:val="008606EC"/>
    <w:rsid w:val="00860A99"/>
    <w:rsid w:val="00863FF7"/>
    <w:rsid w:val="008648BC"/>
    <w:rsid w:val="00865311"/>
    <w:rsid w:val="008657EA"/>
    <w:rsid w:val="008662F8"/>
    <w:rsid w:val="00866426"/>
    <w:rsid w:val="0087135F"/>
    <w:rsid w:val="008717E3"/>
    <w:rsid w:val="008717EB"/>
    <w:rsid w:val="0087187C"/>
    <w:rsid w:val="00872D94"/>
    <w:rsid w:val="00872DB3"/>
    <w:rsid w:val="00873895"/>
    <w:rsid w:val="00874E11"/>
    <w:rsid w:val="00875AB3"/>
    <w:rsid w:val="0087690E"/>
    <w:rsid w:val="00877288"/>
    <w:rsid w:val="00877D99"/>
    <w:rsid w:val="00880230"/>
    <w:rsid w:val="00880364"/>
    <w:rsid w:val="00881503"/>
    <w:rsid w:val="0088233A"/>
    <w:rsid w:val="00882435"/>
    <w:rsid w:val="00883880"/>
    <w:rsid w:val="00884439"/>
    <w:rsid w:val="00884ABF"/>
    <w:rsid w:val="00884FC5"/>
    <w:rsid w:val="008863D0"/>
    <w:rsid w:val="00886AD8"/>
    <w:rsid w:val="0088702A"/>
    <w:rsid w:val="00887034"/>
    <w:rsid w:val="008900C6"/>
    <w:rsid w:val="00890772"/>
    <w:rsid w:val="00890894"/>
    <w:rsid w:val="00891592"/>
    <w:rsid w:val="00891A24"/>
    <w:rsid w:val="00891A81"/>
    <w:rsid w:val="00891E9E"/>
    <w:rsid w:val="008949B0"/>
    <w:rsid w:val="00894E9F"/>
    <w:rsid w:val="00896A78"/>
    <w:rsid w:val="008973BE"/>
    <w:rsid w:val="008975B8"/>
    <w:rsid w:val="00897AB2"/>
    <w:rsid w:val="00897B43"/>
    <w:rsid w:val="00897E33"/>
    <w:rsid w:val="008A0B78"/>
    <w:rsid w:val="008A1343"/>
    <w:rsid w:val="008A2F68"/>
    <w:rsid w:val="008A30D9"/>
    <w:rsid w:val="008A46E9"/>
    <w:rsid w:val="008A47B3"/>
    <w:rsid w:val="008A5E2A"/>
    <w:rsid w:val="008A7FFC"/>
    <w:rsid w:val="008B0256"/>
    <w:rsid w:val="008B1909"/>
    <w:rsid w:val="008B1A79"/>
    <w:rsid w:val="008B22E4"/>
    <w:rsid w:val="008B23A7"/>
    <w:rsid w:val="008B354A"/>
    <w:rsid w:val="008B4FA6"/>
    <w:rsid w:val="008B5282"/>
    <w:rsid w:val="008B565E"/>
    <w:rsid w:val="008B5F50"/>
    <w:rsid w:val="008B7C17"/>
    <w:rsid w:val="008B7D62"/>
    <w:rsid w:val="008C2D01"/>
    <w:rsid w:val="008C3258"/>
    <w:rsid w:val="008C40E6"/>
    <w:rsid w:val="008C661D"/>
    <w:rsid w:val="008C7384"/>
    <w:rsid w:val="008C7460"/>
    <w:rsid w:val="008D0F7A"/>
    <w:rsid w:val="008D1F00"/>
    <w:rsid w:val="008D2FBE"/>
    <w:rsid w:val="008D3279"/>
    <w:rsid w:val="008D3F75"/>
    <w:rsid w:val="008D47E1"/>
    <w:rsid w:val="008D5450"/>
    <w:rsid w:val="008D552E"/>
    <w:rsid w:val="008D68E4"/>
    <w:rsid w:val="008D7F96"/>
    <w:rsid w:val="008E019F"/>
    <w:rsid w:val="008E0506"/>
    <w:rsid w:val="008E0CFF"/>
    <w:rsid w:val="008E0F3F"/>
    <w:rsid w:val="008E1CF4"/>
    <w:rsid w:val="008E3CF5"/>
    <w:rsid w:val="008E48E0"/>
    <w:rsid w:val="008E48F9"/>
    <w:rsid w:val="008E5538"/>
    <w:rsid w:val="008E5541"/>
    <w:rsid w:val="008E570C"/>
    <w:rsid w:val="008E584B"/>
    <w:rsid w:val="008E5CD6"/>
    <w:rsid w:val="008E5D6B"/>
    <w:rsid w:val="008E727B"/>
    <w:rsid w:val="008E76F0"/>
    <w:rsid w:val="008E7BC0"/>
    <w:rsid w:val="008F04E5"/>
    <w:rsid w:val="008F0A23"/>
    <w:rsid w:val="008F0E8A"/>
    <w:rsid w:val="008F15FE"/>
    <w:rsid w:val="008F210C"/>
    <w:rsid w:val="008F2AB3"/>
    <w:rsid w:val="008F2D29"/>
    <w:rsid w:val="008F3BAE"/>
    <w:rsid w:val="008F46A2"/>
    <w:rsid w:val="008F4D82"/>
    <w:rsid w:val="008F5187"/>
    <w:rsid w:val="008F5B64"/>
    <w:rsid w:val="008F5E2C"/>
    <w:rsid w:val="008F60D8"/>
    <w:rsid w:val="008F6CB0"/>
    <w:rsid w:val="009009E8"/>
    <w:rsid w:val="00901980"/>
    <w:rsid w:val="00902727"/>
    <w:rsid w:val="0090312B"/>
    <w:rsid w:val="009035DF"/>
    <w:rsid w:val="00903751"/>
    <w:rsid w:val="00903783"/>
    <w:rsid w:val="009048B9"/>
    <w:rsid w:val="009064B6"/>
    <w:rsid w:val="00906A90"/>
    <w:rsid w:val="00910104"/>
    <w:rsid w:val="00911B85"/>
    <w:rsid w:val="00912390"/>
    <w:rsid w:val="0091369F"/>
    <w:rsid w:val="009143C0"/>
    <w:rsid w:val="00915E5F"/>
    <w:rsid w:val="00915ED6"/>
    <w:rsid w:val="0091736D"/>
    <w:rsid w:val="009204CE"/>
    <w:rsid w:val="00921E7B"/>
    <w:rsid w:val="00923326"/>
    <w:rsid w:val="009245BD"/>
    <w:rsid w:val="00925465"/>
    <w:rsid w:val="00926958"/>
    <w:rsid w:val="00926CA2"/>
    <w:rsid w:val="009279AD"/>
    <w:rsid w:val="0093037A"/>
    <w:rsid w:val="00930620"/>
    <w:rsid w:val="00932647"/>
    <w:rsid w:val="009332BE"/>
    <w:rsid w:val="00933DA7"/>
    <w:rsid w:val="00933DCD"/>
    <w:rsid w:val="00935A6A"/>
    <w:rsid w:val="00935E45"/>
    <w:rsid w:val="00940136"/>
    <w:rsid w:val="009406DA"/>
    <w:rsid w:val="0094154D"/>
    <w:rsid w:val="00941664"/>
    <w:rsid w:val="00941A1C"/>
    <w:rsid w:val="0094268F"/>
    <w:rsid w:val="009441E4"/>
    <w:rsid w:val="0094444C"/>
    <w:rsid w:val="009503C6"/>
    <w:rsid w:val="00950942"/>
    <w:rsid w:val="0095098D"/>
    <w:rsid w:val="00950AFF"/>
    <w:rsid w:val="0095155F"/>
    <w:rsid w:val="00952CB4"/>
    <w:rsid w:val="00952CD0"/>
    <w:rsid w:val="0095352F"/>
    <w:rsid w:val="009539D8"/>
    <w:rsid w:val="00954429"/>
    <w:rsid w:val="00954F91"/>
    <w:rsid w:val="009563CE"/>
    <w:rsid w:val="009565E8"/>
    <w:rsid w:val="00957289"/>
    <w:rsid w:val="00957F56"/>
    <w:rsid w:val="00961645"/>
    <w:rsid w:val="0096248F"/>
    <w:rsid w:val="00962AF4"/>
    <w:rsid w:val="00962B7E"/>
    <w:rsid w:val="009639EA"/>
    <w:rsid w:val="00964A3C"/>
    <w:rsid w:val="009658F6"/>
    <w:rsid w:val="0096602C"/>
    <w:rsid w:val="009662F3"/>
    <w:rsid w:val="009711D2"/>
    <w:rsid w:val="00971245"/>
    <w:rsid w:val="00971B31"/>
    <w:rsid w:val="00972118"/>
    <w:rsid w:val="00974360"/>
    <w:rsid w:val="00976328"/>
    <w:rsid w:val="0097680D"/>
    <w:rsid w:val="00976849"/>
    <w:rsid w:val="00976D55"/>
    <w:rsid w:val="00977237"/>
    <w:rsid w:val="00977273"/>
    <w:rsid w:val="00980AB4"/>
    <w:rsid w:val="00981309"/>
    <w:rsid w:val="00981D04"/>
    <w:rsid w:val="00982438"/>
    <w:rsid w:val="0098404C"/>
    <w:rsid w:val="009842CD"/>
    <w:rsid w:val="00984BEB"/>
    <w:rsid w:val="00984D2C"/>
    <w:rsid w:val="00985283"/>
    <w:rsid w:val="00985DA4"/>
    <w:rsid w:val="00986C4A"/>
    <w:rsid w:val="009872E4"/>
    <w:rsid w:val="0098781B"/>
    <w:rsid w:val="00990B03"/>
    <w:rsid w:val="00990CBD"/>
    <w:rsid w:val="0099214F"/>
    <w:rsid w:val="009931BD"/>
    <w:rsid w:val="009942CE"/>
    <w:rsid w:val="00994F98"/>
    <w:rsid w:val="0099564C"/>
    <w:rsid w:val="00995992"/>
    <w:rsid w:val="009A0010"/>
    <w:rsid w:val="009A023C"/>
    <w:rsid w:val="009A03E5"/>
    <w:rsid w:val="009A0AC0"/>
    <w:rsid w:val="009A0B4F"/>
    <w:rsid w:val="009A0F3B"/>
    <w:rsid w:val="009A167A"/>
    <w:rsid w:val="009A1BB4"/>
    <w:rsid w:val="009A258C"/>
    <w:rsid w:val="009A2628"/>
    <w:rsid w:val="009A2833"/>
    <w:rsid w:val="009A3200"/>
    <w:rsid w:val="009A3F4B"/>
    <w:rsid w:val="009A404E"/>
    <w:rsid w:val="009A45E8"/>
    <w:rsid w:val="009A469C"/>
    <w:rsid w:val="009A46EA"/>
    <w:rsid w:val="009A4AA0"/>
    <w:rsid w:val="009B07F6"/>
    <w:rsid w:val="009B0897"/>
    <w:rsid w:val="009B12D9"/>
    <w:rsid w:val="009B1C1B"/>
    <w:rsid w:val="009B293A"/>
    <w:rsid w:val="009B3639"/>
    <w:rsid w:val="009B3E7F"/>
    <w:rsid w:val="009B4BC2"/>
    <w:rsid w:val="009B56A7"/>
    <w:rsid w:val="009B5AAA"/>
    <w:rsid w:val="009B5B69"/>
    <w:rsid w:val="009B7BD9"/>
    <w:rsid w:val="009C157C"/>
    <w:rsid w:val="009C19A7"/>
    <w:rsid w:val="009C3788"/>
    <w:rsid w:val="009C3C5A"/>
    <w:rsid w:val="009C546A"/>
    <w:rsid w:val="009C5705"/>
    <w:rsid w:val="009C7DD5"/>
    <w:rsid w:val="009D02D3"/>
    <w:rsid w:val="009D259B"/>
    <w:rsid w:val="009D2CC1"/>
    <w:rsid w:val="009D31BE"/>
    <w:rsid w:val="009D48B3"/>
    <w:rsid w:val="009D6D0E"/>
    <w:rsid w:val="009E0552"/>
    <w:rsid w:val="009E0E37"/>
    <w:rsid w:val="009E12B9"/>
    <w:rsid w:val="009E227D"/>
    <w:rsid w:val="009E3585"/>
    <w:rsid w:val="009E4F87"/>
    <w:rsid w:val="009E5019"/>
    <w:rsid w:val="009E568A"/>
    <w:rsid w:val="009E74BB"/>
    <w:rsid w:val="009F0144"/>
    <w:rsid w:val="009F037F"/>
    <w:rsid w:val="009F335B"/>
    <w:rsid w:val="009F4C1E"/>
    <w:rsid w:val="009F5D0E"/>
    <w:rsid w:val="009F5D71"/>
    <w:rsid w:val="009F654A"/>
    <w:rsid w:val="009F676F"/>
    <w:rsid w:val="009F7F71"/>
    <w:rsid w:val="00A020F7"/>
    <w:rsid w:val="00A02B42"/>
    <w:rsid w:val="00A02E48"/>
    <w:rsid w:val="00A03E4A"/>
    <w:rsid w:val="00A04184"/>
    <w:rsid w:val="00A04E72"/>
    <w:rsid w:val="00A04F1B"/>
    <w:rsid w:val="00A0501B"/>
    <w:rsid w:val="00A05053"/>
    <w:rsid w:val="00A05168"/>
    <w:rsid w:val="00A052CB"/>
    <w:rsid w:val="00A0533A"/>
    <w:rsid w:val="00A05768"/>
    <w:rsid w:val="00A061C2"/>
    <w:rsid w:val="00A065A1"/>
    <w:rsid w:val="00A069E7"/>
    <w:rsid w:val="00A072C0"/>
    <w:rsid w:val="00A11084"/>
    <w:rsid w:val="00A125AA"/>
    <w:rsid w:val="00A1284C"/>
    <w:rsid w:val="00A130F0"/>
    <w:rsid w:val="00A1339C"/>
    <w:rsid w:val="00A13FE4"/>
    <w:rsid w:val="00A1469F"/>
    <w:rsid w:val="00A14947"/>
    <w:rsid w:val="00A150F0"/>
    <w:rsid w:val="00A15264"/>
    <w:rsid w:val="00A1555F"/>
    <w:rsid w:val="00A16BA2"/>
    <w:rsid w:val="00A17550"/>
    <w:rsid w:val="00A17EC3"/>
    <w:rsid w:val="00A20992"/>
    <w:rsid w:val="00A21A50"/>
    <w:rsid w:val="00A224B6"/>
    <w:rsid w:val="00A22BAE"/>
    <w:rsid w:val="00A25296"/>
    <w:rsid w:val="00A25439"/>
    <w:rsid w:val="00A26363"/>
    <w:rsid w:val="00A2789B"/>
    <w:rsid w:val="00A3065F"/>
    <w:rsid w:val="00A30A23"/>
    <w:rsid w:val="00A32A83"/>
    <w:rsid w:val="00A3376F"/>
    <w:rsid w:val="00A33895"/>
    <w:rsid w:val="00A34E07"/>
    <w:rsid w:val="00A3512B"/>
    <w:rsid w:val="00A36141"/>
    <w:rsid w:val="00A368DB"/>
    <w:rsid w:val="00A36DBF"/>
    <w:rsid w:val="00A37B23"/>
    <w:rsid w:val="00A402EB"/>
    <w:rsid w:val="00A40511"/>
    <w:rsid w:val="00A41177"/>
    <w:rsid w:val="00A418C2"/>
    <w:rsid w:val="00A41AB6"/>
    <w:rsid w:val="00A41B9F"/>
    <w:rsid w:val="00A423AA"/>
    <w:rsid w:val="00A425B4"/>
    <w:rsid w:val="00A42A72"/>
    <w:rsid w:val="00A42D9F"/>
    <w:rsid w:val="00A43816"/>
    <w:rsid w:val="00A4424D"/>
    <w:rsid w:val="00A4437A"/>
    <w:rsid w:val="00A45CFE"/>
    <w:rsid w:val="00A45EE1"/>
    <w:rsid w:val="00A4629E"/>
    <w:rsid w:val="00A4656C"/>
    <w:rsid w:val="00A50B93"/>
    <w:rsid w:val="00A51100"/>
    <w:rsid w:val="00A51464"/>
    <w:rsid w:val="00A5189F"/>
    <w:rsid w:val="00A519C9"/>
    <w:rsid w:val="00A529CA"/>
    <w:rsid w:val="00A53EC6"/>
    <w:rsid w:val="00A53FF5"/>
    <w:rsid w:val="00A542D6"/>
    <w:rsid w:val="00A54349"/>
    <w:rsid w:val="00A54F15"/>
    <w:rsid w:val="00A55C0F"/>
    <w:rsid w:val="00A5694B"/>
    <w:rsid w:val="00A602C2"/>
    <w:rsid w:val="00A605F3"/>
    <w:rsid w:val="00A6134C"/>
    <w:rsid w:val="00A62167"/>
    <w:rsid w:val="00A62292"/>
    <w:rsid w:val="00A62758"/>
    <w:rsid w:val="00A63138"/>
    <w:rsid w:val="00A631BB"/>
    <w:rsid w:val="00A63A5F"/>
    <w:rsid w:val="00A63CC0"/>
    <w:rsid w:val="00A64B7E"/>
    <w:rsid w:val="00A6522B"/>
    <w:rsid w:val="00A65486"/>
    <w:rsid w:val="00A659CA"/>
    <w:rsid w:val="00A71055"/>
    <w:rsid w:val="00A71162"/>
    <w:rsid w:val="00A715C1"/>
    <w:rsid w:val="00A719B2"/>
    <w:rsid w:val="00A726F6"/>
    <w:rsid w:val="00A72BCA"/>
    <w:rsid w:val="00A72BF5"/>
    <w:rsid w:val="00A741CC"/>
    <w:rsid w:val="00A74DA5"/>
    <w:rsid w:val="00A76335"/>
    <w:rsid w:val="00A77E7C"/>
    <w:rsid w:val="00A801F1"/>
    <w:rsid w:val="00A803D9"/>
    <w:rsid w:val="00A8046A"/>
    <w:rsid w:val="00A80CC8"/>
    <w:rsid w:val="00A8210C"/>
    <w:rsid w:val="00A82170"/>
    <w:rsid w:val="00A85D8E"/>
    <w:rsid w:val="00A86FDF"/>
    <w:rsid w:val="00A8713F"/>
    <w:rsid w:val="00A872EC"/>
    <w:rsid w:val="00A9080C"/>
    <w:rsid w:val="00A90847"/>
    <w:rsid w:val="00A90BA1"/>
    <w:rsid w:val="00A9158A"/>
    <w:rsid w:val="00A92037"/>
    <w:rsid w:val="00A92BD3"/>
    <w:rsid w:val="00A93460"/>
    <w:rsid w:val="00A97519"/>
    <w:rsid w:val="00A976F9"/>
    <w:rsid w:val="00A97A9A"/>
    <w:rsid w:val="00AA0397"/>
    <w:rsid w:val="00AA0671"/>
    <w:rsid w:val="00AA2160"/>
    <w:rsid w:val="00AA2531"/>
    <w:rsid w:val="00AA39E4"/>
    <w:rsid w:val="00AA3B8D"/>
    <w:rsid w:val="00AA3CF1"/>
    <w:rsid w:val="00AA4E7D"/>
    <w:rsid w:val="00AA66EF"/>
    <w:rsid w:val="00AA7426"/>
    <w:rsid w:val="00AB03A4"/>
    <w:rsid w:val="00AB1E09"/>
    <w:rsid w:val="00AB1E2C"/>
    <w:rsid w:val="00AB2530"/>
    <w:rsid w:val="00AB277F"/>
    <w:rsid w:val="00AB350A"/>
    <w:rsid w:val="00AB3A66"/>
    <w:rsid w:val="00AB4462"/>
    <w:rsid w:val="00AB45C3"/>
    <w:rsid w:val="00AB529C"/>
    <w:rsid w:val="00AB5330"/>
    <w:rsid w:val="00AB6314"/>
    <w:rsid w:val="00AB7728"/>
    <w:rsid w:val="00AB7747"/>
    <w:rsid w:val="00AC0B36"/>
    <w:rsid w:val="00AC0ED5"/>
    <w:rsid w:val="00AC14CE"/>
    <w:rsid w:val="00AC24C7"/>
    <w:rsid w:val="00AC2A56"/>
    <w:rsid w:val="00AC2D26"/>
    <w:rsid w:val="00AC459A"/>
    <w:rsid w:val="00AC59B5"/>
    <w:rsid w:val="00AC5C6B"/>
    <w:rsid w:val="00AC699B"/>
    <w:rsid w:val="00AD002E"/>
    <w:rsid w:val="00AD055E"/>
    <w:rsid w:val="00AD07B3"/>
    <w:rsid w:val="00AD30A6"/>
    <w:rsid w:val="00AD409D"/>
    <w:rsid w:val="00AD47A7"/>
    <w:rsid w:val="00AD708D"/>
    <w:rsid w:val="00AD74A4"/>
    <w:rsid w:val="00AD7AC4"/>
    <w:rsid w:val="00AE0672"/>
    <w:rsid w:val="00AE09C4"/>
    <w:rsid w:val="00AE11CA"/>
    <w:rsid w:val="00AE1461"/>
    <w:rsid w:val="00AE2057"/>
    <w:rsid w:val="00AE2AF1"/>
    <w:rsid w:val="00AE310F"/>
    <w:rsid w:val="00AE39F0"/>
    <w:rsid w:val="00AE5CEA"/>
    <w:rsid w:val="00AF007B"/>
    <w:rsid w:val="00AF0CBF"/>
    <w:rsid w:val="00AF0D43"/>
    <w:rsid w:val="00AF249A"/>
    <w:rsid w:val="00AF257F"/>
    <w:rsid w:val="00AF33CF"/>
    <w:rsid w:val="00AF3947"/>
    <w:rsid w:val="00AF3DDF"/>
    <w:rsid w:val="00AF411B"/>
    <w:rsid w:val="00AF4D50"/>
    <w:rsid w:val="00AF52B0"/>
    <w:rsid w:val="00AF5826"/>
    <w:rsid w:val="00AF611C"/>
    <w:rsid w:val="00AF6152"/>
    <w:rsid w:val="00AF6179"/>
    <w:rsid w:val="00B017D8"/>
    <w:rsid w:val="00B0193C"/>
    <w:rsid w:val="00B02CA5"/>
    <w:rsid w:val="00B03F1F"/>
    <w:rsid w:val="00B045D4"/>
    <w:rsid w:val="00B05164"/>
    <w:rsid w:val="00B065B0"/>
    <w:rsid w:val="00B075A0"/>
    <w:rsid w:val="00B12338"/>
    <w:rsid w:val="00B12375"/>
    <w:rsid w:val="00B1295A"/>
    <w:rsid w:val="00B169A7"/>
    <w:rsid w:val="00B1731A"/>
    <w:rsid w:val="00B17975"/>
    <w:rsid w:val="00B20725"/>
    <w:rsid w:val="00B209B6"/>
    <w:rsid w:val="00B20A45"/>
    <w:rsid w:val="00B2175A"/>
    <w:rsid w:val="00B22032"/>
    <w:rsid w:val="00B22C5C"/>
    <w:rsid w:val="00B24C1A"/>
    <w:rsid w:val="00B24F30"/>
    <w:rsid w:val="00B26C2C"/>
    <w:rsid w:val="00B26FC6"/>
    <w:rsid w:val="00B30805"/>
    <w:rsid w:val="00B30949"/>
    <w:rsid w:val="00B31ABF"/>
    <w:rsid w:val="00B3328C"/>
    <w:rsid w:val="00B3344E"/>
    <w:rsid w:val="00B33BE3"/>
    <w:rsid w:val="00B35B50"/>
    <w:rsid w:val="00B36E87"/>
    <w:rsid w:val="00B37CBB"/>
    <w:rsid w:val="00B37DC8"/>
    <w:rsid w:val="00B4175D"/>
    <w:rsid w:val="00B42329"/>
    <w:rsid w:val="00B42372"/>
    <w:rsid w:val="00B427B5"/>
    <w:rsid w:val="00B4313E"/>
    <w:rsid w:val="00B43B7C"/>
    <w:rsid w:val="00B45E57"/>
    <w:rsid w:val="00B47061"/>
    <w:rsid w:val="00B47C24"/>
    <w:rsid w:val="00B47D8F"/>
    <w:rsid w:val="00B509BA"/>
    <w:rsid w:val="00B513C2"/>
    <w:rsid w:val="00B53B5D"/>
    <w:rsid w:val="00B54862"/>
    <w:rsid w:val="00B550CC"/>
    <w:rsid w:val="00B557AA"/>
    <w:rsid w:val="00B5647A"/>
    <w:rsid w:val="00B57379"/>
    <w:rsid w:val="00B6055E"/>
    <w:rsid w:val="00B616CA"/>
    <w:rsid w:val="00B6317D"/>
    <w:rsid w:val="00B632D7"/>
    <w:rsid w:val="00B63C05"/>
    <w:rsid w:val="00B64832"/>
    <w:rsid w:val="00B655E3"/>
    <w:rsid w:val="00B65CF5"/>
    <w:rsid w:val="00B6627B"/>
    <w:rsid w:val="00B675DD"/>
    <w:rsid w:val="00B7006E"/>
    <w:rsid w:val="00B71550"/>
    <w:rsid w:val="00B72F65"/>
    <w:rsid w:val="00B73874"/>
    <w:rsid w:val="00B74B2B"/>
    <w:rsid w:val="00B74D1B"/>
    <w:rsid w:val="00B7723F"/>
    <w:rsid w:val="00B80534"/>
    <w:rsid w:val="00B824C3"/>
    <w:rsid w:val="00B82DCE"/>
    <w:rsid w:val="00B83039"/>
    <w:rsid w:val="00B830BC"/>
    <w:rsid w:val="00B835E8"/>
    <w:rsid w:val="00B83681"/>
    <w:rsid w:val="00B83A6D"/>
    <w:rsid w:val="00B8433C"/>
    <w:rsid w:val="00B84997"/>
    <w:rsid w:val="00B8521F"/>
    <w:rsid w:val="00B85943"/>
    <w:rsid w:val="00B85AB9"/>
    <w:rsid w:val="00B87491"/>
    <w:rsid w:val="00B87C4E"/>
    <w:rsid w:val="00B90062"/>
    <w:rsid w:val="00B90549"/>
    <w:rsid w:val="00B92B4A"/>
    <w:rsid w:val="00B94F37"/>
    <w:rsid w:val="00B964EC"/>
    <w:rsid w:val="00B97235"/>
    <w:rsid w:val="00BA00C7"/>
    <w:rsid w:val="00BA061B"/>
    <w:rsid w:val="00BA0C05"/>
    <w:rsid w:val="00BA0EF7"/>
    <w:rsid w:val="00BA13A8"/>
    <w:rsid w:val="00BA1958"/>
    <w:rsid w:val="00BA29E9"/>
    <w:rsid w:val="00BA2A85"/>
    <w:rsid w:val="00BA2E0D"/>
    <w:rsid w:val="00BA3916"/>
    <w:rsid w:val="00BA607D"/>
    <w:rsid w:val="00BA7142"/>
    <w:rsid w:val="00BA7487"/>
    <w:rsid w:val="00BA7FE4"/>
    <w:rsid w:val="00BB1101"/>
    <w:rsid w:val="00BB15B2"/>
    <w:rsid w:val="00BB1A15"/>
    <w:rsid w:val="00BB1C7A"/>
    <w:rsid w:val="00BB2116"/>
    <w:rsid w:val="00BB21D2"/>
    <w:rsid w:val="00BB237C"/>
    <w:rsid w:val="00BB286B"/>
    <w:rsid w:val="00BB41A3"/>
    <w:rsid w:val="00BB4E44"/>
    <w:rsid w:val="00BB5E69"/>
    <w:rsid w:val="00BB5FE0"/>
    <w:rsid w:val="00BB62F0"/>
    <w:rsid w:val="00BB75A4"/>
    <w:rsid w:val="00BB77C0"/>
    <w:rsid w:val="00BB7C9B"/>
    <w:rsid w:val="00BC0CA4"/>
    <w:rsid w:val="00BC1E62"/>
    <w:rsid w:val="00BC257C"/>
    <w:rsid w:val="00BC32DC"/>
    <w:rsid w:val="00BC332D"/>
    <w:rsid w:val="00BC35B6"/>
    <w:rsid w:val="00BC3870"/>
    <w:rsid w:val="00BC3BBD"/>
    <w:rsid w:val="00BC3D1D"/>
    <w:rsid w:val="00BC4BD9"/>
    <w:rsid w:val="00BC5669"/>
    <w:rsid w:val="00BC5FD9"/>
    <w:rsid w:val="00BC62DA"/>
    <w:rsid w:val="00BD1B51"/>
    <w:rsid w:val="00BD2360"/>
    <w:rsid w:val="00BD253C"/>
    <w:rsid w:val="00BD2F20"/>
    <w:rsid w:val="00BD2FD6"/>
    <w:rsid w:val="00BD4596"/>
    <w:rsid w:val="00BD486C"/>
    <w:rsid w:val="00BD5051"/>
    <w:rsid w:val="00BD574B"/>
    <w:rsid w:val="00BD64A5"/>
    <w:rsid w:val="00BD6D3F"/>
    <w:rsid w:val="00BD744E"/>
    <w:rsid w:val="00BE096A"/>
    <w:rsid w:val="00BE1405"/>
    <w:rsid w:val="00BE292E"/>
    <w:rsid w:val="00BE312D"/>
    <w:rsid w:val="00BE3582"/>
    <w:rsid w:val="00BE4DD4"/>
    <w:rsid w:val="00BE696F"/>
    <w:rsid w:val="00BF0E63"/>
    <w:rsid w:val="00BF1C20"/>
    <w:rsid w:val="00BF2E15"/>
    <w:rsid w:val="00BF569E"/>
    <w:rsid w:val="00BF6E97"/>
    <w:rsid w:val="00BF7A9C"/>
    <w:rsid w:val="00BF7B3E"/>
    <w:rsid w:val="00BF7EDA"/>
    <w:rsid w:val="00C00373"/>
    <w:rsid w:val="00C006E1"/>
    <w:rsid w:val="00C016C4"/>
    <w:rsid w:val="00C01AB3"/>
    <w:rsid w:val="00C022F3"/>
    <w:rsid w:val="00C03065"/>
    <w:rsid w:val="00C03543"/>
    <w:rsid w:val="00C03A7B"/>
    <w:rsid w:val="00C03C3F"/>
    <w:rsid w:val="00C05125"/>
    <w:rsid w:val="00C0534F"/>
    <w:rsid w:val="00C0573D"/>
    <w:rsid w:val="00C05BB2"/>
    <w:rsid w:val="00C06149"/>
    <w:rsid w:val="00C065D0"/>
    <w:rsid w:val="00C06AF2"/>
    <w:rsid w:val="00C06D31"/>
    <w:rsid w:val="00C07BF5"/>
    <w:rsid w:val="00C07D43"/>
    <w:rsid w:val="00C07E93"/>
    <w:rsid w:val="00C10578"/>
    <w:rsid w:val="00C12117"/>
    <w:rsid w:val="00C12872"/>
    <w:rsid w:val="00C12AA9"/>
    <w:rsid w:val="00C131DB"/>
    <w:rsid w:val="00C13462"/>
    <w:rsid w:val="00C135BC"/>
    <w:rsid w:val="00C13BEF"/>
    <w:rsid w:val="00C1503A"/>
    <w:rsid w:val="00C15C95"/>
    <w:rsid w:val="00C1785B"/>
    <w:rsid w:val="00C2107B"/>
    <w:rsid w:val="00C2170B"/>
    <w:rsid w:val="00C21BC3"/>
    <w:rsid w:val="00C22E25"/>
    <w:rsid w:val="00C23DF1"/>
    <w:rsid w:val="00C2596A"/>
    <w:rsid w:val="00C25A7D"/>
    <w:rsid w:val="00C26863"/>
    <w:rsid w:val="00C27537"/>
    <w:rsid w:val="00C2769A"/>
    <w:rsid w:val="00C31223"/>
    <w:rsid w:val="00C3133F"/>
    <w:rsid w:val="00C31E6E"/>
    <w:rsid w:val="00C320E0"/>
    <w:rsid w:val="00C328FE"/>
    <w:rsid w:val="00C33159"/>
    <w:rsid w:val="00C33507"/>
    <w:rsid w:val="00C3387B"/>
    <w:rsid w:val="00C33D96"/>
    <w:rsid w:val="00C352C0"/>
    <w:rsid w:val="00C3702D"/>
    <w:rsid w:val="00C37367"/>
    <w:rsid w:val="00C37AA0"/>
    <w:rsid w:val="00C416E9"/>
    <w:rsid w:val="00C417B4"/>
    <w:rsid w:val="00C41801"/>
    <w:rsid w:val="00C41D0B"/>
    <w:rsid w:val="00C4270A"/>
    <w:rsid w:val="00C4335E"/>
    <w:rsid w:val="00C4409D"/>
    <w:rsid w:val="00C448C9"/>
    <w:rsid w:val="00C44A06"/>
    <w:rsid w:val="00C44E72"/>
    <w:rsid w:val="00C457E4"/>
    <w:rsid w:val="00C45A06"/>
    <w:rsid w:val="00C45B35"/>
    <w:rsid w:val="00C4655F"/>
    <w:rsid w:val="00C47371"/>
    <w:rsid w:val="00C47E5B"/>
    <w:rsid w:val="00C50C7C"/>
    <w:rsid w:val="00C550FD"/>
    <w:rsid w:val="00C5558A"/>
    <w:rsid w:val="00C5608B"/>
    <w:rsid w:val="00C56156"/>
    <w:rsid w:val="00C56B39"/>
    <w:rsid w:val="00C56D34"/>
    <w:rsid w:val="00C57076"/>
    <w:rsid w:val="00C5792E"/>
    <w:rsid w:val="00C601AC"/>
    <w:rsid w:val="00C6030F"/>
    <w:rsid w:val="00C60EB9"/>
    <w:rsid w:val="00C61E4B"/>
    <w:rsid w:val="00C62B8D"/>
    <w:rsid w:val="00C6337C"/>
    <w:rsid w:val="00C640F4"/>
    <w:rsid w:val="00C64BFF"/>
    <w:rsid w:val="00C654D8"/>
    <w:rsid w:val="00C67C11"/>
    <w:rsid w:val="00C704E9"/>
    <w:rsid w:val="00C70865"/>
    <w:rsid w:val="00C70C73"/>
    <w:rsid w:val="00C711A6"/>
    <w:rsid w:val="00C718D9"/>
    <w:rsid w:val="00C728C0"/>
    <w:rsid w:val="00C72F5C"/>
    <w:rsid w:val="00C73EE3"/>
    <w:rsid w:val="00C74435"/>
    <w:rsid w:val="00C7573A"/>
    <w:rsid w:val="00C758D7"/>
    <w:rsid w:val="00C763C9"/>
    <w:rsid w:val="00C76695"/>
    <w:rsid w:val="00C77F27"/>
    <w:rsid w:val="00C80057"/>
    <w:rsid w:val="00C80DA0"/>
    <w:rsid w:val="00C82232"/>
    <w:rsid w:val="00C82582"/>
    <w:rsid w:val="00C82913"/>
    <w:rsid w:val="00C82BCD"/>
    <w:rsid w:val="00C8359C"/>
    <w:rsid w:val="00C835E8"/>
    <w:rsid w:val="00C85A45"/>
    <w:rsid w:val="00C86AD5"/>
    <w:rsid w:val="00C87690"/>
    <w:rsid w:val="00C87966"/>
    <w:rsid w:val="00C907D9"/>
    <w:rsid w:val="00C912EA"/>
    <w:rsid w:val="00C93500"/>
    <w:rsid w:val="00C972B1"/>
    <w:rsid w:val="00C97E68"/>
    <w:rsid w:val="00CA02D2"/>
    <w:rsid w:val="00CA040E"/>
    <w:rsid w:val="00CA0D10"/>
    <w:rsid w:val="00CA1A59"/>
    <w:rsid w:val="00CA2A76"/>
    <w:rsid w:val="00CA2CCE"/>
    <w:rsid w:val="00CA3672"/>
    <w:rsid w:val="00CA3B03"/>
    <w:rsid w:val="00CA3C26"/>
    <w:rsid w:val="00CA43FD"/>
    <w:rsid w:val="00CA4947"/>
    <w:rsid w:val="00CA4962"/>
    <w:rsid w:val="00CA4EE5"/>
    <w:rsid w:val="00CA619F"/>
    <w:rsid w:val="00CA70D8"/>
    <w:rsid w:val="00CA7EF8"/>
    <w:rsid w:val="00CB0025"/>
    <w:rsid w:val="00CB033E"/>
    <w:rsid w:val="00CB0AAE"/>
    <w:rsid w:val="00CB1C85"/>
    <w:rsid w:val="00CB372E"/>
    <w:rsid w:val="00CB41CD"/>
    <w:rsid w:val="00CB47B1"/>
    <w:rsid w:val="00CB4D2F"/>
    <w:rsid w:val="00CB55C5"/>
    <w:rsid w:val="00CB6951"/>
    <w:rsid w:val="00CC2039"/>
    <w:rsid w:val="00CC26DD"/>
    <w:rsid w:val="00CC2B17"/>
    <w:rsid w:val="00CC4478"/>
    <w:rsid w:val="00CC489B"/>
    <w:rsid w:val="00CC4A57"/>
    <w:rsid w:val="00CC5763"/>
    <w:rsid w:val="00CC5963"/>
    <w:rsid w:val="00CC63B9"/>
    <w:rsid w:val="00CC7691"/>
    <w:rsid w:val="00CD0600"/>
    <w:rsid w:val="00CD1ADE"/>
    <w:rsid w:val="00CD231C"/>
    <w:rsid w:val="00CD2BCD"/>
    <w:rsid w:val="00CD2D37"/>
    <w:rsid w:val="00CD3A4C"/>
    <w:rsid w:val="00CD45BF"/>
    <w:rsid w:val="00CD5944"/>
    <w:rsid w:val="00CD6564"/>
    <w:rsid w:val="00CD7CB3"/>
    <w:rsid w:val="00CE0449"/>
    <w:rsid w:val="00CE0747"/>
    <w:rsid w:val="00CE10E9"/>
    <w:rsid w:val="00CE240D"/>
    <w:rsid w:val="00CE2910"/>
    <w:rsid w:val="00CE2DD6"/>
    <w:rsid w:val="00CE3B28"/>
    <w:rsid w:val="00CE3D1A"/>
    <w:rsid w:val="00CE3D3B"/>
    <w:rsid w:val="00CE5393"/>
    <w:rsid w:val="00CE6085"/>
    <w:rsid w:val="00CE615B"/>
    <w:rsid w:val="00CE7382"/>
    <w:rsid w:val="00CE74DC"/>
    <w:rsid w:val="00CF22F2"/>
    <w:rsid w:val="00CF2C82"/>
    <w:rsid w:val="00CF36BE"/>
    <w:rsid w:val="00CF6000"/>
    <w:rsid w:val="00CF7A27"/>
    <w:rsid w:val="00D003F3"/>
    <w:rsid w:val="00D01586"/>
    <w:rsid w:val="00D0341E"/>
    <w:rsid w:val="00D0364F"/>
    <w:rsid w:val="00D04903"/>
    <w:rsid w:val="00D04BAE"/>
    <w:rsid w:val="00D04F78"/>
    <w:rsid w:val="00D06834"/>
    <w:rsid w:val="00D074EB"/>
    <w:rsid w:val="00D10401"/>
    <w:rsid w:val="00D104B1"/>
    <w:rsid w:val="00D13964"/>
    <w:rsid w:val="00D1532A"/>
    <w:rsid w:val="00D15963"/>
    <w:rsid w:val="00D15E64"/>
    <w:rsid w:val="00D16073"/>
    <w:rsid w:val="00D16F10"/>
    <w:rsid w:val="00D20DE0"/>
    <w:rsid w:val="00D21538"/>
    <w:rsid w:val="00D21694"/>
    <w:rsid w:val="00D22F2F"/>
    <w:rsid w:val="00D24D8E"/>
    <w:rsid w:val="00D25209"/>
    <w:rsid w:val="00D25FF4"/>
    <w:rsid w:val="00D26981"/>
    <w:rsid w:val="00D274E2"/>
    <w:rsid w:val="00D27566"/>
    <w:rsid w:val="00D301A8"/>
    <w:rsid w:val="00D3046D"/>
    <w:rsid w:val="00D308ED"/>
    <w:rsid w:val="00D30A88"/>
    <w:rsid w:val="00D328CB"/>
    <w:rsid w:val="00D32F72"/>
    <w:rsid w:val="00D33EA0"/>
    <w:rsid w:val="00D35049"/>
    <w:rsid w:val="00D35DD9"/>
    <w:rsid w:val="00D36D86"/>
    <w:rsid w:val="00D36E66"/>
    <w:rsid w:val="00D37536"/>
    <w:rsid w:val="00D401D1"/>
    <w:rsid w:val="00D40AB1"/>
    <w:rsid w:val="00D4121E"/>
    <w:rsid w:val="00D412BB"/>
    <w:rsid w:val="00D42379"/>
    <w:rsid w:val="00D428AA"/>
    <w:rsid w:val="00D42A73"/>
    <w:rsid w:val="00D454AC"/>
    <w:rsid w:val="00D456E4"/>
    <w:rsid w:val="00D50A34"/>
    <w:rsid w:val="00D50A38"/>
    <w:rsid w:val="00D50A78"/>
    <w:rsid w:val="00D51029"/>
    <w:rsid w:val="00D51DDE"/>
    <w:rsid w:val="00D528CB"/>
    <w:rsid w:val="00D53D0B"/>
    <w:rsid w:val="00D53EFA"/>
    <w:rsid w:val="00D53F2D"/>
    <w:rsid w:val="00D542FB"/>
    <w:rsid w:val="00D55456"/>
    <w:rsid w:val="00D56A60"/>
    <w:rsid w:val="00D5744C"/>
    <w:rsid w:val="00D604B9"/>
    <w:rsid w:val="00D60772"/>
    <w:rsid w:val="00D60E1A"/>
    <w:rsid w:val="00D60F71"/>
    <w:rsid w:val="00D6107C"/>
    <w:rsid w:val="00D616A4"/>
    <w:rsid w:val="00D62063"/>
    <w:rsid w:val="00D623E4"/>
    <w:rsid w:val="00D62D9E"/>
    <w:rsid w:val="00D6334E"/>
    <w:rsid w:val="00D6491B"/>
    <w:rsid w:val="00D64BFA"/>
    <w:rsid w:val="00D64DFE"/>
    <w:rsid w:val="00D64E89"/>
    <w:rsid w:val="00D658C2"/>
    <w:rsid w:val="00D65966"/>
    <w:rsid w:val="00D65D2E"/>
    <w:rsid w:val="00D65E9E"/>
    <w:rsid w:val="00D668E0"/>
    <w:rsid w:val="00D66B1A"/>
    <w:rsid w:val="00D70245"/>
    <w:rsid w:val="00D7042E"/>
    <w:rsid w:val="00D72118"/>
    <w:rsid w:val="00D7255C"/>
    <w:rsid w:val="00D7274A"/>
    <w:rsid w:val="00D73461"/>
    <w:rsid w:val="00D7493D"/>
    <w:rsid w:val="00D761A7"/>
    <w:rsid w:val="00D800B2"/>
    <w:rsid w:val="00D81555"/>
    <w:rsid w:val="00D81F9D"/>
    <w:rsid w:val="00D82F17"/>
    <w:rsid w:val="00D835A2"/>
    <w:rsid w:val="00D83A21"/>
    <w:rsid w:val="00D83D1E"/>
    <w:rsid w:val="00D848B8"/>
    <w:rsid w:val="00D84C1E"/>
    <w:rsid w:val="00D85C43"/>
    <w:rsid w:val="00D87A38"/>
    <w:rsid w:val="00D87C3F"/>
    <w:rsid w:val="00D87F02"/>
    <w:rsid w:val="00D90C92"/>
    <w:rsid w:val="00D90E35"/>
    <w:rsid w:val="00D9304D"/>
    <w:rsid w:val="00D93A74"/>
    <w:rsid w:val="00D94A7C"/>
    <w:rsid w:val="00D95779"/>
    <w:rsid w:val="00D95896"/>
    <w:rsid w:val="00D96513"/>
    <w:rsid w:val="00D972FE"/>
    <w:rsid w:val="00D973CE"/>
    <w:rsid w:val="00DA0234"/>
    <w:rsid w:val="00DA24B8"/>
    <w:rsid w:val="00DA26D9"/>
    <w:rsid w:val="00DA270E"/>
    <w:rsid w:val="00DA3E93"/>
    <w:rsid w:val="00DA428E"/>
    <w:rsid w:val="00DA4F0E"/>
    <w:rsid w:val="00DA680D"/>
    <w:rsid w:val="00DA6946"/>
    <w:rsid w:val="00DA7707"/>
    <w:rsid w:val="00DB0965"/>
    <w:rsid w:val="00DB0D42"/>
    <w:rsid w:val="00DB1C43"/>
    <w:rsid w:val="00DB1F0E"/>
    <w:rsid w:val="00DB2983"/>
    <w:rsid w:val="00DB3F4E"/>
    <w:rsid w:val="00DB5982"/>
    <w:rsid w:val="00DB5E0A"/>
    <w:rsid w:val="00DB69AC"/>
    <w:rsid w:val="00DC1257"/>
    <w:rsid w:val="00DC379C"/>
    <w:rsid w:val="00DC3DC0"/>
    <w:rsid w:val="00DC40AE"/>
    <w:rsid w:val="00DC5B2B"/>
    <w:rsid w:val="00DC5D09"/>
    <w:rsid w:val="00DC6CF1"/>
    <w:rsid w:val="00DC6DA2"/>
    <w:rsid w:val="00DC6E82"/>
    <w:rsid w:val="00DC7118"/>
    <w:rsid w:val="00DC7367"/>
    <w:rsid w:val="00DC7EF1"/>
    <w:rsid w:val="00DD00B9"/>
    <w:rsid w:val="00DD00C6"/>
    <w:rsid w:val="00DD05D7"/>
    <w:rsid w:val="00DD1F7F"/>
    <w:rsid w:val="00DD2823"/>
    <w:rsid w:val="00DD318D"/>
    <w:rsid w:val="00DD3202"/>
    <w:rsid w:val="00DD426A"/>
    <w:rsid w:val="00DD454D"/>
    <w:rsid w:val="00DD47F2"/>
    <w:rsid w:val="00DD5169"/>
    <w:rsid w:val="00DD516F"/>
    <w:rsid w:val="00DD6755"/>
    <w:rsid w:val="00DD7256"/>
    <w:rsid w:val="00DD7847"/>
    <w:rsid w:val="00DD7982"/>
    <w:rsid w:val="00DD7C00"/>
    <w:rsid w:val="00DE019D"/>
    <w:rsid w:val="00DE03AA"/>
    <w:rsid w:val="00DE0837"/>
    <w:rsid w:val="00DE0918"/>
    <w:rsid w:val="00DE1125"/>
    <w:rsid w:val="00DE3B4E"/>
    <w:rsid w:val="00DE4A1A"/>
    <w:rsid w:val="00DE4F8A"/>
    <w:rsid w:val="00DE53E1"/>
    <w:rsid w:val="00DE5E72"/>
    <w:rsid w:val="00DE5E76"/>
    <w:rsid w:val="00DE72E7"/>
    <w:rsid w:val="00DF00EA"/>
    <w:rsid w:val="00DF1196"/>
    <w:rsid w:val="00DF192C"/>
    <w:rsid w:val="00DF21D3"/>
    <w:rsid w:val="00DF2E12"/>
    <w:rsid w:val="00DF300A"/>
    <w:rsid w:val="00DF3300"/>
    <w:rsid w:val="00DF3524"/>
    <w:rsid w:val="00DF4045"/>
    <w:rsid w:val="00DF4C12"/>
    <w:rsid w:val="00DF4F28"/>
    <w:rsid w:val="00DF514A"/>
    <w:rsid w:val="00DF52CC"/>
    <w:rsid w:val="00DF59BF"/>
    <w:rsid w:val="00DF5A4B"/>
    <w:rsid w:val="00DF5C1D"/>
    <w:rsid w:val="00DF6690"/>
    <w:rsid w:val="00DF6804"/>
    <w:rsid w:val="00E00285"/>
    <w:rsid w:val="00E00696"/>
    <w:rsid w:val="00E0192F"/>
    <w:rsid w:val="00E0358D"/>
    <w:rsid w:val="00E04323"/>
    <w:rsid w:val="00E044A2"/>
    <w:rsid w:val="00E05131"/>
    <w:rsid w:val="00E05995"/>
    <w:rsid w:val="00E070A2"/>
    <w:rsid w:val="00E074EA"/>
    <w:rsid w:val="00E07649"/>
    <w:rsid w:val="00E07E61"/>
    <w:rsid w:val="00E11651"/>
    <w:rsid w:val="00E11DD3"/>
    <w:rsid w:val="00E12E62"/>
    <w:rsid w:val="00E14388"/>
    <w:rsid w:val="00E1479B"/>
    <w:rsid w:val="00E14A9E"/>
    <w:rsid w:val="00E14C39"/>
    <w:rsid w:val="00E14C8C"/>
    <w:rsid w:val="00E157D3"/>
    <w:rsid w:val="00E17BEF"/>
    <w:rsid w:val="00E22313"/>
    <w:rsid w:val="00E22491"/>
    <w:rsid w:val="00E24D03"/>
    <w:rsid w:val="00E24DA2"/>
    <w:rsid w:val="00E2656A"/>
    <w:rsid w:val="00E26D2E"/>
    <w:rsid w:val="00E271A2"/>
    <w:rsid w:val="00E3002A"/>
    <w:rsid w:val="00E30044"/>
    <w:rsid w:val="00E31A92"/>
    <w:rsid w:val="00E32C6F"/>
    <w:rsid w:val="00E337B8"/>
    <w:rsid w:val="00E3395E"/>
    <w:rsid w:val="00E3409A"/>
    <w:rsid w:val="00E35010"/>
    <w:rsid w:val="00E3558E"/>
    <w:rsid w:val="00E36009"/>
    <w:rsid w:val="00E37150"/>
    <w:rsid w:val="00E407E8"/>
    <w:rsid w:val="00E40886"/>
    <w:rsid w:val="00E408EE"/>
    <w:rsid w:val="00E412D0"/>
    <w:rsid w:val="00E4195A"/>
    <w:rsid w:val="00E419F5"/>
    <w:rsid w:val="00E43058"/>
    <w:rsid w:val="00E4387C"/>
    <w:rsid w:val="00E43BC2"/>
    <w:rsid w:val="00E475B3"/>
    <w:rsid w:val="00E47E20"/>
    <w:rsid w:val="00E50C95"/>
    <w:rsid w:val="00E50CEF"/>
    <w:rsid w:val="00E52265"/>
    <w:rsid w:val="00E5266A"/>
    <w:rsid w:val="00E52F03"/>
    <w:rsid w:val="00E530EB"/>
    <w:rsid w:val="00E53860"/>
    <w:rsid w:val="00E5386B"/>
    <w:rsid w:val="00E539DC"/>
    <w:rsid w:val="00E53F4E"/>
    <w:rsid w:val="00E56322"/>
    <w:rsid w:val="00E56E8C"/>
    <w:rsid w:val="00E57A60"/>
    <w:rsid w:val="00E6013F"/>
    <w:rsid w:val="00E60381"/>
    <w:rsid w:val="00E60770"/>
    <w:rsid w:val="00E60772"/>
    <w:rsid w:val="00E60982"/>
    <w:rsid w:val="00E612BD"/>
    <w:rsid w:val="00E61A52"/>
    <w:rsid w:val="00E62813"/>
    <w:rsid w:val="00E62C62"/>
    <w:rsid w:val="00E63944"/>
    <w:rsid w:val="00E63B48"/>
    <w:rsid w:val="00E64E1D"/>
    <w:rsid w:val="00E654C1"/>
    <w:rsid w:val="00E65D97"/>
    <w:rsid w:val="00E67B34"/>
    <w:rsid w:val="00E7002C"/>
    <w:rsid w:val="00E70380"/>
    <w:rsid w:val="00E70AFD"/>
    <w:rsid w:val="00E726A5"/>
    <w:rsid w:val="00E72A5A"/>
    <w:rsid w:val="00E72D1B"/>
    <w:rsid w:val="00E73354"/>
    <w:rsid w:val="00E743BE"/>
    <w:rsid w:val="00E750AD"/>
    <w:rsid w:val="00E75782"/>
    <w:rsid w:val="00E75DC5"/>
    <w:rsid w:val="00E7607F"/>
    <w:rsid w:val="00E7629E"/>
    <w:rsid w:val="00E762E5"/>
    <w:rsid w:val="00E76D21"/>
    <w:rsid w:val="00E77992"/>
    <w:rsid w:val="00E77C1B"/>
    <w:rsid w:val="00E77EC9"/>
    <w:rsid w:val="00E809FE"/>
    <w:rsid w:val="00E80EC2"/>
    <w:rsid w:val="00E8129D"/>
    <w:rsid w:val="00E82BBA"/>
    <w:rsid w:val="00E83B16"/>
    <w:rsid w:val="00E850B3"/>
    <w:rsid w:val="00E855B7"/>
    <w:rsid w:val="00E858EE"/>
    <w:rsid w:val="00E87317"/>
    <w:rsid w:val="00E874B5"/>
    <w:rsid w:val="00E87B80"/>
    <w:rsid w:val="00E87EF0"/>
    <w:rsid w:val="00E9106B"/>
    <w:rsid w:val="00E9242D"/>
    <w:rsid w:val="00E95DD9"/>
    <w:rsid w:val="00E95E47"/>
    <w:rsid w:val="00EA0855"/>
    <w:rsid w:val="00EA1078"/>
    <w:rsid w:val="00EA1120"/>
    <w:rsid w:val="00EA153F"/>
    <w:rsid w:val="00EA1F93"/>
    <w:rsid w:val="00EA26AF"/>
    <w:rsid w:val="00EA3CEB"/>
    <w:rsid w:val="00EA77BE"/>
    <w:rsid w:val="00EB00EB"/>
    <w:rsid w:val="00EB02F5"/>
    <w:rsid w:val="00EB2CB1"/>
    <w:rsid w:val="00EB2FFC"/>
    <w:rsid w:val="00EB355F"/>
    <w:rsid w:val="00EB3DB1"/>
    <w:rsid w:val="00EB4705"/>
    <w:rsid w:val="00EB4D74"/>
    <w:rsid w:val="00EB5255"/>
    <w:rsid w:val="00EB5C47"/>
    <w:rsid w:val="00EB66B1"/>
    <w:rsid w:val="00EB66F6"/>
    <w:rsid w:val="00EB69B1"/>
    <w:rsid w:val="00EB6E66"/>
    <w:rsid w:val="00EB7B75"/>
    <w:rsid w:val="00EB7BF5"/>
    <w:rsid w:val="00EB7DD4"/>
    <w:rsid w:val="00EC049E"/>
    <w:rsid w:val="00EC0879"/>
    <w:rsid w:val="00EC0E75"/>
    <w:rsid w:val="00EC3999"/>
    <w:rsid w:val="00EC7023"/>
    <w:rsid w:val="00ED010C"/>
    <w:rsid w:val="00ED0639"/>
    <w:rsid w:val="00ED0A85"/>
    <w:rsid w:val="00ED1031"/>
    <w:rsid w:val="00ED113C"/>
    <w:rsid w:val="00ED1F8C"/>
    <w:rsid w:val="00ED44F9"/>
    <w:rsid w:val="00ED56E1"/>
    <w:rsid w:val="00ED5A30"/>
    <w:rsid w:val="00ED691C"/>
    <w:rsid w:val="00EE1358"/>
    <w:rsid w:val="00EE2412"/>
    <w:rsid w:val="00EE29D9"/>
    <w:rsid w:val="00EE2C7B"/>
    <w:rsid w:val="00EE4B1D"/>
    <w:rsid w:val="00EE6260"/>
    <w:rsid w:val="00EE69F5"/>
    <w:rsid w:val="00EF0B3F"/>
    <w:rsid w:val="00EF293C"/>
    <w:rsid w:val="00EF2A36"/>
    <w:rsid w:val="00EF2B9C"/>
    <w:rsid w:val="00EF45C6"/>
    <w:rsid w:val="00EF467D"/>
    <w:rsid w:val="00EF4755"/>
    <w:rsid w:val="00EF4909"/>
    <w:rsid w:val="00EF4DE7"/>
    <w:rsid w:val="00EF5004"/>
    <w:rsid w:val="00EF5B63"/>
    <w:rsid w:val="00EF632A"/>
    <w:rsid w:val="00EF63E6"/>
    <w:rsid w:val="00EF69A9"/>
    <w:rsid w:val="00EF7135"/>
    <w:rsid w:val="00F01193"/>
    <w:rsid w:val="00F01E9F"/>
    <w:rsid w:val="00F027DB"/>
    <w:rsid w:val="00F02B60"/>
    <w:rsid w:val="00F02F78"/>
    <w:rsid w:val="00F03648"/>
    <w:rsid w:val="00F03F45"/>
    <w:rsid w:val="00F045C5"/>
    <w:rsid w:val="00F04635"/>
    <w:rsid w:val="00F04CC1"/>
    <w:rsid w:val="00F04F3F"/>
    <w:rsid w:val="00F051BC"/>
    <w:rsid w:val="00F05763"/>
    <w:rsid w:val="00F05815"/>
    <w:rsid w:val="00F06D25"/>
    <w:rsid w:val="00F079E9"/>
    <w:rsid w:val="00F10502"/>
    <w:rsid w:val="00F1216C"/>
    <w:rsid w:val="00F13E6B"/>
    <w:rsid w:val="00F14A7A"/>
    <w:rsid w:val="00F1549F"/>
    <w:rsid w:val="00F166CE"/>
    <w:rsid w:val="00F20497"/>
    <w:rsid w:val="00F209B4"/>
    <w:rsid w:val="00F220E5"/>
    <w:rsid w:val="00F22985"/>
    <w:rsid w:val="00F2475A"/>
    <w:rsid w:val="00F2592D"/>
    <w:rsid w:val="00F263B2"/>
    <w:rsid w:val="00F266FE"/>
    <w:rsid w:val="00F26AD1"/>
    <w:rsid w:val="00F30F11"/>
    <w:rsid w:val="00F32709"/>
    <w:rsid w:val="00F3383E"/>
    <w:rsid w:val="00F339D8"/>
    <w:rsid w:val="00F33E01"/>
    <w:rsid w:val="00F351E3"/>
    <w:rsid w:val="00F36950"/>
    <w:rsid w:val="00F36A13"/>
    <w:rsid w:val="00F4064A"/>
    <w:rsid w:val="00F40F20"/>
    <w:rsid w:val="00F4194E"/>
    <w:rsid w:val="00F425E5"/>
    <w:rsid w:val="00F431D7"/>
    <w:rsid w:val="00F43314"/>
    <w:rsid w:val="00F43D51"/>
    <w:rsid w:val="00F4445F"/>
    <w:rsid w:val="00F46123"/>
    <w:rsid w:val="00F4620B"/>
    <w:rsid w:val="00F465A7"/>
    <w:rsid w:val="00F46868"/>
    <w:rsid w:val="00F46EAC"/>
    <w:rsid w:val="00F50B7C"/>
    <w:rsid w:val="00F50EF7"/>
    <w:rsid w:val="00F51AD6"/>
    <w:rsid w:val="00F5490E"/>
    <w:rsid w:val="00F5498A"/>
    <w:rsid w:val="00F550E6"/>
    <w:rsid w:val="00F56595"/>
    <w:rsid w:val="00F56DC4"/>
    <w:rsid w:val="00F579D9"/>
    <w:rsid w:val="00F61231"/>
    <w:rsid w:val="00F61C24"/>
    <w:rsid w:val="00F61EA7"/>
    <w:rsid w:val="00F62382"/>
    <w:rsid w:val="00F632DB"/>
    <w:rsid w:val="00F63E88"/>
    <w:rsid w:val="00F656FE"/>
    <w:rsid w:val="00F65800"/>
    <w:rsid w:val="00F66684"/>
    <w:rsid w:val="00F678F7"/>
    <w:rsid w:val="00F679A0"/>
    <w:rsid w:val="00F72EAA"/>
    <w:rsid w:val="00F73537"/>
    <w:rsid w:val="00F74345"/>
    <w:rsid w:val="00F74657"/>
    <w:rsid w:val="00F74A8A"/>
    <w:rsid w:val="00F74AEE"/>
    <w:rsid w:val="00F75CEC"/>
    <w:rsid w:val="00F76473"/>
    <w:rsid w:val="00F76BD8"/>
    <w:rsid w:val="00F76C4B"/>
    <w:rsid w:val="00F76E64"/>
    <w:rsid w:val="00F8004F"/>
    <w:rsid w:val="00F8011C"/>
    <w:rsid w:val="00F80A0A"/>
    <w:rsid w:val="00F812D8"/>
    <w:rsid w:val="00F81D30"/>
    <w:rsid w:val="00F82696"/>
    <w:rsid w:val="00F828FB"/>
    <w:rsid w:val="00F82B19"/>
    <w:rsid w:val="00F82B3E"/>
    <w:rsid w:val="00F83D00"/>
    <w:rsid w:val="00F846E9"/>
    <w:rsid w:val="00F85F3B"/>
    <w:rsid w:val="00F87E80"/>
    <w:rsid w:val="00F91CF7"/>
    <w:rsid w:val="00F9212D"/>
    <w:rsid w:val="00F92480"/>
    <w:rsid w:val="00F925D3"/>
    <w:rsid w:val="00F936CA"/>
    <w:rsid w:val="00F93948"/>
    <w:rsid w:val="00F94576"/>
    <w:rsid w:val="00F948EF"/>
    <w:rsid w:val="00F95045"/>
    <w:rsid w:val="00F95EA0"/>
    <w:rsid w:val="00F96278"/>
    <w:rsid w:val="00F96420"/>
    <w:rsid w:val="00F965DA"/>
    <w:rsid w:val="00F979D5"/>
    <w:rsid w:val="00F97D13"/>
    <w:rsid w:val="00FA0320"/>
    <w:rsid w:val="00FA0A48"/>
    <w:rsid w:val="00FA0ADE"/>
    <w:rsid w:val="00FA1DF0"/>
    <w:rsid w:val="00FA22EC"/>
    <w:rsid w:val="00FA2D01"/>
    <w:rsid w:val="00FA3B47"/>
    <w:rsid w:val="00FA3D3D"/>
    <w:rsid w:val="00FA406A"/>
    <w:rsid w:val="00FA4986"/>
    <w:rsid w:val="00FA59A3"/>
    <w:rsid w:val="00FA75E3"/>
    <w:rsid w:val="00FA76D0"/>
    <w:rsid w:val="00FA797E"/>
    <w:rsid w:val="00FB0134"/>
    <w:rsid w:val="00FB05C4"/>
    <w:rsid w:val="00FB06B1"/>
    <w:rsid w:val="00FB07FF"/>
    <w:rsid w:val="00FB0B38"/>
    <w:rsid w:val="00FB187E"/>
    <w:rsid w:val="00FB245D"/>
    <w:rsid w:val="00FB2DD2"/>
    <w:rsid w:val="00FB3050"/>
    <w:rsid w:val="00FB3EA3"/>
    <w:rsid w:val="00FB503A"/>
    <w:rsid w:val="00FB516C"/>
    <w:rsid w:val="00FB5A71"/>
    <w:rsid w:val="00FB5FE3"/>
    <w:rsid w:val="00FB6018"/>
    <w:rsid w:val="00FB6877"/>
    <w:rsid w:val="00FB68A9"/>
    <w:rsid w:val="00FB760B"/>
    <w:rsid w:val="00FB78CB"/>
    <w:rsid w:val="00FB7A4A"/>
    <w:rsid w:val="00FC0EFC"/>
    <w:rsid w:val="00FC1C39"/>
    <w:rsid w:val="00FC1CED"/>
    <w:rsid w:val="00FC1D03"/>
    <w:rsid w:val="00FC1FA9"/>
    <w:rsid w:val="00FC2313"/>
    <w:rsid w:val="00FC328B"/>
    <w:rsid w:val="00FC407D"/>
    <w:rsid w:val="00FC44A8"/>
    <w:rsid w:val="00FC4853"/>
    <w:rsid w:val="00FC5A84"/>
    <w:rsid w:val="00FC5F05"/>
    <w:rsid w:val="00FC5F5C"/>
    <w:rsid w:val="00FC67D4"/>
    <w:rsid w:val="00FC758E"/>
    <w:rsid w:val="00FD0236"/>
    <w:rsid w:val="00FD0914"/>
    <w:rsid w:val="00FD0994"/>
    <w:rsid w:val="00FD0FD1"/>
    <w:rsid w:val="00FD1316"/>
    <w:rsid w:val="00FD18F4"/>
    <w:rsid w:val="00FD355E"/>
    <w:rsid w:val="00FD4249"/>
    <w:rsid w:val="00FD54DB"/>
    <w:rsid w:val="00FD619F"/>
    <w:rsid w:val="00FD6EDB"/>
    <w:rsid w:val="00FE1EF5"/>
    <w:rsid w:val="00FE1F93"/>
    <w:rsid w:val="00FE2303"/>
    <w:rsid w:val="00FE274A"/>
    <w:rsid w:val="00FE2C62"/>
    <w:rsid w:val="00FE339D"/>
    <w:rsid w:val="00FE3471"/>
    <w:rsid w:val="00FE4286"/>
    <w:rsid w:val="00FE43A7"/>
    <w:rsid w:val="00FE56CD"/>
    <w:rsid w:val="00FE5DAD"/>
    <w:rsid w:val="00FE6DB9"/>
    <w:rsid w:val="00FE70AE"/>
    <w:rsid w:val="00FE70BF"/>
    <w:rsid w:val="00FE71F0"/>
    <w:rsid w:val="00FE72A2"/>
    <w:rsid w:val="00FF0351"/>
    <w:rsid w:val="00FF26E4"/>
    <w:rsid w:val="00FF3738"/>
    <w:rsid w:val="00FF4AF2"/>
    <w:rsid w:val="00FF5263"/>
    <w:rsid w:val="00FF7CA6"/>
    <w:rsid w:val="01290F7E"/>
    <w:rsid w:val="015D1E09"/>
    <w:rsid w:val="02697903"/>
    <w:rsid w:val="02F96569"/>
    <w:rsid w:val="030C0927"/>
    <w:rsid w:val="03EA7B21"/>
    <w:rsid w:val="05F83EAE"/>
    <w:rsid w:val="063E7D85"/>
    <w:rsid w:val="06E62795"/>
    <w:rsid w:val="07293586"/>
    <w:rsid w:val="07295285"/>
    <w:rsid w:val="07382DFF"/>
    <w:rsid w:val="07636392"/>
    <w:rsid w:val="07770C56"/>
    <w:rsid w:val="08B413A5"/>
    <w:rsid w:val="092217DD"/>
    <w:rsid w:val="093A7294"/>
    <w:rsid w:val="0A263993"/>
    <w:rsid w:val="0A2D3AC2"/>
    <w:rsid w:val="0AA755DF"/>
    <w:rsid w:val="0B120D44"/>
    <w:rsid w:val="0BD27BF6"/>
    <w:rsid w:val="0C3B3C7D"/>
    <w:rsid w:val="0CAB2EAE"/>
    <w:rsid w:val="0CDC6FDF"/>
    <w:rsid w:val="0D5663AB"/>
    <w:rsid w:val="0D621C7D"/>
    <w:rsid w:val="0D75300E"/>
    <w:rsid w:val="0E2864C0"/>
    <w:rsid w:val="0E73034D"/>
    <w:rsid w:val="0F13775A"/>
    <w:rsid w:val="0F5F45FE"/>
    <w:rsid w:val="0F9A112B"/>
    <w:rsid w:val="106D2F64"/>
    <w:rsid w:val="10B63710"/>
    <w:rsid w:val="10F10820"/>
    <w:rsid w:val="111C2F7A"/>
    <w:rsid w:val="11665CA1"/>
    <w:rsid w:val="11CB2A8D"/>
    <w:rsid w:val="124008DF"/>
    <w:rsid w:val="12FD7AAD"/>
    <w:rsid w:val="13951726"/>
    <w:rsid w:val="14396509"/>
    <w:rsid w:val="14DD2C3C"/>
    <w:rsid w:val="152E01EC"/>
    <w:rsid w:val="15AC7AB9"/>
    <w:rsid w:val="16087E1D"/>
    <w:rsid w:val="17701D14"/>
    <w:rsid w:val="17735226"/>
    <w:rsid w:val="18172185"/>
    <w:rsid w:val="189F624C"/>
    <w:rsid w:val="1A1C66C0"/>
    <w:rsid w:val="1A42393B"/>
    <w:rsid w:val="1AAD45DE"/>
    <w:rsid w:val="1B046F80"/>
    <w:rsid w:val="1B3267B5"/>
    <w:rsid w:val="1B40161D"/>
    <w:rsid w:val="1B441859"/>
    <w:rsid w:val="1B6606B1"/>
    <w:rsid w:val="1C5E7925"/>
    <w:rsid w:val="1CFD070F"/>
    <w:rsid w:val="1D5F6196"/>
    <w:rsid w:val="1D6132A5"/>
    <w:rsid w:val="1D76676B"/>
    <w:rsid w:val="1D8E56D5"/>
    <w:rsid w:val="1E7A43DA"/>
    <w:rsid w:val="1F251C74"/>
    <w:rsid w:val="1FE7539E"/>
    <w:rsid w:val="20671BE0"/>
    <w:rsid w:val="20963CB8"/>
    <w:rsid w:val="20A81A1B"/>
    <w:rsid w:val="20B07FB6"/>
    <w:rsid w:val="20B646FB"/>
    <w:rsid w:val="213B74B1"/>
    <w:rsid w:val="215A2310"/>
    <w:rsid w:val="21DE318A"/>
    <w:rsid w:val="21EF5B80"/>
    <w:rsid w:val="22576990"/>
    <w:rsid w:val="22F47480"/>
    <w:rsid w:val="23DE1C48"/>
    <w:rsid w:val="240210CD"/>
    <w:rsid w:val="242D7AED"/>
    <w:rsid w:val="24BF09F7"/>
    <w:rsid w:val="252D53FE"/>
    <w:rsid w:val="25553252"/>
    <w:rsid w:val="25EC2D81"/>
    <w:rsid w:val="277057A2"/>
    <w:rsid w:val="29206EB8"/>
    <w:rsid w:val="29595666"/>
    <w:rsid w:val="29874881"/>
    <w:rsid w:val="29E325E0"/>
    <w:rsid w:val="2A452503"/>
    <w:rsid w:val="2B4C0E5F"/>
    <w:rsid w:val="2BA936A8"/>
    <w:rsid w:val="2C315A5A"/>
    <w:rsid w:val="2C4B1C25"/>
    <w:rsid w:val="2D9E56F5"/>
    <w:rsid w:val="2E667F96"/>
    <w:rsid w:val="2E8226AB"/>
    <w:rsid w:val="2FD065E6"/>
    <w:rsid w:val="2FD96870"/>
    <w:rsid w:val="2FEB3DE3"/>
    <w:rsid w:val="30580BC9"/>
    <w:rsid w:val="307559FB"/>
    <w:rsid w:val="311E2ED7"/>
    <w:rsid w:val="315619EE"/>
    <w:rsid w:val="315C449C"/>
    <w:rsid w:val="31B82709"/>
    <w:rsid w:val="31D05482"/>
    <w:rsid w:val="32400B34"/>
    <w:rsid w:val="329E6876"/>
    <w:rsid w:val="333015F2"/>
    <w:rsid w:val="334B6320"/>
    <w:rsid w:val="33D934D4"/>
    <w:rsid w:val="33FE2F6A"/>
    <w:rsid w:val="340E07E5"/>
    <w:rsid w:val="34235BF7"/>
    <w:rsid w:val="34AB1BB7"/>
    <w:rsid w:val="357F234A"/>
    <w:rsid w:val="358C5FA8"/>
    <w:rsid w:val="35C15DF1"/>
    <w:rsid w:val="36074A7F"/>
    <w:rsid w:val="36923549"/>
    <w:rsid w:val="36B75FBF"/>
    <w:rsid w:val="36BD0C45"/>
    <w:rsid w:val="37E00298"/>
    <w:rsid w:val="386D459A"/>
    <w:rsid w:val="38B302F9"/>
    <w:rsid w:val="38F12CD3"/>
    <w:rsid w:val="38F94775"/>
    <w:rsid w:val="392971ED"/>
    <w:rsid w:val="39325651"/>
    <w:rsid w:val="3A872856"/>
    <w:rsid w:val="3B3763D1"/>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456151"/>
    <w:rsid w:val="46577FD6"/>
    <w:rsid w:val="46D955A7"/>
    <w:rsid w:val="47133957"/>
    <w:rsid w:val="47A07E0C"/>
    <w:rsid w:val="4870272E"/>
    <w:rsid w:val="497A3921"/>
    <w:rsid w:val="49DC7715"/>
    <w:rsid w:val="4A023139"/>
    <w:rsid w:val="4A7B576F"/>
    <w:rsid w:val="4AF561A9"/>
    <w:rsid w:val="4C4A0649"/>
    <w:rsid w:val="4C7E5ECA"/>
    <w:rsid w:val="4C876AA5"/>
    <w:rsid w:val="4CC171B2"/>
    <w:rsid w:val="4D0E00FB"/>
    <w:rsid w:val="4D176606"/>
    <w:rsid w:val="4DE65E10"/>
    <w:rsid w:val="4DEC4FB0"/>
    <w:rsid w:val="4E075D8A"/>
    <w:rsid w:val="4EC00FAD"/>
    <w:rsid w:val="4ECB59F8"/>
    <w:rsid w:val="4EEC7D97"/>
    <w:rsid w:val="4F382932"/>
    <w:rsid w:val="4F9843DC"/>
    <w:rsid w:val="4FC62A8C"/>
    <w:rsid w:val="4FE20F0D"/>
    <w:rsid w:val="4FE51552"/>
    <w:rsid w:val="502C6418"/>
    <w:rsid w:val="50504C4B"/>
    <w:rsid w:val="506E634B"/>
    <w:rsid w:val="509C6E7C"/>
    <w:rsid w:val="5162104E"/>
    <w:rsid w:val="53A039CC"/>
    <w:rsid w:val="53A1505A"/>
    <w:rsid w:val="54063E08"/>
    <w:rsid w:val="543437E8"/>
    <w:rsid w:val="54F73313"/>
    <w:rsid w:val="54F80955"/>
    <w:rsid w:val="555170A7"/>
    <w:rsid w:val="5587536D"/>
    <w:rsid w:val="559B174B"/>
    <w:rsid w:val="55CE0CF4"/>
    <w:rsid w:val="5665579D"/>
    <w:rsid w:val="56B22A9C"/>
    <w:rsid w:val="57B72A76"/>
    <w:rsid w:val="57C3426C"/>
    <w:rsid w:val="57CE1F93"/>
    <w:rsid w:val="58406816"/>
    <w:rsid w:val="588743D1"/>
    <w:rsid w:val="5887701A"/>
    <w:rsid w:val="59812893"/>
    <w:rsid w:val="598C77DF"/>
    <w:rsid w:val="59C0439F"/>
    <w:rsid w:val="5ABE2233"/>
    <w:rsid w:val="5BDF5D95"/>
    <w:rsid w:val="5BFE7528"/>
    <w:rsid w:val="5D5253FD"/>
    <w:rsid w:val="5E2467F1"/>
    <w:rsid w:val="5EC2056C"/>
    <w:rsid w:val="5EF3178A"/>
    <w:rsid w:val="5F1A2B43"/>
    <w:rsid w:val="5FB837BB"/>
    <w:rsid w:val="60CC405A"/>
    <w:rsid w:val="61E215D8"/>
    <w:rsid w:val="621B3775"/>
    <w:rsid w:val="62364782"/>
    <w:rsid w:val="6394356A"/>
    <w:rsid w:val="63C61B2C"/>
    <w:rsid w:val="63D40BE9"/>
    <w:rsid w:val="64102431"/>
    <w:rsid w:val="64A5243A"/>
    <w:rsid w:val="64F531DE"/>
    <w:rsid w:val="65325463"/>
    <w:rsid w:val="65373578"/>
    <w:rsid w:val="67144B33"/>
    <w:rsid w:val="671F124A"/>
    <w:rsid w:val="677A33C6"/>
    <w:rsid w:val="681F6961"/>
    <w:rsid w:val="68610A2F"/>
    <w:rsid w:val="68805514"/>
    <w:rsid w:val="69316E2F"/>
    <w:rsid w:val="694E2071"/>
    <w:rsid w:val="69766163"/>
    <w:rsid w:val="697A3B33"/>
    <w:rsid w:val="69CF3D8B"/>
    <w:rsid w:val="69D44760"/>
    <w:rsid w:val="6A2C20EF"/>
    <w:rsid w:val="6A520EC7"/>
    <w:rsid w:val="6AF87E20"/>
    <w:rsid w:val="6B322639"/>
    <w:rsid w:val="6C636C38"/>
    <w:rsid w:val="6C9553F6"/>
    <w:rsid w:val="6DB34098"/>
    <w:rsid w:val="6DB545B6"/>
    <w:rsid w:val="6DE02FB4"/>
    <w:rsid w:val="6E514CED"/>
    <w:rsid w:val="6E7C7C1F"/>
    <w:rsid w:val="6EB563D5"/>
    <w:rsid w:val="6ED92677"/>
    <w:rsid w:val="6EFA4214"/>
    <w:rsid w:val="6F225983"/>
    <w:rsid w:val="6FB026F5"/>
    <w:rsid w:val="6FFC5590"/>
    <w:rsid w:val="706D1DD0"/>
    <w:rsid w:val="70856B87"/>
    <w:rsid w:val="70D527EE"/>
    <w:rsid w:val="715B5300"/>
    <w:rsid w:val="716D6151"/>
    <w:rsid w:val="71D27F8A"/>
    <w:rsid w:val="72553024"/>
    <w:rsid w:val="728F45B2"/>
    <w:rsid w:val="73122968"/>
    <w:rsid w:val="731F5D5E"/>
    <w:rsid w:val="73C51AD5"/>
    <w:rsid w:val="741E793C"/>
    <w:rsid w:val="745E3944"/>
    <w:rsid w:val="7635099D"/>
    <w:rsid w:val="77057DE8"/>
    <w:rsid w:val="77762421"/>
    <w:rsid w:val="77B56B1F"/>
    <w:rsid w:val="780F09F4"/>
    <w:rsid w:val="78A90480"/>
    <w:rsid w:val="7A364017"/>
    <w:rsid w:val="7A8265E1"/>
    <w:rsid w:val="7B686D42"/>
    <w:rsid w:val="7B841746"/>
    <w:rsid w:val="7C6C5AC7"/>
    <w:rsid w:val="7CC6544B"/>
    <w:rsid w:val="7CE57296"/>
    <w:rsid w:val="7D0239FF"/>
    <w:rsid w:val="7D5E40CD"/>
    <w:rsid w:val="7DCD56F2"/>
    <w:rsid w:val="7F001CE7"/>
    <w:rsid w:val="7F346DC0"/>
    <w:rsid w:val="7FB12AF2"/>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9"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qFormat="1" w:uiPriority="39"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qFormat="1" w:unhideWhenUsed="0" w:uiPriority="99"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99"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qFormat="1"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59" w:semiHidden="0" w:name="Table Grid"/>
    <w:lsdException w:unhideWhenUsed="0" w:uiPriority="0" w:semiHidden="0" w:name="Table Theme" w:locked="1"/>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9">
    <w:name w:val="heading 2"/>
    <w:basedOn w:val="1"/>
    <w:next w:val="1"/>
    <w:link w:val="71"/>
    <w:semiHidden/>
    <w:unhideWhenUsed/>
    <w:qFormat/>
    <w:locked/>
    <w:uiPriority w:val="0"/>
    <w:pPr>
      <w:keepNext/>
      <w:keepLines/>
      <w:spacing w:before="260" w:after="260" w:line="416" w:lineRule="auto"/>
      <w:outlineLvl w:val="1"/>
    </w:pPr>
    <w:rPr>
      <w:rFonts w:ascii="Cambria" w:hAnsi="Cambria"/>
      <w:b/>
      <w:bCs/>
      <w:sz w:val="32"/>
      <w:szCs w:val="32"/>
    </w:rPr>
  </w:style>
  <w:style w:type="paragraph" w:styleId="10">
    <w:name w:val="heading 3"/>
    <w:basedOn w:val="1"/>
    <w:next w:val="1"/>
    <w:qFormat/>
    <w:locked/>
    <w:uiPriority w:val="9"/>
    <w:pPr>
      <w:keepNext/>
      <w:keepLines/>
      <w:spacing w:before="260" w:after="260" w:line="416" w:lineRule="auto"/>
      <w:outlineLvl w:val="2"/>
    </w:pPr>
    <w:rPr>
      <w:b/>
      <w:bCs/>
      <w:kern w:val="0"/>
      <w:sz w:val="32"/>
      <w:szCs w:val="32"/>
    </w:rPr>
  </w:style>
  <w:style w:type="paragraph" w:styleId="11">
    <w:name w:val="heading 4"/>
    <w:basedOn w:val="1"/>
    <w:next w:val="12"/>
    <w:qFormat/>
    <w:locked/>
    <w:uiPriority w:val="0"/>
    <w:pPr>
      <w:keepNext/>
      <w:keepLines/>
      <w:numPr>
        <w:ilvl w:val="3"/>
        <w:numId w:val="1"/>
      </w:numPr>
      <w:spacing w:before="280" w:after="290" w:line="376" w:lineRule="auto"/>
      <w:outlineLvl w:val="3"/>
    </w:pPr>
    <w:rPr>
      <w:rFonts w:ascii="Arial" w:hAnsi="Arial" w:eastAsia="黑体"/>
      <w:b/>
      <w:bCs/>
      <w:sz w:val="28"/>
      <w:szCs w:val="28"/>
    </w:rPr>
  </w:style>
  <w:style w:type="character" w:default="1" w:styleId="34">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link w:val="63"/>
    <w:qFormat/>
    <w:uiPriority w:val="0"/>
    <w:pPr>
      <w:autoSpaceDE w:val="0"/>
      <w:autoSpaceDN w:val="0"/>
      <w:adjustRightInd w:val="0"/>
    </w:pPr>
    <w:rPr>
      <w:rFonts w:ascii="宋体" w:cs="宋体"/>
      <w:sz w:val="24"/>
    </w:rPr>
  </w:style>
  <w:style w:type="paragraph" w:customStyle="1" w:styleId="3">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styleId="4">
    <w:name w:val="Body Text First Indent 2"/>
    <w:basedOn w:val="5"/>
    <w:next w:val="1"/>
    <w:link w:val="72"/>
    <w:qFormat/>
    <w:locked/>
    <w:uiPriority w:val="0"/>
    <w:pPr>
      <w:ind w:firstLine="420" w:firstLineChars="200"/>
    </w:pPr>
    <w:rPr>
      <w:kern w:val="2"/>
      <w:sz w:val="21"/>
      <w:szCs w:val="24"/>
    </w:rPr>
  </w:style>
  <w:style w:type="paragraph" w:styleId="5">
    <w:name w:val="Body Text Indent"/>
    <w:basedOn w:val="1"/>
    <w:next w:val="6"/>
    <w:link w:val="41"/>
    <w:qFormat/>
    <w:uiPriority w:val="0"/>
    <w:pPr>
      <w:spacing w:after="120"/>
      <w:ind w:left="420" w:leftChars="200"/>
    </w:pPr>
    <w:rPr>
      <w:kern w:val="0"/>
      <w:sz w:val="24"/>
      <w:szCs w:val="20"/>
    </w:rPr>
  </w:style>
  <w:style w:type="paragraph" w:styleId="6">
    <w:name w:val="header"/>
    <w:basedOn w:val="1"/>
    <w:next w:val="7"/>
    <w:link w:val="46"/>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7">
    <w:name w:val="样式5"/>
    <w:basedOn w:val="1"/>
    <w:qFormat/>
    <w:uiPriority w:val="0"/>
    <w:pPr>
      <w:snapToGrid w:val="0"/>
      <w:spacing w:line="360" w:lineRule="auto"/>
      <w:ind w:firstLine="510"/>
    </w:pPr>
    <w:rPr>
      <w:sz w:val="24"/>
    </w:rPr>
  </w:style>
  <w:style w:type="paragraph" w:styleId="12">
    <w:name w:val="Normal Indent"/>
    <w:basedOn w:val="1"/>
    <w:next w:val="11"/>
    <w:link w:val="74"/>
    <w:qFormat/>
    <w:locked/>
    <w:uiPriority w:val="0"/>
    <w:pPr>
      <w:ind w:firstLine="420"/>
    </w:pPr>
    <w:rPr>
      <w:szCs w:val="20"/>
    </w:rPr>
  </w:style>
  <w:style w:type="paragraph" w:styleId="13">
    <w:name w:val="Note Heading"/>
    <w:basedOn w:val="1"/>
    <w:next w:val="1"/>
    <w:link w:val="89"/>
    <w:qFormat/>
    <w:locked/>
    <w:uiPriority w:val="99"/>
    <w:pPr>
      <w:jc w:val="center"/>
    </w:pPr>
  </w:style>
  <w:style w:type="paragraph" w:styleId="14">
    <w:name w:val="caption"/>
    <w:basedOn w:val="1"/>
    <w:next w:val="1"/>
    <w:link w:val="59"/>
    <w:qFormat/>
    <w:locked/>
    <w:uiPriority w:val="0"/>
    <w:pPr>
      <w:adjustRightInd w:val="0"/>
      <w:snapToGrid w:val="0"/>
      <w:jc w:val="center"/>
    </w:pPr>
    <w:rPr>
      <w:rFonts w:ascii="Calibri" w:hAnsi="Calibri"/>
      <w:b/>
      <w:color w:val="000000"/>
      <w:sz w:val="24"/>
      <w:szCs w:val="21"/>
    </w:rPr>
  </w:style>
  <w:style w:type="paragraph" w:styleId="15">
    <w:name w:val="Document Map"/>
    <w:basedOn w:val="1"/>
    <w:link w:val="73"/>
    <w:qFormat/>
    <w:locked/>
    <w:uiPriority w:val="0"/>
    <w:rPr>
      <w:rFonts w:ascii="宋体"/>
      <w:sz w:val="18"/>
      <w:szCs w:val="18"/>
    </w:rPr>
  </w:style>
  <w:style w:type="paragraph" w:styleId="16">
    <w:name w:val="annotation text"/>
    <w:basedOn w:val="1"/>
    <w:link w:val="51"/>
    <w:semiHidden/>
    <w:qFormat/>
    <w:uiPriority w:val="0"/>
    <w:pPr>
      <w:jc w:val="left"/>
    </w:pPr>
    <w:rPr>
      <w:kern w:val="0"/>
      <w:sz w:val="24"/>
      <w:szCs w:val="20"/>
    </w:rPr>
  </w:style>
  <w:style w:type="paragraph" w:styleId="17">
    <w:name w:val="Body Text"/>
    <w:basedOn w:val="1"/>
    <w:next w:val="1"/>
    <w:link w:val="53"/>
    <w:qFormat/>
    <w:uiPriority w:val="0"/>
    <w:pPr>
      <w:widowControl/>
      <w:snapToGrid w:val="0"/>
      <w:spacing w:before="60" w:after="160" w:line="259" w:lineRule="auto"/>
      <w:ind w:right="113"/>
    </w:pPr>
    <w:rPr>
      <w:kern w:val="0"/>
      <w:sz w:val="18"/>
      <w:szCs w:val="20"/>
    </w:rPr>
  </w:style>
  <w:style w:type="paragraph" w:styleId="18">
    <w:name w:val="toc 5"/>
    <w:basedOn w:val="1"/>
    <w:next w:val="1"/>
    <w:unhideWhenUsed/>
    <w:qFormat/>
    <w:locked/>
    <w:uiPriority w:val="39"/>
    <w:pPr>
      <w:ind w:left="1680" w:leftChars="800"/>
    </w:pPr>
  </w:style>
  <w:style w:type="paragraph" w:styleId="19">
    <w:name w:val="Plain Text"/>
    <w:basedOn w:val="1"/>
    <w:next w:val="20"/>
    <w:qFormat/>
    <w:locked/>
    <w:uiPriority w:val="99"/>
    <w:rPr>
      <w:rFonts w:ascii="宋体" w:hAnsi="Courier New" w:cs="Courier New" w:eastAsiaTheme="minorEastAsia"/>
      <w:szCs w:val="21"/>
    </w:rPr>
  </w:style>
  <w:style w:type="paragraph" w:styleId="20">
    <w:name w:val="toc 1"/>
    <w:basedOn w:val="1"/>
    <w:next w:val="1"/>
    <w:qFormat/>
    <w:locked/>
    <w:uiPriority w:val="39"/>
  </w:style>
  <w:style w:type="paragraph" w:styleId="21">
    <w:name w:val="Date"/>
    <w:basedOn w:val="1"/>
    <w:next w:val="1"/>
    <w:link w:val="39"/>
    <w:qFormat/>
    <w:uiPriority w:val="0"/>
    <w:pPr>
      <w:ind w:left="100" w:leftChars="2500"/>
    </w:pPr>
    <w:rPr>
      <w:kern w:val="0"/>
      <w:sz w:val="24"/>
      <w:szCs w:val="20"/>
    </w:rPr>
  </w:style>
  <w:style w:type="paragraph" w:styleId="22">
    <w:name w:val="Body Text Indent 2"/>
    <w:basedOn w:val="1"/>
    <w:next w:val="23"/>
    <w:link w:val="68"/>
    <w:qFormat/>
    <w:locked/>
    <w:uiPriority w:val="0"/>
    <w:pPr>
      <w:spacing w:after="120" w:line="480" w:lineRule="auto"/>
      <w:ind w:left="420" w:leftChars="200"/>
    </w:pPr>
  </w:style>
  <w:style w:type="paragraph" w:customStyle="1" w:styleId="23">
    <w:name w:val="reader-word-layer reader-word-s46-2"/>
    <w:basedOn w:val="1"/>
    <w:next w:val="24"/>
    <w:qFormat/>
    <w:uiPriority w:val="0"/>
    <w:pPr>
      <w:widowControl/>
      <w:spacing w:before="280" w:after="280"/>
    </w:pPr>
    <w:rPr>
      <w:rFonts w:ascii="宋体"/>
      <w:sz w:val="24"/>
    </w:rPr>
  </w:style>
  <w:style w:type="paragraph" w:customStyle="1" w:styleId="24">
    <w:name w:val="xl35"/>
    <w:basedOn w:val="1"/>
    <w:next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kern w:val="0"/>
      <w:sz w:val="24"/>
    </w:rPr>
  </w:style>
  <w:style w:type="paragraph" w:styleId="25">
    <w:name w:val="Balloon Text"/>
    <w:basedOn w:val="1"/>
    <w:link w:val="47"/>
    <w:semiHidden/>
    <w:qFormat/>
    <w:uiPriority w:val="0"/>
    <w:rPr>
      <w:kern w:val="0"/>
      <w:sz w:val="18"/>
      <w:szCs w:val="20"/>
    </w:rPr>
  </w:style>
  <w:style w:type="paragraph" w:styleId="26">
    <w:name w:val="footer"/>
    <w:basedOn w:val="1"/>
    <w:link w:val="40"/>
    <w:qFormat/>
    <w:uiPriority w:val="99"/>
    <w:pPr>
      <w:tabs>
        <w:tab w:val="center" w:pos="4153"/>
        <w:tab w:val="right" w:pos="8306"/>
      </w:tabs>
      <w:snapToGrid w:val="0"/>
      <w:jc w:val="left"/>
    </w:pPr>
    <w:rPr>
      <w:kern w:val="0"/>
      <w:sz w:val="18"/>
      <w:szCs w:val="20"/>
    </w:rPr>
  </w:style>
  <w:style w:type="paragraph" w:styleId="27">
    <w:name w:val="Body Text 2"/>
    <w:basedOn w:val="1"/>
    <w:link w:val="86"/>
    <w:qFormat/>
    <w:locked/>
    <w:uiPriority w:val="0"/>
    <w:pPr>
      <w:spacing w:after="120" w:line="480" w:lineRule="auto"/>
    </w:pPr>
  </w:style>
  <w:style w:type="paragraph" w:styleId="28">
    <w:name w:val="Normal (Web)"/>
    <w:basedOn w:val="1"/>
    <w:link w:val="42"/>
    <w:qFormat/>
    <w:uiPriority w:val="0"/>
    <w:pPr>
      <w:widowControl/>
      <w:spacing w:before="100" w:beforeAutospacing="1" w:after="100" w:afterAutospacing="1"/>
      <w:jc w:val="left"/>
    </w:pPr>
    <w:rPr>
      <w:rFonts w:ascii="宋体" w:hAnsi="宋体"/>
      <w:kern w:val="0"/>
      <w:sz w:val="24"/>
      <w:szCs w:val="20"/>
    </w:rPr>
  </w:style>
  <w:style w:type="paragraph" w:styleId="29">
    <w:name w:val="annotation subject"/>
    <w:basedOn w:val="16"/>
    <w:next w:val="16"/>
    <w:link w:val="52"/>
    <w:semiHidden/>
    <w:qFormat/>
    <w:uiPriority w:val="0"/>
    <w:rPr>
      <w:b/>
    </w:rPr>
  </w:style>
  <w:style w:type="paragraph" w:styleId="30">
    <w:name w:val="Body Text First Indent"/>
    <w:basedOn w:val="17"/>
    <w:next w:val="1"/>
    <w:link w:val="61"/>
    <w:qFormat/>
    <w:locked/>
    <w:uiPriority w:val="0"/>
    <w:pPr>
      <w:widowControl w:val="0"/>
      <w:snapToGrid/>
      <w:spacing w:before="0" w:after="120" w:line="240" w:lineRule="auto"/>
      <w:ind w:right="0" w:firstLine="420" w:firstLineChars="100"/>
    </w:pPr>
    <w:rPr>
      <w:rFonts w:ascii="Calibri" w:hAnsi="Calibri"/>
      <w:kern w:val="2"/>
      <w:sz w:val="21"/>
      <w:szCs w:val="24"/>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3">
    <w:name w:val="Table Grid 5"/>
    <w:basedOn w:val="31"/>
    <w:qFormat/>
    <w:locked/>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35">
    <w:name w:val="Strong"/>
    <w:qFormat/>
    <w:locked/>
    <w:uiPriority w:val="0"/>
    <w:rPr>
      <w:b/>
      <w:bCs/>
    </w:rPr>
  </w:style>
  <w:style w:type="character" w:styleId="36">
    <w:name w:val="page number"/>
    <w:basedOn w:val="34"/>
    <w:qFormat/>
    <w:locked/>
    <w:uiPriority w:val="0"/>
  </w:style>
  <w:style w:type="character" w:styleId="37">
    <w:name w:val="Hyperlink"/>
    <w:basedOn w:val="34"/>
    <w:unhideWhenUsed/>
    <w:qFormat/>
    <w:locked/>
    <w:uiPriority w:val="99"/>
    <w:rPr>
      <w:color w:val="0000FF"/>
      <w:u w:val="single"/>
    </w:rPr>
  </w:style>
  <w:style w:type="character" w:styleId="38">
    <w:name w:val="annotation reference"/>
    <w:qFormat/>
    <w:uiPriority w:val="0"/>
    <w:rPr>
      <w:sz w:val="21"/>
    </w:rPr>
  </w:style>
  <w:style w:type="character" w:customStyle="1" w:styleId="39">
    <w:name w:val="日期 Char"/>
    <w:link w:val="21"/>
    <w:qFormat/>
    <w:locked/>
    <w:uiPriority w:val="0"/>
    <w:rPr>
      <w:rFonts w:ascii="Times New Roman" w:hAnsi="Times New Roman" w:eastAsia="宋体"/>
      <w:sz w:val="24"/>
    </w:rPr>
  </w:style>
  <w:style w:type="character" w:customStyle="1" w:styleId="40">
    <w:name w:val="页脚 Char"/>
    <w:link w:val="26"/>
    <w:qFormat/>
    <w:locked/>
    <w:uiPriority w:val="99"/>
    <w:rPr>
      <w:sz w:val="18"/>
    </w:rPr>
  </w:style>
  <w:style w:type="character" w:customStyle="1" w:styleId="41">
    <w:name w:val="正文文本缩进 Char"/>
    <w:link w:val="5"/>
    <w:semiHidden/>
    <w:qFormat/>
    <w:locked/>
    <w:uiPriority w:val="0"/>
    <w:rPr>
      <w:rFonts w:ascii="Times New Roman" w:hAnsi="Times New Roman" w:eastAsia="宋体"/>
      <w:sz w:val="24"/>
    </w:rPr>
  </w:style>
  <w:style w:type="character" w:customStyle="1" w:styleId="42">
    <w:name w:val="普通(网站) Char"/>
    <w:link w:val="28"/>
    <w:qFormat/>
    <w:locked/>
    <w:uiPriority w:val="0"/>
    <w:rPr>
      <w:rFonts w:ascii="宋体" w:hAnsi="宋体" w:eastAsia="宋体"/>
      <w:sz w:val="24"/>
    </w:rPr>
  </w:style>
  <w:style w:type="character" w:customStyle="1" w:styleId="43">
    <w:name w:val="表格 Char"/>
    <w:link w:val="44"/>
    <w:qFormat/>
    <w:locked/>
    <w:uiPriority w:val="0"/>
    <w:rPr>
      <w:rFonts w:ascii="宋体"/>
      <w:sz w:val="21"/>
    </w:rPr>
  </w:style>
  <w:style w:type="paragraph" w:customStyle="1" w:styleId="44">
    <w:name w:val="表格"/>
    <w:basedOn w:val="1"/>
    <w:next w:val="1"/>
    <w:link w:val="43"/>
    <w:qFormat/>
    <w:uiPriority w:val="0"/>
    <w:pPr>
      <w:adjustRightInd w:val="0"/>
      <w:snapToGrid w:val="0"/>
      <w:spacing w:beforeLines="10" w:afterLines="10" w:line="259" w:lineRule="auto"/>
      <w:jc w:val="center"/>
    </w:pPr>
    <w:rPr>
      <w:rFonts w:ascii="宋体"/>
      <w:kern w:val="0"/>
      <w:szCs w:val="20"/>
    </w:rPr>
  </w:style>
  <w:style w:type="character" w:customStyle="1" w:styleId="45">
    <w:name w:val="正文文本 字符1"/>
    <w:semiHidden/>
    <w:qFormat/>
    <w:uiPriority w:val="0"/>
    <w:rPr>
      <w:rFonts w:ascii="Times New Roman" w:hAnsi="Times New Roman" w:eastAsia="宋体"/>
      <w:sz w:val="24"/>
    </w:rPr>
  </w:style>
  <w:style w:type="character" w:customStyle="1" w:styleId="46">
    <w:name w:val="页眉 Char"/>
    <w:link w:val="6"/>
    <w:qFormat/>
    <w:locked/>
    <w:uiPriority w:val="99"/>
    <w:rPr>
      <w:sz w:val="18"/>
    </w:rPr>
  </w:style>
  <w:style w:type="character" w:customStyle="1" w:styleId="47">
    <w:name w:val="批注框文本 Char"/>
    <w:link w:val="25"/>
    <w:semiHidden/>
    <w:qFormat/>
    <w:locked/>
    <w:uiPriority w:val="0"/>
    <w:rPr>
      <w:rFonts w:ascii="Times New Roman" w:hAnsi="Times New Roman" w:eastAsia="宋体"/>
      <w:sz w:val="18"/>
    </w:rPr>
  </w:style>
  <w:style w:type="character" w:customStyle="1" w:styleId="48">
    <w:name w:val="日期 字符"/>
    <w:semiHidden/>
    <w:qFormat/>
    <w:uiPriority w:val="0"/>
    <w:rPr>
      <w:rFonts w:ascii="Times New Roman" w:hAnsi="Times New Roman" w:eastAsia="宋体"/>
      <w:sz w:val="24"/>
    </w:rPr>
  </w:style>
  <w:style w:type="character" w:customStyle="1" w:styleId="49">
    <w:name w:val="批注文字 字符1"/>
    <w:semiHidden/>
    <w:qFormat/>
    <w:uiPriority w:val="0"/>
    <w:rPr>
      <w:rFonts w:ascii="Times New Roman" w:hAnsi="Times New Roman" w:eastAsia="宋体"/>
      <w:sz w:val="24"/>
    </w:rPr>
  </w:style>
  <w:style w:type="character" w:customStyle="1" w:styleId="50">
    <w:name w:val="页脚 字符"/>
    <w:basedOn w:val="34"/>
    <w:qFormat/>
    <w:uiPriority w:val="99"/>
  </w:style>
  <w:style w:type="character" w:customStyle="1" w:styleId="51">
    <w:name w:val="批注文字 Char"/>
    <w:link w:val="16"/>
    <w:qFormat/>
    <w:locked/>
    <w:uiPriority w:val="0"/>
    <w:rPr>
      <w:rFonts w:ascii="Times New Roman" w:hAnsi="Times New Roman" w:eastAsia="宋体"/>
      <w:sz w:val="24"/>
    </w:rPr>
  </w:style>
  <w:style w:type="character" w:customStyle="1" w:styleId="52">
    <w:name w:val="批注主题 Char"/>
    <w:link w:val="29"/>
    <w:semiHidden/>
    <w:qFormat/>
    <w:locked/>
    <w:uiPriority w:val="0"/>
    <w:rPr>
      <w:rFonts w:ascii="Times New Roman" w:hAnsi="Times New Roman" w:eastAsia="宋体"/>
      <w:b/>
      <w:kern w:val="2"/>
      <w:sz w:val="24"/>
    </w:rPr>
  </w:style>
  <w:style w:type="character" w:customStyle="1" w:styleId="53">
    <w:name w:val="正文文本 Char"/>
    <w:link w:val="17"/>
    <w:qFormat/>
    <w:locked/>
    <w:uiPriority w:val="0"/>
    <w:rPr>
      <w:sz w:val="18"/>
    </w:rPr>
  </w:style>
  <w:style w:type="paragraph" w:customStyle="1" w:styleId="54">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5">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ENFI正文"/>
    <w:basedOn w:val="1"/>
    <w:link w:val="103"/>
    <w:qFormat/>
    <w:uiPriority w:val="0"/>
    <w:pPr>
      <w:adjustRightInd w:val="0"/>
      <w:snapToGrid w:val="0"/>
      <w:spacing w:line="400" w:lineRule="exact"/>
      <w:ind w:firstLine="567"/>
    </w:pPr>
    <w:rPr>
      <w:rFonts w:eastAsia="仿宋_GB2312"/>
      <w:color w:val="000000"/>
      <w:sz w:val="24"/>
      <w:szCs w:val="22"/>
    </w:rPr>
  </w:style>
  <w:style w:type="character" w:customStyle="1" w:styleId="57">
    <w:name w:val="正文首行缩进 2 + Times New Roman Char"/>
    <w:link w:val="58"/>
    <w:qFormat/>
    <w:uiPriority w:val="0"/>
    <w:rPr>
      <w:sz w:val="24"/>
    </w:rPr>
  </w:style>
  <w:style w:type="paragraph" w:customStyle="1" w:styleId="58">
    <w:name w:val="正文首行缩进 2 + Times New Roman"/>
    <w:basedOn w:val="1"/>
    <w:link w:val="57"/>
    <w:qFormat/>
    <w:uiPriority w:val="0"/>
    <w:pPr>
      <w:tabs>
        <w:tab w:val="left" w:pos="0"/>
        <w:tab w:val="left" w:pos="870"/>
        <w:tab w:val="left" w:pos="3150"/>
      </w:tabs>
      <w:autoSpaceDE w:val="0"/>
      <w:autoSpaceDN w:val="0"/>
      <w:spacing w:line="360" w:lineRule="auto"/>
      <w:ind w:firstLine="480" w:firstLineChars="200"/>
    </w:pPr>
    <w:rPr>
      <w:kern w:val="0"/>
      <w:sz w:val="24"/>
      <w:szCs w:val="20"/>
    </w:rPr>
  </w:style>
  <w:style w:type="character" w:customStyle="1" w:styleId="59">
    <w:name w:val="题注 Char"/>
    <w:link w:val="14"/>
    <w:qFormat/>
    <w:uiPriority w:val="0"/>
    <w:rPr>
      <w:rFonts w:ascii="Calibri" w:hAnsi="Calibri"/>
      <w:b/>
      <w:color w:val="000000"/>
      <w:kern w:val="2"/>
      <w:sz w:val="24"/>
      <w:szCs w:val="21"/>
    </w:rPr>
  </w:style>
  <w:style w:type="paragraph" w:customStyle="1" w:styleId="60">
    <w:name w:val="Char Char Char Char Char Char Char Char Char Char Char Char"/>
    <w:basedOn w:val="1"/>
    <w:qFormat/>
    <w:uiPriority w:val="0"/>
  </w:style>
  <w:style w:type="character" w:customStyle="1" w:styleId="61">
    <w:name w:val="正文首行缩进 Char"/>
    <w:link w:val="30"/>
    <w:qFormat/>
    <w:uiPriority w:val="0"/>
    <w:rPr>
      <w:rFonts w:ascii="Calibri" w:hAnsi="Calibri"/>
      <w:kern w:val="2"/>
      <w:sz w:val="21"/>
      <w:szCs w:val="24"/>
    </w:rPr>
  </w:style>
  <w:style w:type="paragraph" w:customStyle="1" w:styleId="62">
    <w:name w:val="特殊标题３"/>
    <w:basedOn w:val="1"/>
    <w:qFormat/>
    <w:uiPriority w:val="0"/>
    <w:pPr>
      <w:overflowPunct w:val="0"/>
      <w:autoSpaceDE w:val="0"/>
      <w:autoSpaceDN w:val="0"/>
      <w:spacing w:line="360" w:lineRule="auto"/>
    </w:pPr>
    <w:rPr>
      <w:rFonts w:eastAsia="仿宋_GB2312"/>
      <w:sz w:val="28"/>
    </w:rPr>
  </w:style>
  <w:style w:type="character" w:customStyle="1" w:styleId="63">
    <w:name w:val="Default Char"/>
    <w:link w:val="2"/>
    <w:qFormat/>
    <w:uiPriority w:val="0"/>
    <w:rPr>
      <w:rFonts w:ascii="宋体" w:cs="宋体"/>
      <w:color w:val="000000"/>
      <w:sz w:val="24"/>
      <w:szCs w:val="24"/>
    </w:rPr>
  </w:style>
  <w:style w:type="character" w:customStyle="1" w:styleId="64">
    <w:name w:val="表格的字 Char"/>
    <w:link w:val="65"/>
    <w:qFormat/>
    <w:uiPriority w:val="0"/>
    <w:rPr>
      <w:szCs w:val="21"/>
    </w:rPr>
  </w:style>
  <w:style w:type="paragraph" w:customStyle="1" w:styleId="65">
    <w:name w:val="表格的字"/>
    <w:next w:val="1"/>
    <w:link w:val="64"/>
    <w:qFormat/>
    <w:uiPriority w:val="0"/>
    <w:pPr>
      <w:jc w:val="center"/>
    </w:pPr>
    <w:rPr>
      <w:rFonts w:ascii="Times New Roman" w:hAnsi="Times New Roman" w:eastAsia="宋体" w:cs="Times New Roman"/>
      <w:szCs w:val="21"/>
      <w:lang w:val="en-US" w:eastAsia="zh-CN" w:bidi="ar-SA"/>
    </w:rPr>
  </w:style>
  <w:style w:type="table" w:customStyle="1" w:styleId="66">
    <w:name w:val="(环评报告表）1"/>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7">
    <w:name w:val="List Paragraph"/>
    <w:basedOn w:val="1"/>
    <w:qFormat/>
    <w:uiPriority w:val="34"/>
    <w:pPr>
      <w:ind w:firstLine="420" w:firstLineChars="200"/>
    </w:pPr>
    <w:rPr>
      <w:rFonts w:ascii="Calibri" w:hAnsi="Calibri" w:eastAsia="等线"/>
    </w:rPr>
  </w:style>
  <w:style w:type="character" w:customStyle="1" w:styleId="68">
    <w:name w:val="正文文本缩进 2 Char"/>
    <w:link w:val="22"/>
    <w:qFormat/>
    <w:uiPriority w:val="0"/>
    <w:rPr>
      <w:kern w:val="2"/>
      <w:sz w:val="21"/>
      <w:szCs w:val="24"/>
    </w:rPr>
  </w:style>
  <w:style w:type="paragraph" w:customStyle="1" w:styleId="69">
    <w:name w:val="表格文字"/>
    <w:basedOn w:val="1"/>
    <w:link w:val="70"/>
    <w:qFormat/>
    <w:uiPriority w:val="0"/>
    <w:pPr>
      <w:widowControl/>
      <w:adjustRightInd w:val="0"/>
      <w:snapToGrid w:val="0"/>
      <w:jc w:val="center"/>
    </w:pPr>
    <w:rPr>
      <w:kern w:val="0"/>
      <w:sz w:val="20"/>
      <w:szCs w:val="20"/>
    </w:rPr>
  </w:style>
  <w:style w:type="character" w:customStyle="1" w:styleId="70">
    <w:name w:val="表格文字 Char"/>
    <w:link w:val="69"/>
    <w:qFormat/>
    <w:uiPriority w:val="0"/>
  </w:style>
  <w:style w:type="character" w:customStyle="1" w:styleId="71">
    <w:name w:val="标题 2 Char"/>
    <w:link w:val="9"/>
    <w:semiHidden/>
    <w:qFormat/>
    <w:uiPriority w:val="0"/>
    <w:rPr>
      <w:rFonts w:ascii="Cambria" w:hAnsi="Cambria" w:eastAsia="宋体" w:cs="Times New Roman"/>
      <w:b/>
      <w:bCs/>
      <w:kern w:val="2"/>
      <w:sz w:val="32"/>
      <w:szCs w:val="32"/>
    </w:rPr>
  </w:style>
  <w:style w:type="character" w:customStyle="1" w:styleId="72">
    <w:name w:val="正文首行缩进 2 Char"/>
    <w:link w:val="4"/>
    <w:qFormat/>
    <w:uiPriority w:val="0"/>
    <w:rPr>
      <w:rFonts w:ascii="Times New Roman" w:hAnsi="Times New Roman" w:eastAsia="宋体"/>
      <w:kern w:val="2"/>
      <w:sz w:val="21"/>
      <w:szCs w:val="24"/>
    </w:rPr>
  </w:style>
  <w:style w:type="character" w:customStyle="1" w:styleId="73">
    <w:name w:val="文档结构图 Char"/>
    <w:basedOn w:val="34"/>
    <w:link w:val="15"/>
    <w:qFormat/>
    <w:uiPriority w:val="0"/>
    <w:rPr>
      <w:rFonts w:ascii="宋体"/>
      <w:kern w:val="2"/>
      <w:sz w:val="18"/>
      <w:szCs w:val="18"/>
    </w:rPr>
  </w:style>
  <w:style w:type="character" w:customStyle="1" w:styleId="74">
    <w:name w:val="正文缩进 Char"/>
    <w:link w:val="12"/>
    <w:qFormat/>
    <w:locked/>
    <w:uiPriority w:val="0"/>
    <w:rPr>
      <w:kern w:val="2"/>
      <w:sz w:val="21"/>
    </w:rPr>
  </w:style>
  <w:style w:type="paragraph" w:customStyle="1" w:styleId="75">
    <w:name w:val="Char"/>
    <w:basedOn w:val="1"/>
    <w:qFormat/>
    <w:uiPriority w:val="0"/>
    <w:pPr>
      <w:spacing w:line="360" w:lineRule="auto"/>
    </w:pPr>
    <w:rPr>
      <w:rFonts w:ascii="宋体" w:hAnsi="宋体" w:cs="宋体"/>
      <w:spacing w:val="-10"/>
      <w:sz w:val="24"/>
      <w:szCs w:val="21"/>
    </w:rPr>
  </w:style>
  <w:style w:type="paragraph" w:customStyle="1" w:styleId="76">
    <w:name w:val="Table Paragraph"/>
    <w:basedOn w:val="1"/>
    <w:qFormat/>
    <w:uiPriority w:val="1"/>
    <w:pPr>
      <w:spacing w:line="360" w:lineRule="auto"/>
    </w:pPr>
    <w:rPr>
      <w:rFonts w:ascii="宋体" w:hAnsi="宋体" w:cs="宋体"/>
      <w:sz w:val="24"/>
      <w:szCs w:val="20"/>
    </w:rPr>
  </w:style>
  <w:style w:type="character" w:customStyle="1" w:styleId="77">
    <w:name w:val="题注 Char1"/>
    <w:qFormat/>
    <w:uiPriority w:val="0"/>
    <w:rPr>
      <w:rFonts w:ascii="Calibri" w:hAnsi="Calibri"/>
      <w:b/>
      <w:color w:val="000000"/>
      <w:kern w:val="2"/>
      <w:sz w:val="24"/>
      <w:szCs w:val="21"/>
    </w:rPr>
  </w:style>
  <w:style w:type="paragraph" w:customStyle="1" w:styleId="78">
    <w:name w:val="表文"/>
    <w:basedOn w:val="1"/>
    <w:qFormat/>
    <w:uiPriority w:val="0"/>
    <w:pPr>
      <w:tabs>
        <w:tab w:val="left" w:pos="1021"/>
      </w:tabs>
      <w:jc w:val="center"/>
    </w:pPr>
    <w:rPr>
      <w:kern w:val="0"/>
      <w:position w:val="-23"/>
      <w:szCs w:val="21"/>
    </w:rPr>
  </w:style>
  <w:style w:type="character" w:styleId="79">
    <w:name w:val="Placeholder Text"/>
    <w:basedOn w:val="34"/>
    <w:unhideWhenUsed/>
    <w:qFormat/>
    <w:uiPriority w:val="99"/>
    <w:rPr>
      <w:color w:val="808080"/>
    </w:rPr>
  </w:style>
  <w:style w:type="paragraph" w:customStyle="1" w:styleId="80">
    <w:name w:val="环评正文"/>
    <w:basedOn w:val="1"/>
    <w:qFormat/>
    <w:uiPriority w:val="0"/>
    <w:pPr>
      <w:spacing w:beforeLines="30" w:line="360" w:lineRule="auto"/>
      <w:ind w:firstLine="480" w:firstLineChars="200"/>
    </w:pPr>
    <w:rPr>
      <w:kern w:val="0"/>
      <w:sz w:val="24"/>
      <w:szCs w:val="20"/>
    </w:rPr>
  </w:style>
  <w:style w:type="paragraph" w:customStyle="1" w:styleId="81">
    <w:name w:val="B-表头"/>
    <w:basedOn w:val="1"/>
    <w:qFormat/>
    <w:uiPriority w:val="0"/>
    <w:pPr>
      <w:keepNext/>
      <w:spacing w:beforeLines="25" w:afterLines="25"/>
      <w:jc w:val="center"/>
    </w:pPr>
    <w:rPr>
      <w:b/>
      <w:sz w:val="24"/>
    </w:rPr>
  </w:style>
  <w:style w:type="paragraph" w:customStyle="1" w:styleId="82">
    <w:name w:val="表头2"/>
    <w:basedOn w:val="1"/>
    <w:qFormat/>
    <w:uiPriority w:val="0"/>
    <w:pPr>
      <w:spacing w:beforeLines="50" w:afterLines="50"/>
      <w:jc w:val="center"/>
    </w:pPr>
    <w:rPr>
      <w:b/>
      <w:bCs/>
      <w:szCs w:val="21"/>
    </w:rPr>
  </w:style>
  <w:style w:type="paragraph" w:customStyle="1" w:styleId="83">
    <w:name w:val="样式9"/>
    <w:basedOn w:val="1"/>
    <w:qFormat/>
    <w:uiPriority w:val="0"/>
    <w:pPr>
      <w:adjustRightInd w:val="0"/>
      <w:snapToGrid w:val="0"/>
      <w:spacing w:line="460" w:lineRule="exact"/>
      <w:ind w:firstLine="520"/>
    </w:pPr>
    <w:rPr>
      <w:sz w:val="26"/>
      <w:szCs w:val="26"/>
    </w:rPr>
  </w:style>
  <w:style w:type="character" w:customStyle="1" w:styleId="84">
    <w:name w:val="NormalCharacter"/>
    <w:qFormat/>
    <w:uiPriority w:val="0"/>
  </w:style>
  <w:style w:type="character" w:customStyle="1" w:styleId="85">
    <w:name w:val="ref"/>
    <w:basedOn w:val="34"/>
    <w:qFormat/>
    <w:uiPriority w:val="0"/>
  </w:style>
  <w:style w:type="character" w:customStyle="1" w:styleId="86">
    <w:name w:val="正文文本 2 Char"/>
    <w:basedOn w:val="34"/>
    <w:link w:val="27"/>
    <w:qFormat/>
    <w:uiPriority w:val="0"/>
    <w:rPr>
      <w:kern w:val="2"/>
      <w:sz w:val="21"/>
      <w:szCs w:val="24"/>
    </w:rPr>
  </w:style>
  <w:style w:type="paragraph" w:customStyle="1" w:styleId="87">
    <w:name w:val="表文字"/>
    <w:basedOn w:val="1"/>
    <w:link w:val="124"/>
    <w:qFormat/>
    <w:uiPriority w:val="0"/>
    <w:pPr>
      <w:overflowPunct w:val="0"/>
      <w:autoSpaceDE w:val="0"/>
      <w:autoSpaceDN w:val="0"/>
      <w:adjustRightInd w:val="0"/>
      <w:spacing w:line="240" w:lineRule="atLeast"/>
      <w:textAlignment w:val="baseline"/>
    </w:pPr>
    <w:rPr>
      <w:sz w:val="24"/>
      <w:szCs w:val="20"/>
    </w:rPr>
  </w:style>
  <w:style w:type="paragraph" w:customStyle="1" w:styleId="88">
    <w:name w:val="表图标题"/>
    <w:basedOn w:val="1"/>
    <w:next w:val="1"/>
    <w:qFormat/>
    <w:uiPriority w:val="0"/>
    <w:pPr>
      <w:spacing w:line="360" w:lineRule="auto"/>
      <w:jc w:val="center"/>
    </w:pPr>
    <w:rPr>
      <w:rFonts w:eastAsia="黑体"/>
      <w:b/>
      <w:bCs/>
      <w:kern w:val="0"/>
      <w:sz w:val="24"/>
    </w:rPr>
  </w:style>
  <w:style w:type="character" w:customStyle="1" w:styleId="89">
    <w:name w:val="注释标题 Char"/>
    <w:basedOn w:val="34"/>
    <w:link w:val="13"/>
    <w:qFormat/>
    <w:uiPriority w:val="99"/>
    <w:rPr>
      <w:kern w:val="2"/>
      <w:sz w:val="21"/>
      <w:szCs w:val="24"/>
    </w:rPr>
  </w:style>
  <w:style w:type="character" w:customStyle="1" w:styleId="90">
    <w:name w:val="fontstyle01"/>
    <w:basedOn w:val="34"/>
    <w:qFormat/>
    <w:uiPriority w:val="0"/>
    <w:rPr>
      <w:rFonts w:hint="eastAsia" w:ascii="宋体" w:hAnsi="宋体" w:eastAsia="宋体"/>
      <w:color w:val="000000"/>
      <w:sz w:val="24"/>
      <w:szCs w:val="24"/>
    </w:rPr>
  </w:style>
  <w:style w:type="character" w:customStyle="1" w:styleId="91">
    <w:name w:val="fontstyle11"/>
    <w:basedOn w:val="34"/>
    <w:qFormat/>
    <w:uiPriority w:val="0"/>
    <w:rPr>
      <w:rFonts w:hint="eastAsia" w:ascii="TimesNewRomanPSMT" w:hAnsi="TimesNewRomanPSMT" w:eastAsia="TimesNewRomanPSMT"/>
      <w:color w:val="000000"/>
      <w:sz w:val="24"/>
      <w:szCs w:val="24"/>
    </w:rPr>
  </w:style>
  <w:style w:type="character" w:customStyle="1" w:styleId="92">
    <w:name w:val="fontstyle21"/>
    <w:basedOn w:val="34"/>
    <w:qFormat/>
    <w:uiPriority w:val="0"/>
    <w:rPr>
      <w:rFonts w:hint="eastAsia" w:ascii="TimesNewRomanPSMT" w:hAnsi="TimesNewRomanPSMT" w:eastAsia="TimesNewRomanPSMT"/>
      <w:color w:val="000000"/>
      <w:sz w:val="24"/>
      <w:szCs w:val="24"/>
    </w:rPr>
  </w:style>
  <w:style w:type="paragraph" w:customStyle="1" w:styleId="93">
    <w:name w:val="四级条标题"/>
    <w:basedOn w:val="1"/>
    <w:next w:val="1"/>
    <w:qFormat/>
    <w:uiPriority w:val="0"/>
    <w:pPr>
      <w:widowControl/>
      <w:tabs>
        <w:tab w:val="left" w:pos="360"/>
      </w:tabs>
      <w:outlineLvl w:val="5"/>
    </w:pPr>
    <w:rPr>
      <w:rFonts w:ascii="黑体" w:eastAsia="黑体"/>
      <w:b/>
      <w:bCs/>
      <w:kern w:val="0"/>
      <w:sz w:val="32"/>
      <w:szCs w:val="20"/>
    </w:rPr>
  </w:style>
  <w:style w:type="paragraph" w:customStyle="1" w:styleId="94">
    <w:name w:val="样式6565656"/>
    <w:basedOn w:val="1"/>
    <w:link w:val="95"/>
    <w:qFormat/>
    <w:uiPriority w:val="0"/>
    <w:pPr>
      <w:adjustRightInd w:val="0"/>
      <w:snapToGrid w:val="0"/>
      <w:spacing w:line="460" w:lineRule="atLeast"/>
      <w:ind w:firstLine="480" w:firstLineChars="200"/>
      <w:jc w:val="left"/>
    </w:pPr>
    <w:rPr>
      <w:rFonts w:hAnsi="宋体"/>
      <w:bCs/>
      <w:sz w:val="24"/>
    </w:rPr>
  </w:style>
  <w:style w:type="character" w:customStyle="1" w:styleId="95">
    <w:name w:val="样式6565656 Char"/>
    <w:link w:val="94"/>
    <w:qFormat/>
    <w:uiPriority w:val="0"/>
    <w:rPr>
      <w:rFonts w:hAnsi="宋体"/>
      <w:bCs/>
      <w:kern w:val="2"/>
      <w:sz w:val="24"/>
      <w:szCs w:val="24"/>
    </w:rPr>
  </w:style>
  <w:style w:type="paragraph" w:customStyle="1" w:styleId="96">
    <w:name w:val="正本文字"/>
    <w:basedOn w:val="1"/>
    <w:qFormat/>
    <w:uiPriority w:val="0"/>
    <w:pPr>
      <w:adjustRightInd w:val="0"/>
      <w:snapToGrid w:val="0"/>
      <w:spacing w:line="360" w:lineRule="auto"/>
      <w:ind w:firstLine="480" w:firstLineChars="200"/>
      <w:jc w:val="left"/>
    </w:pPr>
    <w:rPr>
      <w:kern w:val="18"/>
      <w:sz w:val="24"/>
      <w:szCs w:val="20"/>
    </w:rPr>
  </w:style>
  <w:style w:type="character" w:customStyle="1" w:styleId="97">
    <w:name w:val="content1"/>
    <w:qFormat/>
    <w:uiPriority w:val="0"/>
    <w:rPr>
      <w:color w:val="000000"/>
      <w:sz w:val="20"/>
      <w:szCs w:val="20"/>
    </w:rPr>
  </w:style>
  <w:style w:type="paragraph" w:customStyle="1" w:styleId="98">
    <w:name w:val="YH正文"/>
    <w:basedOn w:val="1"/>
    <w:qFormat/>
    <w:uiPriority w:val="0"/>
    <w:pPr>
      <w:snapToGrid w:val="0"/>
      <w:spacing w:line="360" w:lineRule="auto"/>
      <w:ind w:firstLine="1044" w:firstLineChars="200"/>
    </w:pPr>
    <w:rPr>
      <w:sz w:val="24"/>
    </w:rPr>
  </w:style>
  <w:style w:type="paragraph" w:customStyle="1" w:styleId="99">
    <w:name w:val="BG"/>
    <w:basedOn w:val="1"/>
    <w:unhideWhenUsed/>
    <w:qFormat/>
    <w:uiPriority w:val="99"/>
    <w:pPr>
      <w:snapToGrid w:val="0"/>
      <w:jc w:val="center"/>
    </w:pPr>
  </w:style>
  <w:style w:type="paragraph" w:customStyle="1" w:styleId="100">
    <w:name w:val="报告正文"/>
    <w:basedOn w:val="1"/>
    <w:qFormat/>
    <w:uiPriority w:val="0"/>
    <w:pPr>
      <w:spacing w:line="480" w:lineRule="exact"/>
      <w:ind w:firstLine="200" w:firstLineChars="200"/>
    </w:pPr>
    <w:rPr>
      <w:sz w:val="24"/>
    </w:rPr>
  </w:style>
  <w:style w:type="paragraph" w:customStyle="1" w:styleId="101">
    <w:name w:val="ENFI图表标题"/>
    <w:basedOn w:val="1"/>
    <w:qFormat/>
    <w:uiPriority w:val="0"/>
    <w:pPr>
      <w:widowControl/>
      <w:adjustRightInd w:val="0"/>
      <w:snapToGrid w:val="0"/>
      <w:spacing w:before="120" w:line="240" w:lineRule="atLeast"/>
      <w:jc w:val="center"/>
    </w:pPr>
    <w:rPr>
      <w:rFonts w:eastAsia="仿宋_GB2312"/>
      <w:b/>
      <w:kern w:val="0"/>
      <w:sz w:val="28"/>
    </w:rPr>
  </w:style>
  <w:style w:type="paragraph" w:customStyle="1" w:styleId="102">
    <w:name w:val="表格文字小五"/>
    <w:basedOn w:val="87"/>
    <w:qFormat/>
    <w:uiPriority w:val="0"/>
    <w:pPr>
      <w:jc w:val="center"/>
    </w:pPr>
    <w:rPr>
      <w:rFonts w:asciiTheme="minorHAnsi" w:hAnsiTheme="minorHAnsi" w:eastAsiaTheme="minorEastAsia" w:cstheme="minorBidi"/>
      <w:sz w:val="18"/>
      <w:szCs w:val="18"/>
    </w:rPr>
  </w:style>
  <w:style w:type="character" w:customStyle="1" w:styleId="103">
    <w:name w:val="ENFI正文 Char Char"/>
    <w:link w:val="56"/>
    <w:qFormat/>
    <w:uiPriority w:val="0"/>
    <w:rPr>
      <w:rFonts w:eastAsia="仿宋_GB2312"/>
      <w:color w:val="000000"/>
      <w:kern w:val="2"/>
      <w:sz w:val="24"/>
      <w:szCs w:val="22"/>
    </w:rPr>
  </w:style>
  <w:style w:type="paragraph" w:customStyle="1" w:styleId="104">
    <w:name w:val="环评正文文字"/>
    <w:basedOn w:val="1"/>
    <w:link w:val="105"/>
    <w:qFormat/>
    <w:uiPriority w:val="0"/>
    <w:pPr>
      <w:spacing w:line="360" w:lineRule="auto"/>
      <w:ind w:firstLine="480" w:firstLineChars="200"/>
    </w:pPr>
    <w:rPr>
      <w:kern w:val="0"/>
      <w:sz w:val="24"/>
      <w:szCs w:val="20"/>
    </w:rPr>
  </w:style>
  <w:style w:type="character" w:customStyle="1" w:styleId="105">
    <w:name w:val="环评正文文字 Char"/>
    <w:basedOn w:val="34"/>
    <w:link w:val="104"/>
    <w:qFormat/>
    <w:uiPriority w:val="0"/>
    <w:rPr>
      <w:sz w:val="24"/>
    </w:rPr>
  </w:style>
  <w:style w:type="paragraph" w:customStyle="1" w:styleId="106">
    <w:name w:val="正文 首行缩进:  2 字符"/>
    <w:basedOn w:val="1"/>
    <w:qFormat/>
    <w:uiPriority w:val="0"/>
    <w:pPr>
      <w:suppressAutoHyphens/>
      <w:ind w:firstLine="579" w:firstLineChars="200"/>
    </w:pPr>
    <w:rPr>
      <w:rFonts w:cs="宋体"/>
      <w:kern w:val="1"/>
      <w:lang w:eastAsia="ar-SA"/>
    </w:rPr>
  </w:style>
  <w:style w:type="paragraph" w:customStyle="1" w:styleId="107">
    <w:name w:val="7表格文字"/>
    <w:basedOn w:val="1"/>
    <w:link w:val="114"/>
    <w:qFormat/>
    <w:uiPriority w:val="0"/>
    <w:pPr>
      <w:jc w:val="center"/>
    </w:pPr>
    <w:rPr>
      <w:color w:val="000000"/>
    </w:rPr>
  </w:style>
  <w:style w:type="character" w:customStyle="1" w:styleId="108">
    <w:name w:val="keyword"/>
    <w:basedOn w:val="34"/>
    <w:qFormat/>
    <w:uiPriority w:val="0"/>
  </w:style>
  <w:style w:type="paragraph" w:customStyle="1" w:styleId="109">
    <w:name w:val="HJ-正文"/>
    <w:basedOn w:val="1"/>
    <w:qFormat/>
    <w:uiPriority w:val="0"/>
    <w:pPr>
      <w:spacing w:line="360" w:lineRule="auto"/>
      <w:ind w:firstLine="480" w:firstLineChars="200"/>
    </w:pPr>
    <w:rPr>
      <w:sz w:val="24"/>
    </w:rPr>
  </w:style>
  <w:style w:type="paragraph" w:customStyle="1" w:styleId="110">
    <w:name w:val="ZH表格内字体"/>
    <w:basedOn w:val="1"/>
    <w:qFormat/>
    <w:uiPriority w:val="0"/>
    <w:pPr>
      <w:jc w:val="center"/>
    </w:pPr>
    <w:rPr>
      <w:rFonts w:eastAsia="Times New Roman"/>
      <w:szCs w:val="21"/>
    </w:rPr>
  </w:style>
  <w:style w:type="paragraph" w:customStyle="1" w:styleId="111">
    <w:name w:val="ZH表头"/>
    <w:basedOn w:val="1"/>
    <w:qFormat/>
    <w:uiPriority w:val="0"/>
    <w:pPr>
      <w:spacing w:beforeLines="50" w:line="360" w:lineRule="auto"/>
      <w:jc w:val="center"/>
    </w:pPr>
    <w:rPr>
      <w:b/>
    </w:rPr>
  </w:style>
  <w:style w:type="character" w:customStyle="1" w:styleId="112">
    <w:name w:val="font31"/>
    <w:basedOn w:val="34"/>
    <w:autoRedefine/>
    <w:qFormat/>
    <w:uiPriority w:val="0"/>
    <w:rPr>
      <w:rFonts w:hint="eastAsia" w:ascii="宋体" w:hAnsi="宋体" w:eastAsia="宋体" w:cs="宋体"/>
      <w:color w:val="000000"/>
      <w:sz w:val="21"/>
      <w:szCs w:val="21"/>
      <w:u w:val="none"/>
    </w:rPr>
  </w:style>
  <w:style w:type="character" w:customStyle="1" w:styleId="113">
    <w:name w:val="font01"/>
    <w:basedOn w:val="34"/>
    <w:qFormat/>
    <w:uiPriority w:val="0"/>
    <w:rPr>
      <w:rFonts w:hint="eastAsia" w:ascii="宋体" w:hAnsi="宋体" w:eastAsia="宋体"/>
      <w:color w:val="000000"/>
      <w:sz w:val="24"/>
      <w:szCs w:val="24"/>
      <w:u w:val="none"/>
    </w:rPr>
  </w:style>
  <w:style w:type="character" w:customStyle="1" w:styleId="114">
    <w:name w:val="7表格文字 Char"/>
    <w:link w:val="107"/>
    <w:qFormat/>
    <w:uiPriority w:val="0"/>
    <w:rPr>
      <w:color w:val="000000"/>
      <w:kern w:val="2"/>
      <w:sz w:val="21"/>
      <w:szCs w:val="24"/>
    </w:rPr>
  </w:style>
  <w:style w:type="character" w:customStyle="1" w:styleId="115">
    <w:name w:val="font11"/>
    <w:basedOn w:val="34"/>
    <w:qFormat/>
    <w:uiPriority w:val="0"/>
    <w:rPr>
      <w:rFonts w:hint="eastAsia" w:ascii="宋体" w:hAnsi="宋体" w:eastAsia="宋体"/>
      <w:color w:val="000000"/>
      <w:sz w:val="24"/>
      <w:szCs w:val="24"/>
      <w:u w:val="none"/>
    </w:rPr>
  </w:style>
  <w:style w:type="character" w:customStyle="1" w:styleId="116">
    <w:name w:val="font21"/>
    <w:basedOn w:val="34"/>
    <w:qFormat/>
    <w:uiPriority w:val="0"/>
    <w:rPr>
      <w:rFonts w:hint="default" w:ascii="Times New Roman" w:hAnsi="Times New Roman" w:cs="Times New Roman"/>
      <w:color w:val="000000"/>
      <w:sz w:val="24"/>
      <w:szCs w:val="24"/>
      <w:u w:val="none"/>
    </w:rPr>
  </w:style>
  <w:style w:type="paragraph" w:customStyle="1" w:styleId="117">
    <w:name w:val="默认段落字体 Para Char Char Char Char"/>
    <w:basedOn w:val="1"/>
    <w:qFormat/>
    <w:uiPriority w:val="0"/>
    <w:rPr>
      <w:sz w:val="24"/>
    </w:rPr>
  </w:style>
  <w:style w:type="paragraph" w:styleId="118">
    <w:name w:val="No Spacing"/>
    <w:qFormat/>
    <w:uiPriority w:val="0"/>
    <w:pPr>
      <w:widowControl w:val="0"/>
      <w:adjustRightInd w:val="0"/>
      <w:snapToGrid w:val="0"/>
      <w:ind w:firstLine="200" w:firstLineChars="200"/>
      <w:jc w:val="both"/>
    </w:pPr>
    <w:rPr>
      <w:rFonts w:ascii="Times New Roman" w:hAnsi="Times New Roman" w:eastAsia="仿宋_GB2312" w:cs="黑体"/>
      <w:kern w:val="2"/>
      <w:sz w:val="32"/>
      <w:szCs w:val="22"/>
      <w:lang w:val="en-US" w:eastAsia="zh-CN" w:bidi="ar-SA"/>
    </w:rPr>
  </w:style>
  <w:style w:type="paragraph" w:customStyle="1" w:styleId="119">
    <w:name w:val="正文内容"/>
    <w:basedOn w:val="5"/>
    <w:qFormat/>
    <w:uiPriority w:val="0"/>
    <w:pPr>
      <w:spacing w:beforeLines="50" w:afterLines="50" w:line="360" w:lineRule="auto"/>
      <w:ind w:left="0" w:leftChars="0" w:firstLine="480" w:firstLineChars="200"/>
    </w:pPr>
    <w:rPr>
      <w:kern w:val="2"/>
      <w:szCs w:val="24"/>
    </w:rPr>
  </w:style>
  <w:style w:type="paragraph" w:customStyle="1" w:styleId="120">
    <w:name w:val="T表格字体"/>
    <w:basedOn w:val="1"/>
    <w:qFormat/>
    <w:uiPriority w:val="0"/>
    <w:pPr>
      <w:adjustRightInd w:val="0"/>
      <w:snapToGrid w:val="0"/>
      <w:spacing w:beforeLines="20" w:line="300" w:lineRule="auto"/>
      <w:jc w:val="center"/>
    </w:pPr>
    <w:rPr>
      <w:kern w:val="0"/>
    </w:rPr>
  </w:style>
  <w:style w:type="character" w:customStyle="1" w:styleId="121">
    <w:name w:val="正文缩进 Char1"/>
    <w:basedOn w:val="34"/>
    <w:qFormat/>
    <w:uiPriority w:val="0"/>
    <w:rPr>
      <w:rFonts w:ascii="Times New Roman" w:hAnsi="Times New Roman" w:eastAsia="宋体" w:cs="Times New Roman"/>
    </w:rPr>
  </w:style>
  <w:style w:type="paragraph" w:customStyle="1" w:styleId="122">
    <w:name w:val="正文文本 全"/>
    <w:qFormat/>
    <w:uiPriority w:val="0"/>
    <w:pPr>
      <w:snapToGrid w:val="0"/>
      <w:spacing w:before="100" w:beforeAutospacing="1" w:line="360" w:lineRule="auto"/>
      <w:ind w:firstLine="200" w:firstLineChars="200"/>
      <w:jc w:val="both"/>
    </w:pPr>
    <w:rPr>
      <w:rFonts w:ascii="Times New Roman" w:hAnsi="Times New Roman" w:eastAsia="宋体" w:cs="Times New Roman"/>
      <w:sz w:val="21"/>
      <w:szCs w:val="21"/>
      <w:lang w:val="en-US" w:eastAsia="zh-CN" w:bidi="ar-SA"/>
    </w:rPr>
  </w:style>
  <w:style w:type="paragraph" w:customStyle="1" w:styleId="123">
    <w:name w:val="三级标题"/>
    <w:basedOn w:val="1"/>
    <w:next w:val="4"/>
    <w:semiHidden/>
    <w:qFormat/>
    <w:uiPriority w:val="0"/>
    <w:pPr>
      <w:adjustRightInd w:val="0"/>
      <w:snapToGrid w:val="0"/>
      <w:jc w:val="center"/>
    </w:pPr>
    <w:rPr>
      <w:bCs/>
      <w:szCs w:val="21"/>
    </w:rPr>
  </w:style>
  <w:style w:type="character" w:customStyle="1" w:styleId="124">
    <w:name w:val="表文字 Char"/>
    <w:link w:val="87"/>
    <w:qFormat/>
    <w:uiPriority w:val="0"/>
    <w:rPr>
      <w:kern w:val="2"/>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package" Target="embeddings/Microsoft_Visio___1.vsdx"/><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image" Target="media/image14.png"/><Relationship Id="rId27" Type="http://schemas.openxmlformats.org/officeDocument/2006/relationships/package" Target="embeddings/Microsoft_Visio___7.vsdx"/><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emf"/><Relationship Id="rId20" Type="http://schemas.openxmlformats.org/officeDocument/2006/relationships/package" Target="embeddings/Microsoft_Visio___6.vsdx"/><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Microsoft_Visio_2003-2010___5.vsd"/><Relationship Id="rId17" Type="http://schemas.openxmlformats.org/officeDocument/2006/relationships/image" Target="media/image6.emf"/><Relationship Id="rId16" Type="http://schemas.openxmlformats.org/officeDocument/2006/relationships/oleObject" Target="embeddings/Microsoft_Visio_2003-2010___4.vsd"/><Relationship Id="rId15" Type="http://schemas.openxmlformats.org/officeDocument/2006/relationships/image" Target="media/image5.emf"/><Relationship Id="rId14" Type="http://schemas.openxmlformats.org/officeDocument/2006/relationships/package" Target="embeddings/Microsoft_Visio___3.vsdx"/><Relationship Id="rId13" Type="http://schemas.openxmlformats.org/officeDocument/2006/relationships/image" Target="media/image4.emf"/><Relationship Id="rId12" Type="http://schemas.openxmlformats.org/officeDocument/2006/relationships/package" Target="embeddings/Microsoft_Visio___2.vsdx"/><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7DA47-33B0-41F0-8AE3-6939C2A0F92F}">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76</Pages>
  <Words>365</Words>
  <Characters>398</Characters>
  <Lines>411</Lines>
  <Paragraphs>115</Paragraphs>
  <TotalTime>3856</TotalTime>
  <ScaleCrop>false</ScaleCrop>
  <LinksUpToDate>false</LinksUpToDate>
  <CharactersWithSpaces>475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2024-09-11T07:07:00Z</dcterms:created>
  <dc:creator>lhj</dc:creator>
  <cp:lastModifiedBy>tsq太神奇那</cp:lastModifiedBy>
  <cp:lastPrinted>2024-09-20T03:15:00Z</cp:lastPrinted>
  <dcterms:modified xsi:type="dcterms:W3CDTF">2025-07-20T19:59:18Z</dcterms:modified>
  <dc:title>附件2</dc:title>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56C475006FD34439954493A6C251FF9F_12</vt:lpwstr>
  </property>
  <property fmtid="{D5CDD505-2E9C-101B-9397-08002B2CF9AE}" pid="4" name="KSOTemplateDocerSaveRecord">
    <vt:lpwstr>eyJoZGlkIjoiZGFmZTVlODk3NjQ0MDgwMmM4ZWY3NDg2MDZlNGUwNTUiLCJ1c2VySWQiOiI0MTY1OTcxODgifQ==</vt:lpwstr>
  </property>
</Properties>
</file>