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40FF0">
      <w:pPr>
        <w:ind w:firstLine="562" w:firstLineChars="200"/>
        <w:jc w:val="center"/>
        <w:rPr>
          <w:rFonts w:hint="eastAsia" w:asciiTheme="majorEastAsia" w:hAnsiTheme="majorEastAsia" w:eastAsiaTheme="majorEastAsia" w:cstheme="majorEastAsia"/>
          <w:b/>
          <w:bCs w:val="0"/>
          <w:sz w:val="28"/>
          <w:szCs w:val="28"/>
        </w:rPr>
      </w:pPr>
      <w:r>
        <w:rPr>
          <w:rFonts w:hint="eastAsia" w:asciiTheme="majorEastAsia" w:hAnsiTheme="majorEastAsia" w:eastAsiaTheme="majorEastAsia" w:cstheme="majorEastAsia"/>
          <w:b/>
          <w:bCs w:val="0"/>
          <w:sz w:val="28"/>
          <w:szCs w:val="28"/>
        </w:rPr>
        <w:t>202</w:t>
      </w:r>
      <w:r>
        <w:rPr>
          <w:rFonts w:hint="eastAsia" w:asciiTheme="majorEastAsia" w:hAnsiTheme="majorEastAsia" w:eastAsiaTheme="majorEastAsia" w:cstheme="majorEastAsia"/>
          <w:b/>
          <w:bCs w:val="0"/>
          <w:sz w:val="28"/>
          <w:szCs w:val="28"/>
          <w:lang w:val="en-US" w:eastAsia="zh-CN"/>
        </w:rPr>
        <w:t>4</w:t>
      </w:r>
      <w:r>
        <w:rPr>
          <w:rFonts w:hint="eastAsia" w:asciiTheme="majorEastAsia" w:hAnsiTheme="majorEastAsia" w:eastAsiaTheme="majorEastAsia" w:cstheme="majorEastAsia"/>
          <w:b/>
          <w:bCs w:val="0"/>
          <w:sz w:val="28"/>
          <w:szCs w:val="28"/>
        </w:rPr>
        <w:t>年</w:t>
      </w:r>
      <w:r>
        <w:rPr>
          <w:rFonts w:hint="eastAsia" w:asciiTheme="majorEastAsia" w:hAnsiTheme="majorEastAsia" w:eastAsiaTheme="majorEastAsia" w:cstheme="majorEastAsia"/>
          <w:b/>
          <w:bCs w:val="0"/>
          <w:sz w:val="28"/>
          <w:szCs w:val="28"/>
          <w:lang w:val="en-US" w:eastAsia="zh-CN"/>
        </w:rPr>
        <w:t>蒸湘</w:t>
      </w:r>
      <w:r>
        <w:rPr>
          <w:rFonts w:hint="eastAsia" w:asciiTheme="majorEastAsia" w:hAnsiTheme="majorEastAsia" w:eastAsiaTheme="majorEastAsia" w:cstheme="majorEastAsia"/>
          <w:b/>
          <w:bCs w:val="0"/>
          <w:i w:val="0"/>
          <w:caps w:val="0"/>
          <w:color w:val="333333"/>
          <w:spacing w:val="0"/>
          <w:sz w:val="28"/>
          <w:szCs w:val="28"/>
          <w:lang w:val="en-US" w:eastAsia="zh-CN"/>
        </w:rPr>
        <w:t>区库区移民农业实用技术培训</w:t>
      </w:r>
      <w:r>
        <w:rPr>
          <w:rFonts w:hint="eastAsia" w:asciiTheme="majorEastAsia" w:hAnsiTheme="majorEastAsia" w:eastAsiaTheme="majorEastAsia" w:cstheme="majorEastAsia"/>
          <w:b/>
          <w:bCs w:val="0"/>
          <w:sz w:val="28"/>
          <w:szCs w:val="28"/>
        </w:rPr>
        <w:t>项目实施方案</w:t>
      </w:r>
    </w:p>
    <w:p w14:paraId="572CF8A1">
      <w:p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随着库区建设和发展，移民安置成为重要工作。为了提高库区移民的生产生活水平，增加收入来源，结合当地自然条件和市场需求，开展农业养殖技术培训项目具有重要意义，根据《水利部关于进一步做好大中型水库移民后期扶持工作的通知》(水移民[2018]208号)和《财政部 水利部关于印发《大中型水库移民后期扶持项目资金管理办法》的通知》(财农[2022]1号)和《人力资源社会保障部 教育部 发展改革委 财政部关于印发“十四五”职业技能培训规划的通知》(人社部发[2021]102号)等文件精神，蒸湘区水利局决定与湖南众禾职业培训学校有限公司联合举办一期农业实用技术培训班，具体实施方案如下：</w:t>
      </w:r>
    </w:p>
    <w:p w14:paraId="472844F9">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rPr>
        <w:t>、</w:t>
      </w:r>
      <w:r>
        <w:rPr>
          <w:rFonts w:hint="eastAsia" w:asciiTheme="minorEastAsia" w:hAnsiTheme="minorEastAsia" w:cstheme="minorEastAsia"/>
          <w:b/>
          <w:bCs/>
          <w:sz w:val="24"/>
          <w:szCs w:val="24"/>
          <w:lang w:val="en-US" w:eastAsia="zh-CN"/>
        </w:rPr>
        <w:t>培训</w:t>
      </w:r>
      <w:r>
        <w:rPr>
          <w:rFonts w:hint="eastAsia" w:asciiTheme="minorEastAsia" w:hAnsiTheme="minorEastAsia" w:eastAsiaTheme="minorEastAsia" w:cstheme="minorEastAsia"/>
          <w:b/>
          <w:bCs/>
          <w:sz w:val="24"/>
          <w:szCs w:val="24"/>
        </w:rPr>
        <w:t>目标</w:t>
      </w:r>
      <w:r>
        <w:rPr>
          <w:rFonts w:hint="eastAsia" w:asciiTheme="minorEastAsia" w:hAnsiTheme="minorEastAsia" w:eastAsiaTheme="minorEastAsia" w:cstheme="minorEastAsia"/>
          <w:sz w:val="24"/>
          <w:szCs w:val="24"/>
        </w:rPr>
        <w:t xml:space="preserve"> </w:t>
      </w:r>
    </w:p>
    <w:p w14:paraId="1488F858">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提升库区移民的</w:t>
      </w:r>
      <w:r>
        <w:rPr>
          <w:rFonts w:hint="eastAsia" w:ascii="宋体" w:hAnsi="宋体" w:eastAsia="宋体" w:cs="宋体"/>
          <w:b w:val="0"/>
          <w:bCs w:val="0"/>
          <w:sz w:val="24"/>
          <w:szCs w:val="24"/>
          <w:lang w:val="en-US" w:eastAsia="zh-CN"/>
        </w:rPr>
        <w:t>农业养殖技术</w:t>
      </w:r>
      <w:r>
        <w:rPr>
          <w:rFonts w:hint="eastAsia" w:asciiTheme="minorEastAsia" w:hAnsiTheme="minorEastAsia" w:eastAsiaTheme="minorEastAsia" w:cstheme="minorEastAsia"/>
          <w:sz w:val="24"/>
          <w:szCs w:val="24"/>
        </w:rPr>
        <w:t>水平，增加</w:t>
      </w:r>
      <w:r>
        <w:rPr>
          <w:rFonts w:hint="eastAsia" w:ascii="宋体" w:hAnsi="宋体" w:eastAsia="宋体" w:cs="宋体"/>
          <w:b w:val="0"/>
          <w:bCs w:val="0"/>
          <w:sz w:val="24"/>
          <w:szCs w:val="24"/>
          <w:lang w:val="en-US" w:eastAsia="zh-CN"/>
        </w:rPr>
        <w:t>农业养殖</w:t>
      </w:r>
      <w:r>
        <w:rPr>
          <w:rFonts w:hint="eastAsia" w:asciiTheme="minorEastAsia" w:hAnsiTheme="minorEastAsia" w:eastAsiaTheme="minorEastAsia" w:cstheme="minorEastAsia"/>
          <w:sz w:val="24"/>
          <w:szCs w:val="24"/>
        </w:rPr>
        <w:t>的产量和质量。</w:t>
      </w:r>
    </w:p>
    <w:p w14:paraId="207EBBB5">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培养一批具有一定专业知识和实践技能的</w:t>
      </w:r>
      <w:r>
        <w:rPr>
          <w:rFonts w:hint="eastAsia" w:asciiTheme="minorEastAsia" w:hAnsiTheme="minorEastAsia" w:cstheme="minorEastAsia"/>
          <w:sz w:val="24"/>
          <w:szCs w:val="24"/>
          <w:lang w:val="en-US" w:eastAsia="zh-CN"/>
        </w:rPr>
        <w:t>养殖</w:t>
      </w:r>
      <w:r>
        <w:rPr>
          <w:rFonts w:hint="eastAsia" w:asciiTheme="minorEastAsia" w:hAnsiTheme="minorEastAsia" w:eastAsiaTheme="minorEastAsia" w:cstheme="minorEastAsia"/>
          <w:sz w:val="24"/>
          <w:szCs w:val="24"/>
        </w:rPr>
        <w:t>户，带动周边移民共同发展</w:t>
      </w:r>
      <w:r>
        <w:rPr>
          <w:rFonts w:hint="eastAsia" w:asciiTheme="minorEastAsia" w:hAnsiTheme="minorEastAsia" w:cstheme="minorEastAsia"/>
          <w:sz w:val="24"/>
          <w:szCs w:val="24"/>
          <w:lang w:val="en-US" w:eastAsia="zh-CN"/>
        </w:rPr>
        <w:t>农业养殖</w:t>
      </w:r>
      <w:r>
        <w:rPr>
          <w:rFonts w:hint="eastAsia" w:asciiTheme="minorEastAsia" w:hAnsiTheme="minorEastAsia" w:eastAsiaTheme="minorEastAsia" w:cstheme="minorEastAsia"/>
          <w:sz w:val="24"/>
          <w:szCs w:val="24"/>
        </w:rPr>
        <w:t>产业。</w:t>
      </w:r>
    </w:p>
    <w:p w14:paraId="24DEFFEE">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促进库区移民增收，推动库区经济发展。 </w:t>
      </w:r>
    </w:p>
    <w:p w14:paraId="683EF677">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rPr>
        <w:t>、培训对象</w:t>
      </w:r>
    </w:p>
    <w:p w14:paraId="2A8A27FC">
      <w:pPr>
        <w:numPr>
          <w:ilvl w:val="0"/>
          <w:numId w:val="0"/>
        </w:numPr>
        <w:spacing w:line="440" w:lineRule="exact"/>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年龄在18-65周岁的蒸湘区户籍范围内有意愿从事农业养殖技术的库区移民。要求学员具备一定的农业养殖基础知识和劳动能力，对农业养殖技术有浓厚兴趣和学习意愿，具备积极主动的学习态度。能够遵守培训的规章制度，按时参加课程和实践活动。</w:t>
      </w:r>
    </w:p>
    <w:p w14:paraId="5EE263B1">
      <w:pPr>
        <w:spacing w:line="360" w:lineRule="auto"/>
        <w:jc w:val="left"/>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三、培训要求
</w:t>
      </w:r>
    </w:p>
    <w:p w14:paraId="60F01260">
      <w:pPr>
        <w:numPr>
          <w:ilvl w:val="0"/>
          <w:numId w:val="0"/>
        </w:numPr>
        <w:spacing w:line="360" w:lineRule="auto"/>
        <w:ind w:left="280"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通过本次培训，要求学员能够掌握</w:t>
      </w:r>
      <w:r>
        <w:rPr>
          <w:rFonts w:hint="default" w:ascii="宋体" w:hAnsi="宋体" w:eastAsia="宋体" w:cs="宋体"/>
          <w:b w:val="0"/>
          <w:bCs w:val="0"/>
          <w:sz w:val="24"/>
          <w:szCs w:val="24"/>
          <w:lang w:val="en-US" w:eastAsia="zh-CN"/>
        </w:rPr>
        <w:t>鸡的饲养管理流程，从雏鸡的饮水、喂食、温度控制，到成鸡的饲料配方、日常观察要点。熟知常见鸡病的症状、病因、传播途径及防治方法，包括疫苗接种的时机和种类、卫生消毒的重要性及具体操作。</w:t>
      </w:r>
    </w:p>
    <w:p w14:paraId="27A9086B">
      <w:pPr>
        <w:numPr>
          <w:ilvl w:val="0"/>
          <w:numId w:val="0"/>
        </w:numPr>
        <w:spacing w:line="360" w:lineRule="auto"/>
        <w:ind w:left="280" w:leftChars="0" w:firstLine="480" w:firstLineChars="200"/>
        <w:rPr>
          <w:rFonts w:hint="eastAsia"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掌握水质管理的各项指标及调控方法，包括溶解氧、酸碱度、氨氮等指标的合理范围及调节手段。了解常见鱼病的诊断与治疗，能够识别鱼病的早期症状并采取相应防治措施。</w:t>
      </w:r>
    </w:p>
    <w:p w14:paraId="679EC9FB">
      <w:pPr>
        <w:numPr>
          <w:ilvl w:val="0"/>
          <w:numId w:val="0"/>
        </w:numPr>
        <w:spacing w:line="360" w:lineRule="auto"/>
        <w:rPr>
          <w:rFonts w:hint="eastAsia" w:ascii="宋体" w:hAnsi="宋体" w:eastAsia="宋体" w:cs="宋体"/>
          <w:b w:val="0"/>
          <w:bCs w:val="0"/>
          <w:sz w:val="28"/>
          <w:szCs w:val="28"/>
        </w:rPr>
      </w:pPr>
      <w:r>
        <w:rPr>
          <w:rFonts w:hint="eastAsia" w:asciiTheme="minorEastAsia" w:hAnsiTheme="minorEastAsia" w:cstheme="minorEastAsia"/>
          <w:b/>
          <w:bCs/>
          <w:sz w:val="24"/>
          <w:szCs w:val="24"/>
          <w:lang w:val="en-US" w:eastAsia="zh-CN"/>
        </w:rPr>
        <w:t>四、培训方式
</w:t>
      </w:r>
    </w:p>
    <w:p w14:paraId="7F24775E">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本次培训采用理论与实践相结合的全线下培训模式。</w:t>
      </w:r>
      <w:r>
        <w:rPr>
          <w:rFonts w:hint="eastAsia" w:ascii="宋体" w:hAnsi="宋体" w:eastAsia="宋体" w:cs="宋体"/>
          <w:b w:val="0"/>
          <w:bCs w:val="0"/>
          <w:sz w:val="24"/>
          <w:szCs w:val="24"/>
          <w:lang w:val="en-US" w:eastAsia="zh-CN"/>
        </w:rPr>
        <w:br w:type="textWrapping"/>
      </w:r>
      <w:r>
        <w:rPr>
          <w:rFonts w:hint="eastAsia" w:ascii="宋体" w:hAnsi="宋体" w:eastAsia="宋体" w:cs="宋体"/>
          <w:b w:val="0"/>
          <w:bCs w:val="0"/>
          <w:sz w:val="24"/>
          <w:szCs w:val="24"/>
          <w:lang w:val="en-US" w:eastAsia="zh-CN"/>
        </w:rPr>
        <w:t>　　1、培训期间，组织学员进行现场技能训练，加强学员对相关知识与技能的认识、理解与掌握。
</w:t>
      </w:r>
      <w:r>
        <w:rPr>
          <w:rFonts w:hint="eastAsia" w:ascii="宋体" w:hAnsi="宋体" w:eastAsia="宋体" w:cs="宋体"/>
          <w:b w:val="0"/>
          <w:bCs w:val="0"/>
          <w:sz w:val="24"/>
          <w:szCs w:val="24"/>
          <w:lang w:val="en-US" w:eastAsia="zh-CN"/>
        </w:rPr>
        <w:br w:type="textWrapping"/>
      </w:r>
      <w:r>
        <w:rPr>
          <w:rFonts w:hint="eastAsia" w:ascii="宋体" w:hAnsi="宋体" w:eastAsia="宋体" w:cs="宋体"/>
          <w:b w:val="0"/>
          <w:bCs w:val="0"/>
          <w:sz w:val="24"/>
          <w:szCs w:val="24"/>
          <w:lang w:val="en-US" w:eastAsia="zh-CN"/>
        </w:rPr>
        <w:t>　　2、理论教学与情景模拟教学相结合。</w:t>
      </w:r>
    </w:p>
    <w:p w14:paraId="53B45FF0">
      <w:pPr>
        <w:numPr>
          <w:ilvl w:val="0"/>
          <w:numId w:val="0"/>
        </w:numPr>
        <w:spacing w:line="360" w:lineRule="auto"/>
        <w:ind w:left="280"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理论教学与穿插案例相结合。
</w:t>
      </w:r>
    </w:p>
    <w:p w14:paraId="029B9336">
      <w:pPr>
        <w:numPr>
          <w:ilvl w:val="0"/>
          <w:numId w:val="0"/>
        </w:numPr>
        <w:spacing w:line="360" w:lineRule="auto"/>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五、培训时间及地点</w:t>
      </w:r>
    </w:p>
    <w:p w14:paraId="08849DC6">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时间：2024年10月17日-18日，2天共12个课时。</w:t>
      </w:r>
    </w:p>
    <w:p w14:paraId="4F30B07E">
      <w:pPr>
        <w:numPr>
          <w:ilvl w:val="0"/>
          <w:numId w:val="0"/>
        </w:num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地点：待定。</w:t>
      </w:r>
    </w:p>
    <w:p w14:paraId="720690BE">
      <w:pPr>
        <w:numPr>
          <w:ilvl w:val="0"/>
          <w:numId w:val="0"/>
        </w:num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六、培训人数</w:t>
      </w:r>
    </w:p>
    <w:p w14:paraId="367DBC9E">
      <w:p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共 50人。</w:t>
      </w:r>
    </w:p>
    <w:p w14:paraId="56C7B1A5">
      <w:pPr>
        <w:pStyle w:val="3"/>
        <w:rPr>
          <w:rFonts w:hint="default"/>
          <w:lang w:val="en-US" w:eastAsia="zh-CN"/>
        </w:rPr>
      </w:pPr>
      <w:r>
        <w:rPr>
          <w:rFonts w:hint="eastAsia" w:asciiTheme="minorEastAsia" w:hAnsiTheme="minorEastAsia" w:eastAsiaTheme="minorEastAsia" w:cstheme="minorEastAsia"/>
          <w:b/>
          <w:bCs/>
          <w:kern w:val="2"/>
          <w:sz w:val="24"/>
          <w:szCs w:val="24"/>
          <w:lang w:val="en-US" w:eastAsia="zh-CN" w:bidi="ar-SA"/>
        </w:rPr>
        <w:t>七、培训金额：</w:t>
      </w:r>
      <w:r>
        <w:rPr>
          <w:rFonts w:hint="eastAsia" w:ascii="宋体" w:hAnsi="宋体" w:eastAsia="宋体" w:cs="宋体"/>
          <w:b w:val="0"/>
          <w:bCs w:val="0"/>
          <w:sz w:val="24"/>
          <w:szCs w:val="24"/>
          <w:lang w:val="en-US" w:eastAsia="zh-CN"/>
        </w:rPr>
        <w:t>20000元/期。</w:t>
      </w:r>
    </w:p>
    <w:p w14:paraId="59D02314">
      <w:pPr>
        <w:numPr>
          <w:ilvl w:val="0"/>
          <w:numId w:val="0"/>
        </w:numPr>
        <w:spacing w:line="440" w:lineRule="exact"/>
        <w:jc w:val="left"/>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培训</w:t>
      </w:r>
      <w:r>
        <w:rPr>
          <w:rFonts w:hint="eastAsia" w:asciiTheme="minorEastAsia" w:hAnsiTheme="minorEastAsia" w:cstheme="minorEastAsia"/>
          <w:b/>
          <w:bCs/>
          <w:sz w:val="24"/>
          <w:szCs w:val="24"/>
          <w:lang w:val="en-US" w:eastAsia="zh-CN"/>
        </w:rPr>
        <w:t>学校资质</w:t>
      </w:r>
    </w:p>
    <w:p w14:paraId="416F4162">
      <w:pPr>
        <w:pStyle w:val="12"/>
        <w:numPr>
          <w:ilvl w:val="0"/>
          <w:numId w:val="0"/>
        </w:numPr>
        <w:jc w:val="center"/>
        <w:rPr>
          <w:rFonts w:hint="default"/>
          <w:lang w:val="en-US" w:eastAsia="zh-CN"/>
        </w:rPr>
      </w:pPr>
      <w:r>
        <w:rPr>
          <w:rFonts w:hint="default"/>
          <w:lang w:val="en-US" w:eastAsia="zh-CN"/>
        </w:rPr>
        <w:drawing>
          <wp:inline distT="0" distB="0" distL="114300" distR="114300">
            <wp:extent cx="4822190" cy="3493135"/>
            <wp:effectExtent l="0" t="0" r="16510" b="12065"/>
            <wp:docPr id="13" name="图片 13" descr="f06cc1de9200005cb333f3b0fd9bb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06cc1de9200005cb333f3b0fd9bbdbb"/>
                    <pic:cNvPicPr>
                      <a:picLocks noChangeAspect="1"/>
                    </pic:cNvPicPr>
                  </pic:nvPicPr>
                  <pic:blipFill>
                    <a:blip r:embed="rId5"/>
                    <a:stretch>
                      <a:fillRect/>
                    </a:stretch>
                  </pic:blipFill>
                  <pic:spPr>
                    <a:xfrm>
                      <a:off x="0" y="0"/>
                      <a:ext cx="4822190" cy="3493135"/>
                    </a:xfrm>
                    <a:prstGeom prst="rect">
                      <a:avLst/>
                    </a:prstGeom>
                  </pic:spPr>
                </pic:pic>
              </a:graphicData>
            </a:graphic>
          </wp:inline>
        </w:drawing>
      </w:r>
    </w:p>
    <w:p w14:paraId="717D4B6B">
      <w:pPr>
        <w:pStyle w:val="12"/>
        <w:numPr>
          <w:ilvl w:val="0"/>
          <w:numId w:val="0"/>
        </w:numPr>
        <w:jc w:val="both"/>
        <w:rPr>
          <w:rFonts w:hint="eastAsia"/>
          <w:b/>
          <w:bCs/>
          <w:lang w:val="en-US" w:eastAsia="zh-CN"/>
        </w:rPr>
      </w:pPr>
    </w:p>
    <w:p w14:paraId="4BE93E8F">
      <w:pPr>
        <w:pStyle w:val="12"/>
        <w:numPr>
          <w:ilvl w:val="0"/>
          <w:numId w:val="0"/>
        </w:numPr>
        <w:jc w:val="both"/>
        <w:rPr>
          <w:rFonts w:hint="eastAsia"/>
          <w:b/>
          <w:bCs/>
          <w:lang w:val="en-US" w:eastAsia="zh-CN"/>
        </w:rPr>
      </w:pPr>
    </w:p>
    <w:p w14:paraId="07A1F89E">
      <w:pPr>
        <w:pStyle w:val="12"/>
        <w:numPr>
          <w:ilvl w:val="0"/>
          <w:numId w:val="0"/>
        </w:numPr>
        <w:jc w:val="both"/>
        <w:rPr>
          <w:rFonts w:hint="eastAsia"/>
          <w:b/>
          <w:bCs/>
          <w:lang w:val="en-US" w:eastAsia="zh-CN"/>
        </w:rPr>
      </w:pPr>
    </w:p>
    <w:p w14:paraId="24B1047E">
      <w:pPr>
        <w:pStyle w:val="12"/>
        <w:numPr>
          <w:ilvl w:val="0"/>
          <w:numId w:val="0"/>
        </w:numPr>
        <w:jc w:val="both"/>
        <w:rPr>
          <w:rFonts w:hint="eastAsia"/>
          <w:b/>
          <w:bCs/>
          <w:lang w:val="en-US" w:eastAsia="zh-CN"/>
        </w:rPr>
      </w:pPr>
    </w:p>
    <w:p w14:paraId="393950FE">
      <w:pPr>
        <w:pStyle w:val="12"/>
        <w:numPr>
          <w:ilvl w:val="0"/>
          <w:numId w:val="0"/>
        </w:numPr>
        <w:jc w:val="both"/>
        <w:rPr>
          <w:rFonts w:hint="eastAsia"/>
          <w:b/>
          <w:bCs/>
          <w:lang w:val="en-US" w:eastAsia="zh-CN"/>
        </w:rPr>
      </w:pPr>
    </w:p>
    <w:p w14:paraId="38275DFC">
      <w:pPr>
        <w:pStyle w:val="12"/>
        <w:numPr>
          <w:ilvl w:val="0"/>
          <w:numId w:val="0"/>
        </w:numPr>
        <w:jc w:val="both"/>
        <w:rPr>
          <w:rFonts w:hint="eastAsia"/>
          <w:b/>
          <w:bCs/>
          <w:lang w:val="en-US" w:eastAsia="zh-CN"/>
        </w:rPr>
      </w:pPr>
    </w:p>
    <w:p w14:paraId="2013410C">
      <w:pPr>
        <w:pStyle w:val="12"/>
        <w:numPr>
          <w:ilvl w:val="0"/>
          <w:numId w:val="0"/>
        </w:numPr>
        <w:jc w:val="both"/>
        <w:rPr>
          <w:rFonts w:hint="default"/>
          <w:b/>
          <w:bCs/>
          <w:lang w:val="en-US" w:eastAsia="zh-CN"/>
        </w:rPr>
      </w:pPr>
      <w:r>
        <w:rPr>
          <w:rFonts w:hint="eastAsia"/>
          <w:b/>
          <w:bCs/>
          <w:lang w:val="en-US" w:eastAsia="zh-CN"/>
        </w:rPr>
        <w:t>九、培训师资</w:t>
      </w:r>
    </w:p>
    <w:p w14:paraId="5BB39F56">
      <w:pPr>
        <w:rPr>
          <w:rFonts w:hint="eastAsia" w:ascii="宋体" w:hAnsi="宋体" w:eastAsia="宋体" w:cs="宋体"/>
          <w:b/>
          <w:bCs/>
          <w:sz w:val="32"/>
          <w:szCs w:val="32"/>
          <w:lang w:val="en-US" w:eastAsia="zh-CN"/>
        </w:rPr>
      </w:pPr>
      <w:r>
        <w:drawing>
          <wp:anchor distT="0" distB="0" distL="114300" distR="114300" simplePos="0" relativeHeight="251659264" behindDoc="1" locked="0" layoutInCell="1" allowOverlap="1">
            <wp:simplePos x="0" y="0"/>
            <wp:positionH relativeFrom="column">
              <wp:posOffset>247650</wp:posOffset>
            </wp:positionH>
            <wp:positionV relativeFrom="paragraph">
              <wp:posOffset>233045</wp:posOffset>
            </wp:positionV>
            <wp:extent cx="1104900" cy="1494155"/>
            <wp:effectExtent l="0" t="0" r="0" b="10795"/>
            <wp:wrapNone/>
            <wp:docPr id="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pic:cNvPicPr>
                  </pic:nvPicPr>
                  <pic:blipFill>
                    <a:blip r:embed="rId6"/>
                    <a:stretch>
                      <a:fillRect/>
                    </a:stretch>
                  </pic:blipFill>
                  <pic:spPr>
                    <a:xfrm>
                      <a:off x="0" y="0"/>
                      <a:ext cx="1104900" cy="1494155"/>
                    </a:xfrm>
                    <a:prstGeom prst="rect">
                      <a:avLst/>
                    </a:prstGeom>
                    <a:noFill/>
                    <a:ln>
                      <a:noFill/>
                    </a:ln>
                  </pic:spPr>
                </pic:pic>
              </a:graphicData>
            </a:graphic>
          </wp:anchor>
        </w:drawing>
      </w:r>
    </w:p>
    <w:p w14:paraId="5058FA09">
      <w:pPr>
        <w:spacing w:line="500" w:lineRule="exact"/>
        <w:ind w:firstLine="2570" w:firstLineChars="800"/>
        <w:rPr>
          <w:rFonts w:hint="eastAsia"/>
          <w:sz w:val="28"/>
          <w:szCs w:val="28"/>
        </w:rPr>
      </w:pPr>
      <w:r>
        <w:rPr>
          <w:rFonts w:hint="eastAsia" w:ascii="宋体" w:hAnsi="宋体" w:eastAsia="宋体" w:cs="宋体"/>
          <w:b/>
          <w:bCs/>
          <w:sz w:val="32"/>
          <w:szCs w:val="32"/>
          <w:lang w:val="en-US" w:eastAsia="zh-CN"/>
        </w:rPr>
        <w:t xml:space="preserve">仇振华  </w:t>
      </w:r>
    </w:p>
    <w:p w14:paraId="58D59F1F">
      <w:pPr>
        <w:spacing w:line="500" w:lineRule="exact"/>
        <w:ind w:firstLine="2400" w:firstLineChars="10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1997.07－2000.06  湖南环境生物学院</w:t>
      </w:r>
    </w:p>
    <w:p w14:paraId="407A1A0A">
      <w:pPr>
        <w:spacing w:line="500" w:lineRule="exact"/>
        <w:ind w:firstLine="2400" w:firstLineChars="10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2012.10－2016.12 湖南农业大学（硕士）</w:t>
      </w:r>
    </w:p>
    <w:p w14:paraId="497CAA26">
      <w:pPr>
        <w:spacing w:line="500" w:lineRule="exact"/>
        <w:ind w:firstLine="840" w:firstLineChars="300"/>
        <w:rPr>
          <w:rFonts w:hint="eastAsia"/>
          <w:sz w:val="28"/>
          <w:szCs w:val="28"/>
        </w:rPr>
      </w:pPr>
    </w:p>
    <w:p w14:paraId="5A770671">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工作经历：</w:t>
      </w:r>
    </w:p>
    <w:p w14:paraId="3A5762D2">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2000.06－2005.09衡阳市委组织部农村党员干部科技教育培中心。</w:t>
      </w:r>
    </w:p>
    <w:p w14:paraId="58524276">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2005.10－至今 衡阳市发改委生态农业示范基地</w:t>
      </w:r>
    </w:p>
    <w:p w14:paraId="663B21BD">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2014.04－至今  衡阳市科技特派员</w:t>
      </w:r>
    </w:p>
    <w:p w14:paraId="21134601">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推广应用：</w:t>
      </w:r>
    </w:p>
    <w:p w14:paraId="48DED105">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推广新技术100余种，</w:t>
      </w:r>
    </w:p>
    <w:p w14:paraId="668524D9">
      <w:pPr>
        <w:spacing w:line="50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培训农村党员干部1000余人，</w:t>
      </w:r>
    </w:p>
    <w:p w14:paraId="4AA89A90">
      <w:pPr>
        <w:spacing w:line="240" w:lineRule="auto"/>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培训农业技术人员创业人员5000余人。</w:t>
      </w:r>
    </w:p>
    <w:p w14:paraId="7CC2B1CC">
      <w:pPr>
        <w:spacing w:line="240" w:lineRule="auto"/>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drawing>
          <wp:inline distT="0" distB="0" distL="114300" distR="114300">
            <wp:extent cx="3537585" cy="4716780"/>
            <wp:effectExtent l="0" t="0" r="7620" b="5715"/>
            <wp:docPr id="2" name="图片 2" descr="农艺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艺师"/>
                    <pic:cNvPicPr>
                      <a:picLocks noChangeAspect="1"/>
                    </pic:cNvPicPr>
                  </pic:nvPicPr>
                  <pic:blipFill>
                    <a:blip r:embed="rId7"/>
                    <a:stretch>
                      <a:fillRect/>
                    </a:stretch>
                  </pic:blipFill>
                  <pic:spPr>
                    <a:xfrm rot="5400000">
                      <a:off x="0" y="0"/>
                      <a:ext cx="3537585" cy="4716780"/>
                    </a:xfrm>
                    <a:prstGeom prst="rect">
                      <a:avLst/>
                    </a:prstGeom>
                  </pic:spPr>
                </pic:pic>
              </a:graphicData>
            </a:graphic>
          </wp:inline>
        </w:drawing>
      </w:r>
      <w:r>
        <w:rPr>
          <w:rFonts w:hint="eastAsia" w:ascii="宋体" w:hAnsi="宋体" w:eastAsia="宋体" w:cs="宋体"/>
          <w:b w:val="0"/>
          <w:bCs w:val="0"/>
          <w:kern w:val="2"/>
          <w:sz w:val="24"/>
          <w:szCs w:val="24"/>
          <w:lang w:val="en-US" w:eastAsia="zh-CN" w:bidi="ar-SA"/>
        </w:rPr>
        <w:t xml:space="preserve">               </w:t>
      </w:r>
    </w:p>
    <w:p w14:paraId="6431706A">
      <w:pPr>
        <w:spacing w:line="240" w:lineRule="auto"/>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drawing>
          <wp:inline distT="0" distB="0" distL="114300" distR="114300">
            <wp:extent cx="3558540" cy="4745355"/>
            <wp:effectExtent l="0" t="0" r="17145" b="3810"/>
            <wp:docPr id="3" name="图片 3" descr="硕士学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硕士学位"/>
                    <pic:cNvPicPr>
                      <a:picLocks noChangeAspect="1"/>
                    </pic:cNvPicPr>
                  </pic:nvPicPr>
                  <pic:blipFill>
                    <a:blip r:embed="rId8"/>
                    <a:stretch>
                      <a:fillRect/>
                    </a:stretch>
                  </pic:blipFill>
                  <pic:spPr>
                    <a:xfrm rot="16200000">
                      <a:off x="0" y="0"/>
                      <a:ext cx="3558540" cy="4745355"/>
                    </a:xfrm>
                    <a:prstGeom prst="rect">
                      <a:avLst/>
                    </a:prstGeom>
                  </pic:spPr>
                </pic:pic>
              </a:graphicData>
            </a:graphic>
          </wp:inline>
        </w:drawing>
      </w:r>
    </w:p>
    <w:p w14:paraId="6C621C13">
      <w:pPr>
        <w:spacing w:line="360" w:lineRule="auto"/>
        <w:rPr>
          <w:rFonts w:hint="eastAsia" w:ascii="Helvetica" w:hAnsi="Helvetica" w:eastAsia="宋体" w:cs="Helvetica"/>
          <w:i w:val="0"/>
          <w:iCs w:val="0"/>
          <w:caps w:val="0"/>
          <w:color w:val="333333"/>
          <w:spacing w:val="0"/>
          <w:sz w:val="21"/>
          <w:szCs w:val="21"/>
          <w:shd w:val="clear" w:fill="FFFFFF"/>
          <w:lang w:val="en-US" w:eastAsia="zh-CN"/>
        </w:rPr>
      </w:pPr>
    </w:p>
    <w:p w14:paraId="6C3218C0">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十</w:t>
      </w:r>
      <w:r>
        <w:rPr>
          <w:rFonts w:hint="eastAsia" w:asciiTheme="minorEastAsia" w:hAnsiTheme="minorEastAsia" w:eastAsiaTheme="minorEastAsia" w:cstheme="minorEastAsia"/>
          <w:b/>
          <w:bCs/>
          <w:sz w:val="24"/>
          <w:szCs w:val="24"/>
        </w:rPr>
        <w:t>、培训内容</w:t>
      </w:r>
    </w:p>
    <w:p w14:paraId="47457D62">
      <w:pPr>
        <w:keepNext w:val="0"/>
        <w:keepLines w:val="0"/>
        <w:widowControl/>
        <w:suppressLineNumbers w:val="0"/>
        <w:shd w:val="clear" w:fill="FFFFFF"/>
        <w:ind w:left="0" w:firstLine="0"/>
        <w:jc w:val="left"/>
        <w:rPr>
          <w:rFonts w:ascii="Segoe UI" w:hAnsi="Segoe UI" w:eastAsia="Segoe UI" w:cs="Segoe UI"/>
          <w:i w:val="0"/>
          <w:iCs w:val="0"/>
          <w:caps w:val="0"/>
          <w:spacing w:val="0"/>
          <w:sz w:val="24"/>
          <w:szCs w:val="24"/>
        </w:rPr>
      </w:pPr>
      <w:r>
        <w:rPr>
          <w:rStyle w:val="16"/>
          <w:rFonts w:hint="default" w:ascii="Segoe UI" w:hAnsi="Segoe UI" w:eastAsia="Segoe UI" w:cs="Segoe UI"/>
          <w:b/>
          <w:bCs/>
          <w:i w:val="0"/>
          <w:iCs w:val="0"/>
          <w:caps w:val="0"/>
          <w:spacing w:val="0"/>
          <w:kern w:val="0"/>
          <w:sz w:val="24"/>
          <w:szCs w:val="24"/>
          <w:shd w:val="clear" w:fill="FFFFFF"/>
          <w:lang w:val="en-US" w:eastAsia="zh-CN" w:bidi="ar"/>
        </w:rPr>
        <w:t>第一天：养鸡技术培训</w:t>
      </w:r>
    </w:p>
    <w:p w14:paraId="2625C147">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鸡的品种选择与引种</w:t>
      </w:r>
    </w:p>
    <w:p w14:paraId="4959C70B">
      <w:pPr>
        <w:keepNext w:val="0"/>
        <w:keepLines w:val="0"/>
        <w:widowControl/>
        <w:numPr>
          <w:ilvl w:val="1"/>
          <w:numId w:val="2"/>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常见优质鸡品种的介绍，包括蛋鸡、肉鸡等。</w:t>
      </w:r>
    </w:p>
    <w:p w14:paraId="2691F956">
      <w:pPr>
        <w:keepNext w:val="0"/>
        <w:keepLines w:val="0"/>
        <w:widowControl/>
        <w:numPr>
          <w:ilvl w:val="1"/>
          <w:numId w:val="2"/>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引种的注意事项，如选择正规渠道、查看种鸡健康状况等。</w:t>
      </w:r>
    </w:p>
    <w:p w14:paraId="5AEB9BBD">
      <w:pPr>
        <w:keepNext w:val="0"/>
        <w:keepLines w:val="0"/>
        <w:widowControl/>
        <w:numPr>
          <w:ilvl w:val="0"/>
          <w:numId w:val="3"/>
        </w:numPr>
        <w:suppressLineNumbers w:val="0"/>
        <w:pBdr>
          <w:left w:val="none" w:color="auto" w:sz="0" w:space="0"/>
        </w:pBdr>
        <w:spacing w:before="0" w:beforeAutospacing="1" w:after="0" w:afterAutospacing="1"/>
        <w:ind w:left="720" w:hanging="360"/>
      </w:pPr>
      <w:r>
        <w:rPr>
          <w:rFonts w:hint="default" w:ascii="Segoe UI" w:hAnsi="Segoe UI" w:eastAsia="Segoe UI" w:cs="Segoe UI"/>
          <w:i w:val="0"/>
          <w:iCs w:val="0"/>
          <w:caps w:val="0"/>
          <w:color w:val="222222"/>
          <w:spacing w:val="0"/>
          <w:sz w:val="24"/>
          <w:szCs w:val="24"/>
          <w:shd w:val="clear" w:fill="FFFFFF"/>
        </w:rPr>
        <w:t>鸡的饲养管理</w:t>
      </w:r>
    </w:p>
    <w:p w14:paraId="6C2E629E">
      <w:pPr>
        <w:keepNext w:val="0"/>
        <w:keepLines w:val="0"/>
        <w:widowControl/>
        <w:numPr>
          <w:ilvl w:val="1"/>
          <w:numId w:val="4"/>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雏鸡的饲养管理要点，包括饮水、喂食、保温等。</w:t>
      </w:r>
    </w:p>
    <w:p w14:paraId="64DE4B37">
      <w:pPr>
        <w:keepNext w:val="0"/>
        <w:keepLines w:val="0"/>
        <w:widowControl/>
        <w:numPr>
          <w:ilvl w:val="1"/>
          <w:numId w:val="4"/>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成鸡的饲养管理，包括饲料配方、饲喂次数、日常观察等。</w:t>
      </w:r>
    </w:p>
    <w:p w14:paraId="1410576B">
      <w:pPr>
        <w:keepNext w:val="0"/>
        <w:keepLines w:val="0"/>
        <w:widowControl/>
        <w:numPr>
          <w:ilvl w:val="1"/>
          <w:numId w:val="4"/>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不同生长阶段鸡的营养需求。</w:t>
      </w:r>
    </w:p>
    <w:p w14:paraId="204D4AEC">
      <w:pPr>
        <w:keepNext w:val="0"/>
        <w:keepLines w:val="0"/>
        <w:widowControl/>
        <w:numPr>
          <w:ilvl w:val="0"/>
          <w:numId w:val="3"/>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鸡的疾病防治</w:t>
      </w:r>
    </w:p>
    <w:p w14:paraId="455A02CA">
      <w:pPr>
        <w:keepNext w:val="0"/>
        <w:keepLines w:val="0"/>
        <w:widowControl/>
        <w:numPr>
          <w:ilvl w:val="1"/>
          <w:numId w:val="5"/>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常见鸡病的种类、症状和传播途径。</w:t>
      </w:r>
    </w:p>
    <w:p w14:paraId="6B319B26">
      <w:pPr>
        <w:keepNext w:val="0"/>
        <w:keepLines w:val="0"/>
        <w:widowControl/>
        <w:numPr>
          <w:ilvl w:val="1"/>
          <w:numId w:val="5"/>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疾病预防措施，如疫苗接种、卫生消毒等。</w:t>
      </w:r>
    </w:p>
    <w:p w14:paraId="407B5F0E">
      <w:pPr>
        <w:keepNext w:val="0"/>
        <w:keepLines w:val="0"/>
        <w:widowControl/>
        <w:numPr>
          <w:ilvl w:val="1"/>
          <w:numId w:val="5"/>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疾病的诊断与治疗方法。</w:t>
      </w:r>
    </w:p>
    <w:p w14:paraId="283932C3">
      <w:pPr>
        <w:keepNext w:val="0"/>
        <w:keepLines w:val="0"/>
        <w:widowControl/>
        <w:suppressLineNumbers w:val="0"/>
        <w:jc w:val="left"/>
      </w:pPr>
    </w:p>
    <w:p w14:paraId="0B7DF3F9">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Style w:val="16"/>
          <w:rFonts w:hint="default" w:ascii="Segoe UI" w:hAnsi="Segoe UI" w:eastAsia="Segoe UI" w:cs="Segoe UI"/>
          <w:b/>
          <w:bCs/>
          <w:i w:val="0"/>
          <w:iCs w:val="0"/>
          <w:caps w:val="0"/>
          <w:spacing w:val="0"/>
          <w:kern w:val="0"/>
          <w:sz w:val="24"/>
          <w:szCs w:val="24"/>
          <w:shd w:val="clear" w:fill="FFFFFF"/>
          <w:lang w:val="en-US" w:eastAsia="zh-CN" w:bidi="ar"/>
        </w:rPr>
        <w:t>第二天：养鱼技术培训</w:t>
      </w:r>
    </w:p>
    <w:p w14:paraId="64B76A58">
      <w:pPr>
        <w:keepNext w:val="0"/>
        <w:keepLines w:val="0"/>
        <w:widowControl/>
        <w:suppressLineNumbers w:val="0"/>
        <w:jc w:val="left"/>
      </w:pPr>
    </w:p>
    <w:p w14:paraId="635F244C">
      <w:pPr>
        <w:keepNext w:val="0"/>
        <w:keepLines w:val="0"/>
        <w:widowControl/>
        <w:numPr>
          <w:ilvl w:val="0"/>
          <w:numId w:val="6"/>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鱼塘建设与水质管理</w:t>
      </w:r>
    </w:p>
    <w:p w14:paraId="4A8B8252">
      <w:pPr>
        <w:keepNext w:val="0"/>
        <w:keepLines w:val="0"/>
        <w:widowControl/>
        <w:numPr>
          <w:ilvl w:val="1"/>
          <w:numId w:val="7"/>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鱼塘选址和建设要求，包括面积、深度、形状等。</w:t>
      </w:r>
    </w:p>
    <w:p w14:paraId="2FE12C34">
      <w:pPr>
        <w:keepNext w:val="0"/>
        <w:keepLines w:val="0"/>
        <w:widowControl/>
        <w:numPr>
          <w:ilvl w:val="1"/>
          <w:numId w:val="7"/>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水质监测指标，如溶解氧、酸碱度、氨氮等。</w:t>
      </w:r>
    </w:p>
    <w:p w14:paraId="56BB9336">
      <w:pPr>
        <w:keepNext w:val="0"/>
        <w:keepLines w:val="0"/>
        <w:widowControl/>
        <w:numPr>
          <w:ilvl w:val="1"/>
          <w:numId w:val="7"/>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水质调节方法，如换水、增氧、使用水质调节剂等。</w:t>
      </w:r>
    </w:p>
    <w:p w14:paraId="62FB2DFC">
      <w:pPr>
        <w:keepNext w:val="0"/>
        <w:keepLines w:val="0"/>
        <w:widowControl/>
        <w:numPr>
          <w:ilvl w:val="0"/>
          <w:numId w:val="8"/>
        </w:numPr>
        <w:suppressLineNumbers w:val="0"/>
        <w:pBdr>
          <w:left w:val="none" w:color="auto" w:sz="0" w:space="0"/>
        </w:pBdr>
        <w:spacing w:before="0" w:beforeAutospacing="1" w:after="0" w:afterAutospacing="1"/>
        <w:ind w:left="720" w:hanging="360"/>
      </w:pPr>
      <w:r>
        <w:rPr>
          <w:rFonts w:hint="default" w:ascii="Segoe UI" w:hAnsi="Segoe UI" w:eastAsia="Segoe UI" w:cs="Segoe UI"/>
          <w:i w:val="0"/>
          <w:iCs w:val="0"/>
          <w:caps w:val="0"/>
          <w:color w:val="222222"/>
          <w:spacing w:val="0"/>
          <w:sz w:val="24"/>
          <w:szCs w:val="24"/>
          <w:shd w:val="clear" w:fill="FFFFFF"/>
        </w:rPr>
        <w:t>鱼类品种选择与投放</w:t>
      </w:r>
    </w:p>
    <w:p w14:paraId="71D0B792">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常见养殖鱼类品种的特点和适应环境。</w:t>
      </w:r>
    </w:p>
    <w:p w14:paraId="24E2BA1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鱼种的选择标准和引种渠道。</w:t>
      </w:r>
    </w:p>
    <w:p w14:paraId="0D88FA2F">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鱼种的投放密度和时间。</w:t>
      </w:r>
    </w:p>
    <w:p w14:paraId="3497792E">
      <w:pPr>
        <w:keepNext w:val="0"/>
        <w:keepLines w:val="0"/>
        <w:widowControl/>
        <w:numPr>
          <w:ilvl w:val="0"/>
          <w:numId w:val="8"/>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鱼类饲养管理</w:t>
      </w:r>
    </w:p>
    <w:p w14:paraId="32FC71A2">
      <w:pPr>
        <w:keepNext w:val="0"/>
        <w:keepLines w:val="0"/>
        <w:widowControl/>
        <w:numPr>
          <w:ilvl w:val="1"/>
          <w:numId w:val="10"/>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不同生长阶段鱼类的饲料选择和投喂方法。</w:t>
      </w:r>
    </w:p>
    <w:p w14:paraId="5A120709">
      <w:pPr>
        <w:keepNext w:val="0"/>
        <w:keepLines w:val="0"/>
        <w:widowControl/>
        <w:numPr>
          <w:ilvl w:val="1"/>
          <w:numId w:val="10"/>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日常管理要点，如巡塘、观察鱼的活动和摄食情况等。</w:t>
      </w:r>
    </w:p>
    <w:p w14:paraId="39128130">
      <w:pPr>
        <w:keepNext w:val="0"/>
        <w:keepLines w:val="0"/>
        <w:widowControl/>
        <w:numPr>
          <w:ilvl w:val="0"/>
          <w:numId w:val="8"/>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鱼病防治</w:t>
      </w:r>
    </w:p>
    <w:p w14:paraId="2010502B">
      <w:pPr>
        <w:keepNext w:val="0"/>
        <w:keepLines w:val="0"/>
        <w:widowControl/>
        <w:numPr>
          <w:ilvl w:val="1"/>
          <w:numId w:val="11"/>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222222"/>
          <w:spacing w:val="0"/>
          <w:sz w:val="24"/>
          <w:szCs w:val="24"/>
          <w:shd w:val="clear" w:fill="FFFFFF"/>
        </w:rPr>
        <w:t>常见鱼病的症状、病因和防治方法。</w:t>
      </w:r>
    </w:p>
    <w:p w14:paraId="004EF67E">
      <w:pPr>
        <w:keepNext w:val="0"/>
        <w:keepLines w:val="0"/>
        <w:widowControl/>
        <w:numPr>
          <w:ilvl w:val="1"/>
          <w:numId w:val="11"/>
        </w:numPr>
        <w:suppressLineNumbers w:val="0"/>
        <w:pBdr>
          <w:left w:val="none" w:color="auto" w:sz="0" w:space="0"/>
        </w:pBdr>
        <w:tabs>
          <w:tab w:val="left" w:pos="1440"/>
        </w:tabs>
        <w:spacing w:before="120" w:beforeAutospacing="0" w:after="0" w:afterAutospacing="1"/>
        <w:ind w:left="1440" w:hanging="360"/>
      </w:pPr>
      <w:r>
        <w:rPr>
          <w:rFonts w:hint="default" w:ascii="Segoe UI" w:hAnsi="Segoe UI" w:eastAsia="Segoe UI" w:cs="Segoe UI"/>
          <w:i w:val="0"/>
          <w:iCs w:val="0"/>
          <w:caps w:val="0"/>
          <w:color w:val="222222"/>
          <w:spacing w:val="0"/>
          <w:sz w:val="24"/>
          <w:szCs w:val="24"/>
          <w:shd w:val="clear" w:fill="FFFFFF"/>
        </w:rPr>
        <w:t>预防鱼病的措施，如加强水质管理、定期消毒等。</w:t>
      </w:r>
    </w:p>
    <w:p w14:paraId="135D7081">
      <w:pPr>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十一</w:t>
      </w:r>
      <w:r>
        <w:rPr>
          <w:rFonts w:hint="eastAsia" w:asciiTheme="minorEastAsia" w:hAnsiTheme="minorEastAsia" w:eastAsiaTheme="minorEastAsia" w:cstheme="minorEastAsia"/>
          <w:b/>
          <w:bCs/>
          <w:sz w:val="24"/>
          <w:szCs w:val="24"/>
        </w:rPr>
        <w:t>、项目实施步骤</w:t>
      </w:r>
      <w:r>
        <w:rPr>
          <w:rFonts w:hint="eastAsia" w:asciiTheme="minorEastAsia" w:hAnsiTheme="minorEastAsia" w:eastAsiaTheme="minorEastAsia" w:cstheme="minorEastAsia"/>
          <w:sz w:val="24"/>
          <w:szCs w:val="24"/>
        </w:rPr>
        <w:t xml:space="preserve"> </w:t>
      </w:r>
    </w:p>
    <w:p w14:paraId="589CDBE0">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筹备阶段</w:t>
      </w:r>
    </w:p>
    <w:p w14:paraId="47DEF1AA">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成立项目实施小组，明确职责分工。</w:t>
      </w:r>
    </w:p>
    <w:p w14:paraId="28CF1C1E">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开展培训需求调研，确定培训内容和方式。</w:t>
      </w:r>
    </w:p>
    <w:p w14:paraId="087AF97A">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邀请培训师资，</w:t>
      </w:r>
      <w:r>
        <w:rPr>
          <w:rFonts w:hint="eastAsia" w:asciiTheme="minorEastAsia" w:hAnsiTheme="minorEastAsia" w:cstheme="minorEastAsia"/>
          <w:sz w:val="24"/>
          <w:szCs w:val="24"/>
          <w:lang w:val="en-US" w:eastAsia="zh-CN"/>
        </w:rPr>
        <w:t>购买相关</w:t>
      </w:r>
      <w:r>
        <w:rPr>
          <w:rFonts w:hint="eastAsia" w:asciiTheme="minorEastAsia" w:hAnsiTheme="minorEastAsia" w:eastAsiaTheme="minorEastAsia" w:cstheme="minorEastAsia"/>
          <w:sz w:val="24"/>
          <w:szCs w:val="24"/>
        </w:rPr>
        <w:t>培训教材。</w:t>
      </w:r>
    </w:p>
    <w:p w14:paraId="5A9982C9">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准备培训场地和教学设备。</w:t>
      </w:r>
    </w:p>
    <w:p w14:paraId="0156E578">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宣传发动阶段</w:t>
      </w:r>
    </w:p>
    <w:p w14:paraId="45ADA5FC">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通过多种渠道宣传培训项目，如张贴通知、发放宣传资料、召开动员会等。</w:t>
      </w:r>
    </w:p>
    <w:p w14:paraId="33DEDEE7">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组织报名，登记学员信息。</w:t>
      </w:r>
    </w:p>
    <w:p w14:paraId="6DCF34BD">
      <w:pPr>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 xml:space="preserve">   3、</w:t>
      </w:r>
      <w:r>
        <w:rPr>
          <w:rFonts w:hint="eastAsia" w:asciiTheme="minorEastAsia" w:hAnsiTheme="minorEastAsia" w:eastAsiaTheme="minorEastAsia" w:cstheme="minorEastAsia"/>
          <w:sz w:val="24"/>
          <w:szCs w:val="24"/>
        </w:rPr>
        <w:t>培训实施阶段</w:t>
      </w:r>
    </w:p>
    <w:p w14:paraId="43902868">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按照培训计划和课程安排，开展集中授课、实践操作、参观学习等培训活动。</w:t>
      </w:r>
    </w:p>
    <w:p w14:paraId="48693400">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定期对培训效果进行评估，及时调整培训内容和方式。</w:t>
      </w:r>
    </w:p>
    <w:p w14:paraId="5ECE5070">
      <w:pPr>
        <w:numPr>
          <w:ilvl w:val="0"/>
          <w:numId w:val="0"/>
        </w:numPr>
        <w:spacing w:line="440" w:lineRule="exact"/>
        <w:ind w:leftChars="0"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考核总结阶段</w:t>
      </w:r>
    </w:p>
    <w:p w14:paraId="6A1552B3">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组织学员进行考核，颁发结业证书。</w:t>
      </w:r>
    </w:p>
    <w:p w14:paraId="13E3D84F">
      <w:pPr>
        <w:numPr>
          <w:ilvl w:val="0"/>
          <w:numId w:val="12"/>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对培训项目进行总结，收集学员反馈意见，为今后的培训工作提供经验参考。</w:t>
      </w:r>
    </w:p>
    <w:p w14:paraId="04FE80FC">
      <w:pPr>
        <w:spacing w:line="440" w:lineRule="exact"/>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十</w:t>
      </w: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rPr>
        <w:t>、项目保障措施</w:t>
      </w:r>
    </w:p>
    <w:p w14:paraId="1D683956">
      <w:pPr>
        <w:numPr>
          <w:ilvl w:val="0"/>
          <w:numId w:val="13"/>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加强组织领导，成立项目领导小组，负责项目的统筹协调和监督管理。</w:t>
      </w:r>
    </w:p>
    <w:p w14:paraId="1378C05A">
      <w:pPr>
        <w:numPr>
          <w:ilvl w:val="0"/>
          <w:numId w:val="13"/>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严格经费管理，确保项目经费专款专用，合理使用。</w:t>
      </w:r>
    </w:p>
    <w:p w14:paraId="4431EB2B">
      <w:pPr>
        <w:numPr>
          <w:ilvl w:val="0"/>
          <w:numId w:val="13"/>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建立培训档案，对学员的学习情况、考核结果等进行记录，为后续跟踪服务提供依据。</w:t>
      </w:r>
    </w:p>
    <w:p w14:paraId="34795086">
      <w:pPr>
        <w:numPr>
          <w:ilvl w:val="0"/>
          <w:numId w:val="13"/>
        </w:numPr>
        <w:spacing w:line="440" w:lineRule="exact"/>
        <w:ind w:left="420" w:leftChars="0" w:hanging="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加强跟踪服务，定期对学员进行回访，了解其</w:t>
      </w:r>
      <w:r>
        <w:rPr>
          <w:rFonts w:hint="eastAsia" w:asciiTheme="minorEastAsia" w:hAnsiTheme="minorEastAsia" w:cstheme="minorEastAsia"/>
          <w:sz w:val="24"/>
          <w:szCs w:val="24"/>
          <w:lang w:val="en-US" w:eastAsia="zh-CN"/>
        </w:rPr>
        <w:t>农业养殖</w:t>
      </w:r>
      <w:r>
        <w:rPr>
          <w:rFonts w:hint="eastAsia" w:asciiTheme="minorEastAsia" w:hAnsiTheme="minorEastAsia" w:eastAsiaTheme="minorEastAsia" w:cstheme="minorEastAsia"/>
          <w:sz w:val="24"/>
          <w:szCs w:val="24"/>
        </w:rPr>
        <w:t>情况，提供技术指导和帮助。</w:t>
      </w:r>
    </w:p>
    <w:p w14:paraId="6FF94E0D">
      <w:pPr>
        <w:spacing w:line="440" w:lineRule="exact"/>
        <w:jc w:val="center"/>
        <w:rPr>
          <w:rFonts w:hint="eastAsia"/>
          <w:b w:val="0"/>
          <w:bCs w:val="0"/>
          <w:sz w:val="28"/>
          <w:szCs w:val="28"/>
          <w:lang w:val="en-US" w:eastAsia="zh-CN"/>
        </w:rPr>
      </w:pPr>
    </w:p>
    <w:p w14:paraId="669E3FC1">
      <w:pPr>
        <w:spacing w:line="440" w:lineRule="exact"/>
        <w:jc w:val="center"/>
        <w:rPr>
          <w:rFonts w:hint="eastAsia"/>
          <w:b w:val="0"/>
          <w:bCs w:val="0"/>
          <w:sz w:val="28"/>
          <w:szCs w:val="28"/>
          <w:lang w:val="en-US" w:eastAsia="zh-CN"/>
        </w:rPr>
      </w:pPr>
      <w:r>
        <w:rPr>
          <w:rFonts w:hint="eastAsia"/>
          <w:b w:val="0"/>
          <w:bCs w:val="0"/>
          <w:sz w:val="28"/>
          <w:szCs w:val="28"/>
          <w:lang w:val="en-US" w:eastAsia="zh-CN"/>
        </w:rPr>
        <w:t>培训日程安排</w:t>
      </w:r>
    </w:p>
    <w:p w14:paraId="46C4C1E4">
      <w:pPr>
        <w:spacing w:line="440" w:lineRule="exact"/>
        <w:ind w:firstLine="560" w:firstLineChars="200"/>
        <w:jc w:val="left"/>
        <w:rPr>
          <w:rFonts w:hint="eastAsia" w:eastAsia="宋体" w:cs="Times New Roman"/>
          <w:b w:val="0"/>
          <w:bCs w:val="0"/>
          <w:sz w:val="28"/>
          <w:szCs w:val="28"/>
          <w:lang w:val="en-US" w:eastAsia="zh-CN"/>
        </w:rPr>
      </w:pPr>
      <w:r>
        <w:rPr>
          <w:rFonts w:hint="eastAsia" w:eastAsia="宋体" w:cs="Times New Roman"/>
          <w:b w:val="0"/>
          <w:bCs w:val="0"/>
          <w:sz w:val="28"/>
          <w:szCs w:val="28"/>
          <w:lang w:val="en-US" w:eastAsia="zh-CN"/>
        </w:rPr>
        <w:t>培训时间为2024年10月17日-2024年10月18日，共2天14课时，其中理论讲授7课时，实践操作7课时。</w:t>
      </w:r>
    </w:p>
    <w:tbl>
      <w:tblPr>
        <w:tblStyle w:val="14"/>
        <w:tblpPr w:leftFromText="180" w:rightFromText="180" w:vertAnchor="text" w:horzAnchor="page" w:tblpX="1575" w:tblpY="347"/>
        <w:tblOverlap w:val="never"/>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2254"/>
        <w:gridCol w:w="4230"/>
        <w:gridCol w:w="1364"/>
      </w:tblGrid>
      <w:tr w14:paraId="3CDE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996" w:type="dxa"/>
            <w:noWrap w:val="0"/>
            <w:vAlign w:val="center"/>
          </w:tcPr>
          <w:p w14:paraId="670D813E">
            <w:pPr>
              <w:spacing w:line="440" w:lineRule="exact"/>
              <w:jc w:val="left"/>
              <w:rPr>
                <w:rFonts w:hint="eastAsia" w:eastAsia="宋体" w:cs="Times New Roman"/>
                <w:b w:val="0"/>
                <w:bCs w:val="0"/>
                <w:sz w:val="28"/>
                <w:szCs w:val="28"/>
                <w:lang w:val="en-US" w:eastAsia="zh-CN"/>
              </w:rPr>
            </w:pPr>
            <w:r>
              <w:rPr>
                <w:rFonts w:hint="eastAsia" w:eastAsia="宋体" w:cs="Times New Roman"/>
                <w:b w:val="0"/>
                <w:bCs w:val="0"/>
                <w:sz w:val="28"/>
                <w:szCs w:val="28"/>
                <w:lang w:val="en-US" w:eastAsia="zh-CN"/>
              </w:rPr>
              <w:t>时间</w:t>
            </w:r>
          </w:p>
        </w:tc>
        <w:tc>
          <w:tcPr>
            <w:tcW w:w="2254" w:type="dxa"/>
            <w:noWrap w:val="0"/>
            <w:vAlign w:val="center"/>
          </w:tcPr>
          <w:p w14:paraId="3E0E9C9E">
            <w:pPr>
              <w:spacing w:line="440" w:lineRule="exact"/>
              <w:ind w:firstLine="560" w:firstLineChars="200"/>
              <w:jc w:val="left"/>
              <w:rPr>
                <w:rFonts w:hint="eastAsia" w:eastAsia="宋体" w:cs="Times New Roman"/>
                <w:b w:val="0"/>
                <w:bCs w:val="0"/>
                <w:sz w:val="28"/>
                <w:szCs w:val="28"/>
                <w:lang w:val="en-US" w:eastAsia="zh-CN"/>
              </w:rPr>
            </w:pPr>
            <w:r>
              <w:rPr>
                <w:rFonts w:hint="eastAsia" w:eastAsia="宋体" w:cs="Times New Roman"/>
                <w:b w:val="0"/>
                <w:bCs w:val="0"/>
                <w:sz w:val="28"/>
                <w:szCs w:val="28"/>
                <w:lang w:val="en-US" w:eastAsia="zh-CN"/>
              </w:rPr>
              <w:t>培训课程</w:t>
            </w:r>
          </w:p>
        </w:tc>
        <w:tc>
          <w:tcPr>
            <w:tcW w:w="4230" w:type="dxa"/>
            <w:noWrap w:val="0"/>
            <w:vAlign w:val="center"/>
          </w:tcPr>
          <w:p w14:paraId="66CB9292">
            <w:pPr>
              <w:spacing w:line="440" w:lineRule="exact"/>
              <w:ind w:firstLine="560" w:firstLineChars="200"/>
              <w:jc w:val="left"/>
              <w:rPr>
                <w:rFonts w:hint="eastAsia" w:eastAsia="宋体" w:cs="Times New Roman"/>
                <w:b w:val="0"/>
                <w:bCs w:val="0"/>
                <w:sz w:val="28"/>
                <w:szCs w:val="28"/>
                <w:lang w:val="en-US" w:eastAsia="zh-CN"/>
              </w:rPr>
            </w:pPr>
            <w:r>
              <w:rPr>
                <w:rFonts w:hint="eastAsia" w:eastAsia="宋体" w:cs="Times New Roman"/>
                <w:b w:val="0"/>
                <w:bCs w:val="0"/>
                <w:sz w:val="28"/>
                <w:szCs w:val="28"/>
                <w:lang w:val="en-US" w:eastAsia="zh-CN"/>
              </w:rPr>
              <w:t>教学内容</w:t>
            </w:r>
          </w:p>
        </w:tc>
        <w:tc>
          <w:tcPr>
            <w:tcW w:w="1364" w:type="dxa"/>
            <w:noWrap w:val="0"/>
            <w:vAlign w:val="center"/>
          </w:tcPr>
          <w:p w14:paraId="0C6B3EF0">
            <w:pPr>
              <w:spacing w:line="440" w:lineRule="exact"/>
              <w:jc w:val="left"/>
              <w:rPr>
                <w:rFonts w:hint="eastAsia" w:eastAsia="宋体" w:cs="Times New Roman"/>
                <w:b w:val="0"/>
                <w:bCs w:val="0"/>
                <w:sz w:val="28"/>
                <w:szCs w:val="28"/>
                <w:lang w:val="en-US" w:eastAsia="zh-CN"/>
              </w:rPr>
            </w:pPr>
            <w:r>
              <w:rPr>
                <w:rFonts w:hint="eastAsia" w:eastAsia="宋体" w:cs="Times New Roman"/>
                <w:b w:val="0"/>
                <w:bCs w:val="0"/>
                <w:sz w:val="28"/>
                <w:szCs w:val="28"/>
                <w:lang w:val="en-US" w:eastAsia="zh-CN"/>
              </w:rPr>
              <w:t>任课老师</w:t>
            </w:r>
          </w:p>
        </w:tc>
      </w:tr>
      <w:tr w14:paraId="3FA2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noWrap w:val="0"/>
            <w:vAlign w:val="center"/>
          </w:tcPr>
          <w:p w14:paraId="47C40A8E">
            <w:pPr>
              <w:spacing w:line="440" w:lineRule="exact"/>
              <w:jc w:val="left"/>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第一天</w:t>
            </w:r>
          </w:p>
        </w:tc>
        <w:tc>
          <w:tcPr>
            <w:tcW w:w="2254" w:type="dxa"/>
            <w:noWrap w:val="0"/>
            <w:vAlign w:val="center"/>
          </w:tcPr>
          <w:p w14:paraId="7C03653F">
            <w:pPr>
              <w:numPr>
                <w:ilvl w:val="0"/>
                <w:numId w:val="0"/>
              </w:numPr>
              <w:spacing w:line="440" w:lineRule="exact"/>
              <w:jc w:val="left"/>
              <w:rPr>
                <w:rFonts w:hint="eastAsia" w:eastAsia="宋体" w:cs="Times New Roman"/>
                <w:b w:val="0"/>
                <w:bCs w:val="0"/>
                <w:sz w:val="24"/>
                <w:szCs w:val="24"/>
                <w:lang w:val="en-US" w:eastAsia="zh-CN"/>
              </w:rPr>
            </w:pPr>
          </w:p>
          <w:p w14:paraId="1FF858A0">
            <w:pPr>
              <w:numPr>
                <w:ilvl w:val="0"/>
                <w:numId w:val="0"/>
              </w:numPr>
              <w:spacing w:line="440" w:lineRule="exact"/>
              <w:jc w:val="left"/>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湘黄鸡养殖技术</w:t>
            </w:r>
          </w:p>
          <w:p w14:paraId="20CF2780">
            <w:pPr>
              <w:numPr>
                <w:ilvl w:val="0"/>
                <w:numId w:val="0"/>
              </w:numPr>
              <w:spacing w:line="440" w:lineRule="exact"/>
              <w:jc w:val="left"/>
              <w:rPr>
                <w:rFonts w:hint="default" w:eastAsia="宋体" w:cs="Times New Roman"/>
                <w:b w:val="0"/>
                <w:bCs w:val="0"/>
                <w:sz w:val="24"/>
                <w:szCs w:val="24"/>
                <w:lang w:val="en-US" w:eastAsia="zh-CN"/>
              </w:rPr>
            </w:pPr>
          </w:p>
        </w:tc>
        <w:tc>
          <w:tcPr>
            <w:tcW w:w="4230" w:type="dxa"/>
            <w:noWrap w:val="0"/>
            <w:vAlign w:val="center"/>
          </w:tcPr>
          <w:p w14:paraId="0B8B612F">
            <w:pPr>
              <w:numPr>
                <w:ilvl w:val="0"/>
                <w:numId w:val="14"/>
              </w:numPr>
              <w:spacing w:line="440" w:lineRule="exact"/>
              <w:jc w:val="left"/>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湘黄鸡的饲养管理技术</w:t>
            </w:r>
          </w:p>
          <w:p w14:paraId="5019B2D8">
            <w:pPr>
              <w:numPr>
                <w:ilvl w:val="0"/>
                <w:numId w:val="14"/>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育雏前的准备</w:t>
            </w:r>
          </w:p>
          <w:p w14:paraId="674F824C">
            <w:pPr>
              <w:numPr>
                <w:ilvl w:val="0"/>
                <w:numId w:val="14"/>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鸡球虫病的危害</w:t>
            </w:r>
          </w:p>
          <w:p w14:paraId="530AF87C">
            <w:pPr>
              <w:numPr>
                <w:ilvl w:val="0"/>
                <w:numId w:val="14"/>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消毒鸡舍及设备</w:t>
            </w:r>
          </w:p>
          <w:p w14:paraId="66293532">
            <w:pPr>
              <w:numPr>
                <w:ilvl w:val="0"/>
                <w:numId w:val="14"/>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雏鸡的饲养</w:t>
            </w:r>
          </w:p>
        </w:tc>
        <w:tc>
          <w:tcPr>
            <w:tcW w:w="1364" w:type="dxa"/>
            <w:noWrap w:val="0"/>
            <w:vAlign w:val="center"/>
          </w:tcPr>
          <w:p w14:paraId="2890551D">
            <w:pPr>
              <w:spacing w:line="440" w:lineRule="exact"/>
              <w:jc w:val="center"/>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仇振华</w:t>
            </w:r>
          </w:p>
        </w:tc>
      </w:tr>
      <w:tr w14:paraId="5A9D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noWrap w:val="0"/>
            <w:vAlign w:val="center"/>
          </w:tcPr>
          <w:p w14:paraId="49E44F37">
            <w:pPr>
              <w:spacing w:line="440" w:lineRule="exact"/>
              <w:jc w:val="left"/>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第二天</w:t>
            </w:r>
          </w:p>
        </w:tc>
        <w:tc>
          <w:tcPr>
            <w:tcW w:w="2254" w:type="dxa"/>
            <w:noWrap w:val="0"/>
            <w:vAlign w:val="center"/>
          </w:tcPr>
          <w:p w14:paraId="25A8CC7D">
            <w:pPr>
              <w:spacing w:line="440" w:lineRule="exact"/>
              <w:jc w:val="left"/>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稻田养鱼技术</w:t>
            </w:r>
          </w:p>
        </w:tc>
        <w:tc>
          <w:tcPr>
            <w:tcW w:w="4230" w:type="dxa"/>
            <w:noWrap w:val="0"/>
            <w:vAlign w:val="center"/>
          </w:tcPr>
          <w:p w14:paraId="0F92DDF8">
            <w:pPr>
              <w:numPr>
                <w:ilvl w:val="0"/>
                <w:numId w:val="15"/>
              </w:numPr>
              <w:spacing w:line="440" w:lineRule="exact"/>
              <w:jc w:val="left"/>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稻田养鱼简介</w:t>
            </w:r>
          </w:p>
          <w:p w14:paraId="2D28957E">
            <w:pPr>
              <w:numPr>
                <w:ilvl w:val="0"/>
                <w:numId w:val="15"/>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稻田养鱼的意义与作用</w:t>
            </w:r>
          </w:p>
          <w:p w14:paraId="2C2C4291">
            <w:pPr>
              <w:numPr>
                <w:ilvl w:val="0"/>
                <w:numId w:val="15"/>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稻田养鱼的科学依据</w:t>
            </w:r>
          </w:p>
          <w:p w14:paraId="60BD2A94">
            <w:pPr>
              <w:numPr>
                <w:ilvl w:val="0"/>
                <w:numId w:val="15"/>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鸡疫苗和病防治</w:t>
            </w:r>
          </w:p>
          <w:p w14:paraId="73F07769">
            <w:pPr>
              <w:numPr>
                <w:ilvl w:val="0"/>
                <w:numId w:val="15"/>
              </w:numPr>
              <w:spacing w:line="440" w:lineRule="exact"/>
              <w:jc w:val="left"/>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鸡解剖</w:t>
            </w:r>
          </w:p>
        </w:tc>
        <w:tc>
          <w:tcPr>
            <w:tcW w:w="1364" w:type="dxa"/>
            <w:noWrap w:val="0"/>
            <w:vAlign w:val="center"/>
          </w:tcPr>
          <w:p w14:paraId="5C015B73">
            <w:pPr>
              <w:spacing w:line="440" w:lineRule="exact"/>
              <w:jc w:val="center"/>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肖常东</w:t>
            </w:r>
          </w:p>
        </w:tc>
      </w:tr>
    </w:tbl>
    <w:p w14:paraId="1A1C9D16">
      <w:pPr>
        <w:numPr>
          <w:numId w:val="0"/>
        </w:numPr>
        <w:spacing w:line="440" w:lineRule="exact"/>
        <w:ind w:leftChars="0"/>
        <w:jc w:val="left"/>
        <w:rPr>
          <w:rFonts w:hint="eastAsia" w:asciiTheme="minorEastAsia" w:hAnsiTheme="minorEastAsia" w:eastAsiaTheme="minorEastAsia" w:cstheme="minorEastAsia"/>
          <w:sz w:val="24"/>
          <w:szCs w:val="24"/>
        </w:rPr>
      </w:pPr>
      <w:bookmarkStart w:id="0" w:name="_GoBack"/>
      <w:bookmarkEnd w:id="0"/>
    </w:p>
    <w:p w14:paraId="387AF121">
      <w:pPr>
        <w:numPr>
          <w:ilvl w:val="0"/>
          <w:numId w:val="0"/>
        </w:numPr>
        <w:spacing w:line="440" w:lineRule="exact"/>
        <w:ind w:leftChars="0"/>
        <w:jc w:val="left"/>
        <w:rPr>
          <w:rFonts w:hint="eastAsia" w:asciiTheme="minorEastAsia" w:hAnsiTheme="minorEastAsia" w:eastAsiaTheme="minorEastAsia" w:cstheme="minorEastAsia"/>
          <w:sz w:val="24"/>
          <w:szCs w:val="24"/>
        </w:rPr>
      </w:pPr>
    </w:p>
    <w:p w14:paraId="4985959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p w14:paraId="18F167DA">
      <w:pPr>
        <w:widowControl/>
        <w:spacing w:line="440" w:lineRule="exact"/>
        <w:ind w:left="3713" w:leftChars="1368" w:hanging="840" w:hangingChars="35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sz w:val="24"/>
          <w:szCs w:val="24"/>
          <w:lang w:val="en-US" w:eastAsia="zh-CN"/>
        </w:rPr>
        <w:t xml:space="preserve">             湖南</w:t>
      </w:r>
      <w:r>
        <w:rPr>
          <w:rFonts w:hint="eastAsia" w:asciiTheme="minorEastAsia" w:hAnsiTheme="minorEastAsia" w:eastAsiaTheme="minorEastAsia" w:cstheme="minorEastAsia"/>
          <w:sz w:val="24"/>
          <w:szCs w:val="24"/>
        </w:rPr>
        <w:t>众禾职业培训学校有限公司</w:t>
      </w:r>
    </w:p>
    <w:p w14:paraId="181EC57B">
      <w:pPr>
        <w:widowControl/>
        <w:spacing w:line="440" w:lineRule="exact"/>
        <w:ind w:left="3713" w:leftChars="1368" w:hanging="840" w:hangingChars="350"/>
        <w:jc w:val="left"/>
        <w:textAlignment w:val="center"/>
        <w:rPr>
          <w:rFonts w:hint="eastAsia" w:asciiTheme="minorEastAsia" w:hAnsiTheme="minorEastAsia" w:eastAsiaTheme="minorEastAsia" w:cstheme="minorEastAsia"/>
          <w:sz w:val="24"/>
          <w:szCs w:val="24"/>
        </w:rPr>
      </w:pPr>
    </w:p>
    <w:p w14:paraId="387F442C">
      <w:pPr>
        <w:widowControl/>
        <w:spacing w:line="440" w:lineRule="exact"/>
        <w:ind w:firstLine="5280" w:firstLineChars="22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14</w:t>
      </w:r>
      <w:r>
        <w:rPr>
          <w:rFonts w:hint="eastAsia" w:asciiTheme="minorEastAsia" w:hAnsiTheme="minorEastAsia" w:eastAsiaTheme="minorEastAsia" w:cstheme="minorEastAsia"/>
          <w:sz w:val="24"/>
          <w:szCs w:val="24"/>
        </w:rPr>
        <w:t>日</w:t>
      </w:r>
    </w:p>
    <w:p w14:paraId="514C40BE">
      <w:pPr>
        <w:widowControl/>
        <w:spacing w:line="440" w:lineRule="exact"/>
        <w:jc w:val="left"/>
        <w:textAlignment w:val="center"/>
        <w:rPr>
          <w:rFonts w:hint="eastAsia" w:asciiTheme="minorEastAsia" w:hAnsiTheme="minorEastAsia" w:eastAsiaTheme="minorEastAsia" w:cstheme="minorEastAsia"/>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2F159">
    <w:pPr>
      <w:pStyle w:val="9"/>
      <w:rPr>
        <w:rFonts w:hint="default" w:eastAsiaTheme="minorEastAsia"/>
        <w:lang w:val="en-US" w:eastAsia="zh-CN"/>
      </w:rPr>
    </w:pPr>
    <w:r>
      <w:rPr>
        <w:rFonts w:hint="eastAsia"/>
        <w:lang w:val="en-US" w:eastAsia="zh-CN"/>
      </w:rPr>
      <w:t>地址：衡阳市珠晖区粤汉街道东方雅庭6、7楼201室   0734-8606755  19164679988</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24DEA"/>
    <w:multiLevelType w:val="singleLevel"/>
    <w:tmpl w:val="88624DEA"/>
    <w:lvl w:ilvl="0" w:tentative="0">
      <w:start w:val="1"/>
      <w:numFmt w:val="bullet"/>
      <w:lvlText w:val=""/>
      <w:lvlJc w:val="left"/>
      <w:pPr>
        <w:ind w:left="420" w:hanging="420"/>
      </w:pPr>
      <w:rPr>
        <w:rFonts w:hint="default" w:ascii="Wingdings" w:hAnsi="Wingdings"/>
      </w:rPr>
    </w:lvl>
  </w:abstractNum>
  <w:abstractNum w:abstractNumId="1">
    <w:nsid w:val="E1529D40"/>
    <w:multiLevelType w:val="multilevel"/>
    <w:tmpl w:val="E1529D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F81C05AD"/>
    <w:multiLevelType w:val="multilevel"/>
    <w:tmpl w:val="F81C05A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06275D61"/>
    <w:multiLevelType w:val="singleLevel"/>
    <w:tmpl w:val="06275D61"/>
    <w:lvl w:ilvl="0" w:tentative="0">
      <w:start w:val="1"/>
      <w:numFmt w:val="decimal"/>
      <w:lvlText w:val="%1."/>
      <w:lvlJc w:val="left"/>
      <w:pPr>
        <w:tabs>
          <w:tab w:val="left" w:pos="312"/>
        </w:tabs>
      </w:pPr>
    </w:lvl>
  </w:abstractNum>
  <w:abstractNum w:abstractNumId="4">
    <w:nsid w:val="1833946A"/>
    <w:multiLevelType w:val="singleLevel"/>
    <w:tmpl w:val="1833946A"/>
    <w:lvl w:ilvl="0" w:tentative="0">
      <w:start w:val="1"/>
      <w:numFmt w:val="bullet"/>
      <w:lvlText w:val=""/>
      <w:lvlJc w:val="left"/>
      <w:pPr>
        <w:ind w:left="420" w:hanging="420"/>
      </w:pPr>
      <w:rPr>
        <w:rFonts w:hint="default" w:ascii="Wingdings" w:hAnsi="Wingdings"/>
      </w:rPr>
    </w:lvl>
  </w:abstractNum>
  <w:abstractNum w:abstractNumId="5">
    <w:nsid w:val="1EB01E98"/>
    <w:multiLevelType w:val="multilevel"/>
    <w:tmpl w:val="1EB01E9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2A66C848"/>
    <w:multiLevelType w:val="singleLevel"/>
    <w:tmpl w:val="2A66C848"/>
    <w:lvl w:ilvl="0" w:tentative="0">
      <w:start w:val="1"/>
      <w:numFmt w:val="decimal"/>
      <w:lvlText w:val="%1."/>
      <w:lvlJc w:val="left"/>
      <w:pPr>
        <w:tabs>
          <w:tab w:val="left" w:pos="312"/>
        </w:tabs>
      </w:pPr>
    </w:lvl>
  </w:abstractNum>
  <w:abstractNum w:abstractNumId="7">
    <w:nsid w:val="6AF2FE93"/>
    <w:multiLevelType w:val="multilevel"/>
    <w:tmpl w:val="6AF2FE9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OGQ0OTI0OGQxMTYzODI3NzI5YTNlN2Q2ZWRjYjAifQ=="/>
  </w:docVars>
  <w:rsids>
    <w:rsidRoot w:val="04A710DE"/>
    <w:rsid w:val="0009447D"/>
    <w:rsid w:val="0012307E"/>
    <w:rsid w:val="003220AC"/>
    <w:rsid w:val="009224F6"/>
    <w:rsid w:val="00930024"/>
    <w:rsid w:val="00E059F0"/>
    <w:rsid w:val="04A710DE"/>
    <w:rsid w:val="063D3450"/>
    <w:rsid w:val="077F3CA8"/>
    <w:rsid w:val="08876CF0"/>
    <w:rsid w:val="08E92430"/>
    <w:rsid w:val="09E5763E"/>
    <w:rsid w:val="09E8463F"/>
    <w:rsid w:val="0A1C74B6"/>
    <w:rsid w:val="0D5935CA"/>
    <w:rsid w:val="0D5A10B5"/>
    <w:rsid w:val="0E1F1149"/>
    <w:rsid w:val="0EDA697D"/>
    <w:rsid w:val="0F977FCF"/>
    <w:rsid w:val="1032785A"/>
    <w:rsid w:val="10484987"/>
    <w:rsid w:val="1157092B"/>
    <w:rsid w:val="120E6457"/>
    <w:rsid w:val="12303925"/>
    <w:rsid w:val="12A163D0"/>
    <w:rsid w:val="150A45D3"/>
    <w:rsid w:val="15777C7B"/>
    <w:rsid w:val="16D734AA"/>
    <w:rsid w:val="19267830"/>
    <w:rsid w:val="199D64B6"/>
    <w:rsid w:val="1D772EB6"/>
    <w:rsid w:val="1EBE453C"/>
    <w:rsid w:val="20CB6FEE"/>
    <w:rsid w:val="2106686D"/>
    <w:rsid w:val="21E173F8"/>
    <w:rsid w:val="239922E6"/>
    <w:rsid w:val="240E5A7A"/>
    <w:rsid w:val="2423067E"/>
    <w:rsid w:val="24A53DD3"/>
    <w:rsid w:val="25511768"/>
    <w:rsid w:val="2609650F"/>
    <w:rsid w:val="28133675"/>
    <w:rsid w:val="2C165F57"/>
    <w:rsid w:val="2CF779FE"/>
    <w:rsid w:val="2D1063D5"/>
    <w:rsid w:val="2D8F3981"/>
    <w:rsid w:val="2EC76942"/>
    <w:rsid w:val="2F6F0607"/>
    <w:rsid w:val="306F2462"/>
    <w:rsid w:val="31CA1DF5"/>
    <w:rsid w:val="3239017C"/>
    <w:rsid w:val="32C70415"/>
    <w:rsid w:val="342B1BA3"/>
    <w:rsid w:val="34483D6C"/>
    <w:rsid w:val="34E31389"/>
    <w:rsid w:val="357D65D2"/>
    <w:rsid w:val="36B44275"/>
    <w:rsid w:val="377063EE"/>
    <w:rsid w:val="384C1EFF"/>
    <w:rsid w:val="38DD4946"/>
    <w:rsid w:val="3A4628B8"/>
    <w:rsid w:val="3BB645EB"/>
    <w:rsid w:val="3C5B74C9"/>
    <w:rsid w:val="3C9C35CD"/>
    <w:rsid w:val="3DB17760"/>
    <w:rsid w:val="3F00051C"/>
    <w:rsid w:val="3F7C7694"/>
    <w:rsid w:val="401478C7"/>
    <w:rsid w:val="426D5376"/>
    <w:rsid w:val="4987780B"/>
    <w:rsid w:val="4C4B1E37"/>
    <w:rsid w:val="4DCF7EBB"/>
    <w:rsid w:val="4EFF7126"/>
    <w:rsid w:val="4FC450D1"/>
    <w:rsid w:val="512741F2"/>
    <w:rsid w:val="52020133"/>
    <w:rsid w:val="52E109CE"/>
    <w:rsid w:val="55E203EF"/>
    <w:rsid w:val="565517A6"/>
    <w:rsid w:val="56B70908"/>
    <w:rsid w:val="5BA63431"/>
    <w:rsid w:val="5F580DB2"/>
    <w:rsid w:val="5FA357B7"/>
    <w:rsid w:val="60A606DE"/>
    <w:rsid w:val="63B93048"/>
    <w:rsid w:val="64690492"/>
    <w:rsid w:val="683D1D0F"/>
    <w:rsid w:val="69994111"/>
    <w:rsid w:val="69A60D8C"/>
    <w:rsid w:val="6D123C61"/>
    <w:rsid w:val="6D655CEE"/>
    <w:rsid w:val="6DE06535"/>
    <w:rsid w:val="6E2370AF"/>
    <w:rsid w:val="6FF60557"/>
    <w:rsid w:val="71C04F18"/>
    <w:rsid w:val="748E12E6"/>
    <w:rsid w:val="753E0AC3"/>
    <w:rsid w:val="757716C0"/>
    <w:rsid w:val="75983A60"/>
    <w:rsid w:val="7715608F"/>
    <w:rsid w:val="7B4B6523"/>
    <w:rsid w:val="7C204707"/>
    <w:rsid w:val="7CD14D5D"/>
    <w:rsid w:val="7D5B2033"/>
    <w:rsid w:val="7D883D66"/>
    <w:rsid w:val="7E1A24A2"/>
    <w:rsid w:val="7EAD3051"/>
    <w:rsid w:val="7F684C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next w:val="1"/>
    <w:qFormat/>
    <w:uiPriority w:val="99"/>
    <w:pPr>
      <w:spacing w:after="120"/>
    </w:pPr>
  </w:style>
  <w:style w:type="paragraph" w:styleId="7">
    <w:name w:val="Body Text Indent"/>
    <w:basedOn w:val="1"/>
    <w:qFormat/>
    <w:uiPriority w:val="0"/>
    <w:pPr>
      <w:spacing w:after="120"/>
      <w:ind w:left="420" w:leftChars="200"/>
    </w:pPr>
    <w:rPr>
      <w:rFonts w:ascii="Times New Roman" w:hAnsi="Times New Roman"/>
    </w:rPr>
  </w:style>
  <w:style w:type="paragraph" w:styleId="8">
    <w:name w:val="Balloon Text"/>
    <w:basedOn w:val="1"/>
    <w:link w:val="17"/>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Body Text First Indent 2"/>
    <w:basedOn w:val="7"/>
    <w:qFormat/>
    <w:uiPriority w:val="0"/>
    <w:pPr>
      <w:widowControl/>
      <w:ind w:firstLine="420" w:firstLineChars="200"/>
      <w:jc w:val="left"/>
    </w:pPr>
    <w:rPr>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customStyle="1" w:styleId="17">
    <w:name w:val="批注框文本 Char"/>
    <w:basedOn w:val="15"/>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6</Pages>
  <Words>1822</Words>
  <Characters>1924</Characters>
  <Lines>54</Lines>
  <Paragraphs>15</Paragraphs>
  <TotalTime>0</TotalTime>
  <ScaleCrop>false</ScaleCrop>
  <LinksUpToDate>false</LinksUpToDate>
  <CharactersWithSpaces>1977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2023-04-09T01:34:00Z</dcterms:created>
  <dc:creator>倪亚丽13875757755</dc:creator>
  <cp:lastModifiedBy>黎明之光</cp:lastModifiedBy>
  <cp:lastPrinted>2024-07-25T01:26:00Z</cp:lastPrinted>
  <dcterms:modified xsi:type="dcterms:W3CDTF">2024-10-28T02:03:17Z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B096C411928A44C3B36B52A74023EB8C_13</vt:lpwstr>
  </property>
</Properties>
</file>