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A5FDE">
      <w:pPr>
        <w:pStyle w:val="4"/>
        <w:spacing w:line="360" w:lineRule="exact"/>
        <w:ind w:firstLine="0" w:firstLineChars="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rPr>
        <w:t>3</w:t>
      </w:r>
    </w:p>
    <w:p w14:paraId="345F4B6E">
      <w:pPr>
        <w:jc w:val="center"/>
        <w:rPr>
          <w:rFonts w:ascii="宋体" w:hAnsi="宋体" w:eastAsia="宋体" w:cs="宋体"/>
          <w:b/>
          <w:bCs/>
          <w:color w:val="auto"/>
          <w:sz w:val="32"/>
          <w:szCs w:val="32"/>
        </w:rPr>
      </w:pPr>
      <w:r>
        <w:rPr>
          <w:rFonts w:hint="eastAsia" w:ascii="宋体" w:hAnsi="宋体" w:eastAsia="宋体" w:cs="宋体"/>
          <w:b/>
          <w:bCs/>
          <w:color w:val="auto"/>
          <w:sz w:val="32"/>
          <w:szCs w:val="32"/>
        </w:rPr>
        <w:t>湖南省审计厅购买常年法律顾问服务</w:t>
      </w:r>
    </w:p>
    <w:tbl>
      <w:tblPr>
        <w:tblStyle w:val="5"/>
        <w:tblpPr w:leftFromText="180" w:rightFromText="180" w:vertAnchor="text" w:horzAnchor="page" w:tblpX="1327" w:tblpY="826"/>
        <w:tblOverlap w:val="never"/>
        <w:tblW w:w="947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3"/>
        <w:gridCol w:w="809"/>
        <w:gridCol w:w="849"/>
        <w:gridCol w:w="850"/>
        <w:gridCol w:w="6477"/>
      </w:tblGrid>
      <w:tr w14:paraId="34B50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493" w:type="dxa"/>
            <w:vMerge w:val="restart"/>
            <w:tcBorders>
              <w:top w:val="double" w:color="auto" w:sz="4" w:space="0"/>
              <w:bottom w:val="single" w:color="auto" w:sz="4" w:space="0"/>
              <w:right w:val="single" w:color="auto" w:sz="4" w:space="0"/>
            </w:tcBorders>
            <w:vAlign w:val="center"/>
          </w:tcPr>
          <w:p w14:paraId="64E03D62">
            <w:pPr>
              <w:jc w:val="center"/>
              <w:rPr>
                <w:rFonts w:ascii="宋体" w:hAnsi="宋体" w:cs="宋体"/>
                <w:color w:val="auto"/>
                <w:szCs w:val="21"/>
              </w:rPr>
            </w:pPr>
            <w:r>
              <w:rPr>
                <w:rFonts w:hint="eastAsia" w:ascii="宋体" w:hAnsi="宋体" w:eastAsia="宋体" w:cs="宋体"/>
                <w:b/>
                <w:bCs/>
                <w:color w:val="auto"/>
                <w:sz w:val="32"/>
                <w:szCs w:val="32"/>
              </w:rPr>
              <w:t>评审因素和标准</w:t>
            </w:r>
          </w:p>
        </w:tc>
        <w:tc>
          <w:tcPr>
            <w:tcW w:w="1658" w:type="dxa"/>
            <w:gridSpan w:val="2"/>
            <w:tcBorders>
              <w:left w:val="single" w:color="auto" w:sz="4" w:space="0"/>
              <w:bottom w:val="single" w:color="auto" w:sz="4" w:space="0"/>
              <w:right w:val="single" w:color="auto" w:sz="4" w:space="0"/>
            </w:tcBorders>
            <w:vAlign w:val="center"/>
          </w:tcPr>
          <w:p w14:paraId="0770827F">
            <w:pPr>
              <w:adjustRightInd w:val="0"/>
              <w:snapToGrid w:val="0"/>
              <w:spacing w:beforeLines="50" w:line="360" w:lineRule="auto"/>
              <w:jc w:val="center"/>
              <w:rPr>
                <w:rFonts w:ascii="宋体" w:hAnsi="宋体" w:cs="宋体"/>
                <w:b/>
                <w:color w:val="auto"/>
                <w:szCs w:val="21"/>
              </w:rPr>
            </w:pPr>
            <w:r>
              <w:rPr>
                <w:rFonts w:hint="eastAsia" w:ascii="宋体" w:hAnsi="宋体" w:cs="宋体"/>
                <w:b/>
                <w:color w:val="auto"/>
                <w:szCs w:val="21"/>
              </w:rPr>
              <w:t>评审因素</w:t>
            </w:r>
          </w:p>
        </w:tc>
        <w:tc>
          <w:tcPr>
            <w:tcW w:w="850" w:type="dxa"/>
            <w:tcBorders>
              <w:left w:val="single" w:color="auto" w:sz="4" w:space="0"/>
              <w:bottom w:val="single" w:color="auto" w:sz="4" w:space="0"/>
              <w:right w:val="single" w:color="auto" w:sz="4" w:space="0"/>
            </w:tcBorders>
            <w:vAlign w:val="center"/>
          </w:tcPr>
          <w:p w14:paraId="3F21A342">
            <w:pPr>
              <w:adjustRightInd w:val="0"/>
              <w:snapToGrid w:val="0"/>
              <w:spacing w:beforeLines="50" w:line="360" w:lineRule="auto"/>
              <w:jc w:val="center"/>
              <w:rPr>
                <w:rFonts w:ascii="宋体" w:hAnsi="宋体" w:cs="宋体"/>
                <w:b/>
                <w:color w:val="auto"/>
                <w:szCs w:val="21"/>
              </w:rPr>
            </w:pPr>
            <w:r>
              <w:rPr>
                <w:rFonts w:hint="eastAsia" w:ascii="宋体" w:hAnsi="宋体" w:cs="宋体"/>
                <w:b/>
                <w:color w:val="auto"/>
                <w:szCs w:val="21"/>
              </w:rPr>
              <w:t>分值</w:t>
            </w:r>
          </w:p>
        </w:tc>
        <w:tc>
          <w:tcPr>
            <w:tcW w:w="6477" w:type="dxa"/>
            <w:tcBorders>
              <w:left w:val="single" w:color="auto" w:sz="4" w:space="0"/>
              <w:bottom w:val="single" w:color="auto" w:sz="4" w:space="0"/>
            </w:tcBorders>
            <w:vAlign w:val="center"/>
          </w:tcPr>
          <w:p w14:paraId="2A021998">
            <w:pPr>
              <w:adjustRightInd w:val="0"/>
              <w:snapToGrid w:val="0"/>
              <w:spacing w:beforeLines="50" w:line="360" w:lineRule="auto"/>
              <w:jc w:val="center"/>
              <w:rPr>
                <w:rFonts w:ascii="宋体" w:hAnsi="宋体" w:cs="宋体"/>
                <w:b/>
                <w:color w:val="auto"/>
                <w:szCs w:val="21"/>
              </w:rPr>
            </w:pPr>
            <w:r>
              <w:rPr>
                <w:rFonts w:hint="eastAsia" w:ascii="宋体" w:hAnsi="宋体" w:cs="宋体"/>
                <w:b/>
                <w:color w:val="auto"/>
                <w:szCs w:val="21"/>
              </w:rPr>
              <w:t>评分标准</w:t>
            </w:r>
          </w:p>
        </w:tc>
      </w:tr>
      <w:tr w14:paraId="4714AE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7" w:hRule="atLeast"/>
        </w:trPr>
        <w:tc>
          <w:tcPr>
            <w:tcW w:w="493" w:type="dxa"/>
            <w:vMerge w:val="continue"/>
            <w:tcBorders>
              <w:top w:val="single" w:color="auto" w:sz="4" w:space="0"/>
              <w:bottom w:val="single" w:color="auto" w:sz="4" w:space="0"/>
              <w:right w:val="single" w:color="auto" w:sz="4" w:space="0"/>
            </w:tcBorders>
            <w:vAlign w:val="center"/>
          </w:tcPr>
          <w:p w14:paraId="0A3873C2">
            <w:pPr>
              <w:adjustRightInd w:val="0"/>
              <w:snapToGrid w:val="0"/>
              <w:spacing w:beforeLines="50" w:line="360" w:lineRule="auto"/>
              <w:jc w:val="center"/>
              <w:rPr>
                <w:rFonts w:ascii="宋体" w:hAnsi="宋体" w:cs="宋体"/>
                <w:color w:val="auto"/>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6973A4D4">
            <w:pPr>
              <w:snapToGrid w:val="0"/>
              <w:spacing w:line="300" w:lineRule="exact"/>
              <w:ind w:left="625" w:leftChars="1" w:hanging="623" w:hangingChars="297"/>
              <w:jc w:val="center"/>
              <w:rPr>
                <w:rFonts w:ascii="宋体" w:hAnsi="宋体" w:cs="仿宋"/>
                <w:color w:val="auto"/>
                <w:szCs w:val="21"/>
              </w:rPr>
            </w:pPr>
            <w:r>
              <w:rPr>
                <w:rFonts w:hint="eastAsia" w:ascii="宋体" w:hAnsi="宋体" w:cs="仿宋"/>
                <w:color w:val="auto"/>
                <w:szCs w:val="21"/>
              </w:rPr>
              <w:t>投标</w:t>
            </w:r>
          </w:p>
          <w:p w14:paraId="47692C8A">
            <w:pPr>
              <w:snapToGrid w:val="0"/>
              <w:spacing w:line="300" w:lineRule="exact"/>
              <w:ind w:left="625" w:leftChars="1" w:hanging="623" w:hangingChars="297"/>
              <w:jc w:val="center"/>
              <w:rPr>
                <w:rFonts w:ascii="宋体" w:hAnsi="宋体" w:cs="仿宋"/>
                <w:color w:val="auto"/>
                <w:szCs w:val="21"/>
              </w:rPr>
            </w:pPr>
            <w:r>
              <w:rPr>
                <w:rFonts w:hint="eastAsia" w:ascii="宋体" w:hAnsi="宋体" w:cs="仿宋"/>
                <w:color w:val="auto"/>
                <w:szCs w:val="21"/>
              </w:rPr>
              <w:t>报价</w:t>
            </w:r>
          </w:p>
          <w:p w14:paraId="51236484">
            <w:pPr>
              <w:snapToGrid w:val="0"/>
              <w:spacing w:line="300" w:lineRule="exact"/>
              <w:ind w:left="625" w:leftChars="1" w:hanging="623" w:hangingChars="297"/>
              <w:jc w:val="center"/>
              <w:rPr>
                <w:rFonts w:ascii="宋体" w:hAnsi="宋体"/>
                <w:color w:val="auto"/>
                <w:szCs w:val="21"/>
              </w:rPr>
            </w:pPr>
            <w:r>
              <w:rPr>
                <w:rFonts w:hint="eastAsia" w:ascii="宋体" w:hAnsi="宋体" w:cs="仿宋"/>
                <w:color w:val="auto"/>
                <w:szCs w:val="21"/>
              </w:rPr>
              <w:t>（10分）</w:t>
            </w:r>
          </w:p>
        </w:tc>
        <w:tc>
          <w:tcPr>
            <w:tcW w:w="850" w:type="dxa"/>
            <w:tcBorders>
              <w:top w:val="single" w:color="auto" w:sz="4" w:space="0"/>
              <w:left w:val="single" w:color="auto" w:sz="4" w:space="0"/>
              <w:bottom w:val="single" w:color="auto" w:sz="4" w:space="0"/>
              <w:right w:val="single" w:color="auto" w:sz="4" w:space="0"/>
            </w:tcBorders>
            <w:vAlign w:val="center"/>
          </w:tcPr>
          <w:p w14:paraId="129FE9F9">
            <w:pPr>
              <w:spacing w:line="440" w:lineRule="exact"/>
              <w:jc w:val="center"/>
              <w:rPr>
                <w:rFonts w:ascii="宋体" w:hAnsi="宋体"/>
                <w:color w:val="auto"/>
                <w:szCs w:val="21"/>
              </w:rPr>
            </w:pPr>
            <w:r>
              <w:rPr>
                <w:rFonts w:hint="eastAsia" w:ascii="宋体" w:hAnsi="宋体" w:cs="宋体"/>
                <w:color w:val="auto"/>
              </w:rPr>
              <w:t>10分</w:t>
            </w:r>
          </w:p>
        </w:tc>
        <w:tc>
          <w:tcPr>
            <w:tcW w:w="6477" w:type="dxa"/>
            <w:tcBorders>
              <w:top w:val="single" w:color="auto" w:sz="4" w:space="0"/>
              <w:left w:val="single" w:color="auto" w:sz="4" w:space="0"/>
              <w:bottom w:val="single" w:color="auto" w:sz="4" w:space="0"/>
            </w:tcBorders>
            <w:vAlign w:val="center"/>
          </w:tcPr>
          <w:p w14:paraId="32ADD6CB">
            <w:pPr>
              <w:adjustRightInd w:val="0"/>
              <w:snapToGrid w:val="0"/>
              <w:spacing w:before="100" w:beforeAutospacing="1" w:line="360" w:lineRule="auto"/>
              <w:jc w:val="left"/>
              <w:rPr>
                <w:rFonts w:ascii="宋体" w:hAnsi="宋体"/>
                <w:color w:val="auto"/>
              </w:rPr>
            </w:pPr>
            <w:r>
              <w:rPr>
                <w:rFonts w:hint="eastAsia" w:ascii="宋体" w:hAnsi="宋体" w:cs="宋体"/>
                <w:color w:val="auto"/>
              </w:rPr>
              <w:t>以经评标委员会认定满足招标文件要求的投标人的报价的算术平均值为基准价，报价等于基准价的记10分，每偏离基准价满</w:t>
            </w:r>
            <w:r>
              <w:rPr>
                <w:rFonts w:hint="eastAsia" w:ascii="宋体" w:hAnsi="宋体" w:cs="宋体"/>
                <w:color w:val="auto"/>
                <w:lang w:val="en-US" w:eastAsia="zh-CN"/>
              </w:rPr>
              <w:t>1000</w:t>
            </w:r>
            <w:r>
              <w:rPr>
                <w:rFonts w:hint="eastAsia" w:ascii="宋体" w:hAnsi="宋体" w:cs="宋体"/>
                <w:color w:val="auto"/>
              </w:rPr>
              <w:t>元扣0.2分，最多扣分为10分。</w:t>
            </w:r>
          </w:p>
        </w:tc>
      </w:tr>
      <w:tr w14:paraId="5F644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493" w:type="dxa"/>
            <w:vMerge w:val="continue"/>
            <w:tcBorders>
              <w:top w:val="single" w:color="auto" w:sz="4" w:space="0"/>
              <w:bottom w:val="single" w:color="auto" w:sz="4" w:space="0"/>
              <w:right w:val="single" w:color="auto" w:sz="4" w:space="0"/>
            </w:tcBorders>
            <w:vAlign w:val="center"/>
          </w:tcPr>
          <w:p w14:paraId="2380AB88">
            <w:pPr>
              <w:adjustRightInd w:val="0"/>
              <w:snapToGrid w:val="0"/>
              <w:spacing w:beforeLines="50" w:line="360" w:lineRule="auto"/>
              <w:jc w:val="center"/>
              <w:rPr>
                <w:rFonts w:ascii="宋体" w:hAnsi="宋体" w:cs="宋体"/>
                <w:color w:val="auto"/>
                <w:szCs w:val="21"/>
              </w:rPr>
            </w:pPr>
          </w:p>
        </w:tc>
        <w:tc>
          <w:tcPr>
            <w:tcW w:w="1658" w:type="dxa"/>
            <w:gridSpan w:val="2"/>
            <w:vMerge w:val="restart"/>
            <w:tcBorders>
              <w:top w:val="single" w:color="auto" w:sz="4" w:space="0"/>
              <w:left w:val="single" w:color="auto" w:sz="4" w:space="0"/>
              <w:right w:val="single" w:color="auto" w:sz="4" w:space="0"/>
            </w:tcBorders>
            <w:vAlign w:val="center"/>
          </w:tcPr>
          <w:p w14:paraId="1C820F85">
            <w:pPr>
              <w:snapToGrid w:val="0"/>
              <w:spacing w:line="300" w:lineRule="exact"/>
              <w:jc w:val="center"/>
              <w:rPr>
                <w:rFonts w:ascii="宋体" w:hAnsi="宋体" w:cs="仿宋"/>
                <w:color w:val="auto"/>
                <w:szCs w:val="21"/>
              </w:rPr>
            </w:pPr>
            <w:r>
              <w:rPr>
                <w:rFonts w:hint="eastAsia" w:ascii="宋体" w:hAnsi="宋体" w:cs="仿宋"/>
                <w:color w:val="auto"/>
                <w:szCs w:val="21"/>
              </w:rPr>
              <w:t>服务</w:t>
            </w:r>
          </w:p>
          <w:p w14:paraId="3038260F">
            <w:pPr>
              <w:snapToGrid w:val="0"/>
              <w:spacing w:line="300" w:lineRule="exact"/>
              <w:jc w:val="center"/>
              <w:rPr>
                <w:rFonts w:hint="eastAsia" w:ascii="宋体" w:hAnsi="宋体" w:cs="仿宋"/>
                <w:color w:val="auto"/>
                <w:szCs w:val="21"/>
              </w:rPr>
            </w:pPr>
            <w:r>
              <w:rPr>
                <w:rFonts w:hint="eastAsia" w:ascii="宋体" w:hAnsi="宋体" w:cs="仿宋"/>
                <w:color w:val="auto"/>
                <w:szCs w:val="21"/>
              </w:rPr>
              <w:t>方案</w:t>
            </w:r>
          </w:p>
          <w:p w14:paraId="3EF5E0E8">
            <w:pPr>
              <w:snapToGrid w:val="0"/>
              <w:spacing w:line="300" w:lineRule="exact"/>
              <w:jc w:val="center"/>
              <w:rPr>
                <w:rFonts w:ascii="宋体" w:hAnsi="宋体"/>
                <w:color w:val="auto"/>
                <w:szCs w:val="21"/>
              </w:rPr>
            </w:pPr>
            <w:r>
              <w:rPr>
                <w:rFonts w:hint="eastAsia" w:ascii="宋体" w:hAnsi="宋体" w:cs="仿宋"/>
                <w:color w:val="auto"/>
                <w:szCs w:val="21"/>
              </w:rPr>
              <w:t>（50分）</w:t>
            </w:r>
          </w:p>
        </w:tc>
        <w:tc>
          <w:tcPr>
            <w:tcW w:w="850" w:type="dxa"/>
            <w:tcBorders>
              <w:top w:val="single" w:color="auto" w:sz="4" w:space="0"/>
              <w:left w:val="single" w:color="auto" w:sz="4" w:space="0"/>
              <w:bottom w:val="single" w:color="auto" w:sz="4" w:space="0"/>
              <w:right w:val="single" w:color="auto" w:sz="4" w:space="0"/>
            </w:tcBorders>
            <w:vAlign w:val="center"/>
          </w:tcPr>
          <w:p w14:paraId="6DB10AC2">
            <w:pPr>
              <w:snapToGrid w:val="0"/>
              <w:spacing w:line="300" w:lineRule="exact"/>
              <w:ind w:left="624" w:hanging="623" w:hangingChars="297"/>
              <w:contextualSpacing/>
              <w:jc w:val="center"/>
              <w:rPr>
                <w:rFonts w:ascii="宋体" w:hAnsi="宋体"/>
                <w:color w:val="auto"/>
                <w:szCs w:val="21"/>
              </w:rPr>
            </w:pPr>
            <w:r>
              <w:rPr>
                <w:rFonts w:hint="eastAsia" w:ascii="宋体" w:hAnsi="宋体"/>
                <w:color w:val="auto"/>
                <w:szCs w:val="21"/>
              </w:rPr>
              <w:t>15分</w:t>
            </w:r>
          </w:p>
        </w:tc>
        <w:tc>
          <w:tcPr>
            <w:tcW w:w="6477" w:type="dxa"/>
            <w:tcBorders>
              <w:top w:val="single" w:color="auto" w:sz="4" w:space="0"/>
              <w:left w:val="single" w:color="auto" w:sz="4" w:space="0"/>
              <w:bottom w:val="single" w:color="auto" w:sz="4" w:space="0"/>
            </w:tcBorders>
            <w:vAlign w:val="center"/>
          </w:tcPr>
          <w:p w14:paraId="78D6D9A9">
            <w:pPr>
              <w:widowControl/>
              <w:adjustRightInd w:val="0"/>
              <w:snapToGrid w:val="0"/>
              <w:spacing w:before="100" w:beforeAutospacing="1" w:line="360" w:lineRule="auto"/>
              <w:jc w:val="left"/>
              <w:textAlignment w:val="center"/>
              <w:rPr>
                <w:rFonts w:ascii="宋体" w:hAnsi="宋体" w:cs="宋体"/>
                <w:color w:val="auto"/>
                <w:szCs w:val="21"/>
              </w:rPr>
            </w:pPr>
            <w:r>
              <w:rPr>
                <w:rFonts w:hint="eastAsia" w:ascii="宋体" w:hAnsi="宋体" w:cs="宋体"/>
                <w:color w:val="auto"/>
              </w:rPr>
              <w:t>方案完整性：视方案对选聘需求的响应及满足程度、方案本身的系统完整程度进行综合评定。优计13（含）-15分，良计10（含）-13（不含）分，一般计5（含）-10（不含）分，没有</w:t>
            </w:r>
            <w:r>
              <w:rPr>
                <w:rFonts w:hint="eastAsia" w:ascii="宋体" w:hAnsi="宋体" w:cs="宋体"/>
                <w:color w:val="auto"/>
                <w:lang w:val="en-US" w:eastAsia="zh-CN"/>
              </w:rPr>
              <w:t>方案</w:t>
            </w:r>
            <w:r>
              <w:rPr>
                <w:rFonts w:hint="eastAsia" w:ascii="宋体" w:hAnsi="宋体" w:cs="宋体"/>
                <w:color w:val="auto"/>
              </w:rPr>
              <w:t>不计分。</w:t>
            </w:r>
          </w:p>
        </w:tc>
      </w:tr>
      <w:tr w14:paraId="1805D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493" w:type="dxa"/>
            <w:vMerge w:val="continue"/>
            <w:tcBorders>
              <w:top w:val="single" w:color="auto" w:sz="4" w:space="0"/>
              <w:bottom w:val="single" w:color="auto" w:sz="4" w:space="0"/>
              <w:right w:val="single" w:color="auto" w:sz="4" w:space="0"/>
            </w:tcBorders>
            <w:vAlign w:val="center"/>
          </w:tcPr>
          <w:p w14:paraId="253D17E2">
            <w:pPr>
              <w:adjustRightInd w:val="0"/>
              <w:snapToGrid w:val="0"/>
              <w:spacing w:beforeLines="50" w:line="360" w:lineRule="auto"/>
              <w:jc w:val="center"/>
              <w:rPr>
                <w:rFonts w:ascii="宋体" w:hAnsi="宋体" w:cs="宋体"/>
                <w:color w:val="auto"/>
                <w:szCs w:val="21"/>
              </w:rPr>
            </w:pPr>
          </w:p>
        </w:tc>
        <w:tc>
          <w:tcPr>
            <w:tcW w:w="1658" w:type="dxa"/>
            <w:gridSpan w:val="2"/>
            <w:vMerge w:val="continue"/>
            <w:tcBorders>
              <w:left w:val="single" w:color="auto" w:sz="4" w:space="0"/>
              <w:right w:val="single" w:color="auto" w:sz="4" w:space="0"/>
            </w:tcBorders>
            <w:vAlign w:val="center"/>
          </w:tcPr>
          <w:p w14:paraId="33855835">
            <w:pPr>
              <w:adjustRightInd w:val="0"/>
              <w:snapToGrid w:val="0"/>
              <w:spacing w:line="300" w:lineRule="exact"/>
              <w:jc w:val="left"/>
              <w:rPr>
                <w:rFonts w:ascii="宋体" w:hAnsi="宋体" w:cs="仿宋"/>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33E67E">
            <w:pPr>
              <w:snapToGrid w:val="0"/>
              <w:spacing w:line="300" w:lineRule="exact"/>
              <w:ind w:left="624" w:hanging="623" w:hangingChars="297"/>
              <w:contextualSpacing/>
              <w:jc w:val="center"/>
              <w:rPr>
                <w:rFonts w:ascii="宋体" w:hAnsi="宋体"/>
                <w:color w:val="auto"/>
                <w:szCs w:val="21"/>
              </w:rPr>
            </w:pPr>
            <w:r>
              <w:rPr>
                <w:rFonts w:hint="eastAsia" w:ascii="宋体" w:hAnsi="宋体" w:cs="宋体"/>
                <w:color w:val="auto"/>
                <w:szCs w:val="21"/>
              </w:rPr>
              <w:t>15分</w:t>
            </w:r>
          </w:p>
        </w:tc>
        <w:tc>
          <w:tcPr>
            <w:tcW w:w="6477" w:type="dxa"/>
            <w:tcBorders>
              <w:top w:val="single" w:color="auto" w:sz="4" w:space="0"/>
              <w:left w:val="single" w:color="auto" w:sz="4" w:space="0"/>
              <w:bottom w:val="single" w:color="auto" w:sz="4" w:space="0"/>
            </w:tcBorders>
            <w:vAlign w:val="center"/>
          </w:tcPr>
          <w:p w14:paraId="6669D652">
            <w:pPr>
              <w:widowControl/>
              <w:adjustRightInd w:val="0"/>
              <w:snapToGrid w:val="0"/>
              <w:spacing w:before="100" w:beforeAutospacing="1" w:line="360" w:lineRule="auto"/>
              <w:jc w:val="left"/>
              <w:textAlignment w:val="center"/>
              <w:rPr>
                <w:rFonts w:ascii="宋体" w:hAnsi="宋体" w:cs="宋体"/>
                <w:color w:val="auto"/>
                <w:szCs w:val="21"/>
              </w:rPr>
            </w:pPr>
            <w:r>
              <w:rPr>
                <w:rFonts w:hint="eastAsia" w:ascii="宋体" w:hAnsi="宋体" w:cs="宋体"/>
                <w:color w:val="auto"/>
              </w:rPr>
              <w:t>方案针对性：依据方案中人员力量配备、工作方法举措等是否与选聘方的行业属性、事务及业务性质相匹配，是否与各项需求相吻合等情况进行综合评定。优计13（含）-15分，良计10（含）-13（不含）分，一般计5（含）-10（不含），没有</w:t>
            </w:r>
            <w:r>
              <w:rPr>
                <w:rFonts w:hint="eastAsia" w:ascii="宋体" w:hAnsi="宋体" w:cs="宋体"/>
                <w:color w:val="auto"/>
                <w:lang w:val="en-US" w:eastAsia="zh-CN"/>
              </w:rPr>
              <w:t>方案</w:t>
            </w:r>
            <w:r>
              <w:rPr>
                <w:rFonts w:hint="eastAsia" w:ascii="宋体" w:hAnsi="宋体" w:cs="宋体"/>
                <w:color w:val="auto"/>
              </w:rPr>
              <w:t>不计分。</w:t>
            </w:r>
          </w:p>
        </w:tc>
      </w:tr>
      <w:tr w14:paraId="38E02A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493" w:type="dxa"/>
            <w:vMerge w:val="continue"/>
            <w:tcBorders>
              <w:top w:val="single" w:color="auto" w:sz="4" w:space="0"/>
              <w:bottom w:val="single" w:color="auto" w:sz="4" w:space="0"/>
              <w:right w:val="single" w:color="auto" w:sz="4" w:space="0"/>
            </w:tcBorders>
            <w:vAlign w:val="center"/>
          </w:tcPr>
          <w:p w14:paraId="24ECA9CA">
            <w:pPr>
              <w:adjustRightInd w:val="0"/>
              <w:snapToGrid w:val="0"/>
              <w:spacing w:beforeLines="50" w:line="360" w:lineRule="auto"/>
              <w:jc w:val="center"/>
              <w:rPr>
                <w:rFonts w:ascii="宋体" w:hAnsi="宋体" w:cs="宋体"/>
                <w:color w:val="auto"/>
                <w:szCs w:val="21"/>
              </w:rPr>
            </w:pPr>
          </w:p>
        </w:tc>
        <w:tc>
          <w:tcPr>
            <w:tcW w:w="1658" w:type="dxa"/>
            <w:gridSpan w:val="2"/>
            <w:vMerge w:val="continue"/>
            <w:tcBorders>
              <w:left w:val="single" w:color="auto" w:sz="4" w:space="0"/>
              <w:right w:val="single" w:color="auto" w:sz="4" w:space="0"/>
            </w:tcBorders>
            <w:vAlign w:val="center"/>
          </w:tcPr>
          <w:p w14:paraId="46ECA0F4">
            <w:pPr>
              <w:adjustRightInd w:val="0"/>
              <w:snapToGrid w:val="0"/>
              <w:spacing w:line="300" w:lineRule="exact"/>
              <w:jc w:val="left"/>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244A0F">
            <w:pPr>
              <w:snapToGrid w:val="0"/>
              <w:spacing w:line="300" w:lineRule="exact"/>
              <w:ind w:left="624" w:hanging="623" w:hangingChars="297"/>
              <w:contextualSpacing/>
              <w:jc w:val="center"/>
              <w:rPr>
                <w:rFonts w:ascii="宋体" w:hAnsi="宋体" w:cs="宋体"/>
                <w:color w:val="auto"/>
                <w:szCs w:val="21"/>
              </w:rPr>
            </w:pPr>
            <w:r>
              <w:rPr>
                <w:rFonts w:hint="eastAsia" w:ascii="宋体" w:hAnsi="宋体" w:cs="宋体"/>
                <w:color w:val="auto"/>
                <w:szCs w:val="21"/>
              </w:rPr>
              <w:t>10分</w:t>
            </w:r>
          </w:p>
        </w:tc>
        <w:tc>
          <w:tcPr>
            <w:tcW w:w="6477" w:type="dxa"/>
            <w:tcBorders>
              <w:top w:val="single" w:color="auto" w:sz="4" w:space="0"/>
              <w:left w:val="single" w:color="auto" w:sz="4" w:space="0"/>
              <w:bottom w:val="single" w:color="auto" w:sz="4" w:space="0"/>
            </w:tcBorders>
            <w:vAlign w:val="center"/>
          </w:tcPr>
          <w:p w14:paraId="4F73E2CC">
            <w:pPr>
              <w:adjustRightInd w:val="0"/>
              <w:snapToGrid w:val="0"/>
              <w:spacing w:before="100" w:beforeAutospacing="1" w:line="360" w:lineRule="auto"/>
              <w:jc w:val="left"/>
              <w:rPr>
                <w:rFonts w:ascii="宋体" w:hAnsi="宋体" w:cs="宋体"/>
                <w:color w:val="auto"/>
              </w:rPr>
            </w:pPr>
            <w:r>
              <w:rPr>
                <w:rFonts w:hint="eastAsia" w:ascii="宋体" w:hAnsi="宋体" w:cs="宋体"/>
                <w:color w:val="auto"/>
              </w:rPr>
              <w:t>方案可行性：依据方案是否具体与选聘方要求明确契合，能够完整施行实现预期服务目标等情况综合评定。优计8（含）-10分，良计5（含）-8（不含）分，一般计2（含）-5（不含）分，没有</w:t>
            </w:r>
            <w:r>
              <w:rPr>
                <w:rFonts w:hint="eastAsia" w:ascii="宋体" w:hAnsi="宋体" w:cs="宋体"/>
                <w:color w:val="auto"/>
                <w:lang w:val="en-US" w:eastAsia="zh-CN"/>
              </w:rPr>
              <w:t>方案</w:t>
            </w:r>
            <w:r>
              <w:rPr>
                <w:rFonts w:hint="eastAsia" w:ascii="宋体" w:hAnsi="宋体" w:cs="宋体"/>
                <w:color w:val="auto"/>
              </w:rPr>
              <w:t>不计分。</w:t>
            </w:r>
          </w:p>
        </w:tc>
      </w:tr>
      <w:tr w14:paraId="789D4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493" w:type="dxa"/>
            <w:vMerge w:val="continue"/>
            <w:tcBorders>
              <w:top w:val="single" w:color="auto" w:sz="4" w:space="0"/>
              <w:bottom w:val="single" w:color="auto" w:sz="4" w:space="0"/>
              <w:right w:val="single" w:color="auto" w:sz="4" w:space="0"/>
            </w:tcBorders>
            <w:vAlign w:val="center"/>
          </w:tcPr>
          <w:p w14:paraId="339927C8">
            <w:pPr>
              <w:adjustRightInd w:val="0"/>
              <w:snapToGrid w:val="0"/>
              <w:spacing w:beforeLines="50" w:line="360" w:lineRule="auto"/>
              <w:jc w:val="center"/>
              <w:rPr>
                <w:rFonts w:ascii="宋体" w:hAnsi="宋体" w:cs="宋体"/>
                <w:color w:val="auto"/>
                <w:szCs w:val="21"/>
              </w:rPr>
            </w:pPr>
          </w:p>
        </w:tc>
        <w:tc>
          <w:tcPr>
            <w:tcW w:w="1658" w:type="dxa"/>
            <w:gridSpan w:val="2"/>
            <w:vMerge w:val="continue"/>
            <w:tcBorders>
              <w:left w:val="single" w:color="auto" w:sz="4" w:space="0"/>
              <w:bottom w:val="single" w:color="auto" w:sz="4" w:space="0"/>
              <w:right w:val="single" w:color="auto" w:sz="4" w:space="0"/>
            </w:tcBorders>
            <w:vAlign w:val="center"/>
          </w:tcPr>
          <w:p w14:paraId="1068B820">
            <w:pPr>
              <w:adjustRightInd w:val="0"/>
              <w:snapToGrid w:val="0"/>
              <w:spacing w:line="300" w:lineRule="exact"/>
              <w:jc w:val="left"/>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3937EF">
            <w:pPr>
              <w:snapToGrid w:val="0"/>
              <w:spacing w:line="300" w:lineRule="exact"/>
              <w:ind w:left="624" w:hanging="623" w:hangingChars="297"/>
              <w:contextualSpacing/>
              <w:jc w:val="center"/>
              <w:rPr>
                <w:rFonts w:ascii="宋体" w:hAnsi="宋体" w:cs="宋体"/>
                <w:color w:val="auto"/>
                <w:szCs w:val="21"/>
              </w:rPr>
            </w:pPr>
            <w:r>
              <w:rPr>
                <w:rFonts w:hint="eastAsia" w:ascii="宋体" w:hAnsi="宋体" w:cs="宋体"/>
                <w:color w:val="auto"/>
                <w:szCs w:val="21"/>
              </w:rPr>
              <w:t>10分</w:t>
            </w:r>
          </w:p>
        </w:tc>
        <w:tc>
          <w:tcPr>
            <w:tcW w:w="6477" w:type="dxa"/>
            <w:tcBorders>
              <w:top w:val="single" w:color="auto" w:sz="4" w:space="0"/>
              <w:left w:val="single" w:color="auto" w:sz="4" w:space="0"/>
              <w:bottom w:val="single" w:color="auto" w:sz="4" w:space="0"/>
            </w:tcBorders>
            <w:vAlign w:val="center"/>
          </w:tcPr>
          <w:p w14:paraId="2E97A0EC">
            <w:pPr>
              <w:adjustRightInd w:val="0"/>
              <w:snapToGrid w:val="0"/>
              <w:spacing w:before="100" w:beforeAutospacing="1" w:line="360" w:lineRule="auto"/>
              <w:jc w:val="left"/>
              <w:rPr>
                <w:rFonts w:ascii="宋体" w:hAnsi="宋体" w:cs="宋体"/>
                <w:color w:val="auto"/>
              </w:rPr>
            </w:pPr>
            <w:r>
              <w:rPr>
                <w:rFonts w:hint="eastAsia" w:ascii="宋体" w:hAnsi="宋体" w:cs="宋体"/>
                <w:color w:val="auto"/>
              </w:rPr>
              <w:t>服务事项质量管理与风险控制：根据服务事项所拟定的服务流程、服务方式、服务规范、风险控制措施等情况进行评定。优计8（含）-10分，良计5（含）-8（不含）分，一般计2（含）-5（不含）分，没有</w:t>
            </w:r>
            <w:r>
              <w:rPr>
                <w:rFonts w:hint="eastAsia" w:ascii="宋体" w:hAnsi="宋体" w:cs="宋体"/>
                <w:color w:val="auto"/>
                <w:lang w:val="en-US" w:eastAsia="zh-CN"/>
              </w:rPr>
              <w:t>方案</w:t>
            </w:r>
            <w:r>
              <w:rPr>
                <w:rFonts w:hint="eastAsia" w:ascii="宋体" w:hAnsi="宋体" w:cs="宋体"/>
                <w:color w:val="auto"/>
              </w:rPr>
              <w:t>不计分。</w:t>
            </w:r>
          </w:p>
        </w:tc>
      </w:tr>
      <w:tr w14:paraId="5FBBE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81" w:hRule="atLeast"/>
        </w:trPr>
        <w:tc>
          <w:tcPr>
            <w:tcW w:w="493" w:type="dxa"/>
            <w:vMerge w:val="continue"/>
            <w:tcBorders>
              <w:top w:val="single" w:color="auto" w:sz="4" w:space="0"/>
              <w:bottom w:val="single" w:color="auto" w:sz="4" w:space="0"/>
              <w:right w:val="single" w:color="auto" w:sz="4" w:space="0"/>
            </w:tcBorders>
            <w:vAlign w:val="center"/>
          </w:tcPr>
          <w:p w14:paraId="78E92474">
            <w:pPr>
              <w:adjustRightInd w:val="0"/>
              <w:snapToGrid w:val="0"/>
              <w:spacing w:beforeLines="50" w:line="360" w:lineRule="auto"/>
              <w:jc w:val="center"/>
              <w:rPr>
                <w:rFonts w:ascii="宋体" w:hAnsi="宋体" w:cs="宋体"/>
                <w:color w:val="auto"/>
                <w:szCs w:val="21"/>
              </w:rPr>
            </w:pPr>
          </w:p>
        </w:tc>
        <w:tc>
          <w:tcPr>
            <w:tcW w:w="809" w:type="dxa"/>
            <w:vMerge w:val="restart"/>
            <w:tcBorders>
              <w:top w:val="single" w:color="auto" w:sz="4" w:space="0"/>
              <w:left w:val="single" w:color="auto" w:sz="4" w:space="0"/>
              <w:right w:val="single" w:color="auto" w:sz="4" w:space="0"/>
            </w:tcBorders>
            <w:vAlign w:val="center"/>
          </w:tcPr>
          <w:p w14:paraId="057D3223">
            <w:pPr>
              <w:adjustRightInd w:val="0"/>
              <w:snapToGrid w:val="0"/>
              <w:spacing w:line="300" w:lineRule="exact"/>
              <w:jc w:val="center"/>
              <w:rPr>
                <w:rFonts w:ascii="宋体" w:hAnsi="宋体"/>
                <w:color w:val="auto"/>
              </w:rPr>
            </w:pPr>
            <w:r>
              <w:rPr>
                <w:rFonts w:hint="eastAsia" w:ascii="宋体" w:hAnsi="宋体"/>
                <w:color w:val="auto"/>
              </w:rPr>
              <w:t>商务</w:t>
            </w:r>
          </w:p>
          <w:p w14:paraId="27274CD8">
            <w:pPr>
              <w:adjustRightInd w:val="0"/>
              <w:snapToGrid w:val="0"/>
              <w:spacing w:line="300" w:lineRule="exact"/>
              <w:jc w:val="center"/>
              <w:rPr>
                <w:rFonts w:ascii="宋体" w:hAnsi="宋体"/>
                <w:color w:val="auto"/>
              </w:rPr>
            </w:pPr>
            <w:r>
              <w:rPr>
                <w:rFonts w:hint="eastAsia" w:ascii="宋体" w:hAnsi="宋体"/>
                <w:color w:val="auto"/>
              </w:rPr>
              <w:t>部分</w:t>
            </w:r>
          </w:p>
          <w:p w14:paraId="49496F2B">
            <w:pPr>
              <w:snapToGrid w:val="0"/>
              <w:spacing w:line="300" w:lineRule="exact"/>
              <w:ind w:left="625" w:leftChars="1" w:hanging="623" w:hangingChars="297"/>
              <w:jc w:val="center"/>
              <w:rPr>
                <w:rFonts w:ascii="宋体" w:hAnsi="宋体" w:cs="仿宋"/>
                <w:color w:val="auto"/>
                <w:kern w:val="0"/>
                <w:szCs w:val="21"/>
              </w:rPr>
            </w:pPr>
            <w:r>
              <w:rPr>
                <w:rFonts w:hint="eastAsia" w:ascii="宋体" w:hAnsi="宋体" w:cs="仿宋"/>
                <w:color w:val="auto"/>
                <w:kern w:val="0"/>
                <w:szCs w:val="21"/>
              </w:rPr>
              <w:t>（40</w:t>
            </w:r>
          </w:p>
          <w:p w14:paraId="63ED3314">
            <w:pPr>
              <w:snapToGrid w:val="0"/>
              <w:spacing w:line="300" w:lineRule="exact"/>
              <w:ind w:left="625" w:leftChars="1" w:hanging="623" w:hangingChars="297"/>
              <w:jc w:val="center"/>
              <w:rPr>
                <w:rFonts w:ascii="宋体" w:hAnsi="宋体"/>
                <w:color w:val="auto"/>
                <w:sz w:val="15"/>
                <w:szCs w:val="15"/>
              </w:rPr>
            </w:pPr>
            <w:r>
              <w:rPr>
                <w:rFonts w:hint="eastAsia" w:ascii="宋体" w:hAnsi="宋体" w:cs="仿宋"/>
                <w:color w:val="auto"/>
                <w:kern w:val="0"/>
                <w:szCs w:val="21"/>
              </w:rPr>
              <w:t>分）</w:t>
            </w:r>
          </w:p>
        </w:tc>
        <w:tc>
          <w:tcPr>
            <w:tcW w:w="849" w:type="dxa"/>
            <w:tcBorders>
              <w:top w:val="single" w:color="auto" w:sz="4" w:space="0"/>
              <w:left w:val="single" w:color="auto" w:sz="4" w:space="0"/>
              <w:bottom w:val="single" w:color="auto" w:sz="4" w:space="0"/>
              <w:right w:val="single" w:color="auto" w:sz="4" w:space="0"/>
            </w:tcBorders>
            <w:vAlign w:val="center"/>
          </w:tcPr>
          <w:p w14:paraId="7604EBF5">
            <w:pPr>
              <w:snapToGrid w:val="0"/>
              <w:spacing w:line="300" w:lineRule="exact"/>
              <w:jc w:val="center"/>
              <w:rPr>
                <w:rFonts w:ascii="宋体" w:hAnsi="宋体"/>
                <w:bCs/>
                <w:color w:val="auto"/>
                <w:szCs w:val="21"/>
              </w:rPr>
            </w:pPr>
            <w:r>
              <w:rPr>
                <w:rFonts w:hint="eastAsia" w:ascii="宋体" w:hAnsi="宋体"/>
                <w:bCs/>
                <w:color w:val="auto"/>
                <w:szCs w:val="21"/>
              </w:rPr>
              <w:t>类似业绩（20分）</w:t>
            </w:r>
          </w:p>
        </w:tc>
        <w:tc>
          <w:tcPr>
            <w:tcW w:w="850" w:type="dxa"/>
            <w:tcBorders>
              <w:top w:val="single" w:color="auto" w:sz="4" w:space="0"/>
              <w:left w:val="single" w:color="auto" w:sz="4" w:space="0"/>
              <w:bottom w:val="single" w:color="auto" w:sz="4" w:space="0"/>
              <w:right w:val="single" w:color="auto" w:sz="4" w:space="0"/>
            </w:tcBorders>
            <w:vAlign w:val="center"/>
          </w:tcPr>
          <w:p w14:paraId="6C4A0FC4">
            <w:pPr>
              <w:adjustRightInd w:val="0"/>
              <w:snapToGrid w:val="0"/>
              <w:spacing w:line="300" w:lineRule="exact"/>
              <w:jc w:val="center"/>
              <w:rPr>
                <w:rFonts w:ascii="宋体" w:hAnsi="宋体" w:cs="仿宋"/>
                <w:color w:val="auto"/>
                <w:szCs w:val="21"/>
              </w:rPr>
            </w:pPr>
            <w:r>
              <w:rPr>
                <w:rFonts w:hint="eastAsia" w:ascii="宋体" w:hAnsi="宋体" w:cs="仿宋"/>
                <w:color w:val="auto"/>
                <w:szCs w:val="21"/>
              </w:rPr>
              <w:t>20分</w:t>
            </w:r>
          </w:p>
        </w:tc>
        <w:tc>
          <w:tcPr>
            <w:tcW w:w="6477" w:type="dxa"/>
            <w:tcBorders>
              <w:top w:val="single" w:color="auto" w:sz="4" w:space="0"/>
              <w:left w:val="single" w:color="auto" w:sz="4" w:space="0"/>
              <w:bottom w:val="single" w:color="auto" w:sz="4" w:space="0"/>
            </w:tcBorders>
            <w:vAlign w:val="center"/>
          </w:tcPr>
          <w:p w14:paraId="16DA38E2">
            <w:pPr>
              <w:adjustRightInd w:val="0"/>
              <w:snapToGrid w:val="0"/>
              <w:spacing w:line="360" w:lineRule="auto"/>
              <w:jc w:val="left"/>
              <w:rPr>
                <w:rFonts w:ascii="宋体" w:hAnsi="宋体" w:cs="宋体"/>
                <w:color w:val="auto"/>
              </w:rPr>
            </w:pPr>
            <w:r>
              <w:rPr>
                <w:rFonts w:hint="eastAsia" w:ascii="宋体" w:hAnsi="宋体" w:cs="宋体"/>
                <w:color w:val="auto"/>
              </w:rPr>
              <w:t>投标人近</w:t>
            </w:r>
            <w:r>
              <w:rPr>
                <w:rFonts w:hint="eastAsia" w:ascii="宋体" w:hAnsi="宋体" w:cs="宋体"/>
                <w:color w:val="auto"/>
                <w:lang w:val="en-US" w:eastAsia="zh-CN"/>
              </w:rPr>
              <w:t>3</w:t>
            </w:r>
            <w:r>
              <w:rPr>
                <w:rFonts w:hint="eastAsia" w:ascii="宋体" w:hAnsi="宋体" w:cs="宋体"/>
                <w:color w:val="auto"/>
              </w:rPr>
              <w:t>年</w:t>
            </w:r>
            <w:r>
              <w:rPr>
                <w:rFonts w:hint="eastAsia"/>
                <w:color w:val="auto"/>
              </w:rPr>
              <w:t>（从2021年1月至投标截止</w:t>
            </w:r>
            <w:r>
              <w:rPr>
                <w:rFonts w:hint="eastAsia"/>
                <w:color w:val="auto"/>
                <w:lang w:val="en-US" w:eastAsia="zh-CN"/>
              </w:rPr>
              <w:t>日</w:t>
            </w:r>
            <w:r>
              <w:rPr>
                <w:rFonts w:hint="eastAsia"/>
                <w:color w:val="auto"/>
              </w:rPr>
              <w:t>）</w:t>
            </w:r>
            <w:r>
              <w:rPr>
                <w:rFonts w:hint="eastAsia" w:ascii="宋体" w:hAnsi="宋体" w:cs="宋体"/>
                <w:color w:val="auto"/>
              </w:rPr>
              <w:t>担任过县（区）级或以上人民政府工作部门法律顾问的，每提供一个顾问单位计2分，最多计算6个，记12分；投标人近</w:t>
            </w:r>
            <w:r>
              <w:rPr>
                <w:rFonts w:hint="eastAsia" w:ascii="宋体" w:hAnsi="宋体" w:cs="宋体"/>
                <w:color w:val="auto"/>
                <w:lang w:val="en-US" w:eastAsia="zh-CN"/>
              </w:rPr>
              <w:t>3</w:t>
            </w:r>
            <w:r>
              <w:rPr>
                <w:rFonts w:hint="eastAsia" w:ascii="宋体" w:hAnsi="宋体" w:cs="宋体"/>
                <w:color w:val="auto"/>
              </w:rPr>
              <w:t>年担任过市级或以上审计、发改、财政部门法律顾问的，计4分／个，最多计8分；同一单位不重复计算，满分20分。</w:t>
            </w:r>
            <w:r>
              <w:rPr>
                <w:rFonts w:hint="eastAsia" w:ascii="宋体" w:hAnsi="宋体" w:cs="宋体"/>
                <w:b/>
                <w:bCs/>
                <w:color w:val="auto"/>
              </w:rPr>
              <w:t>（需提供相关法律顾问合同复印件并加盖投标人公章，否则不计分；</w:t>
            </w:r>
            <w:r>
              <w:rPr>
                <w:rFonts w:hint="eastAsia" w:ascii="宋体" w:hAnsi="宋体" w:cs="宋体"/>
                <w:b/>
                <w:bCs/>
                <w:color w:val="auto"/>
                <w:lang w:val="en-US" w:eastAsia="zh-CN"/>
              </w:rPr>
              <w:t>同</w:t>
            </w:r>
            <w:r>
              <w:rPr>
                <w:rFonts w:hint="eastAsia" w:ascii="宋体" w:hAnsi="宋体" w:cs="宋体"/>
                <w:b/>
                <w:bCs/>
                <w:color w:val="auto"/>
              </w:rPr>
              <w:t>一顾问单位不重复计分。）</w:t>
            </w:r>
          </w:p>
        </w:tc>
      </w:tr>
      <w:tr w14:paraId="3DF7E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49" w:hRule="atLeast"/>
        </w:trPr>
        <w:tc>
          <w:tcPr>
            <w:tcW w:w="493" w:type="dxa"/>
            <w:vMerge w:val="continue"/>
            <w:tcBorders>
              <w:top w:val="single" w:color="auto" w:sz="4" w:space="0"/>
              <w:bottom w:val="single" w:color="auto" w:sz="4" w:space="0"/>
              <w:right w:val="single" w:color="auto" w:sz="4" w:space="0"/>
            </w:tcBorders>
            <w:vAlign w:val="center"/>
          </w:tcPr>
          <w:p w14:paraId="7329A0BC">
            <w:pPr>
              <w:adjustRightInd w:val="0"/>
              <w:snapToGrid w:val="0"/>
              <w:spacing w:beforeLines="50" w:line="360" w:lineRule="auto"/>
              <w:jc w:val="center"/>
              <w:rPr>
                <w:rFonts w:ascii="宋体" w:hAnsi="宋体" w:cs="宋体"/>
                <w:color w:val="auto"/>
                <w:szCs w:val="21"/>
              </w:rPr>
            </w:pPr>
          </w:p>
        </w:tc>
        <w:tc>
          <w:tcPr>
            <w:tcW w:w="809" w:type="dxa"/>
            <w:vMerge w:val="continue"/>
            <w:tcBorders>
              <w:left w:val="single" w:color="auto" w:sz="4" w:space="0"/>
              <w:right w:val="single" w:color="auto" w:sz="4" w:space="0"/>
            </w:tcBorders>
            <w:vAlign w:val="center"/>
          </w:tcPr>
          <w:p w14:paraId="722CA471">
            <w:pPr>
              <w:snapToGrid w:val="0"/>
              <w:spacing w:line="300" w:lineRule="exact"/>
              <w:ind w:left="447" w:leftChars="1" w:hanging="445" w:hangingChars="297"/>
              <w:jc w:val="center"/>
              <w:rPr>
                <w:rFonts w:ascii="宋体" w:hAnsi="宋体"/>
                <w:color w:val="auto"/>
                <w:sz w:val="15"/>
                <w:szCs w:val="15"/>
              </w:rPr>
            </w:pPr>
          </w:p>
        </w:tc>
        <w:tc>
          <w:tcPr>
            <w:tcW w:w="849" w:type="dxa"/>
            <w:vMerge w:val="restart"/>
            <w:tcBorders>
              <w:top w:val="single" w:color="auto" w:sz="4" w:space="0"/>
              <w:left w:val="single" w:color="auto" w:sz="4" w:space="0"/>
              <w:right w:val="single" w:color="auto" w:sz="4" w:space="0"/>
            </w:tcBorders>
            <w:vAlign w:val="center"/>
          </w:tcPr>
          <w:p w14:paraId="28A76A9E">
            <w:pPr>
              <w:autoSpaceDE w:val="0"/>
              <w:autoSpaceDN w:val="0"/>
              <w:adjustRightInd w:val="0"/>
              <w:spacing w:line="440" w:lineRule="exact"/>
              <w:jc w:val="center"/>
              <w:rPr>
                <w:rFonts w:ascii="宋体" w:hAnsi="宋体"/>
                <w:bCs/>
                <w:color w:val="auto"/>
                <w:szCs w:val="21"/>
              </w:rPr>
            </w:pPr>
            <w:r>
              <w:rPr>
                <w:rFonts w:hint="eastAsia" w:ascii="宋体" w:hAnsi="宋体"/>
                <w:bCs/>
                <w:color w:val="auto"/>
                <w:szCs w:val="21"/>
              </w:rPr>
              <w:t>律所资质（10分）</w:t>
            </w:r>
          </w:p>
        </w:tc>
        <w:tc>
          <w:tcPr>
            <w:tcW w:w="850" w:type="dxa"/>
            <w:tcBorders>
              <w:top w:val="single" w:color="auto" w:sz="4" w:space="0"/>
              <w:left w:val="single" w:color="auto" w:sz="4" w:space="0"/>
              <w:right w:val="single" w:color="auto" w:sz="4" w:space="0"/>
            </w:tcBorders>
            <w:vAlign w:val="center"/>
          </w:tcPr>
          <w:p w14:paraId="17851EA9">
            <w:pPr>
              <w:autoSpaceDE w:val="0"/>
              <w:autoSpaceDN w:val="0"/>
              <w:adjustRightInd w:val="0"/>
              <w:spacing w:line="440" w:lineRule="exact"/>
              <w:jc w:val="center"/>
              <w:rPr>
                <w:rFonts w:ascii="宋体" w:hAnsi="宋体" w:cs="仿宋"/>
                <w:color w:val="auto"/>
                <w:szCs w:val="21"/>
              </w:rPr>
            </w:pPr>
            <w:r>
              <w:rPr>
                <w:rFonts w:hint="eastAsia" w:ascii="宋体" w:hAnsi="宋体" w:cs="仿宋"/>
                <w:color w:val="auto"/>
                <w:szCs w:val="21"/>
              </w:rPr>
              <w:t>10分</w:t>
            </w:r>
          </w:p>
        </w:tc>
        <w:tc>
          <w:tcPr>
            <w:tcW w:w="6477" w:type="dxa"/>
            <w:tcBorders>
              <w:top w:val="single" w:color="auto" w:sz="4" w:space="0"/>
              <w:left w:val="single" w:color="auto" w:sz="4" w:space="0"/>
              <w:bottom w:val="single" w:color="auto" w:sz="4" w:space="0"/>
            </w:tcBorders>
            <w:vAlign w:val="center"/>
          </w:tcPr>
          <w:p w14:paraId="3EF4800C">
            <w:pPr>
              <w:adjustRightInd w:val="0"/>
              <w:snapToGrid w:val="0"/>
              <w:spacing w:before="100" w:beforeAutospacing="1" w:line="360" w:lineRule="auto"/>
              <w:jc w:val="left"/>
              <w:rPr>
                <w:rFonts w:ascii="宋体" w:hAnsi="宋体" w:cs="宋体"/>
                <w:color w:val="auto"/>
              </w:rPr>
            </w:pPr>
            <w:r>
              <w:rPr>
                <w:rFonts w:hint="eastAsia" w:ascii="宋体" w:hAnsi="宋体" w:cs="宋体"/>
                <w:color w:val="auto"/>
              </w:rPr>
              <w:t>1.投标人执业</w:t>
            </w:r>
            <w:r>
              <w:rPr>
                <w:rFonts w:hint="eastAsia" w:ascii="宋体" w:hAnsi="宋体" w:cs="宋体"/>
                <w:color w:val="auto"/>
                <w:lang w:eastAsia="zh-CN"/>
              </w:rPr>
              <w:t>律师</w:t>
            </w:r>
            <w:r>
              <w:rPr>
                <w:rFonts w:hint="eastAsia" w:ascii="宋体" w:hAnsi="宋体" w:cs="宋体"/>
                <w:color w:val="auto"/>
              </w:rPr>
              <w:t>人数为30人</w:t>
            </w:r>
            <w:r>
              <w:rPr>
                <w:rFonts w:hint="eastAsia" w:ascii="宋体" w:hAnsi="宋体" w:cs="宋体"/>
                <w:color w:val="auto"/>
                <w:lang w:eastAsia="zh-CN"/>
              </w:rPr>
              <w:t>—</w:t>
            </w:r>
            <w:r>
              <w:rPr>
                <w:rFonts w:hint="eastAsia" w:ascii="宋体" w:hAnsi="宋体" w:cs="宋体"/>
                <w:color w:val="auto"/>
                <w:lang w:val="en-US" w:eastAsia="zh-CN"/>
              </w:rPr>
              <w:t>40人（不含）</w:t>
            </w:r>
            <w:r>
              <w:rPr>
                <w:rFonts w:hint="eastAsia" w:ascii="宋体" w:hAnsi="宋体" w:cs="宋体"/>
                <w:color w:val="auto"/>
              </w:rPr>
              <w:t>计1分；</w:t>
            </w:r>
            <w:r>
              <w:rPr>
                <w:rFonts w:hint="eastAsia" w:ascii="宋体" w:hAnsi="宋体" w:cs="宋体"/>
                <w:color w:val="auto"/>
                <w:lang w:val="en-US" w:eastAsia="zh-CN"/>
              </w:rPr>
              <w:t>40</w:t>
            </w:r>
            <w:r>
              <w:rPr>
                <w:rFonts w:hint="eastAsia" w:ascii="宋体" w:hAnsi="宋体" w:cs="宋体"/>
                <w:color w:val="auto"/>
              </w:rPr>
              <w:t>（含）</w:t>
            </w:r>
            <w:r>
              <w:rPr>
                <w:rFonts w:ascii="宋体" w:hAnsi="宋体" w:cs="宋体"/>
                <w:color w:val="auto"/>
              </w:rPr>
              <w:t>—</w:t>
            </w:r>
            <w:r>
              <w:rPr>
                <w:rFonts w:hint="eastAsia" w:ascii="宋体" w:hAnsi="宋体" w:cs="宋体"/>
                <w:color w:val="auto"/>
                <w:lang w:val="en-US" w:eastAsia="zh-CN"/>
              </w:rPr>
              <w:t>50</w:t>
            </w:r>
            <w:r>
              <w:rPr>
                <w:rFonts w:hint="eastAsia" w:ascii="宋体" w:hAnsi="宋体" w:cs="宋体"/>
                <w:color w:val="auto"/>
              </w:rPr>
              <w:t>人</w:t>
            </w:r>
            <w:r>
              <w:rPr>
                <w:rFonts w:hint="eastAsia" w:ascii="宋体" w:hAnsi="宋体" w:cs="宋体"/>
                <w:color w:val="auto"/>
                <w:lang w:val="en-US" w:eastAsia="zh-CN"/>
              </w:rPr>
              <w:t>（不含）</w:t>
            </w:r>
            <w:r>
              <w:rPr>
                <w:rFonts w:hint="eastAsia" w:ascii="宋体" w:hAnsi="宋体" w:cs="宋体"/>
                <w:color w:val="auto"/>
              </w:rPr>
              <w:t>计3分，</w:t>
            </w:r>
            <w:r>
              <w:rPr>
                <w:rFonts w:ascii="宋体" w:hAnsi="宋体" w:cs="宋体"/>
                <w:color w:val="auto"/>
              </w:rPr>
              <w:t xml:space="preserve"> </w:t>
            </w:r>
            <w:r>
              <w:rPr>
                <w:rFonts w:hint="eastAsia" w:ascii="宋体" w:hAnsi="宋体" w:cs="宋体"/>
                <w:color w:val="auto"/>
              </w:rPr>
              <w:t>50人（含）以上计5分；</w:t>
            </w:r>
            <w:r>
              <w:rPr>
                <w:rFonts w:hint="eastAsia" w:ascii="宋体" w:hAnsi="宋体" w:cs="宋体"/>
                <w:b/>
                <w:bCs/>
                <w:color w:val="auto"/>
              </w:rPr>
              <w:t>（以如法网统计数据为准，提供如法网统计数据，否则不计分。）</w:t>
            </w:r>
          </w:p>
          <w:p w14:paraId="2FFE4143">
            <w:pPr>
              <w:adjustRightInd w:val="0"/>
              <w:snapToGrid w:val="0"/>
              <w:spacing w:line="360" w:lineRule="auto"/>
              <w:jc w:val="left"/>
              <w:rPr>
                <w:rFonts w:ascii="宋体" w:hAnsi="宋体" w:cs="宋体"/>
                <w:color w:val="auto"/>
              </w:rPr>
            </w:pPr>
            <w:r>
              <w:rPr>
                <w:rFonts w:hint="eastAsia" w:ascii="宋体" w:hAnsi="宋体" w:cs="宋体"/>
                <w:color w:val="auto"/>
              </w:rPr>
              <w:t>2.投标人</w:t>
            </w:r>
            <w:r>
              <w:rPr>
                <w:rFonts w:hint="eastAsia" w:ascii="宋体" w:hAnsi="宋体" w:cs="宋体"/>
                <w:color w:val="auto"/>
                <w:lang w:eastAsia="zh-CN"/>
              </w:rPr>
              <w:t>近</w:t>
            </w:r>
            <w:r>
              <w:rPr>
                <w:rFonts w:hint="eastAsia" w:ascii="宋体" w:hAnsi="宋体" w:cs="宋体"/>
                <w:color w:val="auto"/>
                <w:lang w:val="en-US" w:eastAsia="zh-CN"/>
              </w:rPr>
              <w:t>3年</w:t>
            </w:r>
            <w:r>
              <w:rPr>
                <w:rFonts w:hint="eastAsia"/>
                <w:color w:val="auto"/>
              </w:rPr>
              <w:t>（从2021年1月至投标截止</w:t>
            </w:r>
            <w:r>
              <w:rPr>
                <w:rFonts w:hint="eastAsia"/>
                <w:color w:val="auto"/>
                <w:lang w:val="en-US" w:eastAsia="zh-CN"/>
              </w:rPr>
              <w:t>日</w:t>
            </w:r>
            <w:r>
              <w:rPr>
                <w:rFonts w:hint="eastAsia"/>
                <w:color w:val="auto"/>
              </w:rPr>
              <w:t>）</w:t>
            </w:r>
            <w:r>
              <w:rPr>
                <w:rFonts w:hint="eastAsia" w:ascii="宋体" w:hAnsi="宋体" w:cs="宋体"/>
                <w:color w:val="auto"/>
              </w:rPr>
              <w:t>获得司法行政机关、律师协会表彰和奖励的，市级表彰和奖励每1项计1分，省级表彰和奖励每1项计3分，国家级表彰和奖励每1项计5分；计满5分为止。</w:t>
            </w:r>
            <w:r>
              <w:rPr>
                <w:rFonts w:hint="eastAsia" w:ascii="宋体" w:hAnsi="宋体" w:cs="宋体"/>
                <w:b/>
                <w:bCs/>
                <w:color w:val="auto"/>
              </w:rPr>
              <w:t>（提供相关奖项证明复印件，否则不计分。同级同内容的表彰和奖励不重复计分）</w:t>
            </w:r>
          </w:p>
        </w:tc>
      </w:tr>
      <w:tr w14:paraId="79A57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3" w:hRule="atLeast"/>
        </w:trPr>
        <w:tc>
          <w:tcPr>
            <w:tcW w:w="493" w:type="dxa"/>
            <w:vMerge w:val="continue"/>
            <w:tcBorders>
              <w:top w:val="single" w:color="auto" w:sz="4" w:space="0"/>
              <w:bottom w:val="single" w:color="auto" w:sz="4" w:space="0"/>
              <w:right w:val="single" w:color="auto" w:sz="4" w:space="0"/>
            </w:tcBorders>
            <w:vAlign w:val="center"/>
          </w:tcPr>
          <w:p w14:paraId="4D181A05">
            <w:pPr>
              <w:adjustRightInd w:val="0"/>
              <w:snapToGrid w:val="0"/>
              <w:spacing w:beforeLines="50" w:line="360" w:lineRule="auto"/>
              <w:jc w:val="center"/>
              <w:rPr>
                <w:rFonts w:ascii="宋体" w:hAnsi="宋体" w:cs="宋体"/>
                <w:color w:val="auto"/>
                <w:szCs w:val="21"/>
              </w:rPr>
            </w:pPr>
          </w:p>
        </w:tc>
        <w:tc>
          <w:tcPr>
            <w:tcW w:w="809" w:type="dxa"/>
            <w:vMerge w:val="continue"/>
            <w:tcBorders>
              <w:left w:val="single" w:color="auto" w:sz="4" w:space="0"/>
              <w:right w:val="single" w:color="auto" w:sz="4" w:space="0"/>
            </w:tcBorders>
            <w:vAlign w:val="center"/>
          </w:tcPr>
          <w:p w14:paraId="7BD81DEB">
            <w:pPr>
              <w:adjustRightInd w:val="0"/>
              <w:snapToGrid w:val="0"/>
              <w:spacing w:line="300" w:lineRule="exact"/>
              <w:jc w:val="center"/>
              <w:rPr>
                <w:rFonts w:ascii="宋体" w:hAnsi="宋体" w:cs="仿宋"/>
                <w:color w:val="auto"/>
                <w:szCs w:val="21"/>
              </w:rPr>
            </w:pPr>
          </w:p>
        </w:tc>
        <w:tc>
          <w:tcPr>
            <w:tcW w:w="849" w:type="dxa"/>
            <w:tcBorders>
              <w:top w:val="single" w:color="auto" w:sz="4" w:space="0"/>
              <w:left w:val="single" w:color="auto" w:sz="4" w:space="0"/>
              <w:right w:val="single" w:color="auto" w:sz="4" w:space="0"/>
            </w:tcBorders>
            <w:vAlign w:val="center"/>
          </w:tcPr>
          <w:p w14:paraId="50329A0E">
            <w:pPr>
              <w:spacing w:line="440" w:lineRule="exact"/>
              <w:jc w:val="center"/>
              <w:rPr>
                <w:rFonts w:ascii="宋体" w:hAnsi="宋体"/>
                <w:bCs/>
                <w:color w:val="auto"/>
                <w:szCs w:val="21"/>
              </w:rPr>
            </w:pPr>
            <w:r>
              <w:rPr>
                <w:rFonts w:hint="eastAsia" w:ascii="宋体" w:hAnsi="宋体" w:cs="宋体"/>
                <w:color w:val="auto"/>
              </w:rPr>
              <w:t>人员配置（10分）</w:t>
            </w:r>
          </w:p>
        </w:tc>
        <w:tc>
          <w:tcPr>
            <w:tcW w:w="850" w:type="dxa"/>
            <w:tcBorders>
              <w:top w:val="single" w:color="auto" w:sz="4" w:space="0"/>
              <w:left w:val="single" w:color="auto" w:sz="4" w:space="0"/>
              <w:right w:val="single" w:color="auto" w:sz="4" w:space="0"/>
            </w:tcBorders>
            <w:vAlign w:val="center"/>
          </w:tcPr>
          <w:p w14:paraId="1B4945C2">
            <w:pPr>
              <w:spacing w:line="440" w:lineRule="exact"/>
              <w:jc w:val="center"/>
              <w:rPr>
                <w:rFonts w:ascii="宋体" w:hAnsi="宋体" w:cs="仿宋"/>
                <w:color w:val="auto"/>
                <w:szCs w:val="21"/>
              </w:rPr>
            </w:pPr>
            <w:r>
              <w:rPr>
                <w:rFonts w:hint="eastAsia" w:ascii="宋体" w:hAnsi="宋体"/>
                <w:color w:val="auto"/>
              </w:rPr>
              <w:t>10分</w:t>
            </w:r>
          </w:p>
        </w:tc>
        <w:tc>
          <w:tcPr>
            <w:tcW w:w="6477" w:type="dxa"/>
            <w:tcBorders>
              <w:top w:val="single" w:color="auto" w:sz="4" w:space="0"/>
              <w:left w:val="single" w:color="auto" w:sz="4" w:space="0"/>
              <w:bottom w:val="single" w:color="auto" w:sz="4" w:space="0"/>
            </w:tcBorders>
            <w:vAlign w:val="center"/>
          </w:tcPr>
          <w:p w14:paraId="0696D46C">
            <w:pPr>
              <w:adjustRightInd w:val="0"/>
              <w:snapToGrid w:val="0"/>
              <w:spacing w:line="360" w:lineRule="auto"/>
              <w:jc w:val="left"/>
              <w:rPr>
                <w:rFonts w:ascii="宋体" w:hAnsi="宋体" w:cs="宋体"/>
                <w:color w:val="auto"/>
              </w:rPr>
            </w:pPr>
            <w:r>
              <w:rPr>
                <w:rFonts w:hint="eastAsia" w:ascii="宋体" w:hAnsi="宋体" w:cs="宋体"/>
                <w:color w:val="auto"/>
              </w:rPr>
              <w:t>1.投标人的服务团队执业律师有市级以上律师协会行政法律专业委员会委员的，计3分；服务团队总负责人（首席顾问律师）为律所合伙人或分所负责人的，计2分。</w:t>
            </w:r>
          </w:p>
          <w:p w14:paraId="12EE8888">
            <w:pPr>
              <w:adjustRightInd w:val="0"/>
              <w:snapToGrid w:val="0"/>
              <w:spacing w:line="360" w:lineRule="auto"/>
              <w:jc w:val="left"/>
              <w:rPr>
                <w:rFonts w:ascii="宋体" w:hAnsi="宋体" w:cs="宋体"/>
                <w:b/>
                <w:bCs/>
                <w:color w:val="auto"/>
              </w:rPr>
            </w:pPr>
            <w:r>
              <w:rPr>
                <w:rFonts w:hint="eastAsia" w:ascii="宋体" w:hAnsi="宋体" w:cs="宋体"/>
                <w:b/>
                <w:bCs/>
                <w:color w:val="auto"/>
              </w:rPr>
              <w:t>需提供律师执业证书复印件，提供近</w:t>
            </w:r>
            <w:r>
              <w:rPr>
                <w:rFonts w:hint="eastAsia" w:ascii="宋体" w:hAnsi="宋体" w:cs="宋体"/>
                <w:b/>
                <w:bCs/>
                <w:color w:val="auto"/>
                <w:lang w:val="en-US" w:eastAsia="zh-CN"/>
              </w:rPr>
              <w:t>3</w:t>
            </w:r>
            <w:r>
              <w:rPr>
                <w:rFonts w:hint="eastAsia" w:ascii="宋体" w:hAnsi="宋体" w:cs="宋体"/>
                <w:b/>
                <w:bCs/>
                <w:color w:val="auto"/>
              </w:rPr>
              <w:t>个月（2024年</w:t>
            </w:r>
            <w:r>
              <w:rPr>
                <w:rFonts w:hint="eastAsia" w:ascii="宋体" w:hAnsi="宋体" w:cs="宋体"/>
                <w:b/>
                <w:bCs/>
                <w:color w:val="auto"/>
                <w:lang w:val="en-US" w:eastAsia="zh-CN"/>
              </w:rPr>
              <w:t>5</w:t>
            </w:r>
            <w:r>
              <w:rPr>
                <w:rFonts w:hint="eastAsia" w:ascii="宋体" w:hAnsi="宋体" w:cs="宋体"/>
                <w:b/>
                <w:bCs/>
                <w:color w:val="auto"/>
              </w:rPr>
              <w:t>月-</w:t>
            </w:r>
            <w:r>
              <w:rPr>
                <w:rFonts w:hint="eastAsia" w:ascii="宋体" w:hAnsi="宋体" w:cs="宋体"/>
                <w:b/>
                <w:bCs/>
                <w:color w:val="auto"/>
                <w:lang w:val="en-US" w:eastAsia="zh-CN"/>
              </w:rPr>
              <w:t>7</w:t>
            </w:r>
            <w:r>
              <w:rPr>
                <w:rFonts w:hint="eastAsia" w:ascii="宋体" w:hAnsi="宋体" w:cs="宋体"/>
                <w:b/>
                <w:bCs/>
                <w:color w:val="auto"/>
              </w:rPr>
              <w:t>月）任意一个月</w:t>
            </w:r>
            <w:r>
              <w:rPr>
                <w:rFonts w:hint="eastAsia" w:ascii="宋体" w:hAnsi="宋体" w:cs="宋体"/>
                <w:b/>
                <w:bCs/>
                <w:color w:val="auto"/>
                <w:lang w:val="en-US" w:eastAsia="zh-CN"/>
              </w:rPr>
              <w:t>投标人</w:t>
            </w:r>
            <w:r>
              <w:rPr>
                <w:rFonts w:hint="eastAsia" w:ascii="宋体" w:hAnsi="宋体" w:cs="宋体"/>
                <w:b/>
                <w:bCs/>
                <w:color w:val="auto"/>
              </w:rPr>
              <w:t>为其购买的社保证明。行政法律事务专业委员会委员需提供相关证明材料（官方</w:t>
            </w:r>
            <w:r>
              <w:rPr>
                <w:rFonts w:hint="eastAsia" w:ascii="宋体" w:hAnsi="宋体" w:cs="宋体"/>
                <w:b/>
                <w:bCs/>
                <w:color w:val="auto"/>
                <w:lang w:val="en-US" w:eastAsia="zh-CN"/>
              </w:rPr>
              <w:t>文件</w:t>
            </w:r>
            <w:r>
              <w:rPr>
                <w:rFonts w:hint="eastAsia" w:ascii="宋体" w:hAnsi="宋体" w:cs="宋体"/>
                <w:b/>
                <w:bCs/>
                <w:color w:val="auto"/>
              </w:rPr>
              <w:t>或聘书等）复印件，服务团队总负责人（首席顾问律师）需提供相关证明的复印件，否则不计分。</w:t>
            </w:r>
          </w:p>
          <w:p w14:paraId="6ABBDBFD">
            <w:pPr>
              <w:adjustRightInd w:val="0"/>
              <w:snapToGrid w:val="0"/>
              <w:spacing w:line="360" w:lineRule="auto"/>
              <w:jc w:val="left"/>
              <w:rPr>
                <w:color w:val="auto"/>
              </w:rPr>
            </w:pPr>
            <w:r>
              <w:rPr>
                <w:rFonts w:hint="eastAsia" w:ascii="宋体" w:hAnsi="宋体" w:cs="宋体"/>
                <w:color w:val="auto"/>
              </w:rPr>
              <w:t>2.投标人的服务团队执业律师</w:t>
            </w:r>
            <w:r>
              <w:rPr>
                <w:rFonts w:hint="eastAsia"/>
                <w:color w:val="auto"/>
              </w:rPr>
              <w:t>有获县（区）级优秀律师奖项的，计1分；获市级优秀律师奖项的，计3分；获省级优秀律师奖项的，计5分。</w:t>
            </w:r>
            <w:r>
              <w:rPr>
                <w:rFonts w:hint="eastAsia" w:ascii="宋体" w:hAnsi="宋体" w:cs="宋体"/>
                <w:b/>
                <w:bCs/>
                <w:color w:val="auto"/>
              </w:rPr>
              <w:t>（提供相关奖项证明复印件，否则不计分。获得了不同层级优秀律师奖励的，只计算最高层级奖励分)</w:t>
            </w:r>
          </w:p>
        </w:tc>
      </w:tr>
      <w:tr w14:paraId="4A4A9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493" w:type="dxa"/>
            <w:vMerge w:val="continue"/>
            <w:tcBorders>
              <w:top w:val="single" w:color="auto" w:sz="4" w:space="0"/>
              <w:bottom w:val="single" w:color="auto" w:sz="4" w:space="0"/>
              <w:right w:val="single" w:color="auto" w:sz="4" w:space="0"/>
            </w:tcBorders>
            <w:vAlign w:val="center"/>
          </w:tcPr>
          <w:p w14:paraId="224BD06E">
            <w:pPr>
              <w:adjustRightInd w:val="0"/>
              <w:snapToGrid w:val="0"/>
              <w:spacing w:beforeLines="50" w:line="360" w:lineRule="auto"/>
              <w:jc w:val="center"/>
              <w:rPr>
                <w:rFonts w:ascii="宋体" w:hAnsi="宋体" w:cs="宋体"/>
                <w:color w:val="auto"/>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7F519845">
            <w:pPr>
              <w:adjustRightInd w:val="0"/>
              <w:snapToGrid w:val="0"/>
              <w:spacing w:beforeLines="50" w:line="360" w:lineRule="auto"/>
              <w:jc w:val="center"/>
              <w:rPr>
                <w:rFonts w:ascii="宋体" w:hAnsi="宋体" w:cs="宋体"/>
                <w:color w:val="auto"/>
                <w:szCs w:val="21"/>
              </w:rPr>
            </w:pPr>
            <w:r>
              <w:rPr>
                <w:rFonts w:hint="eastAsia" w:ascii="宋体" w:hAnsi="宋体" w:cs="宋体"/>
                <w:color w:val="auto"/>
                <w:szCs w:val="21"/>
              </w:rPr>
              <w:t>合计</w:t>
            </w:r>
          </w:p>
        </w:tc>
        <w:tc>
          <w:tcPr>
            <w:tcW w:w="850" w:type="dxa"/>
            <w:tcBorders>
              <w:top w:val="single" w:color="auto" w:sz="4" w:space="0"/>
              <w:left w:val="single" w:color="auto" w:sz="4" w:space="0"/>
              <w:bottom w:val="single" w:color="auto" w:sz="4" w:space="0"/>
              <w:right w:val="single" w:color="auto" w:sz="4" w:space="0"/>
            </w:tcBorders>
            <w:vAlign w:val="center"/>
          </w:tcPr>
          <w:p w14:paraId="6A41BE7F">
            <w:pPr>
              <w:adjustRightInd w:val="0"/>
              <w:snapToGrid w:val="0"/>
              <w:spacing w:beforeLines="50" w:line="360" w:lineRule="auto"/>
              <w:jc w:val="center"/>
              <w:rPr>
                <w:rFonts w:ascii="宋体" w:hAnsi="宋体" w:cs="宋体"/>
                <w:color w:val="auto"/>
                <w:szCs w:val="21"/>
              </w:rPr>
            </w:pPr>
            <w:r>
              <w:rPr>
                <w:rFonts w:hint="eastAsia" w:ascii="宋体" w:hAnsi="宋体" w:cs="宋体"/>
                <w:color w:val="auto"/>
                <w:szCs w:val="21"/>
              </w:rPr>
              <w:t>100分</w:t>
            </w:r>
          </w:p>
        </w:tc>
        <w:tc>
          <w:tcPr>
            <w:tcW w:w="6477" w:type="dxa"/>
            <w:tcBorders>
              <w:top w:val="single" w:color="auto" w:sz="4" w:space="0"/>
              <w:left w:val="single" w:color="auto" w:sz="4" w:space="0"/>
              <w:bottom w:val="single" w:color="auto" w:sz="4" w:space="0"/>
            </w:tcBorders>
            <w:vAlign w:val="center"/>
          </w:tcPr>
          <w:p w14:paraId="180E6C9F">
            <w:pPr>
              <w:adjustRightInd w:val="0"/>
              <w:snapToGrid w:val="0"/>
              <w:spacing w:beforeLines="50" w:line="320" w:lineRule="exact"/>
              <w:rPr>
                <w:rFonts w:ascii="宋体" w:hAnsi="宋体" w:cs="宋体"/>
                <w:color w:val="auto"/>
                <w:kern w:val="0"/>
                <w:szCs w:val="21"/>
              </w:rPr>
            </w:pPr>
          </w:p>
        </w:tc>
      </w:tr>
      <w:tr w14:paraId="1E150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1" w:hRule="atLeast"/>
        </w:trPr>
        <w:tc>
          <w:tcPr>
            <w:tcW w:w="9478" w:type="dxa"/>
            <w:gridSpan w:val="5"/>
            <w:tcBorders>
              <w:top w:val="single" w:color="auto" w:sz="4" w:space="0"/>
            </w:tcBorders>
            <w:vAlign w:val="center"/>
          </w:tcPr>
          <w:p w14:paraId="05693130">
            <w:pPr>
              <w:adjustRightInd w:val="0"/>
              <w:snapToGrid w:val="0"/>
              <w:spacing w:before="100" w:beforeAutospacing="1" w:line="360" w:lineRule="auto"/>
              <w:jc w:val="left"/>
              <w:rPr>
                <w:rFonts w:ascii="宋体" w:hAnsi="宋体" w:cs="宋体"/>
                <w:color w:val="auto"/>
              </w:rPr>
            </w:pPr>
            <w:r>
              <w:rPr>
                <w:rFonts w:hint="eastAsia" w:ascii="宋体" w:hAnsi="宋体" w:cs="宋体"/>
                <w:color w:val="auto"/>
              </w:rPr>
              <w:t>注：1、上述资料如需要提供原件核查的，供应商需要在采购人规定时间内提交原件，否则相应评审项目可不计分。</w:t>
            </w:r>
          </w:p>
          <w:p w14:paraId="4A402481">
            <w:pPr>
              <w:adjustRightInd w:val="0"/>
              <w:snapToGrid w:val="0"/>
              <w:spacing w:before="100" w:beforeAutospacing="1" w:line="360" w:lineRule="auto"/>
              <w:jc w:val="left"/>
              <w:rPr>
                <w:rFonts w:ascii="宋体" w:hAnsi="宋体" w:eastAsia="宋体" w:cs="宋体"/>
                <w:color w:val="auto"/>
              </w:rPr>
            </w:pPr>
            <w:r>
              <w:rPr>
                <w:rFonts w:hint="eastAsia" w:ascii="宋体" w:hAnsi="宋体" w:cs="宋体"/>
                <w:color w:val="auto"/>
              </w:rPr>
              <w:t>2、供应商须对以上要求提交的复印件和原件的真实性负责，如存在弄虚作假行为，将承担相关法律责任。</w:t>
            </w:r>
          </w:p>
          <w:p w14:paraId="5120C715">
            <w:pPr>
              <w:adjustRightInd w:val="0"/>
              <w:snapToGrid w:val="0"/>
              <w:spacing w:before="100" w:beforeAutospacing="1" w:line="360" w:lineRule="auto"/>
              <w:jc w:val="left"/>
              <w:rPr>
                <w:color w:val="auto"/>
              </w:rPr>
            </w:pPr>
            <w:r>
              <w:rPr>
                <w:rFonts w:hint="eastAsia" w:ascii="宋体" w:hAnsi="宋体" w:cs="宋体"/>
                <w:color w:val="auto"/>
              </w:rPr>
              <w:t>3、如采购人评审委员会认为投标人报价明显低价的，有可能影响工作质量或者不能诚信履约的，且供应商不能提供相关证明材料证明其报价合理性的，评审委员会应当将其作为无效响应处理。</w:t>
            </w:r>
          </w:p>
        </w:tc>
      </w:tr>
    </w:tbl>
    <w:p w14:paraId="09DB2926">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TlmNjU5MThiOTUzM2QzYmE4MjhlYjM0ZWM3ODMifQ=="/>
  </w:docVars>
  <w:rsids>
    <w:rsidRoot w:val="00000000"/>
    <w:rsid w:val="7AE3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spacing w:line="520" w:lineRule="exact"/>
      <w:ind w:firstLine="483"/>
    </w:pPr>
    <w:rPr>
      <w:rFonts w:ascii="宋体"/>
      <w:sz w:val="28"/>
    </w:rPr>
  </w:style>
  <w:style w:type="paragraph" w:styleId="3">
    <w:name w:val="Body Text Indent 2"/>
    <w:basedOn w:val="1"/>
    <w:qFormat/>
    <w:uiPriority w:val="0"/>
    <w:pPr>
      <w:spacing w:line="500" w:lineRule="exact"/>
      <w:ind w:firstLine="564"/>
    </w:pPr>
  </w:style>
  <w:style w:type="paragraph" w:styleId="4">
    <w:name w:val="Body Text First Indent 2"/>
    <w:basedOn w:val="2"/>
    <w:qFormat/>
    <w:uiPriority w:val="0"/>
    <w:pPr>
      <w:tabs>
        <w:tab w:val="left" w:pos="630"/>
      </w:tabs>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2024-08-12T10:20:09Z</dcterms:created>
  <dc:creator>Administrator</dc:creator>
  <cp:lastModifiedBy>锦成</cp:lastModifiedBy>
  <dcterms:modified xsi:type="dcterms:W3CDTF">2024-08-12T10:20:51Z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06419E202A78413898ACF5E35E04B29E_12</vt:lpwstr>
  </property>
</Properties>
</file>