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color w:val="auto"/>
          <w:sz w:val="36"/>
          <w:szCs w:val="36"/>
          <w:lang w:eastAsia="zh-CN"/>
        </w:rPr>
      </w:pPr>
      <w:bookmarkStart w:id="741" w:name="_GoBack"/>
      <w:bookmarkEnd w:id="741"/>
      <w:bookmarkStart w:id="0" w:name="_Hlk57883707"/>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bookmarkEnd w:id="0"/>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0"/>
        <w:rPr>
          <w:rFonts w:hint="default" w:ascii="Times New Roman" w:hAnsi="Times New Roman" w:eastAsia="方正小标宋_GBK" w:cs="Times New Roman"/>
          <w:bCs/>
          <w:color w:val="auto"/>
          <w:sz w:val="72"/>
          <w:szCs w:val="72"/>
        </w:rPr>
      </w:pPr>
      <w:bookmarkStart w:id="1" w:name="_Toc9918"/>
      <w:bookmarkStart w:id="2" w:name="_Toc21389"/>
      <w:bookmarkStart w:id="3" w:name="_Toc15163"/>
      <w:bookmarkStart w:id="4" w:name="_Toc31"/>
      <w:bookmarkStart w:id="5" w:name="_Toc23000"/>
      <w:bookmarkStart w:id="6" w:name="_Toc31064"/>
      <w:bookmarkStart w:id="7" w:name="_Toc7309"/>
      <w:bookmarkStart w:id="8" w:name="_Toc2601"/>
      <w:bookmarkStart w:id="9" w:name="_Toc22125"/>
      <w:bookmarkStart w:id="10" w:name="_Toc19283"/>
      <w:bookmarkStart w:id="11" w:name="_Toc12909"/>
      <w:r>
        <w:rPr>
          <w:rFonts w:hint="default" w:ascii="Times New Roman" w:hAnsi="Times New Roman" w:eastAsia="方正小标宋_GBK" w:cs="Times New Roman"/>
          <w:bCs/>
          <w:color w:val="auto"/>
          <w:sz w:val="72"/>
          <w:szCs w:val="72"/>
        </w:rPr>
        <w:t>建设项目环境影响报告表</w:t>
      </w:r>
      <w:bookmarkEnd w:id="1"/>
      <w:bookmarkEnd w:id="2"/>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before="192" w:beforeLines="80"/>
        <w:ind w:firstLine="0" w:firstLineChars="0"/>
        <w:jc w:val="center"/>
        <w:textAlignment w:val="auto"/>
        <w:rPr>
          <w:rFonts w:hint="default" w:ascii="Times New Roman" w:hAnsi="Times New Roman" w:eastAsia="楷体_GB2312" w:cs="Times New Roman"/>
          <w:bCs/>
          <w:color w:val="auto"/>
          <w:sz w:val="48"/>
          <w:szCs w:val="48"/>
        </w:rPr>
      </w:pPr>
      <w:r>
        <w:rPr>
          <w:rFonts w:hint="default" w:ascii="Times New Roman" w:hAnsi="Times New Roman" w:eastAsia="楷体_GB2312" w:cs="Times New Roman"/>
          <w:bCs/>
          <w:color w:val="auto"/>
          <w:sz w:val="48"/>
          <w:szCs w:val="48"/>
        </w:rPr>
        <w:t>（生态影响类）</w:t>
      </w:r>
    </w:p>
    <w:p>
      <w:pPr>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eastAsia="仿宋" w:cs="Times New Roman"/>
          <w:color w:val="auto"/>
          <w:sz w:val="52"/>
          <w:szCs w:val="52"/>
        </w:rPr>
      </w:pPr>
      <w:bookmarkStart w:id="12" w:name="_Hlk57883728"/>
    </w:p>
    <w:p>
      <w:pPr>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仿宋" w:cs="Times New Roman"/>
          <w:color w:val="auto"/>
          <w:sz w:val="44"/>
          <w:szCs w:val="44"/>
        </w:rPr>
      </w:pPr>
    </w:p>
    <w:p>
      <w:pPr>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仿宋" w:cs="Times New Roman"/>
          <w:color w:val="auto"/>
          <w:sz w:val="44"/>
          <w:szCs w:val="44"/>
        </w:rPr>
      </w:pPr>
    </w:p>
    <w:p>
      <w:pPr>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仿宋" w:cs="Times New Roman"/>
          <w:color w:val="auto"/>
          <w:sz w:val="44"/>
          <w:szCs w:val="44"/>
        </w:rPr>
      </w:pPr>
    </w:p>
    <w:bookmarkEnd w:id="12"/>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项目名称：</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6"/>
          <w:szCs w:val="36"/>
          <w:u w:val="single"/>
          <w:lang w:val="en-US" w:eastAsia="zh-CN"/>
        </w:rPr>
        <w:t xml:space="preserve">    衡阳市</w:t>
      </w:r>
      <w:r>
        <w:rPr>
          <w:rFonts w:hint="eastAsia" w:eastAsia="仿宋_GB2312" w:cs="Times New Roman"/>
          <w:color w:val="auto"/>
          <w:sz w:val="36"/>
          <w:szCs w:val="36"/>
          <w:u w:val="single"/>
          <w:lang w:val="en-US" w:eastAsia="zh-CN"/>
        </w:rPr>
        <w:t>级</w:t>
      </w:r>
      <w:r>
        <w:rPr>
          <w:rFonts w:hint="default" w:ascii="Times New Roman" w:hAnsi="Times New Roman" w:eastAsia="仿宋_GB2312" w:cs="Times New Roman"/>
          <w:color w:val="auto"/>
          <w:sz w:val="36"/>
          <w:szCs w:val="36"/>
          <w:u w:val="single"/>
          <w:lang w:val="en-US" w:eastAsia="zh-CN"/>
        </w:rPr>
        <w:t>渔政码头</w:t>
      </w:r>
      <w:r>
        <w:rPr>
          <w:rFonts w:hint="eastAsia" w:eastAsia="仿宋_GB2312" w:cs="Times New Roman"/>
          <w:color w:val="auto"/>
          <w:sz w:val="36"/>
          <w:szCs w:val="36"/>
          <w:u w:val="single"/>
          <w:lang w:val="en-US" w:eastAsia="zh-CN"/>
        </w:rPr>
        <w:t>改扩建</w:t>
      </w:r>
      <w:r>
        <w:rPr>
          <w:rFonts w:hint="default" w:ascii="Times New Roman" w:hAnsi="Times New Roman" w:eastAsia="仿宋_GB2312" w:cs="Times New Roman"/>
          <w:color w:val="auto"/>
          <w:sz w:val="36"/>
          <w:szCs w:val="36"/>
          <w:u w:val="single"/>
          <w:lang w:val="en-US" w:eastAsia="zh-CN"/>
        </w:rPr>
        <w:t xml:space="preserve">项目    </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建设单位（盖章）：</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6"/>
          <w:szCs w:val="36"/>
          <w:u w:val="single"/>
          <w:lang w:val="en-US" w:eastAsia="zh-CN"/>
        </w:rPr>
        <w:t xml:space="preserve">  衡阳市农业综合行政执法支队    </w:t>
      </w:r>
      <w:r>
        <w:rPr>
          <w:rFonts w:hint="default" w:ascii="Times New Roman" w:hAnsi="Times New Roman" w:eastAsia="仿宋_GB2312" w:cs="Times New Roman"/>
          <w:color w:val="auto"/>
          <w:sz w:val="36"/>
          <w:szCs w:val="36"/>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6"/>
          <w:szCs w:val="36"/>
          <w:u w:val="single"/>
          <w:lang w:val="en-US" w:eastAsia="zh-CN"/>
        </w:rPr>
        <w:t>二〇二</w:t>
      </w:r>
      <w:r>
        <w:rPr>
          <w:rFonts w:hint="eastAsia" w:eastAsia="仿宋_GB2312" w:cs="Times New Roman"/>
          <w:color w:val="auto"/>
          <w:sz w:val="36"/>
          <w:szCs w:val="36"/>
          <w:u w:val="single"/>
          <w:lang w:val="en-US" w:eastAsia="zh-CN"/>
        </w:rPr>
        <w:t>四</w:t>
      </w:r>
      <w:r>
        <w:rPr>
          <w:rFonts w:hint="default" w:ascii="Times New Roman" w:hAnsi="Times New Roman" w:eastAsia="仿宋_GB2312" w:cs="Times New Roman"/>
          <w:color w:val="auto"/>
          <w:sz w:val="36"/>
          <w:szCs w:val="36"/>
          <w:u w:val="single"/>
          <w:lang w:val="en-US" w:eastAsia="zh-CN"/>
        </w:rPr>
        <w:t>年</w:t>
      </w:r>
      <w:r>
        <w:rPr>
          <w:rFonts w:hint="eastAsia" w:eastAsia="仿宋_GB2312" w:cs="Times New Roman"/>
          <w:color w:val="auto"/>
          <w:sz w:val="36"/>
          <w:szCs w:val="36"/>
          <w:u w:val="single"/>
          <w:lang w:val="en-US" w:eastAsia="zh-CN"/>
        </w:rPr>
        <w:t>五</w:t>
      </w:r>
      <w:r>
        <w:rPr>
          <w:rFonts w:hint="default" w:ascii="Times New Roman" w:hAnsi="Times New Roman" w:eastAsia="仿宋_GB2312" w:cs="Times New Roman"/>
          <w:color w:val="auto"/>
          <w:sz w:val="36"/>
          <w:szCs w:val="36"/>
          <w:u w:val="single"/>
          <w:lang w:val="en-US" w:eastAsia="zh-CN"/>
        </w:rPr>
        <w:t xml:space="preserve">月           </w:t>
      </w:r>
      <w:r>
        <w:rPr>
          <w:rFonts w:hint="default" w:ascii="Times New Roman" w:hAnsi="Times New Roman" w:eastAsia="仿宋_GB2312" w:cs="Times New Roman"/>
          <w:color w:val="auto"/>
          <w:sz w:val="36"/>
          <w:szCs w:val="36"/>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仿宋_GB2312" w:cs="Times New Roman"/>
          <w:color w:val="auto"/>
          <w:sz w:val="36"/>
          <w:szCs w:val="36"/>
          <w:u w:val="single"/>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outlineLvl w:val="0"/>
        <w:rPr>
          <w:rFonts w:hint="default" w:ascii="Times New Roman" w:hAnsi="Times New Roman" w:eastAsia="楷体_GB2312" w:cs="Times New Roman"/>
          <w:color w:val="auto"/>
          <w:sz w:val="36"/>
          <w:szCs w:val="36"/>
        </w:rPr>
      </w:pPr>
      <w:bookmarkStart w:id="13" w:name="_Toc7518"/>
      <w:bookmarkStart w:id="14" w:name="_Toc26310"/>
      <w:r>
        <w:rPr>
          <w:rFonts w:hint="default" w:ascii="Times New Roman" w:hAnsi="Times New Roman" w:eastAsia="楷体_GB2312" w:cs="Times New Roman"/>
          <w:color w:val="auto"/>
          <w:sz w:val="36"/>
          <w:szCs w:val="36"/>
        </w:rPr>
        <w:t>中华人民共和国生态环境部制</w:t>
      </w:r>
      <w:bookmarkEnd w:id="13"/>
      <w:bookmarkEnd w:id="14"/>
    </w:p>
    <w:p>
      <w:pPr>
        <w:adjustRightInd w:val="0"/>
        <w:snapToGrid w:val="0"/>
        <w:spacing w:line="288" w:lineRule="auto"/>
        <w:ind w:firstLine="1040"/>
        <w:rPr>
          <w:rFonts w:hint="default" w:ascii="Times New Roman" w:hAnsi="Times New Roman" w:eastAsia="仿宋_GB2312" w:cs="Times New Roman"/>
          <w:color w:val="auto"/>
          <w:sz w:val="36"/>
          <w:szCs w:val="36"/>
        </w:rPr>
        <w:sectPr>
          <w:footerReference r:id="rId3" w:type="default"/>
          <w:footerReference r:id="rId4" w:type="even"/>
          <w:pgSz w:w="11906" w:h="16838"/>
          <w:pgMar w:top="1701" w:right="1531" w:bottom="1701" w:left="1531" w:header="851" w:footer="1077" w:gutter="0"/>
          <w:pgNumType w:start="21"/>
          <w:cols w:space="720" w:num="1"/>
          <w:docGrid w:linePitch="312" w:charSpace="0"/>
        </w:sectPr>
      </w:pPr>
    </w:p>
    <w:p>
      <w:pPr>
        <w:pStyle w:val="4"/>
        <w:keepNext/>
        <w:keepLines/>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outlineLvl w:val="0"/>
        <w:rPr>
          <w:rFonts w:hint="default"/>
          <w:color w:val="auto"/>
        </w:rPr>
      </w:pPr>
      <w:bookmarkStart w:id="15" w:name="_Toc32285"/>
      <w:bookmarkStart w:id="16" w:name="_Toc21062"/>
      <w:bookmarkStart w:id="17" w:name="_Toc21298"/>
      <w:r>
        <w:rPr>
          <w:rFonts w:hint="default"/>
          <w:color w:val="auto"/>
        </w:rPr>
        <w:t>衡阳市级渔政码头改扩建项目</w:t>
      </w:r>
      <w:bookmarkEnd w:id="15"/>
      <w:bookmarkEnd w:id="16"/>
      <w:bookmarkEnd w:id="17"/>
    </w:p>
    <w:p>
      <w:pPr>
        <w:pStyle w:val="4"/>
        <w:keepNext/>
        <w:keepLines/>
        <w:pageBreakBefore w:val="0"/>
        <w:widowControl w:val="0"/>
        <w:kinsoku/>
        <w:wordWrap/>
        <w:overflowPunct/>
        <w:topLinePunct w:val="0"/>
        <w:autoSpaceDE w:val="0"/>
        <w:autoSpaceDN w:val="0"/>
        <w:bidi w:val="0"/>
        <w:adjustRightInd/>
        <w:snapToGrid/>
        <w:ind w:firstLine="0" w:firstLineChars="0"/>
        <w:jc w:val="center"/>
        <w:textAlignment w:val="auto"/>
        <w:outlineLvl w:val="0"/>
        <w:rPr>
          <w:rFonts w:hint="default"/>
          <w:color w:val="auto"/>
        </w:rPr>
      </w:pPr>
      <w:bookmarkStart w:id="18" w:name="_Toc7001"/>
      <w:bookmarkStart w:id="19" w:name="_Toc25866"/>
      <w:bookmarkStart w:id="20" w:name="_Toc29412"/>
      <w:r>
        <w:rPr>
          <w:rFonts w:hint="default"/>
          <w:color w:val="auto"/>
        </w:rPr>
        <w:t>环境影响报告表技术评审综合意见修改说明</w:t>
      </w:r>
      <w:bookmarkEnd w:id="18"/>
      <w:bookmarkEnd w:id="19"/>
      <w:bookmarkEnd w:id="20"/>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4410"/>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16"/>
              <w:bidi w:val="0"/>
              <w:jc w:val="center"/>
              <w:rPr>
                <w:rFonts w:hint="eastAsia" w:eastAsia="宋体"/>
                <w:color w:val="auto"/>
                <w:vertAlign w:val="baseline"/>
                <w:lang w:val="en-US" w:eastAsia="zh-CN"/>
              </w:rPr>
            </w:pPr>
            <w:r>
              <w:rPr>
                <w:rFonts w:hint="eastAsia"/>
                <w:color w:val="auto"/>
                <w:vertAlign w:val="baseline"/>
                <w:lang w:val="en-US" w:eastAsia="zh-CN"/>
              </w:rPr>
              <w:t>序号</w:t>
            </w:r>
          </w:p>
        </w:tc>
        <w:tc>
          <w:tcPr>
            <w:tcW w:w="4410" w:type="dxa"/>
            <w:vAlign w:val="center"/>
          </w:tcPr>
          <w:p>
            <w:pPr>
              <w:pStyle w:val="16"/>
              <w:bidi w:val="0"/>
              <w:jc w:val="center"/>
              <w:rPr>
                <w:rFonts w:hint="default" w:eastAsia="宋体"/>
                <w:color w:val="auto"/>
                <w:vertAlign w:val="baseline"/>
                <w:lang w:val="en-US" w:eastAsia="zh-CN"/>
              </w:rPr>
            </w:pPr>
            <w:r>
              <w:rPr>
                <w:rFonts w:hint="eastAsia"/>
                <w:color w:val="auto"/>
                <w:vertAlign w:val="baseline"/>
                <w:lang w:val="en-US" w:eastAsia="zh-CN"/>
              </w:rPr>
              <w:t>专家评审意见</w:t>
            </w:r>
          </w:p>
        </w:tc>
        <w:tc>
          <w:tcPr>
            <w:tcW w:w="4177" w:type="dxa"/>
            <w:vAlign w:val="center"/>
          </w:tcPr>
          <w:p>
            <w:pPr>
              <w:pStyle w:val="16"/>
              <w:bidi w:val="0"/>
              <w:jc w:val="center"/>
              <w:rPr>
                <w:rFonts w:hint="eastAsia" w:eastAsia="宋体"/>
                <w:color w:val="auto"/>
                <w:vertAlign w:val="baseline"/>
                <w:lang w:val="en-US" w:eastAsia="zh-CN"/>
              </w:rPr>
            </w:pPr>
            <w:r>
              <w:rPr>
                <w:rFonts w:hint="eastAsia"/>
                <w:color w:val="auto"/>
                <w:vertAlign w:val="baseline"/>
                <w:lang w:val="en-US" w:eastAsia="zh-CN"/>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16"/>
              <w:bidi w:val="0"/>
              <w:jc w:val="center"/>
              <w:rPr>
                <w:rFonts w:hint="eastAsia" w:eastAsia="宋体"/>
                <w:color w:val="auto"/>
                <w:vertAlign w:val="baseline"/>
                <w:lang w:val="en-US" w:eastAsia="zh-CN"/>
              </w:rPr>
            </w:pPr>
            <w:r>
              <w:rPr>
                <w:rFonts w:hint="eastAsia"/>
                <w:color w:val="auto"/>
                <w:vertAlign w:val="baseline"/>
                <w:lang w:val="en-US" w:eastAsia="zh-CN"/>
              </w:rPr>
              <w:t>1</w:t>
            </w:r>
          </w:p>
        </w:tc>
        <w:tc>
          <w:tcPr>
            <w:tcW w:w="4410" w:type="dxa"/>
            <w:vAlign w:val="center"/>
          </w:tcPr>
          <w:p>
            <w:pPr>
              <w:pStyle w:val="16"/>
              <w:bidi w:val="0"/>
              <w:jc w:val="both"/>
              <w:rPr>
                <w:rFonts w:hint="eastAsia" w:eastAsia="宋体"/>
                <w:color w:val="auto"/>
                <w:vertAlign w:val="baseline"/>
                <w:lang w:eastAsia="zh-CN"/>
              </w:rPr>
            </w:pPr>
            <w:r>
              <w:rPr>
                <w:rFonts w:hint="default"/>
                <w:color w:val="auto"/>
                <w:vertAlign w:val="baseline"/>
              </w:rPr>
              <w:t>完善规划及规划环境影响评价情况；补充规划（《衡阳港总体规划》（2035年））及规划环境影响评价（《衡阳港总体规划（2019-2035）环境影响报告书》）符合性分析；核实项目建设现状</w:t>
            </w:r>
            <w:r>
              <w:rPr>
                <w:rFonts w:hint="eastAsia"/>
                <w:color w:val="auto"/>
                <w:vertAlign w:val="baseline"/>
                <w:lang w:eastAsia="zh-CN"/>
              </w:rPr>
              <w:t>。</w:t>
            </w:r>
          </w:p>
        </w:tc>
        <w:tc>
          <w:tcPr>
            <w:tcW w:w="4177" w:type="dxa"/>
            <w:vAlign w:val="center"/>
          </w:tcPr>
          <w:p>
            <w:pPr>
              <w:pStyle w:val="16"/>
              <w:bidi w:val="0"/>
              <w:jc w:val="both"/>
              <w:rPr>
                <w:rFonts w:hint="eastAsia"/>
                <w:color w:val="auto"/>
                <w:vertAlign w:val="baseline"/>
                <w:lang w:eastAsia="zh-CN"/>
              </w:rPr>
            </w:pPr>
            <w:r>
              <w:rPr>
                <w:rFonts w:hint="eastAsia"/>
                <w:color w:val="auto"/>
                <w:vertAlign w:val="baseline"/>
                <w:lang w:val="en-US" w:eastAsia="zh-CN"/>
              </w:rPr>
              <w:t>①P1已完善</w:t>
            </w:r>
            <w:r>
              <w:rPr>
                <w:rFonts w:hint="default"/>
                <w:color w:val="auto"/>
                <w:vertAlign w:val="baseline"/>
              </w:rPr>
              <w:t>规划及规划环境影响评价情况</w:t>
            </w:r>
            <w:r>
              <w:rPr>
                <w:rFonts w:hint="eastAsia"/>
                <w:color w:val="auto"/>
                <w:vertAlign w:val="baseline"/>
                <w:lang w:eastAsia="zh-CN"/>
              </w:rPr>
              <w:t>；</w:t>
            </w:r>
          </w:p>
          <w:p>
            <w:pPr>
              <w:pStyle w:val="16"/>
              <w:bidi w:val="0"/>
              <w:jc w:val="both"/>
              <w:rPr>
                <w:rFonts w:hint="eastAsia"/>
                <w:color w:val="auto"/>
                <w:vertAlign w:val="baseline"/>
                <w:lang w:eastAsia="zh-CN"/>
              </w:rPr>
            </w:pPr>
            <w:r>
              <w:rPr>
                <w:rFonts w:hint="eastAsia"/>
                <w:color w:val="auto"/>
                <w:vertAlign w:val="baseline"/>
                <w:lang w:val="en-US" w:eastAsia="zh-CN"/>
              </w:rPr>
              <w:t>②P2-3已补充</w:t>
            </w:r>
            <w:r>
              <w:rPr>
                <w:rFonts w:hint="default"/>
                <w:color w:val="auto"/>
                <w:vertAlign w:val="baseline"/>
              </w:rPr>
              <w:t>规划（《衡阳港总体规划》（2035年））及规划环境影响评价（《衡阳港总体规划（2019-2035）环境影响报告书》）符合性分析</w:t>
            </w:r>
            <w:r>
              <w:rPr>
                <w:rFonts w:hint="eastAsia"/>
                <w:color w:val="auto"/>
                <w:vertAlign w:val="baseline"/>
                <w:lang w:eastAsia="zh-CN"/>
              </w:rPr>
              <w:t>；</w:t>
            </w:r>
          </w:p>
          <w:p>
            <w:pPr>
              <w:pStyle w:val="16"/>
              <w:bidi w:val="0"/>
              <w:jc w:val="both"/>
              <w:rPr>
                <w:rFonts w:hint="eastAsia" w:eastAsia="宋体"/>
                <w:color w:val="auto"/>
                <w:vertAlign w:val="baseline"/>
                <w:lang w:val="en-US" w:eastAsia="zh-CN"/>
              </w:rPr>
            </w:pPr>
            <w:r>
              <w:rPr>
                <w:rFonts w:hint="eastAsia"/>
                <w:color w:val="auto"/>
                <w:vertAlign w:val="baseline"/>
                <w:lang w:val="en-US" w:eastAsia="zh-CN"/>
              </w:rPr>
              <w:t>③P30-31已</w:t>
            </w:r>
            <w:r>
              <w:rPr>
                <w:rFonts w:hint="default"/>
                <w:color w:val="auto"/>
                <w:vertAlign w:val="baseline"/>
              </w:rPr>
              <w:t>核实项目建设现状</w:t>
            </w:r>
            <w:r>
              <w:rPr>
                <w:rFonts w:hint="eastAsia"/>
                <w:color w:val="auto"/>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16"/>
              <w:bidi w:val="0"/>
              <w:jc w:val="center"/>
              <w:rPr>
                <w:rFonts w:hint="eastAsia" w:eastAsia="宋体"/>
                <w:color w:val="auto"/>
                <w:vertAlign w:val="baseline"/>
                <w:lang w:val="en-US" w:eastAsia="zh-CN"/>
              </w:rPr>
            </w:pPr>
            <w:r>
              <w:rPr>
                <w:rFonts w:hint="eastAsia"/>
                <w:color w:val="auto"/>
                <w:vertAlign w:val="baseline"/>
                <w:lang w:val="en-US" w:eastAsia="zh-CN"/>
              </w:rPr>
              <w:t>2</w:t>
            </w:r>
          </w:p>
        </w:tc>
        <w:tc>
          <w:tcPr>
            <w:tcW w:w="4410" w:type="dxa"/>
            <w:vAlign w:val="center"/>
          </w:tcPr>
          <w:p>
            <w:pPr>
              <w:pStyle w:val="16"/>
              <w:bidi w:val="0"/>
              <w:jc w:val="both"/>
              <w:rPr>
                <w:rFonts w:hint="eastAsia" w:eastAsia="宋体"/>
                <w:color w:val="auto"/>
                <w:vertAlign w:val="baseline"/>
                <w:lang w:eastAsia="zh-CN"/>
              </w:rPr>
            </w:pPr>
            <w:r>
              <w:rPr>
                <w:rFonts w:hint="default"/>
                <w:color w:val="auto"/>
                <w:vertAlign w:val="baseline"/>
              </w:rPr>
              <w:t>核实主体工程内容、评价内容（根据可研批复等附件，本项目不包括疏浚工程、码头亲水平台建设）；补充临时工程内容（施工便道、物料堆场、</w:t>
            </w:r>
            <w:r>
              <w:rPr>
                <w:rFonts w:hint="eastAsia"/>
                <w:color w:val="auto"/>
                <w:vertAlign w:val="baseline"/>
                <w:lang w:val="en-US" w:eastAsia="zh-CN"/>
              </w:rPr>
              <w:t>渣土临时堆放场</w:t>
            </w:r>
            <w:r>
              <w:rPr>
                <w:rFonts w:hint="default"/>
                <w:color w:val="auto"/>
                <w:vertAlign w:val="baseline"/>
              </w:rPr>
              <w:t>等）</w:t>
            </w:r>
            <w:r>
              <w:rPr>
                <w:rFonts w:hint="eastAsia"/>
                <w:color w:val="auto"/>
                <w:vertAlign w:val="baseline"/>
                <w:lang w:eastAsia="zh-CN"/>
              </w:rPr>
              <w:t>。</w:t>
            </w:r>
          </w:p>
        </w:tc>
        <w:tc>
          <w:tcPr>
            <w:tcW w:w="4177" w:type="dxa"/>
            <w:vAlign w:val="center"/>
          </w:tcPr>
          <w:p>
            <w:pPr>
              <w:pStyle w:val="16"/>
              <w:bidi w:val="0"/>
              <w:jc w:val="both"/>
              <w:rPr>
                <w:rFonts w:hint="eastAsia" w:eastAsia="宋体"/>
                <w:color w:val="auto"/>
                <w:vertAlign w:val="baseline"/>
                <w:lang w:val="en-US" w:eastAsia="zh-CN"/>
              </w:rPr>
            </w:pPr>
            <w:r>
              <w:rPr>
                <w:rFonts w:hint="eastAsia"/>
                <w:color w:val="auto"/>
                <w:vertAlign w:val="baseline"/>
                <w:lang w:val="en-US" w:eastAsia="zh-CN"/>
              </w:rPr>
              <w:t>①P14-17已核实</w:t>
            </w:r>
            <w:r>
              <w:rPr>
                <w:rFonts w:hint="default"/>
                <w:color w:val="auto"/>
                <w:vertAlign w:val="baseline"/>
              </w:rPr>
              <w:t>主体工程内容、评价内容</w:t>
            </w:r>
            <w:r>
              <w:rPr>
                <w:rFonts w:hint="eastAsia"/>
                <w:color w:val="auto"/>
                <w:vertAlign w:val="baseline"/>
                <w:lang w:eastAsia="zh-CN"/>
              </w:rPr>
              <w:t>；</w:t>
            </w:r>
          </w:p>
          <w:p>
            <w:pPr>
              <w:pStyle w:val="16"/>
              <w:bidi w:val="0"/>
              <w:jc w:val="both"/>
              <w:rPr>
                <w:rFonts w:hint="default"/>
                <w:color w:val="auto"/>
                <w:vertAlign w:val="baseline"/>
                <w:lang w:val="en-US" w:eastAsia="zh-CN"/>
              </w:rPr>
            </w:pPr>
            <w:r>
              <w:rPr>
                <w:rFonts w:hint="eastAsia"/>
                <w:color w:val="auto"/>
                <w:vertAlign w:val="baseline"/>
                <w:lang w:val="en-US" w:eastAsia="zh-CN"/>
              </w:rPr>
              <w:t>②P16已补充临时工程内容。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16"/>
              <w:bidi w:val="0"/>
              <w:jc w:val="center"/>
              <w:rPr>
                <w:rFonts w:hint="eastAsia" w:eastAsia="宋体"/>
                <w:color w:val="auto"/>
                <w:vertAlign w:val="baseline"/>
                <w:lang w:val="en-US" w:eastAsia="zh-CN"/>
              </w:rPr>
            </w:pPr>
            <w:r>
              <w:rPr>
                <w:rFonts w:hint="eastAsia"/>
                <w:color w:val="auto"/>
                <w:vertAlign w:val="baseline"/>
                <w:lang w:val="en-US" w:eastAsia="zh-CN"/>
              </w:rPr>
              <w:t>3</w:t>
            </w:r>
          </w:p>
        </w:tc>
        <w:tc>
          <w:tcPr>
            <w:tcW w:w="4410" w:type="dxa"/>
            <w:vAlign w:val="center"/>
          </w:tcPr>
          <w:p>
            <w:pPr>
              <w:pStyle w:val="16"/>
              <w:bidi w:val="0"/>
              <w:jc w:val="both"/>
              <w:rPr>
                <w:rFonts w:hint="eastAsia" w:eastAsia="宋体"/>
                <w:color w:val="auto"/>
                <w:vertAlign w:val="baseline"/>
                <w:lang w:eastAsia="zh-CN"/>
              </w:rPr>
            </w:pPr>
            <w:r>
              <w:rPr>
                <w:rFonts w:hint="default"/>
                <w:color w:val="auto"/>
                <w:vertAlign w:val="baseline"/>
              </w:rPr>
              <w:t>细化施工方案，核实有无水泥砂浆拌制，护坡坡脚加固等是否涉水，是否涉及湘江衡阳段四大家鱼国家级水产种质资源保护区（附件中有专题论证报告，可能有涉及，要分析对鱼类生境的影响）；核实施工人数、劳动定员与工作制度</w:t>
            </w:r>
            <w:r>
              <w:rPr>
                <w:rFonts w:hint="eastAsia"/>
                <w:color w:val="auto"/>
                <w:vertAlign w:val="baseline"/>
                <w:lang w:eastAsia="zh-CN"/>
              </w:rPr>
              <w:t>。</w:t>
            </w:r>
          </w:p>
        </w:tc>
        <w:tc>
          <w:tcPr>
            <w:tcW w:w="4177" w:type="dxa"/>
            <w:vAlign w:val="center"/>
          </w:tcPr>
          <w:p>
            <w:pPr>
              <w:pStyle w:val="16"/>
              <w:bidi w:val="0"/>
              <w:jc w:val="both"/>
              <w:rPr>
                <w:rFonts w:hint="default"/>
                <w:color w:val="auto"/>
                <w:vertAlign w:val="baseline"/>
                <w:lang w:val="en-US" w:eastAsia="zh-CN"/>
              </w:rPr>
            </w:pPr>
            <w:r>
              <w:rPr>
                <w:rFonts w:hint="eastAsia"/>
                <w:color w:val="auto"/>
                <w:vertAlign w:val="baseline"/>
                <w:lang w:val="en-US" w:eastAsia="zh-CN"/>
              </w:rPr>
              <w:t>①P20已核实本项目无水泥砂浆拌制；</w:t>
            </w:r>
          </w:p>
          <w:p>
            <w:pPr>
              <w:pStyle w:val="16"/>
              <w:bidi w:val="0"/>
              <w:jc w:val="both"/>
              <w:rPr>
                <w:rFonts w:hint="default"/>
                <w:color w:val="auto"/>
                <w:vertAlign w:val="baseline"/>
                <w:lang w:val="en-US" w:eastAsia="zh-CN"/>
              </w:rPr>
            </w:pPr>
            <w:r>
              <w:rPr>
                <w:rFonts w:hint="eastAsia"/>
                <w:color w:val="auto"/>
                <w:vertAlign w:val="baseline"/>
                <w:lang w:val="en-US" w:eastAsia="zh-CN"/>
              </w:rPr>
              <w:t>②P20已核实护坡坡脚加固无需开展涉水工程；</w:t>
            </w:r>
          </w:p>
          <w:p>
            <w:pPr>
              <w:pStyle w:val="16"/>
              <w:bidi w:val="0"/>
              <w:jc w:val="both"/>
              <w:rPr>
                <w:rFonts w:hint="default" w:eastAsia="宋体"/>
                <w:color w:val="auto"/>
                <w:vertAlign w:val="baseline"/>
                <w:lang w:val="en-US" w:eastAsia="zh-CN"/>
              </w:rPr>
            </w:pPr>
            <w:r>
              <w:rPr>
                <w:rFonts w:hint="eastAsia"/>
                <w:color w:val="auto"/>
                <w:vertAlign w:val="baseline"/>
                <w:lang w:val="en-US" w:eastAsia="zh-CN"/>
              </w:rPr>
              <w:t>③P6已明确本项目与</w:t>
            </w:r>
            <w:r>
              <w:rPr>
                <w:rFonts w:hint="default"/>
                <w:color w:val="auto"/>
                <w:vertAlign w:val="baseline"/>
              </w:rPr>
              <w:t>湘江衡阳段四大家鱼国家级水产种质资源保护区</w:t>
            </w:r>
            <w:r>
              <w:rPr>
                <w:rFonts w:hint="eastAsia"/>
                <w:color w:val="auto"/>
                <w:vertAlign w:val="baseline"/>
                <w:lang w:val="en-US" w:eastAsia="zh-CN"/>
              </w:rPr>
              <w:t>的关系；</w:t>
            </w:r>
          </w:p>
          <w:p>
            <w:pPr>
              <w:pStyle w:val="16"/>
              <w:bidi w:val="0"/>
              <w:jc w:val="both"/>
              <w:rPr>
                <w:rFonts w:hint="default"/>
                <w:color w:val="auto"/>
                <w:vertAlign w:val="baseline"/>
                <w:lang w:val="en-US" w:eastAsia="zh-CN"/>
              </w:rPr>
            </w:pPr>
            <w:r>
              <w:rPr>
                <w:rFonts w:hint="eastAsia"/>
                <w:color w:val="auto"/>
                <w:vertAlign w:val="baseline"/>
                <w:lang w:val="en-US" w:eastAsia="zh-CN"/>
              </w:rPr>
              <w:t>④P38已核实施工人数、劳动定员与工作制度。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16"/>
              <w:bidi w:val="0"/>
              <w:jc w:val="center"/>
              <w:rPr>
                <w:rFonts w:hint="eastAsia" w:eastAsia="宋体"/>
                <w:color w:val="auto"/>
                <w:vertAlign w:val="baseline"/>
                <w:lang w:val="en-US" w:eastAsia="zh-CN"/>
              </w:rPr>
            </w:pPr>
            <w:r>
              <w:rPr>
                <w:rFonts w:hint="eastAsia"/>
                <w:color w:val="auto"/>
                <w:vertAlign w:val="baseline"/>
                <w:lang w:val="en-US" w:eastAsia="zh-CN"/>
              </w:rPr>
              <w:t>4</w:t>
            </w:r>
          </w:p>
        </w:tc>
        <w:tc>
          <w:tcPr>
            <w:tcW w:w="4410" w:type="dxa"/>
            <w:vAlign w:val="center"/>
          </w:tcPr>
          <w:p>
            <w:pPr>
              <w:pStyle w:val="16"/>
              <w:bidi w:val="0"/>
              <w:jc w:val="both"/>
              <w:rPr>
                <w:rFonts w:hint="eastAsia" w:eastAsia="宋体"/>
                <w:color w:val="auto"/>
                <w:vertAlign w:val="baseline"/>
                <w:lang w:eastAsia="zh-CN"/>
              </w:rPr>
            </w:pPr>
            <w:r>
              <w:rPr>
                <w:rFonts w:hint="default"/>
                <w:color w:val="auto"/>
                <w:vertAlign w:val="baseline"/>
              </w:rPr>
              <w:t>加强生态环境现状调查，细化调查评价范围内陆生动植物分布情况、蒸水及湘江水生生物现状，并补充相关图片，完善施工对水生生物及其生境影响分析，明确码头建设及运行生态保护措施</w:t>
            </w:r>
            <w:r>
              <w:rPr>
                <w:rFonts w:hint="eastAsia"/>
                <w:color w:val="auto"/>
                <w:vertAlign w:val="baseline"/>
                <w:lang w:eastAsia="zh-CN"/>
              </w:rPr>
              <w:t>。</w:t>
            </w:r>
          </w:p>
        </w:tc>
        <w:tc>
          <w:tcPr>
            <w:tcW w:w="4177" w:type="dxa"/>
            <w:vAlign w:val="center"/>
          </w:tcPr>
          <w:p>
            <w:pPr>
              <w:pStyle w:val="16"/>
              <w:bidi w:val="0"/>
              <w:jc w:val="both"/>
              <w:rPr>
                <w:rFonts w:hint="eastAsia"/>
                <w:color w:val="auto"/>
                <w:vertAlign w:val="baseline"/>
                <w:lang w:val="en-US" w:eastAsia="zh-CN"/>
              </w:rPr>
            </w:pPr>
            <w:r>
              <w:rPr>
                <w:rFonts w:hint="eastAsia"/>
                <w:color w:val="auto"/>
                <w:vertAlign w:val="baseline"/>
                <w:lang w:val="en-US" w:eastAsia="zh-CN"/>
              </w:rPr>
              <w:t>①P25-29已细化生态环境现状调查；</w:t>
            </w:r>
          </w:p>
          <w:p>
            <w:pPr>
              <w:pStyle w:val="16"/>
              <w:bidi w:val="0"/>
              <w:jc w:val="both"/>
              <w:rPr>
                <w:rFonts w:hint="default"/>
                <w:color w:val="auto"/>
                <w:vertAlign w:val="baseline"/>
                <w:lang w:val="en-US" w:eastAsia="zh-CN"/>
              </w:rPr>
            </w:pPr>
            <w:r>
              <w:rPr>
                <w:rFonts w:hint="eastAsia"/>
                <w:color w:val="auto"/>
                <w:vertAlign w:val="baseline"/>
                <w:lang w:val="en-US" w:eastAsia="zh-CN"/>
              </w:rPr>
              <w:t>②P25-26已细化</w:t>
            </w:r>
            <w:r>
              <w:rPr>
                <w:rFonts w:hint="default"/>
                <w:color w:val="auto"/>
                <w:vertAlign w:val="baseline"/>
              </w:rPr>
              <w:t>调查评价范围内陆生动植物分布情况</w:t>
            </w:r>
          </w:p>
          <w:p>
            <w:pPr>
              <w:pStyle w:val="16"/>
              <w:bidi w:val="0"/>
              <w:jc w:val="both"/>
              <w:rPr>
                <w:rFonts w:hint="eastAsia"/>
                <w:color w:val="auto"/>
                <w:vertAlign w:val="baseline"/>
                <w:lang w:val="en-US" w:eastAsia="zh-CN"/>
              </w:rPr>
            </w:pPr>
            <w:r>
              <w:rPr>
                <w:rFonts w:hint="eastAsia"/>
                <w:color w:val="auto"/>
                <w:vertAlign w:val="baseline"/>
                <w:lang w:val="en-US" w:eastAsia="zh-CN"/>
              </w:rPr>
              <w:t>②附件12已补充水生生物资源调查附件及相关图片；</w:t>
            </w:r>
          </w:p>
          <w:p>
            <w:pPr>
              <w:pStyle w:val="16"/>
              <w:bidi w:val="0"/>
              <w:jc w:val="both"/>
              <w:rPr>
                <w:rFonts w:hint="eastAsia" w:eastAsia="宋体"/>
                <w:color w:val="auto"/>
                <w:vertAlign w:val="baseline"/>
                <w:lang w:val="en-US" w:eastAsia="zh-CN"/>
              </w:rPr>
            </w:pPr>
            <w:r>
              <w:rPr>
                <w:rFonts w:hint="eastAsia"/>
                <w:color w:val="auto"/>
                <w:vertAlign w:val="baseline"/>
                <w:lang w:val="en-US" w:eastAsia="zh-CN"/>
              </w:rPr>
              <w:t>③P43-44已完善</w:t>
            </w:r>
            <w:r>
              <w:rPr>
                <w:rFonts w:hint="default"/>
                <w:color w:val="auto"/>
                <w:vertAlign w:val="baseline"/>
              </w:rPr>
              <w:t>施工对水生生物及其生境影响分析</w:t>
            </w:r>
            <w:r>
              <w:rPr>
                <w:rFonts w:hint="eastAsia"/>
                <w:color w:val="auto"/>
                <w:vertAlign w:val="baseline"/>
                <w:lang w:eastAsia="zh-CN"/>
              </w:rPr>
              <w:t>；</w:t>
            </w:r>
          </w:p>
          <w:p>
            <w:pPr>
              <w:pStyle w:val="16"/>
              <w:bidi w:val="0"/>
              <w:jc w:val="both"/>
              <w:rPr>
                <w:rFonts w:hint="eastAsia" w:eastAsia="宋体"/>
                <w:color w:val="auto"/>
                <w:vertAlign w:val="baseline"/>
                <w:lang w:val="en-US" w:eastAsia="zh-CN"/>
              </w:rPr>
            </w:pPr>
            <w:r>
              <w:rPr>
                <w:rFonts w:hint="eastAsia"/>
                <w:color w:val="auto"/>
                <w:vertAlign w:val="baseline"/>
                <w:lang w:val="en-US" w:eastAsia="zh-CN"/>
              </w:rPr>
              <w:t>④P46-51已明确</w:t>
            </w:r>
            <w:r>
              <w:rPr>
                <w:rFonts w:hint="default"/>
                <w:color w:val="auto"/>
                <w:vertAlign w:val="baseline"/>
              </w:rPr>
              <w:t>码头建设及运行生态保护措施</w:t>
            </w:r>
            <w:r>
              <w:rPr>
                <w:rFonts w:hint="eastAsia"/>
                <w:color w:val="auto"/>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16"/>
              <w:bidi w:val="0"/>
              <w:jc w:val="center"/>
              <w:rPr>
                <w:rFonts w:hint="eastAsia" w:eastAsia="宋体"/>
                <w:color w:val="auto"/>
                <w:vertAlign w:val="baseline"/>
                <w:lang w:val="en-US" w:eastAsia="zh-CN"/>
              </w:rPr>
            </w:pPr>
            <w:r>
              <w:rPr>
                <w:rFonts w:hint="eastAsia"/>
                <w:color w:val="auto"/>
                <w:vertAlign w:val="baseline"/>
                <w:lang w:val="en-US" w:eastAsia="zh-CN"/>
              </w:rPr>
              <w:t>5</w:t>
            </w:r>
          </w:p>
        </w:tc>
        <w:tc>
          <w:tcPr>
            <w:tcW w:w="4410" w:type="dxa"/>
            <w:vAlign w:val="center"/>
          </w:tcPr>
          <w:p>
            <w:pPr>
              <w:pStyle w:val="16"/>
              <w:bidi w:val="0"/>
              <w:jc w:val="both"/>
              <w:rPr>
                <w:rFonts w:hint="eastAsia" w:eastAsia="宋体"/>
                <w:color w:val="auto"/>
                <w:vertAlign w:val="baseline"/>
                <w:lang w:eastAsia="zh-CN"/>
              </w:rPr>
            </w:pPr>
            <w:r>
              <w:rPr>
                <w:rFonts w:hint="default"/>
                <w:color w:val="auto"/>
                <w:vertAlign w:val="baseline"/>
              </w:rPr>
              <w:t>明确项目挖、填方量，补充土石方平衡；补充</w:t>
            </w:r>
            <w:r>
              <w:rPr>
                <w:rFonts w:hint="eastAsia"/>
                <w:color w:val="auto"/>
                <w:vertAlign w:val="baseline"/>
                <w:lang w:val="en-US" w:eastAsia="zh-CN"/>
              </w:rPr>
              <w:t>渣土临时堆放场</w:t>
            </w:r>
            <w:r>
              <w:rPr>
                <w:rFonts w:hint="default"/>
                <w:color w:val="auto"/>
                <w:vertAlign w:val="baseline"/>
              </w:rPr>
              <w:t>截排水沟、淋滤水收集池、挡土场等建设内容</w:t>
            </w:r>
            <w:r>
              <w:rPr>
                <w:rFonts w:hint="eastAsia"/>
                <w:color w:val="auto"/>
                <w:vertAlign w:val="baseline"/>
                <w:lang w:eastAsia="zh-CN"/>
              </w:rPr>
              <w:t>。</w:t>
            </w:r>
          </w:p>
        </w:tc>
        <w:tc>
          <w:tcPr>
            <w:tcW w:w="4177" w:type="dxa"/>
            <w:vAlign w:val="center"/>
          </w:tcPr>
          <w:p>
            <w:pPr>
              <w:pStyle w:val="16"/>
              <w:bidi w:val="0"/>
              <w:jc w:val="both"/>
              <w:rPr>
                <w:rFonts w:hint="default"/>
                <w:color w:val="auto"/>
                <w:vertAlign w:val="baseline"/>
                <w:lang w:val="en-US" w:eastAsia="zh-CN"/>
              </w:rPr>
            </w:pPr>
            <w:r>
              <w:rPr>
                <w:rFonts w:hint="eastAsia"/>
                <w:color w:val="auto"/>
                <w:vertAlign w:val="baseline"/>
                <w:lang w:val="en-US" w:eastAsia="zh-CN"/>
              </w:rPr>
              <w:t>①P44已补充土石方平衡；</w:t>
            </w:r>
          </w:p>
          <w:p>
            <w:pPr>
              <w:pStyle w:val="16"/>
              <w:bidi w:val="0"/>
              <w:jc w:val="both"/>
              <w:rPr>
                <w:rFonts w:hint="default"/>
                <w:color w:val="auto"/>
                <w:vertAlign w:val="baseline"/>
                <w:lang w:val="en-US" w:eastAsia="zh-CN"/>
              </w:rPr>
            </w:pPr>
            <w:r>
              <w:rPr>
                <w:rFonts w:hint="eastAsia"/>
                <w:color w:val="auto"/>
                <w:vertAlign w:val="baseline"/>
                <w:lang w:val="en-US" w:eastAsia="zh-CN"/>
              </w:rPr>
              <w:t>②P16已补充临时弃渣场截排水沟、淋滤水收集池、挡土场等临时工程。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6</w:t>
            </w:r>
          </w:p>
        </w:tc>
        <w:tc>
          <w:tcPr>
            <w:tcW w:w="4410" w:type="dxa"/>
            <w:vAlign w:val="center"/>
          </w:tcPr>
          <w:p>
            <w:pPr>
              <w:pStyle w:val="16"/>
              <w:bidi w:val="0"/>
              <w:jc w:val="both"/>
              <w:rPr>
                <w:rFonts w:hint="default" w:eastAsia="宋体"/>
                <w:color w:val="auto"/>
                <w:vertAlign w:val="baseline"/>
                <w:lang w:val="en-US" w:eastAsia="zh-CN"/>
              </w:rPr>
            </w:pPr>
            <w:r>
              <w:rPr>
                <w:rFonts w:hint="default"/>
                <w:color w:val="auto"/>
                <w:vertAlign w:val="baseline"/>
              </w:rPr>
              <w:t>核实施工废水种类、沉渣处置方式（压滤？）及去向；完善施工总布置图</w:t>
            </w:r>
            <w:r>
              <w:rPr>
                <w:rFonts w:hint="eastAsia"/>
                <w:color w:val="auto"/>
                <w:vertAlign w:val="baseline"/>
                <w:lang w:eastAsia="zh-CN"/>
              </w:rPr>
              <w:t>；</w:t>
            </w:r>
            <w:r>
              <w:rPr>
                <w:rFonts w:hint="eastAsia"/>
                <w:color w:val="auto"/>
                <w:vertAlign w:val="baseline"/>
                <w:lang w:val="en-US" w:eastAsia="zh-CN"/>
              </w:rPr>
              <w:t>补充渔业管理部门对项目建设的意见。</w:t>
            </w:r>
          </w:p>
        </w:tc>
        <w:tc>
          <w:tcPr>
            <w:tcW w:w="4177" w:type="dxa"/>
            <w:vAlign w:val="center"/>
          </w:tcPr>
          <w:p>
            <w:pPr>
              <w:pStyle w:val="16"/>
              <w:bidi w:val="0"/>
              <w:jc w:val="both"/>
              <w:rPr>
                <w:rFonts w:hint="default" w:eastAsia="宋体"/>
                <w:color w:val="auto"/>
                <w:vertAlign w:val="baseline"/>
                <w:lang w:val="en-US" w:eastAsia="zh-CN"/>
              </w:rPr>
            </w:pPr>
            <w:r>
              <w:rPr>
                <w:rFonts w:hint="eastAsia"/>
                <w:color w:val="auto"/>
                <w:vertAlign w:val="baseline"/>
                <w:lang w:val="en-US" w:eastAsia="zh-CN"/>
              </w:rPr>
              <w:t>①P46-47已核实</w:t>
            </w:r>
            <w:r>
              <w:rPr>
                <w:rFonts w:hint="default"/>
                <w:color w:val="auto"/>
                <w:vertAlign w:val="baseline"/>
              </w:rPr>
              <w:t>施工废水种类</w:t>
            </w:r>
            <w:r>
              <w:rPr>
                <w:rFonts w:hint="eastAsia"/>
                <w:color w:val="auto"/>
                <w:vertAlign w:val="baseline"/>
                <w:lang w:eastAsia="zh-CN"/>
              </w:rPr>
              <w:t>、</w:t>
            </w:r>
            <w:r>
              <w:rPr>
                <w:rFonts w:hint="eastAsia"/>
                <w:color w:val="auto"/>
                <w:vertAlign w:val="baseline"/>
                <w:lang w:val="en-US" w:eastAsia="zh-CN"/>
              </w:rPr>
              <w:t>处置方式及去向；</w:t>
            </w:r>
          </w:p>
          <w:p>
            <w:pPr>
              <w:pStyle w:val="16"/>
              <w:bidi w:val="0"/>
              <w:jc w:val="both"/>
              <w:rPr>
                <w:rFonts w:hint="eastAsia"/>
                <w:color w:val="auto"/>
                <w:vertAlign w:val="baseline"/>
                <w:lang w:val="en-US" w:eastAsia="zh-CN"/>
              </w:rPr>
            </w:pPr>
            <w:r>
              <w:rPr>
                <w:rFonts w:hint="eastAsia"/>
                <w:color w:val="auto"/>
                <w:vertAlign w:val="baseline"/>
                <w:lang w:val="en-US" w:eastAsia="zh-CN"/>
              </w:rPr>
              <w:t>②附图6已完善施工总布置图；</w:t>
            </w:r>
          </w:p>
          <w:p>
            <w:pPr>
              <w:pStyle w:val="16"/>
              <w:bidi w:val="0"/>
              <w:jc w:val="both"/>
              <w:rPr>
                <w:rFonts w:hint="default"/>
                <w:color w:val="auto"/>
                <w:vertAlign w:val="baseline"/>
                <w:lang w:val="en-US" w:eastAsia="zh-CN"/>
              </w:rPr>
            </w:pPr>
            <w:r>
              <w:rPr>
                <w:rFonts w:hint="eastAsia"/>
                <w:color w:val="auto"/>
                <w:vertAlign w:val="baseline"/>
                <w:lang w:val="en-US" w:eastAsia="zh-CN"/>
              </w:rPr>
              <w:t>③附件10已补充湖南省农业农村厅对项目建设的意见。</w:t>
            </w:r>
          </w:p>
        </w:tc>
      </w:tr>
    </w:tbl>
    <w:p>
      <w:pPr>
        <w:pStyle w:val="16"/>
        <w:bidi w:val="0"/>
        <w:rPr>
          <w:rFonts w:hint="default"/>
          <w:color w:val="auto"/>
        </w:rPr>
      </w:pPr>
      <w:r>
        <w:rPr>
          <w:rFonts w:hint="default"/>
          <w:color w:val="auto"/>
        </w:rPr>
        <w:br w:type="page"/>
      </w:r>
    </w:p>
    <w:p>
      <w:pPr>
        <w:rPr>
          <w:rFonts w:hint="default" w:ascii="Times New Roman" w:hAnsi="Times New Roman" w:cs="Times New Roman"/>
          <w:color w:val="auto"/>
          <w:szCs w:val="21"/>
        </w:rPr>
      </w:pPr>
    </w:p>
    <w:sdt>
      <w:sdtPr>
        <w:rPr>
          <w:rFonts w:ascii="宋体" w:hAnsi="宋体" w:eastAsia="宋体" w:cs="Times New Roman"/>
          <w:kern w:val="2"/>
          <w:sz w:val="21"/>
          <w:szCs w:val="24"/>
          <w:lang w:val="en-US" w:eastAsia="zh-CN" w:bidi="ar-SA"/>
        </w:rPr>
        <w:id w:val="147461498"/>
        <w15:color w:val="DBDBDB"/>
        <w:docPartObj>
          <w:docPartGallery w:val="Table of Contents"/>
          <w:docPartUnique/>
        </w:docPartObj>
      </w:sdtPr>
      <w:sdtEndPr>
        <w:rPr>
          <w:rFonts w:hint="default" w:ascii="Times New Roman" w:hAnsi="Times New Roman" w:eastAsia="黑体" w:cs="Times New Roman"/>
          <w:b/>
          <w:bCs/>
          <w:color w:val="auto"/>
          <w:kern w:val="44"/>
          <w:sz w:val="30"/>
          <w:szCs w:val="30"/>
          <w:lang w:val="en-US" w:eastAsia="zh-CN" w:bidi="ar-SA"/>
        </w:rPr>
      </w:sdtEndPr>
      <w:sdtContent>
        <w:p>
          <w:pPr>
            <w:spacing w:before="0" w:beforeLines="0" w:after="0" w:afterLines="0" w:line="240" w:lineRule="auto"/>
            <w:ind w:left="0" w:leftChars="0" w:right="0" w:rightChars="0" w:firstLine="0" w:firstLineChars="0"/>
            <w:jc w:val="center"/>
            <w:rPr>
              <w:rStyle w:val="19"/>
            </w:rPr>
          </w:pPr>
          <w:r>
            <w:rPr>
              <w:rStyle w:val="19"/>
            </w:rPr>
            <w:t>目</w:t>
          </w:r>
          <w:r>
            <w:rPr>
              <w:rStyle w:val="19"/>
              <w:rFonts w:hint="eastAsia" w:eastAsia="黑体"/>
              <w:lang w:val="en-US" w:eastAsia="zh-CN"/>
            </w:rPr>
            <w:t xml:space="preserve">  </w:t>
          </w:r>
          <w:r>
            <w:rPr>
              <w:rStyle w:val="19"/>
            </w:rPr>
            <w:t>录</w:t>
          </w:r>
        </w:p>
        <w:p>
          <w:pPr>
            <w:pStyle w:val="22"/>
            <w:keepLines w:val="0"/>
            <w:pageBreakBefore w:val="0"/>
            <w:tabs>
              <w:tab w:val="right" w:leader="dot" w:pos="8844"/>
            </w:tabs>
            <w:kinsoku/>
            <w:wordWrap/>
            <w:topLinePunct w:val="0"/>
            <w:autoSpaceDE/>
            <w:autoSpaceDN/>
            <w:bidi w:val="0"/>
            <w:adjustRightInd/>
            <w:spacing w:line="360" w:lineRule="auto"/>
            <w:ind w:leftChars="0"/>
            <w:textAlignment w:val="auto"/>
            <w:rPr>
              <w:rFonts w:ascii="Times New Roman" w:hAnsi="Times New Roman" w:eastAsia="宋体" w:cs="Times New Roman"/>
              <w:b w:val="0"/>
              <w:bCs w:val="0"/>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color w:val="auto"/>
              <w:sz w:val="24"/>
              <w:szCs w:val="24"/>
            </w:rPr>
            <w:instrText xml:space="preserve">TOC \o "1-2" \h \u </w:instrText>
          </w:r>
          <w:r>
            <w:rPr>
              <w:rFonts w:hint="default" w:ascii="Times New Roman" w:hAnsi="Times New Roman" w:eastAsia="宋体" w:cs="Times New Roman"/>
              <w:b w:val="0"/>
              <w:bCs w:val="0"/>
              <w:color w:val="auto"/>
              <w:sz w:val="24"/>
              <w:szCs w:val="24"/>
            </w:rPr>
            <w:fldChar w:fldCharType="separate"/>
          </w: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sz w:val="24"/>
              <w:szCs w:val="24"/>
            </w:rPr>
            <w:instrText xml:space="preserve"> HYPERLINK \l _Toc31008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一、建设项目基本情况</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_Toc31008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1</w:t>
          </w:r>
          <w:r>
            <w:rPr>
              <w:rFonts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22"/>
            <w:keepLines w:val="0"/>
            <w:pageBreakBefore w:val="0"/>
            <w:tabs>
              <w:tab w:val="right" w:leader="dot" w:pos="8844"/>
            </w:tabs>
            <w:kinsoku/>
            <w:wordWrap/>
            <w:topLinePunct w:val="0"/>
            <w:autoSpaceDE/>
            <w:autoSpaceDN/>
            <w:bidi w:val="0"/>
            <w:adjustRightInd/>
            <w:spacing w:line="360" w:lineRule="auto"/>
            <w:ind w:leftChars="0"/>
            <w:textAlignment w:val="auto"/>
            <w:rPr>
              <w:rFonts w:ascii="Times New Roman" w:hAnsi="Times New Roman" w:eastAsia="宋体" w:cs="Times New Roman"/>
              <w:b w:val="0"/>
              <w:bCs w:val="0"/>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sz w:val="24"/>
              <w:szCs w:val="24"/>
            </w:rPr>
            <w:instrText xml:space="preserve"> HYPERLINK \l _Toc28779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二、建设内容</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_Toc28779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14</w:t>
          </w:r>
          <w:r>
            <w:rPr>
              <w:rFonts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22"/>
            <w:keepLines w:val="0"/>
            <w:pageBreakBefore w:val="0"/>
            <w:tabs>
              <w:tab w:val="right" w:leader="dot" w:pos="8844"/>
            </w:tabs>
            <w:kinsoku/>
            <w:wordWrap/>
            <w:topLinePunct w:val="0"/>
            <w:autoSpaceDE/>
            <w:autoSpaceDN/>
            <w:bidi w:val="0"/>
            <w:adjustRightInd/>
            <w:spacing w:line="360" w:lineRule="auto"/>
            <w:ind w:leftChars="0"/>
            <w:textAlignment w:val="auto"/>
            <w:rPr>
              <w:rFonts w:ascii="Times New Roman" w:hAnsi="Times New Roman" w:eastAsia="宋体" w:cs="Times New Roman"/>
              <w:b w:val="0"/>
              <w:bCs w:val="0"/>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sz w:val="24"/>
              <w:szCs w:val="24"/>
            </w:rPr>
            <w:instrText xml:space="preserve"> HYPERLINK \l _Toc32632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napToGrid w:val="0"/>
              <w:sz w:val="24"/>
              <w:szCs w:val="24"/>
            </w:rPr>
            <w:t>三、生态环境现状、保护目标及评价标准</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_Toc32632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23</w:t>
          </w:r>
          <w:r>
            <w:rPr>
              <w:rFonts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22"/>
            <w:keepLines w:val="0"/>
            <w:pageBreakBefore w:val="0"/>
            <w:tabs>
              <w:tab w:val="right" w:leader="dot" w:pos="8844"/>
            </w:tabs>
            <w:kinsoku/>
            <w:wordWrap/>
            <w:topLinePunct w:val="0"/>
            <w:autoSpaceDE/>
            <w:autoSpaceDN/>
            <w:bidi w:val="0"/>
            <w:adjustRightInd/>
            <w:spacing w:line="360" w:lineRule="auto"/>
            <w:ind w:leftChars="0"/>
            <w:textAlignment w:val="auto"/>
            <w:rPr>
              <w:rFonts w:ascii="Times New Roman" w:hAnsi="Times New Roman" w:eastAsia="宋体" w:cs="Times New Roman"/>
              <w:b w:val="0"/>
              <w:bCs w:val="0"/>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sz w:val="24"/>
              <w:szCs w:val="24"/>
            </w:rPr>
            <w:instrText xml:space="preserve"> HYPERLINK \l _Toc6014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napToGrid w:val="0"/>
              <w:sz w:val="24"/>
              <w:szCs w:val="24"/>
            </w:rPr>
            <w:t>四、生态环境影响分析</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_Toc6014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39</w:t>
          </w:r>
          <w:r>
            <w:rPr>
              <w:rFonts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22"/>
            <w:keepLines w:val="0"/>
            <w:pageBreakBefore w:val="0"/>
            <w:tabs>
              <w:tab w:val="right" w:leader="dot" w:pos="8844"/>
            </w:tabs>
            <w:kinsoku/>
            <w:wordWrap/>
            <w:topLinePunct w:val="0"/>
            <w:autoSpaceDE/>
            <w:autoSpaceDN/>
            <w:bidi w:val="0"/>
            <w:adjustRightInd/>
            <w:spacing w:line="360" w:lineRule="auto"/>
            <w:ind w:leftChars="0"/>
            <w:textAlignment w:val="auto"/>
            <w:rPr>
              <w:rFonts w:ascii="Times New Roman" w:hAnsi="Times New Roman" w:eastAsia="宋体" w:cs="Times New Roman"/>
              <w:b w:val="0"/>
              <w:bCs w:val="0"/>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sz w:val="24"/>
              <w:szCs w:val="24"/>
            </w:rPr>
            <w:instrText xml:space="preserve"> HYPERLINK \l _Toc2106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五、主要生态环境保护措施</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_Toc2106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47</w:t>
          </w:r>
          <w:r>
            <w:rPr>
              <w:rFonts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22"/>
            <w:keepLines w:val="0"/>
            <w:pageBreakBefore w:val="0"/>
            <w:tabs>
              <w:tab w:val="right" w:leader="dot" w:pos="8844"/>
            </w:tabs>
            <w:kinsoku/>
            <w:wordWrap/>
            <w:topLinePunct w:val="0"/>
            <w:autoSpaceDE/>
            <w:autoSpaceDN/>
            <w:bidi w:val="0"/>
            <w:adjustRightInd/>
            <w:spacing w:line="360" w:lineRule="auto"/>
            <w:ind w:leftChars="0"/>
            <w:textAlignment w:val="auto"/>
            <w:rPr>
              <w:rFonts w:ascii="Times New Roman" w:hAnsi="Times New Roman" w:eastAsia="宋体" w:cs="Times New Roman"/>
              <w:b w:val="0"/>
              <w:bCs w:val="0"/>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sz w:val="24"/>
              <w:szCs w:val="24"/>
            </w:rPr>
            <w:instrText xml:space="preserve"> HYPERLINK \l _Toc9846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z w:val="24"/>
              <w:szCs w:val="24"/>
            </w:rPr>
            <w:t>六、生态环境保护措施监督检查清单</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_Toc9846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54</w:t>
          </w:r>
          <w:r>
            <w:rPr>
              <w:rFonts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22"/>
            <w:keepLines w:val="0"/>
            <w:pageBreakBefore w:val="0"/>
            <w:tabs>
              <w:tab w:val="right" w:leader="dot" w:pos="8844"/>
            </w:tabs>
            <w:kinsoku/>
            <w:wordWrap/>
            <w:topLinePunct w:val="0"/>
            <w:autoSpaceDE/>
            <w:autoSpaceDN/>
            <w:bidi w:val="0"/>
            <w:adjustRightInd/>
            <w:spacing w:line="360" w:lineRule="auto"/>
            <w:ind w:leftChars="0"/>
            <w:textAlignment w:val="auto"/>
            <w:rPr>
              <w:rFonts w:ascii="Times New Roman" w:hAnsi="Times New Roman" w:eastAsia="宋体" w:cs="Times New Roman"/>
              <w:b w:val="0"/>
              <w:bCs w:val="0"/>
              <w:sz w:val="24"/>
              <w:szCs w:val="24"/>
            </w:rPr>
          </w:pPr>
          <w:r>
            <w:rPr>
              <w:rFonts w:hint="default" w:ascii="Times New Roman" w:hAnsi="Times New Roman" w:eastAsia="宋体" w:cs="Times New Roman"/>
              <w:b w:val="0"/>
              <w:bCs w:val="0"/>
              <w:color w:val="auto"/>
              <w:sz w:val="24"/>
              <w:szCs w:val="24"/>
            </w:rPr>
            <w:fldChar w:fldCharType="begin"/>
          </w:r>
          <w:r>
            <w:rPr>
              <w:rFonts w:hint="default" w:ascii="Times New Roman" w:hAnsi="Times New Roman" w:eastAsia="宋体" w:cs="Times New Roman"/>
              <w:b w:val="0"/>
              <w:bCs w:val="0"/>
              <w:sz w:val="24"/>
              <w:szCs w:val="24"/>
            </w:rPr>
            <w:instrText xml:space="preserve"> HYPERLINK \l _Toc28891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 w:val="0"/>
              <w:bCs w:val="0"/>
              <w:snapToGrid w:val="0"/>
              <w:sz w:val="24"/>
              <w:szCs w:val="24"/>
            </w:rPr>
            <w:t>七、结论</w:t>
          </w:r>
          <w:r>
            <w:rPr>
              <w:rFonts w:ascii="Times New Roman" w:hAnsi="Times New Roman" w:eastAsia="宋体" w:cs="Times New Roman"/>
              <w:b w:val="0"/>
              <w:bCs w:val="0"/>
              <w:sz w:val="24"/>
              <w:szCs w:val="24"/>
            </w:rPr>
            <w:tab/>
          </w:r>
          <w:r>
            <w:rPr>
              <w:rFonts w:ascii="Times New Roman" w:hAnsi="Times New Roman" w:eastAsia="宋体" w:cs="Times New Roman"/>
              <w:b w:val="0"/>
              <w:bCs w:val="0"/>
              <w:sz w:val="24"/>
              <w:szCs w:val="24"/>
            </w:rPr>
            <w:fldChar w:fldCharType="begin"/>
          </w:r>
          <w:r>
            <w:rPr>
              <w:rFonts w:ascii="Times New Roman" w:hAnsi="Times New Roman" w:eastAsia="宋体" w:cs="Times New Roman"/>
              <w:b w:val="0"/>
              <w:bCs w:val="0"/>
              <w:sz w:val="24"/>
              <w:szCs w:val="24"/>
            </w:rPr>
            <w:instrText xml:space="preserve"> PAGEREF _Toc28891 \h </w:instrText>
          </w:r>
          <w:r>
            <w:rPr>
              <w:rFonts w:ascii="Times New Roman" w:hAnsi="Times New Roman" w:eastAsia="宋体" w:cs="Times New Roman"/>
              <w:b w:val="0"/>
              <w:bCs w:val="0"/>
              <w:sz w:val="24"/>
              <w:szCs w:val="24"/>
            </w:rPr>
            <w:fldChar w:fldCharType="separate"/>
          </w:r>
          <w:r>
            <w:rPr>
              <w:rFonts w:ascii="Times New Roman" w:hAnsi="Times New Roman" w:eastAsia="宋体" w:cs="Times New Roman"/>
              <w:b w:val="0"/>
              <w:bCs w:val="0"/>
              <w:sz w:val="24"/>
              <w:szCs w:val="24"/>
            </w:rPr>
            <w:t>57</w:t>
          </w:r>
          <w:r>
            <w:rPr>
              <w:rFonts w:ascii="Times New Roman" w:hAnsi="Times New Roman" w:eastAsia="宋体" w:cs="Times New Roman"/>
              <w:b w:val="0"/>
              <w:bCs w:val="0"/>
              <w:sz w:val="24"/>
              <w:szCs w:val="24"/>
            </w:rPr>
            <w:fldChar w:fldCharType="end"/>
          </w:r>
          <w:r>
            <w:rPr>
              <w:rFonts w:hint="default" w:ascii="Times New Roman" w:hAnsi="Times New Roman" w:eastAsia="宋体" w:cs="Times New Roman"/>
              <w:b w:val="0"/>
              <w:bCs w:val="0"/>
              <w:color w:val="auto"/>
              <w:sz w:val="24"/>
              <w:szCs w:val="24"/>
            </w:rPr>
            <w:fldChar w:fldCharType="end"/>
          </w:r>
        </w:p>
        <w:p>
          <w:pPr>
            <w:pStyle w:val="22"/>
            <w:keepLines w:val="0"/>
            <w:pageBreakBefore w:val="0"/>
            <w:tabs>
              <w:tab w:val="right" w:leader="dot" w:pos="8844"/>
            </w:tabs>
            <w:kinsoku/>
            <w:wordWrap/>
            <w:topLinePunct w:val="0"/>
            <w:autoSpaceDE/>
            <w:autoSpaceDN/>
            <w:bidi w:val="0"/>
            <w:adjustRightInd/>
            <w:spacing w:line="360" w:lineRule="auto"/>
            <w:ind w:leftChars="0"/>
            <w:textAlignment w:val="auto"/>
            <w:rPr>
              <w:rFonts w:ascii="Times New Roman" w:hAnsi="Times New Roman" w:eastAsia="宋体" w:cs="Times New Roman"/>
              <w:b w:val="0"/>
              <w:bCs w:val="0"/>
              <w:sz w:val="24"/>
              <w:szCs w:val="24"/>
            </w:rPr>
          </w:pPr>
        </w:p>
        <w:p>
          <w:pPr>
            <w:pStyle w:val="2"/>
            <w:keepLines w:val="0"/>
            <w:pageBreakBefore w:val="0"/>
            <w:kinsoku/>
            <w:wordWrap/>
            <w:topLinePunct w:val="0"/>
            <w:autoSpaceDE/>
            <w:autoSpaceDN/>
            <w:bidi w:val="0"/>
            <w:adjustRightInd/>
            <w:spacing w:before="0" w:after="0" w:line="360" w:lineRule="auto"/>
            <w:ind w:leftChars="0"/>
            <w:textAlignment w:val="auto"/>
            <w:outlineLvl w:val="9"/>
            <w:rPr>
              <w:rFonts w:hint="default"/>
              <w:color w:val="auto"/>
            </w:rPr>
            <w:sectPr>
              <w:footerReference r:id="rId5" w:type="default"/>
              <w:pgSz w:w="11906" w:h="16838"/>
              <w:pgMar w:top="1701" w:right="1531" w:bottom="1701" w:left="1531" w:header="851" w:footer="1077" w:gutter="0"/>
              <w:pgNumType w:start="1"/>
              <w:cols w:space="720" w:num="1"/>
              <w:docGrid w:linePitch="312" w:charSpace="0"/>
            </w:sectPr>
          </w:pPr>
          <w:r>
            <w:rPr>
              <w:rFonts w:hint="default" w:ascii="Times New Roman" w:hAnsi="Times New Roman" w:eastAsia="宋体" w:cs="Times New Roman"/>
              <w:b w:val="0"/>
              <w:bCs w:val="0"/>
              <w:color w:val="auto"/>
              <w:sz w:val="24"/>
              <w:szCs w:val="24"/>
            </w:rPr>
            <w:fldChar w:fldCharType="end"/>
          </w:r>
        </w:p>
      </w:sdtContent>
    </w:sdt>
    <w:p>
      <w:pPr>
        <w:pStyle w:val="2"/>
        <w:bidi w:val="0"/>
        <w:rPr>
          <w:rFonts w:hint="default"/>
          <w:color w:val="auto"/>
        </w:rPr>
      </w:pPr>
      <w:bookmarkStart w:id="21" w:name="_Toc31008"/>
      <w:r>
        <w:rPr>
          <w:rFonts w:hint="default"/>
          <w:color w:val="auto"/>
        </w:rPr>
        <w:t>一、建设项目基本情况</w:t>
      </w:r>
      <w:bookmarkEnd w:id="21"/>
    </w:p>
    <w:tbl>
      <w:tblPr>
        <w:tblStyle w:val="11"/>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08"/>
        <w:gridCol w:w="1818"/>
        <w:gridCol w:w="2043"/>
        <w:gridCol w:w="2218"/>
        <w:gridCol w:w="10"/>
        <w:gridCol w:w="2510"/>
        <w:gridCol w:w="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建设项目名称</w:t>
            </w:r>
          </w:p>
        </w:tc>
        <w:tc>
          <w:tcPr>
            <w:tcW w:w="681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衡阳市</w:t>
            </w:r>
            <w:r>
              <w:rPr>
                <w:rFonts w:hint="eastAsia" w:cs="Times New Roman"/>
                <w:color w:val="auto"/>
                <w:sz w:val="24"/>
                <w:szCs w:val="24"/>
                <w:lang w:val="en-US" w:eastAsia="zh-CN"/>
              </w:rPr>
              <w:t>级</w:t>
            </w:r>
            <w:r>
              <w:rPr>
                <w:rFonts w:hint="default" w:ascii="Times New Roman" w:hAnsi="Times New Roman" w:cs="Times New Roman"/>
                <w:color w:val="auto"/>
                <w:sz w:val="24"/>
                <w:szCs w:val="24"/>
                <w:lang w:val="en-US" w:eastAsia="zh-CN"/>
              </w:rPr>
              <w:t>渔政码头</w:t>
            </w:r>
            <w:r>
              <w:rPr>
                <w:rFonts w:hint="eastAsia" w:cs="Times New Roman"/>
                <w:color w:val="auto"/>
                <w:sz w:val="24"/>
                <w:szCs w:val="24"/>
                <w:lang w:val="en-US" w:eastAsia="zh-CN"/>
              </w:rPr>
              <w:t>改扩建</w:t>
            </w:r>
            <w:r>
              <w:rPr>
                <w:rFonts w:hint="default" w:ascii="Times New Roman" w:hAnsi="Times New Roman" w:cs="Times New Roman"/>
                <w:color w:val="auto"/>
                <w:sz w:val="24"/>
                <w:szCs w:val="24"/>
                <w:lang w:val="en-US"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项目代码</w:t>
            </w:r>
          </w:p>
        </w:tc>
        <w:tc>
          <w:tcPr>
            <w:tcW w:w="681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2303-430400-04-01-761712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建设单位联系人</w:t>
            </w:r>
          </w:p>
        </w:tc>
        <w:tc>
          <w:tcPr>
            <w:tcW w:w="2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盛立波</w:t>
            </w:r>
          </w:p>
        </w:tc>
        <w:tc>
          <w:tcPr>
            <w:tcW w:w="22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联系方式</w:t>
            </w:r>
          </w:p>
        </w:tc>
        <w:tc>
          <w:tcPr>
            <w:tcW w:w="254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18684592468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建设地点</w:t>
            </w:r>
          </w:p>
        </w:tc>
        <w:tc>
          <w:tcPr>
            <w:tcW w:w="681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湖南</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省</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衡阳</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市</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蒸湘</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区</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大立村蒸水河段，</w:t>
            </w:r>
            <w:r>
              <w:rPr>
                <w:rFonts w:hint="default" w:ascii="Times New Roman" w:hAnsi="Times New Roman" w:cs="Times New Roman"/>
                <w:color w:val="auto"/>
                <w:sz w:val="24"/>
                <w:szCs w:val="24"/>
                <w:u w:val="single"/>
              </w:rPr>
              <w:t>铜钱渡大桥上游200</w:t>
            </w:r>
            <w:r>
              <w:rPr>
                <w:rFonts w:hint="default" w:ascii="Times New Roman" w:hAnsi="Times New Roman" w:cs="Times New Roman"/>
                <w:color w:val="auto"/>
                <w:sz w:val="24"/>
                <w:szCs w:val="24"/>
                <w:u w:val="single"/>
                <w:lang w:eastAsia="zh-CN"/>
              </w:rPr>
              <w:t>米</w:t>
            </w:r>
            <w:r>
              <w:rPr>
                <w:rFonts w:hint="default" w:ascii="Times New Roman" w:hAnsi="Times New Roman" w:cs="Times New Roman"/>
                <w:color w:val="auto"/>
                <w:sz w:val="24"/>
                <w:szCs w:val="24"/>
                <w:u w:val="single"/>
              </w:rPr>
              <w:t>左岸处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地理坐标</w:t>
            </w:r>
          </w:p>
        </w:tc>
        <w:tc>
          <w:tcPr>
            <w:tcW w:w="681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东经</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112</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34</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27.620</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秒，</w:t>
            </w:r>
            <w:r>
              <w:rPr>
                <w:rFonts w:hint="default" w:ascii="Times New Roman" w:hAnsi="Times New Roman" w:cs="Times New Roman"/>
                <w:color w:val="auto"/>
                <w:sz w:val="24"/>
                <w:szCs w:val="24"/>
                <w:lang w:val="en-US" w:eastAsia="zh-CN"/>
              </w:rPr>
              <w:t>北纬</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26</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55</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rPr>
              <w:t xml:space="preserve"> </w:t>
            </w:r>
            <w:r>
              <w:rPr>
                <w:rFonts w:hint="eastAsia" w:cs="Times New Roman"/>
                <w:color w:val="auto"/>
                <w:sz w:val="24"/>
                <w:szCs w:val="24"/>
                <w:u w:val="single"/>
                <w:lang w:val="en-US" w:eastAsia="zh-CN"/>
              </w:rPr>
              <w:t>18.680</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p>
        </w:tc>
        <w:tc>
          <w:tcPr>
            <w:tcW w:w="2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五十二、交通运输业、管道运输-</w:t>
            </w:r>
            <w:r>
              <w:rPr>
                <w:rFonts w:hint="default" w:ascii="Times New Roman" w:hAnsi="Times New Roman" w:cs="Times New Roman"/>
                <w:color w:val="auto"/>
                <w:sz w:val="24"/>
                <w:szCs w:val="24"/>
                <w:lang w:val="en-US" w:eastAsia="zh-CN"/>
              </w:rPr>
              <w:t>141</w:t>
            </w:r>
            <w:r>
              <w:rPr>
                <w:rFonts w:hint="default" w:ascii="Times New Roman" w:hAnsi="Times New Roman" w:cs="Times New Roman"/>
                <w:color w:val="auto"/>
                <w:sz w:val="24"/>
                <w:szCs w:val="24"/>
              </w:rPr>
              <w:t>、滚装、客运、工作船、游艇码头</w:t>
            </w:r>
          </w:p>
        </w:tc>
        <w:tc>
          <w:tcPr>
            <w:tcW w:w="22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用地（用海）面积（m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）/长度（km）</w:t>
            </w:r>
          </w:p>
        </w:tc>
        <w:tc>
          <w:tcPr>
            <w:tcW w:w="255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1320m</w:t>
            </w:r>
            <w:r>
              <w:rPr>
                <w:rFonts w:hint="default" w:ascii="Times New Roman" w:hAnsi="Times New Roman" w:cs="Times New Roman"/>
                <w:color w:val="auto"/>
                <w:sz w:val="24"/>
                <w:szCs w:val="24"/>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建设性质</w:t>
            </w:r>
          </w:p>
        </w:tc>
        <w:tc>
          <w:tcPr>
            <w:tcW w:w="2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新建（迁建）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改建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扩建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技术改造</w:t>
            </w:r>
          </w:p>
        </w:tc>
        <w:tc>
          <w:tcPr>
            <w:tcW w:w="22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申报情形</w:t>
            </w:r>
          </w:p>
        </w:tc>
        <w:tc>
          <w:tcPr>
            <w:tcW w:w="255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首次申报项目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不予批准后再次申报项目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超五年重新审核项目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备案）部门（选填）</w:t>
            </w:r>
          </w:p>
        </w:tc>
        <w:tc>
          <w:tcPr>
            <w:tcW w:w="2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衡阳市发展和改革委员会</w:t>
            </w:r>
          </w:p>
        </w:tc>
        <w:tc>
          <w:tcPr>
            <w:tcW w:w="22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项目审批（核准/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备案）文号（选填）</w:t>
            </w:r>
          </w:p>
        </w:tc>
        <w:tc>
          <w:tcPr>
            <w:tcW w:w="255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衡发改审</w:t>
            </w:r>
            <w:r>
              <w:rPr>
                <w:rFonts w:hint="default" w:ascii="Times New Roman" w:hAnsi="Times New Roman" w:eastAsia="宋体" w:cs="Times New Roman"/>
                <w:color w:val="auto"/>
                <w:sz w:val="24"/>
                <w:szCs w:val="24"/>
                <w:lang w:val="en-US" w:eastAsia="zh-CN"/>
              </w:rPr>
              <w:t>〔2023〕11号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总投资（万元）</w:t>
            </w:r>
          </w:p>
        </w:tc>
        <w:tc>
          <w:tcPr>
            <w:tcW w:w="2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413.71</w:t>
            </w:r>
          </w:p>
        </w:tc>
        <w:tc>
          <w:tcPr>
            <w:tcW w:w="2218"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环保投资（万元）</w:t>
            </w:r>
          </w:p>
        </w:tc>
        <w:tc>
          <w:tcPr>
            <w:tcW w:w="255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环保投资占比（%）</w:t>
            </w:r>
          </w:p>
        </w:tc>
        <w:tc>
          <w:tcPr>
            <w:tcW w:w="2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1.21</w:t>
            </w:r>
          </w:p>
        </w:tc>
        <w:tc>
          <w:tcPr>
            <w:tcW w:w="2218" w:type="dxa"/>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施工工期</w:t>
            </w:r>
          </w:p>
        </w:tc>
        <w:tc>
          <w:tcPr>
            <w:tcW w:w="2552"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是否开工建设</w:t>
            </w:r>
          </w:p>
        </w:tc>
        <w:tc>
          <w:tcPr>
            <w:tcW w:w="681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4"/>
                <w:szCs w:val="24"/>
              </w:rPr>
            </w:pPr>
            <w:r>
              <w:rPr>
                <w:rFonts w:hint="eastAsia" w:cs="Times New Roman"/>
                <w:color w:val="auto"/>
                <w:sz w:val="24"/>
                <w:szCs w:val="24"/>
                <w:lang w:eastAsia="zh-CN"/>
              </w:rPr>
              <w:t>☑</w:t>
            </w:r>
            <w:r>
              <w:rPr>
                <w:rFonts w:hint="default" w:ascii="Times New Roman" w:hAnsi="Times New Roman" w:cs="Times New Roman"/>
                <w:color w:val="auto"/>
                <w:sz w:val="24"/>
                <w:szCs w:val="24"/>
              </w:rPr>
              <w:t>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w:t>
            </w:r>
            <w:r>
              <w:rPr>
                <w:rFonts w:hint="default" w:ascii="Times New Roman" w:hAnsi="Times New Roman" w:cs="Times New Roman"/>
                <w:color w:val="auto"/>
                <w:sz w:val="24"/>
                <w:szCs w:val="24"/>
              </w:rPr>
              <w:t>是：</w:t>
            </w:r>
            <w:r>
              <w:rPr>
                <w:rFonts w:hint="eastAsia" w:cs="Times New Roman"/>
                <w:b w:val="0"/>
                <w:bCs w:val="0"/>
                <w:color w:val="auto"/>
                <w:sz w:val="24"/>
                <w:szCs w:val="24"/>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专项评价设置情况</w:t>
            </w:r>
          </w:p>
        </w:tc>
        <w:tc>
          <w:tcPr>
            <w:tcW w:w="6813" w:type="dxa"/>
            <w:gridSpan w:val="5"/>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规划情况</w:t>
            </w:r>
          </w:p>
        </w:tc>
        <w:tc>
          <w:tcPr>
            <w:tcW w:w="6813" w:type="dxa"/>
            <w:gridSpan w:val="5"/>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规划名称：《衡阳港总体规划》（2035年）</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审批机关：湖南省人民政府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审批文件名称：《湖南省人民政府关于&lt;衡阳港总体规划（2035年）&gt;的批复》</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cs="Times New Roman"/>
                <w:color w:val="auto"/>
                <w:kern w:val="0"/>
                <w:sz w:val="24"/>
                <w:szCs w:val="24"/>
                <w:lang w:val="en-US" w:eastAsia="zh-CN"/>
              </w:rPr>
            </w:pPr>
            <w:r>
              <w:rPr>
                <w:rFonts w:hint="eastAsia" w:cs="Times New Roman"/>
                <w:color w:val="auto"/>
                <w:kern w:val="0"/>
                <w:sz w:val="24"/>
                <w:szCs w:val="24"/>
                <w:lang w:val="en-US" w:eastAsia="zh-CN"/>
              </w:rPr>
              <w:t>审批文件文号：湘政函</w:t>
            </w:r>
            <w:r>
              <w:rPr>
                <w:rFonts w:hint="default" w:ascii="Times New Roman" w:hAnsi="Times New Roman" w:eastAsia="宋体" w:cs="Times New Roman"/>
                <w:color w:val="auto"/>
                <w:sz w:val="24"/>
                <w:szCs w:val="24"/>
                <w:lang w:val="en-US" w:eastAsia="zh-CN"/>
              </w:rPr>
              <w:t>〔2023〕</w:t>
            </w:r>
            <w:r>
              <w:rPr>
                <w:rFonts w:hint="eastAsia" w:ascii="Times New Roman" w:hAnsi="Times New Roman" w:eastAsia="宋体" w:cs="Times New Roman"/>
                <w:color w:val="auto"/>
                <w:sz w:val="24"/>
                <w:szCs w:val="24"/>
                <w:lang w:val="en-US" w:eastAsia="zh-CN"/>
              </w:rPr>
              <w:t>33号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规划环境影响</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评价情况</w:t>
            </w:r>
          </w:p>
        </w:tc>
        <w:tc>
          <w:tcPr>
            <w:tcW w:w="6813" w:type="dxa"/>
            <w:gridSpan w:val="5"/>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规划环境影响评价文件名称：</w:t>
            </w:r>
            <w:r>
              <w:rPr>
                <w:rFonts w:hint="eastAsia" w:cs="Times New Roman"/>
                <w:color w:val="auto"/>
                <w:kern w:val="0"/>
                <w:sz w:val="24"/>
                <w:szCs w:val="24"/>
                <w:lang w:val="en-US" w:eastAsia="zh-CN"/>
              </w:rPr>
              <w:t>《衡阳港总体规划（2019-2035）环境影响报告书》</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召集审查机关：湖南省人民政府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审查文件名称：《湖南省人民政府关于&lt;衡阳港总体规划（2035年）&gt;的批复》</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hint="default" w:cs="Times New Roman"/>
                <w:color w:val="auto"/>
                <w:kern w:val="0"/>
                <w:sz w:val="24"/>
                <w:szCs w:val="24"/>
                <w:lang w:val="en-US" w:eastAsia="zh-CN"/>
              </w:rPr>
            </w:pPr>
            <w:r>
              <w:rPr>
                <w:rFonts w:hint="eastAsia" w:cs="Times New Roman"/>
                <w:color w:val="auto"/>
                <w:kern w:val="0"/>
                <w:sz w:val="24"/>
                <w:szCs w:val="24"/>
                <w:lang w:val="en-US" w:eastAsia="zh-CN"/>
              </w:rPr>
              <w:t>审批文件文号：湘政函</w:t>
            </w:r>
            <w:r>
              <w:rPr>
                <w:rFonts w:hint="default" w:ascii="Times New Roman" w:hAnsi="Times New Roman" w:eastAsia="宋体" w:cs="Times New Roman"/>
                <w:color w:val="auto"/>
                <w:sz w:val="24"/>
                <w:szCs w:val="24"/>
                <w:lang w:val="en-US" w:eastAsia="zh-CN"/>
              </w:rPr>
              <w:t>〔2023〕</w:t>
            </w:r>
            <w:r>
              <w:rPr>
                <w:rFonts w:hint="eastAsia" w:ascii="Times New Roman" w:hAnsi="Times New Roman" w:eastAsia="宋体" w:cs="Times New Roman"/>
                <w:color w:val="auto"/>
                <w:sz w:val="24"/>
                <w:szCs w:val="24"/>
                <w:lang w:val="en-US" w:eastAsia="zh-CN"/>
              </w:rPr>
              <w:t>33号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2226" w:type="dxa"/>
            <w:gridSpan w:val="2"/>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规划及</w:t>
            </w:r>
            <w:r>
              <w:rPr>
                <w:rFonts w:hint="default" w:ascii="Times New Roman" w:hAnsi="Times New Roman" w:cs="Times New Roman"/>
                <w:color w:val="auto"/>
                <w:sz w:val="24"/>
                <w:szCs w:val="24"/>
              </w:rPr>
              <w:t>规划环境影响评价</w:t>
            </w:r>
            <w:r>
              <w:rPr>
                <w:rFonts w:hint="default" w:ascii="Times New Roman" w:hAnsi="Times New Roman" w:cs="Times New Roman"/>
                <w:color w:val="auto"/>
                <w:kern w:val="0"/>
                <w:sz w:val="24"/>
                <w:szCs w:val="24"/>
              </w:rPr>
              <w:t>符合性分析</w:t>
            </w:r>
          </w:p>
        </w:tc>
        <w:tc>
          <w:tcPr>
            <w:tcW w:w="6813" w:type="dxa"/>
            <w:gridSpan w:val="5"/>
            <w:noWrap w:val="0"/>
            <w:tcMar>
              <w:top w:w="16" w:type="dxa"/>
              <w:left w:w="16" w:type="dxa"/>
              <w:right w:w="16" w:type="dxa"/>
            </w:tcMar>
            <w:vAlign w:val="center"/>
          </w:tcPr>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261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center"/>
                    <w:rPr>
                      <w:rFonts w:hint="default"/>
                      <w:color w:val="auto"/>
                      <w:lang w:val="en-US" w:eastAsia="zh-CN"/>
                    </w:rPr>
                  </w:pPr>
                  <w:r>
                    <w:rPr>
                      <w:rFonts w:hint="eastAsia"/>
                      <w:color w:val="auto"/>
                      <w:lang w:val="en-US" w:eastAsia="zh-CN"/>
                    </w:rPr>
                    <w:t>规划要求</w:t>
                  </w:r>
                </w:p>
              </w:tc>
              <w:tc>
                <w:tcPr>
                  <w:tcW w:w="2616" w:type="dxa"/>
                  <w:vAlign w:val="center"/>
                </w:tcPr>
                <w:p>
                  <w:pPr>
                    <w:pStyle w:val="16"/>
                    <w:bidi w:val="0"/>
                    <w:jc w:val="center"/>
                    <w:rPr>
                      <w:rFonts w:hint="default"/>
                      <w:color w:val="auto"/>
                      <w:lang w:val="en-US" w:eastAsia="zh-CN"/>
                    </w:rPr>
                  </w:pPr>
                  <w:r>
                    <w:rPr>
                      <w:rFonts w:hint="eastAsia"/>
                      <w:color w:val="auto"/>
                      <w:lang w:val="en-US" w:eastAsia="zh-CN"/>
                    </w:rPr>
                    <w:t>本项目情况</w:t>
                  </w:r>
                </w:p>
              </w:tc>
              <w:tc>
                <w:tcPr>
                  <w:tcW w:w="871" w:type="dxa"/>
                </w:tcPr>
                <w:p>
                  <w:pPr>
                    <w:pStyle w:val="16"/>
                    <w:bidi w:val="0"/>
                    <w:rPr>
                      <w:rFonts w:hint="default"/>
                      <w:color w:val="auto"/>
                      <w:lang w:val="en-US" w:eastAsia="zh-CN"/>
                    </w:rPr>
                  </w:pPr>
                  <w:r>
                    <w:rPr>
                      <w:rFonts w:hint="eastAsia"/>
                      <w:color w:val="auto"/>
                      <w:lang w:val="en-US" w:eastAsia="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1.本规划各港区均位于湘江衡阳段四大家鱼国家级水产种质资源保护区内，根据保护区管理要求，禁止新建排污口，因此，建议本规划各港区污水经预处理后排入城市污水处理管网统一处理，市政管网达不到的区域，作业产生的废水应通过自行建设的污水处理站处理后作为中水回用，不向湘江排污。</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本项目未新建排污口，船舶生活污水在趸船上经化粪池预处理后，在容量为5m</w:t>
                  </w:r>
                  <w:r>
                    <w:rPr>
                      <w:rFonts w:hint="eastAsia"/>
                      <w:color w:val="auto"/>
                      <w:vertAlign w:val="superscript"/>
                      <w:lang w:val="en-US" w:eastAsia="zh-CN"/>
                    </w:rPr>
                    <w:t>3</w:t>
                  </w:r>
                  <w:r>
                    <w:rPr>
                      <w:rFonts w:hint="eastAsia"/>
                      <w:color w:val="auto"/>
                      <w:lang w:val="en-US" w:eastAsia="zh-CN"/>
                    </w:rPr>
                    <w:t>污水收集箱中暂存，每周由具备生活污水处理能力的单位接收，不向湘江排污。</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2.港口规划在实施过程中，集约利用港口岸线资源，提高岸线利用效率，在充分利用现有岸线的基础上，适度、有序开发新增岸线资源。</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本项目不新增利用港口岸线资源。</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3.各港区的建设应根据衡阳市各阶段建设规划包括城市用地、城市污水管网等规划的实施进度</w:t>
                  </w:r>
                  <w:r>
                    <w:rPr>
                      <w:rFonts w:hint="eastAsia"/>
                      <w:color w:val="auto"/>
                      <w:lang w:val="en-US" w:eastAsia="zh-CN"/>
                    </w:rPr>
                    <w:t>实施</w:t>
                  </w:r>
                  <w:r>
                    <w:rPr>
                      <w:rFonts w:hint="default"/>
                      <w:color w:val="auto"/>
                      <w:lang w:val="en-US" w:eastAsia="zh-CN"/>
                    </w:rPr>
                    <w:t>，要与相关规划相协调。</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本项目的建设</w:t>
                  </w:r>
                  <w:r>
                    <w:rPr>
                      <w:rFonts w:hint="default"/>
                      <w:color w:val="auto"/>
                      <w:lang w:val="en-US" w:eastAsia="zh-CN"/>
                    </w:rPr>
                    <w:t>根据衡阳市各阶段建设规划包括城市用地、城市污水管网等规划的实施进度</w:t>
                  </w:r>
                  <w:r>
                    <w:rPr>
                      <w:rFonts w:hint="eastAsia"/>
                      <w:color w:val="auto"/>
                      <w:lang w:val="en-US" w:eastAsia="zh-CN"/>
                    </w:rPr>
                    <w:t>实施</w:t>
                  </w:r>
                  <w:r>
                    <w:rPr>
                      <w:rFonts w:hint="default"/>
                      <w:color w:val="auto"/>
                      <w:lang w:val="en-US" w:eastAsia="zh-CN"/>
                    </w:rPr>
                    <w:t>，与相关规划相协调。</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4.加强规划实施过程中的环境管理，尤其是各港区建设过程中的环境管理和营运期环境风险管理。港区建设过程中要注意水环境的保护，严格按照环评要求和地方环保部门规定施工，确保饮用水源的安全。水域施工要合理选择施工时间，按照渔业部门要求，选择不影响四大家鱼洄游产卵时段施工。加强营运期化学品、油品的运输管理，落实环境风险防范的主体责任，强化环境风险防范体系建设，建设与各港区环境风险相匹配的应急能力，制定环境污染事故应急预案，采取必要的风险防范措施，配备达到应急要求的设备，一旦发生化学品、油品的泄漏，能够及时有效的进行处理，减缓影响。</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本项目建设过程中加强对水环境的保护，严格按照环评要求和地方环保部门规定施工，确保饮用水源的安全。本项目不进行涉水工程。本项目运营期不涉及化学品、油品的运输。</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5.衡阳是旅游大市，旅游资源丰富。因此建议在下一步设计中加强景观设计，把生产高效、生态和谐的经济与环境的双赢思想贯彻到港口建设的全过程。</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本项目建成后加强周边绿化工作。</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6.航行船舶产生的油污水、生活污水均由岸上接收预处理后排入城市管网，不能排入湘江。</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本项目航行船舶产生的油污水、生活污水均由趸船接收预处理后暂存，交由具备生活污水处理能力的单位接收。</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7.在港区项目环评前，委托相关单位完成四大家鱼保护区专题报告，并与渔业部门配合，按照专题报告书相关要求，做好营运期四大家鱼补偿工作。加强生态保护和修复。优化规划水域船舶吨位、船舶密度、锚地靠泊等通航管理对策措施。规划实施时，应采取严格的水生生物保护措施，港口建设涉水工程应尽量安排在主要鱼类非繁殖季节进行，实施生态补偿和修复。港口建设与运营应选用对生态影响较小的结构、材料、装卸工艺和储运方式。</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已完成《衡阳市渔政码头建设对湘江衡阳段四大家鱼国家级水产种质资源保护区影响专题论证报告》并于2024年4月22日通过湖南省农业农村厅审查。本项目通过采取施工避让、生活污水/垃圾上岸集中处理及智慧渔政监管等措施可在一定程度上减缓对保护区产生的不利影响，项目运行将有效提升对水生生物的保护能力。</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8.建立健全生态环境长期监测体系。建立完善的环境质量、生态、渔业资源等的长期监测体系，根据区域、流域生态环境质量变化情况，及时优化港口规划建设内容，完善相应的生态环境保护措施，加强运营管理。</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本项目建设衡阳市“智慧渔政”监控系统及运营副中心，配套建设视频会议系统、网络、消防等设施。</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9.规划部门在进行城市的规划建设时，应根据规划港区项目环评的预测结果，对港区周围及疏港道路两侧控制范围内的土地进行控制，不能建设居民区、学校、医院等。</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本项目对港区周围及疏港道路两侧控制范围内土地进行控制，不会建设居民区、学校、医院等</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10.根据现场调查，建议规划实施阶段通过适当调整布局、优化营运方式，同时采取工程措施，确保港区及沿线区域符合相关土地利用和环境功能要求，并加强环境保护设施建设和监管力度。</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本项目通过施工避让、生产生活污水、垃圾上岸集中处理及智慧渔政监管等措施可在一定程度上减缓对保护区产生的不利影响，项目运行将有效提升对水生生物的保护能力。</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11.通航船舶在航行过程中产生的污水，禁止在保护区范围内排放。港区应加强对停靠船舶的宣传教育，加强船舶工作人员的环保意识，避免对饮用水源保护区水质造成污染。采用清洁能源为旅游船舶动力。</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本项目船舶生活污水在趸船上经化粪池预处理后，在容量为5m</w:t>
                  </w:r>
                  <w:r>
                    <w:rPr>
                      <w:rFonts w:hint="eastAsia"/>
                      <w:color w:val="auto"/>
                      <w:vertAlign w:val="superscript"/>
                      <w:lang w:val="en-US" w:eastAsia="zh-CN"/>
                    </w:rPr>
                    <w:t>3</w:t>
                  </w:r>
                  <w:r>
                    <w:rPr>
                      <w:rFonts w:hint="eastAsia"/>
                      <w:color w:val="auto"/>
                      <w:lang w:val="en-US" w:eastAsia="zh-CN"/>
                    </w:rPr>
                    <w:t>污水收集箱中暂存，每周由具备生活污水处理能力的单位接收，不向湘江排污。本项目不涉及旅游船舶。</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Align w:val="center"/>
                </w:tcPr>
                <w:p>
                  <w:pPr>
                    <w:pStyle w:val="16"/>
                    <w:bidi w:val="0"/>
                    <w:jc w:val="both"/>
                    <w:rPr>
                      <w:rFonts w:hint="default"/>
                      <w:color w:val="auto"/>
                      <w:lang w:val="en-US" w:eastAsia="zh-CN"/>
                    </w:rPr>
                  </w:pPr>
                  <w:r>
                    <w:rPr>
                      <w:rFonts w:hint="default"/>
                      <w:color w:val="auto"/>
                      <w:lang w:val="en-US" w:eastAsia="zh-CN"/>
                    </w:rPr>
                    <w:t>12.在规划实施过程中，应落实本次评价针对各环境要素提出的环境保护措施。在《规划》实施过程中，每五年开展环境影响跟踪评价，在《规划》修编时应重新编制环境影响报告书。</w:t>
                  </w:r>
                </w:p>
              </w:tc>
              <w:tc>
                <w:tcPr>
                  <w:tcW w:w="2616" w:type="dxa"/>
                  <w:vAlign w:val="center"/>
                </w:tcPr>
                <w:p>
                  <w:pPr>
                    <w:pStyle w:val="16"/>
                    <w:bidi w:val="0"/>
                    <w:jc w:val="both"/>
                    <w:rPr>
                      <w:rFonts w:hint="default"/>
                      <w:color w:val="auto"/>
                      <w:lang w:val="en-US" w:eastAsia="zh-CN"/>
                    </w:rPr>
                  </w:pPr>
                  <w:r>
                    <w:rPr>
                      <w:rFonts w:hint="eastAsia"/>
                      <w:color w:val="auto"/>
                      <w:lang w:val="en-US" w:eastAsia="zh-CN"/>
                    </w:rPr>
                    <w:t>本项目严格落实《衡阳港总体规划（2019-2035）环境影响报告书》</w:t>
                  </w:r>
                  <w:r>
                    <w:rPr>
                      <w:rFonts w:hint="default"/>
                      <w:color w:val="auto"/>
                      <w:lang w:val="en-US" w:eastAsia="zh-CN"/>
                    </w:rPr>
                    <w:t>针对各环境要素提出的环境保护措施。</w:t>
                  </w:r>
                </w:p>
              </w:tc>
              <w:tc>
                <w:tcPr>
                  <w:tcW w:w="871" w:type="dxa"/>
                  <w:vAlign w:val="center"/>
                </w:tcPr>
                <w:p>
                  <w:pPr>
                    <w:pStyle w:val="16"/>
                    <w:bidi w:val="0"/>
                    <w:jc w:val="center"/>
                    <w:rPr>
                      <w:rFonts w:hint="default"/>
                      <w:color w:val="auto"/>
                      <w:lang w:val="en-US" w:eastAsia="zh-CN"/>
                    </w:rPr>
                  </w:pPr>
                  <w:r>
                    <w:rPr>
                      <w:rFonts w:hint="eastAsia"/>
                      <w:color w:val="auto"/>
                      <w:lang w:val="en-US" w:eastAsia="zh-CN"/>
                    </w:rPr>
                    <w:t>相符</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eastAsia="宋体" w:cs="Times New Roman"/>
                <w:color w:val="auto"/>
                <w:kern w:val="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gridAfter w:val="1"/>
          <w:wAfter w:w="32" w:type="dxa"/>
          <w:trHeight w:val="1431" w:hRule="atLeast"/>
        </w:trPr>
        <w:tc>
          <w:tcPr>
            <w:tcW w:w="408" w:type="dxa"/>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color w:val="auto"/>
                <w:kern w:val="0"/>
                <w:szCs w:val="21"/>
              </w:rPr>
            </w:pPr>
            <w:bookmarkStart w:id="22" w:name="_Hlk56690880"/>
            <w:r>
              <w:rPr>
                <w:rFonts w:hint="default" w:ascii="Times New Roman" w:hAnsi="Times New Roman" w:cs="Times New Roman"/>
                <w:color w:val="auto"/>
                <w:kern w:val="0"/>
                <w:sz w:val="24"/>
                <w:szCs w:val="24"/>
              </w:rPr>
              <w:t>其他符合性分析</w:t>
            </w:r>
            <w:bookmarkEnd w:id="22"/>
          </w:p>
        </w:tc>
        <w:tc>
          <w:tcPr>
            <w:tcW w:w="8599" w:type="dxa"/>
            <w:gridSpan w:val="5"/>
            <w:noWrap w:val="0"/>
            <w:tcMar>
              <w:top w:w="16" w:type="dxa"/>
              <w:left w:w="16" w:type="dxa"/>
              <w:right w:w="16" w:type="dxa"/>
            </w:tcMar>
            <w:vAlign w:val="center"/>
          </w:tcPr>
          <w:p>
            <w:pPr>
              <w:pStyle w:val="3"/>
              <w:bidi w:val="0"/>
              <w:rPr>
                <w:rFonts w:hint="default" w:ascii="Times New Roman" w:hAnsi="Times New Roman" w:cs="Times New Roman"/>
                <w:color w:val="auto"/>
                <w:lang w:val="en-US" w:eastAsia="zh-CN"/>
              </w:rPr>
            </w:pPr>
            <w:bookmarkStart w:id="23" w:name="_Toc16384"/>
            <w:bookmarkStart w:id="24" w:name="_Toc30778"/>
            <w:bookmarkStart w:id="25" w:name="_Toc7456"/>
            <w:bookmarkStart w:id="26" w:name="_Toc4952"/>
            <w:bookmarkStart w:id="27" w:name="_Toc31966"/>
            <w:bookmarkStart w:id="28" w:name="_Toc16164"/>
            <w:bookmarkStart w:id="29" w:name="_Toc8340"/>
            <w:bookmarkStart w:id="30" w:name="_Toc6710"/>
            <w:bookmarkStart w:id="31" w:name="_Toc25544"/>
            <w:bookmarkStart w:id="32" w:name="_Toc28798"/>
            <w:r>
              <w:rPr>
                <w:rFonts w:hint="default" w:ascii="Times New Roman" w:hAnsi="Times New Roman" w:cs="Times New Roman"/>
                <w:color w:val="auto"/>
                <w:lang w:val="en-US" w:eastAsia="zh-CN"/>
              </w:rPr>
              <w:t>1、产业政策符合性分析</w:t>
            </w:r>
            <w:bookmarkEnd w:id="23"/>
            <w:bookmarkEnd w:id="24"/>
            <w:bookmarkEnd w:id="25"/>
            <w:bookmarkEnd w:id="26"/>
            <w:bookmarkEnd w:id="27"/>
            <w:bookmarkEnd w:id="28"/>
            <w:bookmarkEnd w:id="29"/>
            <w:bookmarkEnd w:id="30"/>
            <w:bookmarkEnd w:id="31"/>
            <w:bookmarkEnd w:id="32"/>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经查阅，该项目不属于</w:t>
            </w:r>
            <w:r>
              <w:rPr>
                <w:rFonts w:hint="default"/>
                <w:color w:val="auto"/>
                <w:lang w:val="en-US" w:eastAsia="zh-CN"/>
              </w:rPr>
              <w:t>《产业结构调整指导目录（</w:t>
            </w:r>
            <w:r>
              <w:rPr>
                <w:rFonts w:hint="eastAsia"/>
                <w:color w:val="auto"/>
                <w:lang w:val="en-US" w:eastAsia="zh-CN"/>
              </w:rPr>
              <w:t>2024年本</w:t>
            </w:r>
            <w:r>
              <w:rPr>
                <w:rFonts w:hint="default"/>
                <w:color w:val="auto"/>
                <w:lang w:val="en-US" w:eastAsia="zh-CN"/>
              </w:rPr>
              <w:t>）》</w:t>
            </w:r>
            <w:r>
              <w:rPr>
                <w:rFonts w:hint="default" w:ascii="Times New Roman" w:hAnsi="Times New Roman" w:cs="Times New Roman"/>
                <w:color w:val="auto"/>
                <w:lang w:val="en-US" w:eastAsia="zh-CN"/>
              </w:rPr>
              <w:t>中</w:t>
            </w:r>
            <w:r>
              <w:rPr>
                <w:rFonts w:hint="eastAsia" w:ascii="宋体" w:hAnsi="宋体" w:eastAsia="宋体" w:cs="宋体"/>
                <w:color w:val="auto"/>
                <w:lang w:val="en-US" w:eastAsia="zh-CN"/>
              </w:rPr>
              <w:t>“</w:t>
            </w:r>
            <w:r>
              <w:rPr>
                <w:rFonts w:hint="default" w:ascii="Times New Roman" w:hAnsi="Times New Roman" w:cs="Times New Roman"/>
                <w:color w:val="auto"/>
                <w:lang w:val="en-US" w:eastAsia="zh-CN"/>
              </w:rPr>
              <w:t>鼓励类</w:t>
            </w:r>
            <w:r>
              <w:rPr>
                <w:rFonts w:hint="eastAsia" w:cs="Times New Roman"/>
                <w:color w:val="auto"/>
                <w:lang w:val="en-US" w:eastAsia="zh-CN"/>
              </w:rPr>
              <w:t>”</w:t>
            </w:r>
            <w:r>
              <w:rPr>
                <w:rFonts w:hint="default" w:ascii="Times New Roman" w:hAnsi="Times New Roman" w:cs="Times New Roman"/>
                <w:color w:val="auto"/>
                <w:lang w:val="en-US" w:eastAsia="zh-CN"/>
              </w:rPr>
              <w:t>、</w:t>
            </w:r>
            <w:r>
              <w:rPr>
                <w:rFonts w:hint="eastAsia" w:cs="Times New Roman"/>
                <w:color w:val="auto"/>
                <w:lang w:val="en-US" w:eastAsia="zh-CN"/>
              </w:rPr>
              <w:t>“</w:t>
            </w:r>
            <w:r>
              <w:rPr>
                <w:rFonts w:hint="default" w:ascii="Times New Roman" w:hAnsi="Times New Roman" w:cs="Times New Roman"/>
                <w:color w:val="auto"/>
                <w:lang w:val="en-US" w:eastAsia="zh-CN"/>
              </w:rPr>
              <w:t>限制类</w:t>
            </w:r>
            <w:r>
              <w:rPr>
                <w:rFonts w:hint="eastAsia" w:cs="Times New Roman"/>
                <w:color w:val="auto"/>
                <w:lang w:val="en-US" w:eastAsia="zh-CN"/>
              </w:rPr>
              <w:t>”</w:t>
            </w:r>
            <w:r>
              <w:rPr>
                <w:rFonts w:hint="default" w:ascii="Times New Roman" w:hAnsi="Times New Roman" w:cs="Times New Roman"/>
                <w:color w:val="auto"/>
                <w:lang w:val="en-US" w:eastAsia="zh-CN"/>
              </w:rPr>
              <w:t>及</w:t>
            </w:r>
            <w:r>
              <w:rPr>
                <w:rFonts w:hint="eastAsia" w:cs="Times New Roman"/>
                <w:color w:val="auto"/>
                <w:lang w:val="en-US" w:eastAsia="zh-CN"/>
              </w:rPr>
              <w:t>“</w:t>
            </w:r>
            <w:r>
              <w:rPr>
                <w:rFonts w:hint="default" w:ascii="Times New Roman" w:hAnsi="Times New Roman" w:cs="Times New Roman"/>
                <w:color w:val="auto"/>
                <w:lang w:val="en-US" w:eastAsia="zh-CN"/>
              </w:rPr>
              <w:t>淘汰类</w:t>
            </w:r>
            <w:r>
              <w:rPr>
                <w:rFonts w:hint="eastAsia" w:ascii="宋体" w:hAnsi="宋体" w:eastAsia="宋体" w:cs="宋体"/>
                <w:color w:val="auto"/>
                <w:lang w:val="en-US" w:eastAsia="zh-CN"/>
              </w:rPr>
              <w:t>”</w:t>
            </w:r>
            <w:r>
              <w:rPr>
                <w:rFonts w:hint="default" w:ascii="Times New Roman" w:hAnsi="Times New Roman" w:cs="Times New Roman"/>
                <w:color w:val="auto"/>
                <w:lang w:val="en-US" w:eastAsia="zh-CN"/>
              </w:rPr>
              <w:t>项目，属于允许类项目。</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因此，本项目符合国家产业政策的要求。</w:t>
            </w:r>
          </w:p>
          <w:p>
            <w:pPr>
              <w:pStyle w:val="3"/>
              <w:bidi w:val="0"/>
              <w:rPr>
                <w:rFonts w:hint="default" w:ascii="Times New Roman" w:hAnsi="Times New Roman" w:cs="Times New Roman"/>
                <w:color w:val="auto"/>
                <w:lang w:val="en-US" w:eastAsia="zh-CN"/>
              </w:rPr>
            </w:pPr>
            <w:bookmarkStart w:id="33" w:name="_Toc25352"/>
            <w:bookmarkStart w:id="34" w:name="_Toc25223"/>
            <w:bookmarkStart w:id="35" w:name="_Toc23081"/>
            <w:bookmarkStart w:id="36" w:name="_Toc20702"/>
            <w:bookmarkStart w:id="37" w:name="_Toc19554"/>
            <w:bookmarkStart w:id="38" w:name="_Toc3921"/>
            <w:bookmarkStart w:id="39" w:name="_Toc23002"/>
            <w:bookmarkStart w:id="40" w:name="_Toc11651"/>
            <w:bookmarkStart w:id="41" w:name="_Toc2661"/>
            <w:bookmarkStart w:id="42" w:name="_Toc20415"/>
            <w:r>
              <w:rPr>
                <w:rFonts w:hint="default" w:ascii="Times New Roman" w:hAnsi="Times New Roman" w:cs="Times New Roman"/>
                <w:color w:val="auto"/>
                <w:lang w:val="en-US" w:eastAsia="zh-CN"/>
              </w:rPr>
              <w:t>2、三线一单符合性分析</w:t>
            </w:r>
            <w:bookmarkEnd w:id="33"/>
            <w:bookmarkEnd w:id="34"/>
            <w:bookmarkEnd w:id="35"/>
            <w:bookmarkEnd w:id="36"/>
            <w:bookmarkEnd w:id="37"/>
            <w:bookmarkEnd w:id="38"/>
            <w:bookmarkEnd w:id="39"/>
            <w:bookmarkEnd w:id="40"/>
            <w:bookmarkEnd w:id="41"/>
            <w:bookmarkEnd w:id="42"/>
          </w:p>
          <w:p>
            <w:pPr>
              <w:pStyle w:val="4"/>
              <w:bidi w:val="0"/>
              <w:rPr>
                <w:rFonts w:hint="default" w:ascii="Times New Roman" w:hAnsi="Times New Roman" w:cs="Times New Roman"/>
                <w:color w:val="auto"/>
                <w:lang w:val="en-US" w:eastAsia="zh-CN"/>
              </w:rPr>
            </w:pPr>
            <w:bookmarkStart w:id="43" w:name="_Toc1248"/>
            <w:bookmarkStart w:id="44" w:name="_Toc2242"/>
            <w:bookmarkStart w:id="45" w:name="_Toc24685"/>
            <w:bookmarkStart w:id="46" w:name="_Toc10156"/>
            <w:bookmarkStart w:id="47" w:name="_Toc29916"/>
            <w:bookmarkStart w:id="48" w:name="_Toc18166"/>
            <w:bookmarkStart w:id="49" w:name="_Toc28125"/>
            <w:bookmarkStart w:id="50" w:name="_Toc20454"/>
            <w:bookmarkStart w:id="51" w:name="_Toc13356"/>
            <w:r>
              <w:rPr>
                <w:rFonts w:hint="default" w:ascii="Times New Roman" w:hAnsi="Times New Roman" w:cs="Times New Roman"/>
                <w:color w:val="auto"/>
                <w:lang w:val="en-US" w:eastAsia="zh-CN"/>
              </w:rPr>
              <w:t>2.1 生态红线相符性分析</w:t>
            </w:r>
            <w:bookmarkEnd w:id="43"/>
            <w:bookmarkEnd w:id="44"/>
            <w:bookmarkEnd w:id="45"/>
            <w:bookmarkEnd w:id="46"/>
            <w:bookmarkEnd w:id="47"/>
            <w:bookmarkEnd w:id="48"/>
            <w:bookmarkEnd w:id="49"/>
            <w:bookmarkEnd w:id="50"/>
            <w:bookmarkEnd w:id="51"/>
          </w:p>
          <w:p>
            <w:pPr>
              <w:bidi w:val="0"/>
              <w:rPr>
                <w:rFonts w:hint="default" w:ascii="Times New Roman" w:hAnsi="Times New Roman" w:cs="Times New Roman"/>
                <w:color w:val="auto"/>
              </w:rPr>
            </w:pPr>
            <w:r>
              <w:rPr>
                <w:rFonts w:hint="default" w:ascii="Times New Roman" w:hAnsi="Times New Roman" w:cs="Times New Roman"/>
                <w:color w:val="auto"/>
              </w:rPr>
              <w:t>根据湖南省人民政府关于实施</w:t>
            </w:r>
            <w:r>
              <w:rPr>
                <w:rFonts w:hint="eastAsia" w:ascii="宋体" w:hAnsi="宋体" w:eastAsia="宋体" w:cs="宋体"/>
                <w:color w:val="auto"/>
              </w:rPr>
              <w:t>“三线一单”</w:t>
            </w:r>
            <w:r>
              <w:rPr>
                <w:rFonts w:hint="default" w:ascii="Times New Roman" w:hAnsi="Times New Roman" w:cs="Times New Roman"/>
                <w:color w:val="auto"/>
              </w:rPr>
              <w:t>生态环境分区管控的意见（湘政发〔2020〕12号）中湖南</w:t>
            </w:r>
            <w:r>
              <w:rPr>
                <w:rFonts w:hint="eastAsia" w:ascii="宋体" w:hAnsi="宋体" w:eastAsia="宋体" w:cs="宋体"/>
                <w:color w:val="auto"/>
              </w:rPr>
              <w:t>省</w:t>
            </w:r>
            <w:r>
              <w:rPr>
                <w:rFonts w:hint="eastAsia" w:ascii="宋体" w:hAnsi="宋体" w:eastAsia="宋体" w:cs="宋体"/>
                <w:color w:val="auto"/>
                <w:lang w:eastAsia="zh-CN"/>
              </w:rPr>
              <w:t>“</w:t>
            </w:r>
            <w:r>
              <w:rPr>
                <w:rFonts w:hint="eastAsia" w:ascii="宋体" w:hAnsi="宋体" w:eastAsia="宋体" w:cs="宋体"/>
                <w:color w:val="auto"/>
              </w:rPr>
              <w:t>三线一单</w:t>
            </w:r>
            <w:r>
              <w:rPr>
                <w:rFonts w:hint="eastAsia" w:ascii="宋体" w:hAnsi="宋体" w:eastAsia="宋体" w:cs="宋体"/>
                <w:color w:val="auto"/>
                <w:lang w:eastAsia="zh-CN"/>
              </w:rPr>
              <w:t>”</w:t>
            </w:r>
            <w:r>
              <w:rPr>
                <w:rFonts w:hint="eastAsia" w:ascii="宋体" w:hAnsi="宋体" w:eastAsia="宋体" w:cs="宋体"/>
                <w:color w:val="auto"/>
              </w:rPr>
              <w:t>生</w:t>
            </w:r>
            <w:r>
              <w:rPr>
                <w:rFonts w:hint="default" w:ascii="Times New Roman" w:hAnsi="Times New Roman" w:cs="Times New Roman"/>
                <w:color w:val="auto"/>
              </w:rPr>
              <w:t>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w:t>
            </w:r>
          </w:p>
          <w:p>
            <w:pPr>
              <w:bidi w:val="0"/>
              <w:rPr>
                <w:rFonts w:hint="default" w:ascii="Times New Roman" w:hAnsi="Times New Roman" w:cs="Times New Roman"/>
                <w:color w:val="auto"/>
              </w:rPr>
            </w:pPr>
            <w:r>
              <w:rPr>
                <w:rFonts w:hint="default" w:ascii="Times New Roman" w:hAnsi="Times New Roman" w:cs="Times New Roman"/>
                <w:color w:val="auto"/>
              </w:rPr>
              <w:t>本项目位于</w:t>
            </w:r>
            <w:r>
              <w:rPr>
                <w:rFonts w:hint="default" w:ascii="Times New Roman" w:hAnsi="Times New Roman" w:cs="Times New Roman"/>
                <w:color w:val="auto"/>
                <w:lang w:val="en-US" w:eastAsia="zh-CN"/>
              </w:rPr>
              <w:t>衡阳市蒸湘区大立村蒸水河段，铜钱渡大桥上游200米左岸处，蒸水入湘江河口4公里处，主要施工地点为蒸水河的河滩</w:t>
            </w:r>
            <w:r>
              <w:rPr>
                <w:rFonts w:hint="default" w:ascii="Times New Roman" w:hAnsi="Times New Roman" w:cs="Times New Roman"/>
                <w:color w:val="auto"/>
              </w:rPr>
              <w:t>，根据《湖南省人民政府关于印发&lt;湖南省生态保护红线&gt;的通知》（湘政发〔2018〕20号）</w:t>
            </w:r>
            <w:r>
              <w:rPr>
                <w:rFonts w:hint="eastAsia" w:cs="Times New Roman"/>
                <w:color w:val="auto"/>
                <w:lang w:val="en-US" w:eastAsia="zh-CN"/>
              </w:rPr>
              <w:t>以及衡阳市自然资源和规划局发布的《关于协助出具衡阳市级渔政码头建设项目是否涉及生态保护红线情况说明的函的回函》（详见附件4）</w:t>
            </w:r>
            <w:r>
              <w:rPr>
                <w:rFonts w:hint="default" w:ascii="Times New Roman" w:hAnsi="Times New Roman" w:cs="Times New Roman"/>
                <w:color w:val="auto"/>
              </w:rPr>
              <w:t>，本项目不在生态保护红线范围内。</w:t>
            </w:r>
          </w:p>
          <w:p>
            <w:pPr>
              <w:pStyle w:val="4"/>
              <w:bidi w:val="0"/>
              <w:rPr>
                <w:rFonts w:hint="default" w:ascii="Times New Roman" w:hAnsi="Times New Roman" w:cs="Times New Roman"/>
                <w:color w:val="auto"/>
                <w:lang w:val="en-US" w:eastAsia="zh-CN"/>
              </w:rPr>
            </w:pPr>
            <w:bookmarkStart w:id="52" w:name="_Toc16619"/>
            <w:bookmarkStart w:id="53" w:name="_Toc32103"/>
            <w:bookmarkStart w:id="54" w:name="_Toc22268"/>
            <w:bookmarkStart w:id="55" w:name="_Toc1459"/>
            <w:bookmarkStart w:id="56" w:name="_Toc27899"/>
            <w:bookmarkStart w:id="57" w:name="_Toc30517"/>
            <w:bookmarkStart w:id="58" w:name="_Toc14585"/>
            <w:bookmarkStart w:id="59" w:name="_Toc13402"/>
            <w:bookmarkStart w:id="60" w:name="_Toc15566"/>
            <w:r>
              <w:rPr>
                <w:rFonts w:hint="default" w:ascii="Times New Roman" w:hAnsi="Times New Roman" w:cs="Times New Roman"/>
                <w:color w:val="auto"/>
                <w:lang w:val="en-US" w:eastAsia="zh-CN"/>
              </w:rPr>
              <w:t>2.2 环境质量底线相符性分析</w:t>
            </w:r>
            <w:bookmarkEnd w:id="52"/>
            <w:bookmarkEnd w:id="53"/>
            <w:bookmarkEnd w:id="54"/>
            <w:bookmarkEnd w:id="55"/>
            <w:bookmarkEnd w:id="56"/>
            <w:bookmarkEnd w:id="57"/>
            <w:bookmarkEnd w:id="58"/>
            <w:bookmarkEnd w:id="59"/>
            <w:bookmarkEnd w:id="60"/>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项目所在区域的环境质量底线为：环境空气治理目标为《环境空气质量标准》（GB3095-2012）</w:t>
            </w:r>
            <w:r>
              <w:rPr>
                <w:rFonts w:hint="eastAsia" w:cs="Times New Roman"/>
                <w:color w:val="auto"/>
                <w:lang w:val="en-US" w:eastAsia="zh-CN"/>
              </w:rPr>
              <w:t>（含2018年修改单）</w:t>
            </w:r>
            <w:r>
              <w:rPr>
                <w:rFonts w:hint="default" w:ascii="Times New Roman" w:hAnsi="Times New Roman" w:cs="Times New Roman"/>
                <w:color w:val="auto"/>
                <w:lang w:val="en-US" w:eastAsia="zh-CN"/>
              </w:rPr>
              <w:t>二级标准，水环境质量目标为《地表水环境质量标准》（GB3838-2002）的Ⅳ类标准，声环境质量为《声环境质量标准》（GB3096-2008）2类标准。</w:t>
            </w:r>
          </w:p>
          <w:p>
            <w:pPr>
              <w:pStyle w:val="4"/>
              <w:bidi w:val="0"/>
              <w:rPr>
                <w:rFonts w:hint="default" w:ascii="Times New Roman" w:hAnsi="Times New Roman" w:cs="Times New Roman"/>
                <w:color w:val="auto"/>
                <w:lang w:val="en-US" w:eastAsia="zh-CN"/>
              </w:rPr>
            </w:pPr>
            <w:bookmarkStart w:id="61" w:name="_Toc2160"/>
            <w:bookmarkStart w:id="62" w:name="_Toc25775"/>
            <w:bookmarkStart w:id="63" w:name="_Toc599"/>
            <w:bookmarkStart w:id="64" w:name="_Toc20047"/>
            <w:bookmarkStart w:id="65" w:name="_Toc2378"/>
            <w:bookmarkStart w:id="66" w:name="_Toc14135"/>
            <w:bookmarkStart w:id="67" w:name="_Toc3312"/>
            <w:bookmarkStart w:id="68" w:name="_Toc23207"/>
            <w:bookmarkStart w:id="69" w:name="_Toc1652"/>
            <w:r>
              <w:rPr>
                <w:rFonts w:hint="default" w:ascii="Times New Roman" w:hAnsi="Times New Roman" w:cs="Times New Roman"/>
                <w:color w:val="auto"/>
                <w:lang w:val="en-US" w:eastAsia="zh-CN"/>
              </w:rPr>
              <w:t>2.3 资源利用上线相符性分析</w:t>
            </w:r>
            <w:bookmarkEnd w:id="61"/>
            <w:bookmarkEnd w:id="62"/>
            <w:bookmarkEnd w:id="63"/>
            <w:bookmarkEnd w:id="64"/>
            <w:bookmarkEnd w:id="65"/>
            <w:bookmarkEnd w:id="66"/>
            <w:bookmarkEnd w:id="67"/>
            <w:bookmarkEnd w:id="68"/>
            <w:bookmarkEnd w:id="69"/>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b w:val="0"/>
                <w:bCs w:val="0"/>
                <w:color w:val="auto"/>
                <w:kern w:val="0"/>
                <w:sz w:val="24"/>
                <w:szCs w:val="24"/>
                <w:lang w:val="en-US" w:eastAsia="zh-CN"/>
              </w:rPr>
            </w:pPr>
            <w:r>
              <w:rPr>
                <w:rFonts w:hint="default" w:ascii="Times New Roman" w:hAnsi="Times New Roman" w:cs="Times New Roman"/>
                <w:b w:val="0"/>
                <w:bCs w:val="0"/>
                <w:color w:val="auto"/>
                <w:kern w:val="0"/>
                <w:sz w:val="24"/>
                <w:szCs w:val="24"/>
                <w:lang w:val="en-US" w:eastAsia="zh-CN"/>
              </w:rPr>
              <w:t>本项目不属于</w:t>
            </w:r>
            <w:r>
              <w:rPr>
                <w:rFonts w:hint="eastAsia" w:ascii="宋体" w:hAnsi="宋体" w:eastAsia="宋体" w:cs="宋体"/>
                <w:b w:val="0"/>
                <w:bCs w:val="0"/>
                <w:color w:val="auto"/>
                <w:kern w:val="0"/>
                <w:sz w:val="24"/>
                <w:szCs w:val="24"/>
                <w:lang w:val="en-US" w:eastAsia="zh-CN"/>
              </w:rPr>
              <w:t>“</w:t>
            </w:r>
            <w:r>
              <w:rPr>
                <w:rFonts w:hint="default" w:ascii="Times New Roman" w:hAnsi="Times New Roman" w:cs="Times New Roman"/>
                <w:b w:val="0"/>
                <w:bCs w:val="0"/>
                <w:color w:val="auto"/>
                <w:kern w:val="0"/>
                <w:sz w:val="24"/>
                <w:szCs w:val="24"/>
                <w:lang w:val="en-US" w:eastAsia="zh-CN"/>
              </w:rPr>
              <w:t>两高一资</w:t>
            </w:r>
            <w:r>
              <w:rPr>
                <w:rFonts w:hint="eastAsia" w:ascii="宋体" w:hAnsi="宋体" w:eastAsia="宋体" w:cs="宋体"/>
                <w:b w:val="0"/>
                <w:bCs w:val="0"/>
                <w:color w:val="auto"/>
                <w:kern w:val="0"/>
                <w:sz w:val="24"/>
                <w:szCs w:val="24"/>
                <w:lang w:val="en-US" w:eastAsia="zh-CN"/>
              </w:rPr>
              <w:t>”</w:t>
            </w:r>
            <w:r>
              <w:rPr>
                <w:rFonts w:hint="default" w:ascii="Times New Roman" w:hAnsi="Times New Roman" w:cs="Times New Roman"/>
                <w:b w:val="0"/>
                <w:bCs w:val="0"/>
                <w:color w:val="auto"/>
                <w:kern w:val="0"/>
                <w:sz w:val="24"/>
                <w:szCs w:val="24"/>
                <w:lang w:val="en-US" w:eastAsia="zh-CN"/>
              </w:rPr>
              <w:t>型企业，且项目所在地不属于资源、能源紧缺区域，项目运营期间水、电等用量较小，不会超过划定的资源利用上线。</w:t>
            </w:r>
          </w:p>
          <w:p>
            <w:pPr>
              <w:pStyle w:val="4"/>
              <w:bidi w:val="0"/>
              <w:rPr>
                <w:rFonts w:hint="default" w:ascii="Times New Roman" w:hAnsi="Times New Roman" w:cs="Times New Roman"/>
                <w:color w:val="auto"/>
                <w:lang w:val="en-US" w:eastAsia="zh-CN"/>
              </w:rPr>
            </w:pPr>
            <w:bookmarkStart w:id="70" w:name="_Toc17903"/>
            <w:bookmarkStart w:id="71" w:name="_Toc8504"/>
            <w:bookmarkStart w:id="72" w:name="_Toc27934"/>
            <w:bookmarkStart w:id="73" w:name="_Toc9954"/>
            <w:bookmarkStart w:id="74" w:name="_Toc30871"/>
            <w:bookmarkStart w:id="75" w:name="_Toc28002"/>
            <w:bookmarkStart w:id="76" w:name="_Toc27162"/>
            <w:bookmarkStart w:id="77" w:name="_Toc24580"/>
            <w:bookmarkStart w:id="78" w:name="_Toc9422"/>
            <w:r>
              <w:rPr>
                <w:rFonts w:hint="default" w:ascii="Times New Roman" w:hAnsi="Times New Roman" w:cs="Times New Roman"/>
                <w:color w:val="auto"/>
                <w:lang w:val="en-US" w:eastAsia="zh-CN"/>
              </w:rPr>
              <w:t>2.4 生态环境准入清单相符性分析</w:t>
            </w:r>
            <w:bookmarkEnd w:id="70"/>
            <w:bookmarkEnd w:id="71"/>
            <w:bookmarkEnd w:id="72"/>
            <w:bookmarkEnd w:id="73"/>
            <w:bookmarkEnd w:id="74"/>
            <w:bookmarkEnd w:id="75"/>
            <w:bookmarkEnd w:id="76"/>
            <w:bookmarkEnd w:id="77"/>
            <w:bookmarkEnd w:id="78"/>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湖南省新增19个国家重点生态功能区产业准入负面清单（试行）》，本项目不在其禁止准入类和限制准入类。因此，本项目建设符合《湖南省新增19个国家重点生态功能区产业准入负面清单（试行）》要求。</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综上所述，本项目符合</w:t>
            </w:r>
            <w:r>
              <w:rPr>
                <w:rFonts w:hint="eastAsia" w:cs="Times New Roman"/>
                <w:color w:val="auto"/>
                <w:lang w:val="en-US" w:eastAsia="zh-CN"/>
              </w:rPr>
              <w:t>“</w:t>
            </w:r>
            <w:r>
              <w:rPr>
                <w:rFonts w:hint="default" w:ascii="Times New Roman" w:hAnsi="Times New Roman" w:cs="Times New Roman"/>
                <w:color w:val="auto"/>
                <w:lang w:val="en-US" w:eastAsia="zh-CN"/>
              </w:rPr>
              <w:t>三线一单</w:t>
            </w:r>
            <w:r>
              <w:rPr>
                <w:rFonts w:hint="eastAsia" w:ascii="宋体" w:hAnsi="宋体" w:eastAsia="宋体" w:cs="宋体"/>
                <w:color w:val="auto"/>
                <w:lang w:val="en-US" w:eastAsia="zh-CN"/>
              </w:rPr>
              <w:t>”</w:t>
            </w:r>
            <w:r>
              <w:rPr>
                <w:rFonts w:hint="default" w:ascii="Times New Roman" w:hAnsi="Times New Roman" w:cs="Times New Roman"/>
                <w:color w:val="auto"/>
                <w:lang w:val="en-US" w:eastAsia="zh-CN"/>
              </w:rPr>
              <w:t>及国家及地方现行的产业政策。</w:t>
            </w:r>
          </w:p>
          <w:p>
            <w:pPr>
              <w:pStyle w:val="3"/>
              <w:bidi w:val="0"/>
              <w:rPr>
                <w:rFonts w:hint="default" w:ascii="Times New Roman" w:hAnsi="Times New Roman" w:cs="Times New Roman"/>
                <w:color w:val="auto"/>
                <w:lang w:val="en-US" w:eastAsia="zh-CN"/>
              </w:rPr>
            </w:pPr>
            <w:bookmarkStart w:id="79" w:name="_Toc9306"/>
            <w:bookmarkStart w:id="80" w:name="_Toc1508"/>
            <w:bookmarkStart w:id="81" w:name="_Toc26807"/>
            <w:bookmarkStart w:id="82" w:name="_Toc24623"/>
            <w:bookmarkStart w:id="83" w:name="_Toc1016"/>
            <w:bookmarkStart w:id="84" w:name="_Toc30539"/>
            <w:bookmarkStart w:id="85" w:name="_Toc16356"/>
            <w:bookmarkStart w:id="86" w:name="_Toc26488"/>
            <w:bookmarkStart w:id="87" w:name="_Toc8957"/>
            <w:bookmarkStart w:id="88" w:name="_Toc32422"/>
            <w:r>
              <w:rPr>
                <w:rFonts w:hint="default" w:ascii="Times New Roman" w:hAnsi="Times New Roman" w:cs="Times New Roman"/>
                <w:color w:val="auto"/>
                <w:lang w:val="en-US" w:eastAsia="zh-CN"/>
              </w:rPr>
              <w:t>3、与《长江经济带船舶和港口污染突出问题整治工作实施方案》相符性分析</w:t>
            </w:r>
            <w:bookmarkEnd w:id="79"/>
            <w:bookmarkEnd w:id="80"/>
            <w:bookmarkEnd w:id="81"/>
            <w:bookmarkEnd w:id="82"/>
            <w:bookmarkEnd w:id="83"/>
            <w:bookmarkEnd w:id="84"/>
            <w:bookmarkEnd w:id="85"/>
            <w:bookmarkEnd w:id="86"/>
            <w:bookmarkEnd w:id="87"/>
            <w:bookmarkEnd w:id="88"/>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工作方案重点解决船舶污水收集处置装置配备不到位和运行不正常、垃圾污水等偷排偷倒入江、船舶污染物接收设施不健全和转运处置衔接不畅、港口自身环保设施不完善、岸电利用率不高、液化天然气加注站审批难建设难运营难等突出问题。</w:t>
            </w:r>
          </w:p>
          <w:p>
            <w:pPr>
              <w:bidi w:val="0"/>
              <w:rPr>
                <w:rFonts w:hint="default" w:ascii="Times New Roman" w:hAnsi="Times New Roman" w:cs="Times New Roman"/>
                <w:color w:val="auto"/>
                <w:lang w:val="en-US" w:eastAsia="zh-CN"/>
              </w:rPr>
            </w:pPr>
            <w:r>
              <w:rPr>
                <w:rFonts w:hint="eastAsia" w:cs="Times New Roman"/>
                <w:color w:val="auto"/>
                <w:lang w:val="en-US" w:eastAsia="zh-CN"/>
              </w:rPr>
              <w:t>衡阳市级</w:t>
            </w:r>
            <w:r>
              <w:rPr>
                <w:rFonts w:hint="default" w:ascii="Times New Roman" w:hAnsi="Times New Roman" w:cs="Times New Roman"/>
                <w:color w:val="auto"/>
                <w:lang w:val="en-US" w:eastAsia="zh-CN"/>
              </w:rPr>
              <w:t>渔政执法码头位于蒸水河，衡阳市演武坪水厂取水口的上游，水上执法的同时，可能会对水厂取水口水质造成污染。通过本次项目建设，对现有码头提质改造，收集环境污染物交市政综合处理，避免因水上执法对取水口水质造成污染，同时有利于加强湘江衡阳段的综合治理，及时、有效地打击非法捕捞、非法采砂等破坏环境资源类违法犯罪行为，减少渔业违规养殖给湘江造成的污染，更好的保护饮用水水源保护区。该项目依托蒸水河</w:t>
            </w:r>
            <w:r>
              <w:rPr>
                <w:rFonts w:hint="eastAsia" w:cs="Times New Roman"/>
                <w:color w:val="auto"/>
                <w:lang w:val="en-US" w:eastAsia="zh-CN"/>
              </w:rPr>
              <w:t>现有</w:t>
            </w:r>
            <w:r>
              <w:rPr>
                <w:rFonts w:hint="default" w:ascii="Times New Roman" w:hAnsi="Times New Roman" w:cs="Times New Roman"/>
                <w:color w:val="auto"/>
                <w:lang w:val="en-US" w:eastAsia="zh-CN"/>
              </w:rPr>
              <w:t>码头加固改建，整体符合港口污染突出问题整治工作实施方案。</w:t>
            </w:r>
          </w:p>
          <w:p>
            <w:pPr>
              <w:pStyle w:val="3"/>
              <w:bidi w:val="0"/>
              <w:rPr>
                <w:rFonts w:hint="default" w:ascii="Times New Roman" w:hAnsi="Times New Roman" w:cs="Times New Roman"/>
                <w:color w:val="auto"/>
                <w:lang w:val="en-US" w:eastAsia="zh-CN"/>
              </w:rPr>
            </w:pPr>
            <w:bookmarkStart w:id="89" w:name="_Toc31401"/>
            <w:bookmarkStart w:id="90" w:name="_Toc32452"/>
            <w:bookmarkStart w:id="91" w:name="_Toc17304"/>
            <w:bookmarkStart w:id="92" w:name="_Toc31029"/>
            <w:bookmarkStart w:id="93" w:name="_Toc16747"/>
            <w:bookmarkStart w:id="94" w:name="_Toc21364"/>
            <w:bookmarkStart w:id="95" w:name="_Toc1578"/>
            <w:bookmarkStart w:id="96" w:name="_Toc3044"/>
            <w:bookmarkStart w:id="97" w:name="_Toc22022"/>
            <w:bookmarkStart w:id="98" w:name="_Toc16719"/>
            <w:r>
              <w:rPr>
                <w:rFonts w:hint="default" w:ascii="Times New Roman" w:hAnsi="Times New Roman" w:cs="Times New Roman"/>
                <w:color w:val="auto"/>
                <w:lang w:val="en-US" w:eastAsia="zh-CN"/>
              </w:rPr>
              <w:t>4、与《衡阳市人民政府关于实</w:t>
            </w:r>
            <w:r>
              <w:rPr>
                <w:rFonts w:hint="eastAsia" w:ascii="宋体" w:hAnsi="宋体" w:eastAsia="宋体" w:cs="宋体"/>
                <w:color w:val="auto"/>
                <w:lang w:val="en-US" w:eastAsia="zh-CN"/>
              </w:rPr>
              <w:t>施“三线一单”生</w:t>
            </w:r>
            <w:r>
              <w:rPr>
                <w:rFonts w:hint="default" w:ascii="Times New Roman" w:hAnsi="Times New Roman" w:cs="Times New Roman"/>
                <w:color w:val="auto"/>
                <w:lang w:val="en-US" w:eastAsia="zh-CN"/>
              </w:rPr>
              <w:t>态环境分区管控的意见》相符性分析</w:t>
            </w:r>
            <w:bookmarkEnd w:id="89"/>
            <w:bookmarkEnd w:id="90"/>
            <w:bookmarkEnd w:id="91"/>
            <w:bookmarkEnd w:id="92"/>
            <w:bookmarkEnd w:id="93"/>
            <w:bookmarkEnd w:id="94"/>
            <w:bookmarkEnd w:id="95"/>
            <w:bookmarkEnd w:id="96"/>
            <w:bookmarkEnd w:id="97"/>
            <w:bookmarkEnd w:id="98"/>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本项目位于蒸湘街道，环境管控单元编码为ZH43040820002，所在区域为重点管控单元，与蒸湘区蒸湘街道生态环境准入清单相符性分析见表1.1。</w:t>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表1.1 与蒸湘区蒸湘街道生态环境准入清单相符性分析</w:t>
            </w:r>
          </w:p>
          <w:tbl>
            <w:tblPr>
              <w:tblStyle w:val="12"/>
              <w:tblW w:w="488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39"/>
              <w:gridCol w:w="3939"/>
              <w:gridCol w:w="2071"/>
              <w:gridCol w:w="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序号</w:t>
                  </w:r>
                </w:p>
              </w:tc>
              <w:tc>
                <w:tcPr>
                  <w:tcW w:w="623"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类别/管控类别</w:t>
                  </w:r>
                </w:p>
              </w:tc>
              <w:tc>
                <w:tcPr>
                  <w:tcW w:w="2359"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管控要求</w:t>
                  </w:r>
                </w:p>
              </w:tc>
              <w:tc>
                <w:tcPr>
                  <w:tcW w:w="1240"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实际情况</w:t>
                  </w:r>
                </w:p>
              </w:tc>
              <w:tc>
                <w:tcPr>
                  <w:tcW w:w="521"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相符性分析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623" w:type="pc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主要属性</w:t>
                  </w:r>
                </w:p>
              </w:tc>
              <w:tc>
                <w:tcPr>
                  <w:tcW w:w="2359" w:type="pct"/>
                  <w:noWrap w:val="0"/>
                  <w:vAlign w:val="center"/>
                </w:tcPr>
                <w:p>
                  <w:pPr>
                    <w:pStyle w:val="16"/>
                    <w:bidi w:val="0"/>
                    <w:jc w:val="both"/>
                    <w:rPr>
                      <w:rFonts w:hint="default" w:ascii="Times New Roman" w:hAnsi="Times New Roman" w:cs="Times New Roman"/>
                      <w:color w:val="auto"/>
                      <w:lang w:val="en-US" w:eastAsia="zh-CN"/>
                    </w:rPr>
                  </w:pPr>
                  <w:r>
                    <w:rPr>
                      <w:rFonts w:hint="eastAsia" w:cs="Times New Roman"/>
                      <w:color w:val="auto"/>
                      <w:lang w:val="en-US" w:eastAsia="zh-CN"/>
                    </w:rPr>
                    <w:t>（1.1）</w:t>
                  </w:r>
                  <w:r>
                    <w:rPr>
                      <w:rFonts w:hint="default" w:ascii="Times New Roman" w:hAnsi="Times New Roman" w:cs="Times New Roman"/>
                      <w:color w:val="auto"/>
                      <w:lang w:val="en-US" w:eastAsia="zh-CN"/>
                    </w:rPr>
                    <w:t>红线/一般生态空间——水产种质资源保护区/水源涵养重要区</w:t>
                  </w:r>
                  <w:r>
                    <w:rPr>
                      <w:rFonts w:hint="eastAsia" w:cs="Times New Roman"/>
                      <w:color w:val="auto"/>
                      <w:lang w:val="en-US" w:eastAsia="zh-CN"/>
                    </w:rPr>
                    <w:t>。</w:t>
                  </w:r>
                </w:p>
                <w:p>
                  <w:pPr>
                    <w:pStyle w:val="16"/>
                    <w:bidi w:val="0"/>
                    <w:jc w:val="both"/>
                    <w:rPr>
                      <w:rFonts w:hint="default" w:ascii="Times New Roman" w:hAnsi="Times New Roman" w:cs="Times New Roman"/>
                      <w:color w:val="auto"/>
                      <w:lang w:val="en-US" w:eastAsia="zh-CN"/>
                    </w:rPr>
                  </w:pPr>
                  <w:r>
                    <w:rPr>
                      <w:rFonts w:hint="eastAsia" w:cs="Times New Roman"/>
                      <w:color w:val="auto"/>
                      <w:lang w:val="en-US" w:eastAsia="zh-CN"/>
                    </w:rPr>
                    <w:t>（1.2）</w:t>
                  </w:r>
                  <w:r>
                    <w:rPr>
                      <w:rFonts w:hint="default" w:ascii="Times New Roman" w:hAnsi="Times New Roman" w:cs="Times New Roman"/>
                      <w:color w:val="auto"/>
                      <w:lang w:val="en-US" w:eastAsia="zh-CN"/>
                    </w:rPr>
                    <w:t>水环境城镇生活污染重点管控区/水环境优先保护区/水环境工业污染重点管控区——衡阳市金达污水营运有限责任公司松亭污水处理厂/湘江衡阳段四大家鱼国家级水产种质资源保护区</w:t>
                  </w:r>
                  <w:r>
                    <w:rPr>
                      <w:rFonts w:hint="eastAsia" w:cs="Times New Roman"/>
                      <w:color w:val="auto"/>
                      <w:lang w:val="en-US" w:eastAsia="zh-CN"/>
                    </w:rPr>
                    <w:t>。</w:t>
                  </w:r>
                </w:p>
                <w:p>
                  <w:pPr>
                    <w:pStyle w:val="16"/>
                    <w:bidi w:val="0"/>
                    <w:jc w:val="both"/>
                    <w:rPr>
                      <w:rFonts w:hint="default" w:ascii="Times New Roman" w:hAnsi="Times New Roman" w:cs="Times New Roman"/>
                      <w:color w:val="auto"/>
                      <w:lang w:val="en-US" w:eastAsia="zh-CN"/>
                    </w:rPr>
                  </w:pPr>
                  <w:r>
                    <w:rPr>
                      <w:rFonts w:hint="eastAsia" w:cs="Times New Roman"/>
                      <w:color w:val="auto"/>
                      <w:lang w:val="en-US" w:eastAsia="zh-CN"/>
                    </w:rPr>
                    <w:t>（1.3）</w:t>
                  </w:r>
                  <w:r>
                    <w:rPr>
                      <w:rFonts w:hint="default" w:ascii="Times New Roman" w:hAnsi="Times New Roman" w:cs="Times New Roman"/>
                      <w:color w:val="auto"/>
                      <w:lang w:val="en-US" w:eastAsia="zh-CN"/>
                    </w:rPr>
                    <w:t>大气环境弱扩散重点管控区/大气环境受体敏感重点管控区</w:t>
                  </w:r>
                  <w:r>
                    <w:rPr>
                      <w:rFonts w:hint="eastAsia" w:cs="Times New Roman"/>
                      <w:color w:val="auto"/>
                      <w:lang w:val="en-US" w:eastAsia="zh-CN"/>
                    </w:rPr>
                    <w:t>。</w:t>
                  </w:r>
                </w:p>
              </w:tc>
              <w:tc>
                <w:tcPr>
                  <w:tcW w:w="1240"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w:t>
                  </w:r>
                  <w:r>
                    <w:rPr>
                      <w:rFonts w:hint="eastAsia" w:cs="Times New Roman"/>
                      <w:color w:val="auto"/>
                      <w:lang w:val="en-US" w:eastAsia="zh-CN"/>
                    </w:rPr>
                    <w:t>位于湘江衡阳段四大家鱼国家级水产种质资源保护区，属于水环境优先保护区。</w:t>
                  </w:r>
                </w:p>
              </w:tc>
              <w:tc>
                <w:tcPr>
                  <w:tcW w:w="521"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62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空间布局约束</w:t>
                  </w:r>
                </w:p>
              </w:tc>
              <w:tc>
                <w:tcPr>
                  <w:tcW w:w="2359"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（2.1）严格限制高污染、高能耗等污染产业进入。</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（2.2）水产种质资源保护区按《水产种质资源保护区管理暂行办法》（2016年修正本）要求管理。</w:t>
                  </w:r>
                </w:p>
              </w:tc>
              <w:tc>
                <w:tcPr>
                  <w:tcW w:w="1240"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本项目不属于高污染、高耗能等污染产业</w:t>
                  </w:r>
                  <w:r>
                    <w:rPr>
                      <w:rFonts w:hint="eastAsia" w:cs="Times New Roman"/>
                      <w:color w:val="auto"/>
                      <w:lang w:val="en-US" w:eastAsia="zh-CN"/>
                    </w:rPr>
                    <w:t>；根据《关于&lt;衡阳市渔政执法码头建设对湘江衡阳段四大家鱼国家级水产种质资源保护区影响专题论证报告&gt;的审查意见》，《专题报告》提出的施工避让、生产生活污水、垃圾上岸集中处理及智慧渔政监管等措施可在一定程度上减缓对保护区产生的不利影响，项目运行将有效提升对水生生物的保护能力。因此本项目符合《水产种质资源保护区管理暂行办法》（2016年修正本）中相关要求。湖南省农业农村厅原则同意衡阳市农业农村局渔政执法码头建设项目实施方案（详见附件10）。</w:t>
                  </w:r>
                </w:p>
              </w:tc>
              <w:tc>
                <w:tcPr>
                  <w:tcW w:w="521"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p>
              </w:tc>
              <w:tc>
                <w:tcPr>
                  <w:tcW w:w="62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污染物排放管控</w:t>
                  </w:r>
                </w:p>
              </w:tc>
              <w:tc>
                <w:tcPr>
                  <w:tcW w:w="2359"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3.1）开展蒸水蒸湘区段环境综合整治，在枯水期对重点断面、重点污染源水质进行加密监管，强化区域环境风险隐患排查整治，督促重点排污单位稳定达标排放，必要时采取限（停）产减排措施。角山污水处理厂纳污范围内污水全部进入角山污水处理厂。</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（3.2）2020年底前，全面完</w:t>
                  </w:r>
                  <w:r>
                    <w:rPr>
                      <w:rFonts w:hint="eastAsia" w:ascii="宋体" w:hAnsi="宋体" w:eastAsia="宋体" w:cs="宋体"/>
                      <w:color w:val="auto"/>
                      <w:lang w:val="en-US" w:eastAsia="zh-CN"/>
                    </w:rPr>
                    <w:t>成“散乱污”企业及集群综合整治工作</w:t>
                  </w:r>
                  <w:r>
                    <w:rPr>
                      <w:rFonts w:hint="default" w:ascii="Times New Roman" w:hAnsi="Times New Roman" w:cs="Times New Roman"/>
                      <w:color w:val="auto"/>
                      <w:lang w:val="en-US" w:eastAsia="zh-CN"/>
                    </w:rPr>
                    <w:t>；严格执行燃煤锅炉准入规定，关停拆除热电联产集中供热管网覆盖区域内的燃煤小锅炉、工业窑炉；对全区水泥、钢铁等重点行业所有企业全面实施特别排放限值标准；华菱衡钢完成3个钢铁超低排放改造项目；加油站、储油库完成油气回收治理工作；严禁秸秆露天焚烧。</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建立健全城镇垃圾收集转运及处理处置体系，推动生活垃圾分类，逐步淘汰敞开式收运设施，在全区推广密闭压缩式收运方式，加快建设生活垃圾处理设施；对于无渗滤液处理设施、渗滤液处理不达标的生活垃圾处理设施，加快完成改造。</w:t>
                  </w:r>
                </w:p>
              </w:tc>
              <w:tc>
                <w:tcPr>
                  <w:tcW w:w="1240"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本项目码头已实施雨污分流，有初期雨水收集、处理和资源化利用设施</w:t>
                  </w:r>
                  <w:r>
                    <w:rPr>
                      <w:rFonts w:hint="eastAsia" w:cs="Times New Roman"/>
                      <w:color w:val="auto"/>
                      <w:lang w:val="en-US" w:eastAsia="zh-CN"/>
                    </w:rPr>
                    <w:t>。</w:t>
                  </w:r>
                </w:p>
              </w:tc>
              <w:tc>
                <w:tcPr>
                  <w:tcW w:w="521"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w:t>
                  </w:r>
                </w:p>
              </w:tc>
              <w:tc>
                <w:tcPr>
                  <w:tcW w:w="62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环境风险防控</w:t>
                  </w:r>
                </w:p>
              </w:tc>
              <w:tc>
                <w:tcPr>
                  <w:tcW w:w="2359"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（4.1）加强环境风险防控和应急管理完善应急预案体系建设，统筹推进环境应急物资储备库建设。</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4.2）根据建设用地土壤环境调查评估及现有重金属污染场地调查结果，逐步建立污染地块名录及其开发利用的负面清单，合理确定土地用途。土地开发利用必须符合土壤环境质量要求。各部门在编制土地利用总体规划、城市总体规划、控制性详细规划等相关规划时，应充分考虑污染地块的环境风险，合理确定土地用途。制定实施受污染耕地安全利用方案，采取农艺调控、化学阻控、替代种植等措施，降低农产品重金属超标风险。暂时不能进行治理修复的污染地块，设置标志标识围栏，根据各地块的环境因地制宜采取建设撇洪导流沟渠、地表覆盖等措施减少雨水冲刷等风险管控措施。在未完成治理并通过验收前，不得用于农业、畜牧业以及工商业开发建设。</w:t>
                  </w:r>
                </w:p>
              </w:tc>
              <w:tc>
                <w:tcPr>
                  <w:tcW w:w="1240"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项目码头建成后按要求制定并完善应急预案体系；项目用地不涉及污染地块名录及其开发利用的负面清单</w:t>
                  </w:r>
                  <w:r>
                    <w:rPr>
                      <w:rFonts w:hint="eastAsia" w:cs="Times New Roman"/>
                      <w:color w:val="auto"/>
                      <w:lang w:val="en-US" w:eastAsia="zh-CN"/>
                    </w:rPr>
                    <w:t>。</w:t>
                  </w:r>
                </w:p>
              </w:tc>
              <w:tc>
                <w:tcPr>
                  <w:tcW w:w="521"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62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资源开发效率要求</w:t>
                  </w:r>
                </w:p>
              </w:tc>
              <w:tc>
                <w:tcPr>
                  <w:tcW w:w="2359"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5.1）能源：强化节能环保标准约束，严格行业规范、准入管理和节能审查，对电力、钢铁、建材、有色、化工、石油石化、煤炭、造纸等行业中，环保、能耗、安全等不达标或生产、使用淘汰类产品的企业和产能，依法依规改造升级或有序退出。推广使用优质煤、洁净型煤，推进煤改气、煤改电，鼓励利用可再生能源、天然气、电力等优质能源替代燃煤使用。到2020年，全区能耗强度降低17%，控制目标121.89万吨标准煤。</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5.2）水资源：鼓励企业在稳定达标排放的基础上进行深度治理，实施清洁化改造，提高工业用水循环利用率。到2020年，全区万元国内生产总值用水量、万元工业增加值用水量分别比2015年降低30%和32.7%；农田灌溉水有效利用系数提高到0.602。</w:t>
                  </w:r>
                </w:p>
              </w:tc>
              <w:tc>
                <w:tcPr>
                  <w:tcW w:w="1240"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本项目为码头项目，不属于电力、钢铁、建材、有色、化工、石油石化、煤炭、造纸等行业，不产生工业废水。</w:t>
                  </w:r>
                </w:p>
              </w:tc>
              <w:tc>
                <w:tcPr>
                  <w:tcW w:w="521"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bl>
          <w:p>
            <w:pPr>
              <w:pStyle w:val="3"/>
              <w:bidi w:val="0"/>
              <w:rPr>
                <w:rFonts w:hint="default" w:ascii="Times New Roman" w:hAnsi="Times New Roman" w:cs="Times New Roman"/>
                <w:color w:val="auto"/>
                <w:lang w:val="en-US" w:eastAsia="zh-CN"/>
              </w:rPr>
            </w:pPr>
            <w:bookmarkStart w:id="99" w:name="_Toc13250"/>
            <w:bookmarkStart w:id="100" w:name="_Toc22950"/>
            <w:bookmarkStart w:id="101" w:name="_Toc14312"/>
            <w:bookmarkStart w:id="102" w:name="_Toc6985"/>
            <w:bookmarkStart w:id="103" w:name="_Toc8329"/>
            <w:bookmarkStart w:id="104" w:name="_Toc9947"/>
            <w:bookmarkStart w:id="105" w:name="_Toc27366"/>
            <w:bookmarkStart w:id="106" w:name="_Toc4093"/>
            <w:bookmarkStart w:id="107" w:name="_Toc14604"/>
            <w:bookmarkStart w:id="108" w:name="_Toc18283"/>
            <w:r>
              <w:rPr>
                <w:rFonts w:hint="eastAsia" w:cs="Times New Roman"/>
                <w:color w:val="auto"/>
                <w:lang w:val="en-US" w:eastAsia="zh-CN"/>
              </w:rPr>
              <w:t>5</w:t>
            </w:r>
            <w:r>
              <w:rPr>
                <w:rFonts w:hint="default" w:ascii="Times New Roman" w:hAnsi="Times New Roman" w:cs="Times New Roman"/>
                <w:color w:val="auto"/>
                <w:lang w:val="en-US" w:eastAsia="zh-CN"/>
              </w:rPr>
              <w:t>、与《港口工程建设管理规定》相符性分析</w:t>
            </w:r>
            <w:bookmarkEnd w:id="99"/>
            <w:bookmarkEnd w:id="100"/>
            <w:bookmarkEnd w:id="101"/>
            <w:bookmarkEnd w:id="102"/>
            <w:bookmarkEnd w:id="103"/>
            <w:bookmarkEnd w:id="104"/>
            <w:bookmarkEnd w:id="105"/>
            <w:bookmarkEnd w:id="106"/>
            <w:bookmarkEnd w:id="107"/>
            <w:bookmarkEnd w:id="108"/>
          </w:p>
          <w:p>
            <w:pPr>
              <w:bidi w:val="0"/>
              <w:rPr>
                <w:rFonts w:hint="eastAsia" w:cs="Times New Roman"/>
                <w:color w:val="auto"/>
                <w:lang w:val="en-US" w:eastAsia="zh-CN"/>
              </w:rPr>
            </w:pPr>
            <w:r>
              <w:rPr>
                <w:rFonts w:hint="default" w:ascii="Times New Roman" w:hAnsi="Times New Roman" w:cs="Times New Roman"/>
                <w:color w:val="auto"/>
                <w:lang w:val="en-US" w:eastAsia="zh-CN"/>
              </w:rPr>
              <w:t>项目不属于军事和渔业港口建设活动，对照《港口工程建设管理规定》</w:t>
            </w:r>
            <w:r>
              <w:rPr>
                <w:rFonts w:hint="eastAsia" w:cs="Times New Roman"/>
                <w:color w:val="auto"/>
                <w:lang w:val="en-US" w:eastAsia="zh-CN"/>
              </w:rPr>
              <w:t>，政府投资的港口工程建设项目应当执行以下建设程序：</w:t>
            </w:r>
          </w:p>
          <w:p>
            <w:pPr>
              <w:bidi w:val="0"/>
              <w:rPr>
                <w:rFonts w:hint="eastAsia" w:cs="Times New Roman"/>
                <w:color w:val="auto"/>
                <w:lang w:val="en-US" w:eastAsia="zh-CN"/>
              </w:rPr>
            </w:pPr>
            <w:r>
              <w:rPr>
                <w:rFonts w:hint="eastAsia" w:cs="Times New Roman"/>
                <w:color w:val="auto"/>
                <w:lang w:val="en-US" w:eastAsia="zh-CN"/>
              </w:rPr>
              <w:t>（一）开展工程预可行性研究，编制项目建议书；</w:t>
            </w:r>
          </w:p>
          <w:p>
            <w:pPr>
              <w:bidi w:val="0"/>
              <w:rPr>
                <w:rFonts w:hint="eastAsia" w:cs="Times New Roman"/>
                <w:color w:val="auto"/>
                <w:lang w:val="en-US" w:eastAsia="zh-CN"/>
              </w:rPr>
            </w:pPr>
            <w:r>
              <w:rPr>
                <w:rFonts w:hint="eastAsia" w:cs="Times New Roman"/>
                <w:color w:val="auto"/>
                <w:lang w:val="en-US" w:eastAsia="zh-CN"/>
              </w:rPr>
              <w:t>（二）根据批准的项目建议书，进行工程可行性研究，编制可行性研究报告；</w:t>
            </w:r>
          </w:p>
          <w:p>
            <w:pPr>
              <w:bidi w:val="0"/>
              <w:rPr>
                <w:rFonts w:hint="eastAsia" w:cs="Times New Roman"/>
                <w:color w:val="auto"/>
                <w:lang w:val="en-US" w:eastAsia="zh-CN"/>
              </w:rPr>
            </w:pPr>
            <w:r>
              <w:rPr>
                <w:rFonts w:hint="eastAsia" w:cs="Times New Roman"/>
                <w:color w:val="auto"/>
                <w:lang w:val="en-US" w:eastAsia="zh-CN"/>
              </w:rPr>
              <w:t>（三）根据批准的可行性研究报告，编制初步设计文件；</w:t>
            </w:r>
          </w:p>
          <w:p>
            <w:pPr>
              <w:bidi w:val="0"/>
              <w:rPr>
                <w:rFonts w:hint="eastAsia" w:cs="Times New Roman"/>
                <w:color w:val="auto"/>
                <w:lang w:val="en-US" w:eastAsia="zh-CN"/>
              </w:rPr>
            </w:pPr>
            <w:r>
              <w:rPr>
                <w:rFonts w:hint="eastAsia" w:cs="Times New Roman"/>
                <w:color w:val="auto"/>
                <w:lang w:val="en-US" w:eastAsia="zh-CN"/>
              </w:rPr>
              <w:t>（四）根据批准的初步设计文件，编制施工图设计文件；</w:t>
            </w:r>
          </w:p>
          <w:p>
            <w:pPr>
              <w:bidi w:val="0"/>
              <w:rPr>
                <w:rFonts w:hint="eastAsia" w:cs="Times New Roman"/>
                <w:color w:val="auto"/>
                <w:lang w:val="en-US" w:eastAsia="zh-CN"/>
              </w:rPr>
            </w:pPr>
            <w:r>
              <w:rPr>
                <w:rFonts w:hint="eastAsia" w:cs="Times New Roman"/>
                <w:color w:val="auto"/>
                <w:lang w:val="en-US" w:eastAsia="zh-CN"/>
              </w:rPr>
              <w:t>（五）办理施工图设计审批手续；</w:t>
            </w:r>
          </w:p>
          <w:p>
            <w:pPr>
              <w:bidi w:val="0"/>
              <w:rPr>
                <w:rFonts w:hint="eastAsia" w:cs="Times New Roman"/>
                <w:color w:val="auto"/>
                <w:lang w:val="en-US" w:eastAsia="zh-CN"/>
              </w:rPr>
            </w:pPr>
            <w:r>
              <w:rPr>
                <w:rFonts w:hint="eastAsia" w:cs="Times New Roman"/>
                <w:color w:val="auto"/>
                <w:lang w:val="en-US" w:eastAsia="zh-CN"/>
              </w:rPr>
              <w:t>（六）根据国家有关规定，依法办理开工前相关手续，具备条件后开工建设；</w:t>
            </w:r>
          </w:p>
          <w:p>
            <w:pPr>
              <w:bidi w:val="0"/>
              <w:rPr>
                <w:rFonts w:hint="eastAsia" w:cs="Times New Roman"/>
                <w:color w:val="auto"/>
                <w:lang w:val="en-US" w:eastAsia="zh-CN"/>
              </w:rPr>
            </w:pPr>
            <w:r>
              <w:rPr>
                <w:rFonts w:hint="eastAsia" w:cs="Times New Roman"/>
                <w:color w:val="auto"/>
                <w:lang w:val="en-US" w:eastAsia="zh-CN"/>
              </w:rPr>
              <w:t>（七）组织工程实施；</w:t>
            </w:r>
          </w:p>
          <w:p>
            <w:pPr>
              <w:bidi w:val="0"/>
              <w:rPr>
                <w:rFonts w:hint="eastAsia" w:cs="Times New Roman"/>
                <w:color w:val="auto"/>
                <w:lang w:val="en-US" w:eastAsia="zh-CN"/>
              </w:rPr>
            </w:pPr>
            <w:r>
              <w:rPr>
                <w:rFonts w:hint="eastAsia" w:cs="Times New Roman"/>
                <w:color w:val="auto"/>
                <w:lang w:val="en-US" w:eastAsia="zh-CN"/>
              </w:rPr>
              <w:t>（八）工程完工后，编制竣工材料，进行工程竣工验收的各项准备工作；</w:t>
            </w:r>
          </w:p>
          <w:p>
            <w:pPr>
              <w:bidi w:val="0"/>
              <w:rPr>
                <w:rFonts w:hint="eastAsia" w:cs="Times New Roman"/>
                <w:color w:val="auto"/>
                <w:lang w:val="en-US" w:eastAsia="zh-CN"/>
              </w:rPr>
            </w:pPr>
            <w:r>
              <w:rPr>
                <w:rFonts w:hint="eastAsia" w:cs="Times New Roman"/>
                <w:color w:val="auto"/>
                <w:lang w:val="en-US" w:eastAsia="zh-CN"/>
              </w:rPr>
              <w:t>（九）组织竣工验收。</w:t>
            </w:r>
          </w:p>
          <w:p>
            <w:pPr>
              <w:bidi w:val="0"/>
              <w:rPr>
                <w:rFonts w:hint="eastAsia" w:cs="Times New Roman"/>
                <w:color w:val="auto"/>
                <w:lang w:val="en-US" w:eastAsia="zh-CN"/>
              </w:rPr>
            </w:pPr>
            <w:r>
              <w:rPr>
                <w:rFonts w:hint="eastAsia" w:cs="Times New Roman"/>
                <w:color w:val="auto"/>
                <w:lang w:val="en-US" w:eastAsia="zh-CN"/>
              </w:rPr>
              <w:t>本项目已编制《衡阳市渔政执法码头建设项目可行性研究报告》并于2023年4月27日通过衡阳市发展和改革委员会审批，建设程序符合要求。</w:t>
            </w:r>
          </w:p>
          <w:p>
            <w:pPr>
              <w:bidi w:val="0"/>
              <w:rPr>
                <w:rFonts w:hint="default" w:cs="Times New Roman"/>
                <w:color w:val="auto"/>
                <w:lang w:val="en-US" w:eastAsia="zh-CN"/>
              </w:rPr>
            </w:pPr>
            <w:r>
              <w:rPr>
                <w:rFonts w:hint="eastAsia" w:cs="Times New Roman"/>
                <w:color w:val="auto"/>
                <w:lang w:val="en-US" w:eastAsia="zh-CN"/>
              </w:rPr>
              <w:t>本项目依托已建成的码头，符合《港口建设管理规定》。</w:t>
            </w:r>
          </w:p>
          <w:p>
            <w:pPr>
              <w:pStyle w:val="3"/>
              <w:bidi w:val="0"/>
              <w:rPr>
                <w:rFonts w:hint="default" w:ascii="Times New Roman" w:hAnsi="Times New Roman" w:cs="Times New Roman"/>
                <w:color w:val="auto"/>
                <w:lang w:val="en-US" w:eastAsia="zh-CN"/>
              </w:rPr>
            </w:pPr>
            <w:bookmarkStart w:id="109" w:name="_Toc15213"/>
            <w:bookmarkStart w:id="110" w:name="_Toc20568"/>
            <w:bookmarkStart w:id="111" w:name="_Toc14662"/>
            <w:bookmarkStart w:id="112" w:name="_Toc23152"/>
            <w:bookmarkStart w:id="113" w:name="_Toc2377"/>
            <w:bookmarkStart w:id="114" w:name="_Toc20405"/>
            <w:bookmarkStart w:id="115" w:name="_Toc24260"/>
            <w:bookmarkStart w:id="116" w:name="_Toc21694"/>
            <w:bookmarkStart w:id="117" w:name="_Toc23356"/>
            <w:bookmarkStart w:id="118" w:name="_Toc6313"/>
            <w:r>
              <w:rPr>
                <w:rFonts w:hint="eastAsia" w:cs="Times New Roman"/>
                <w:color w:val="auto"/>
                <w:lang w:val="en-US" w:eastAsia="zh-CN"/>
              </w:rPr>
              <w:t>6</w:t>
            </w:r>
            <w:r>
              <w:rPr>
                <w:rFonts w:hint="default" w:ascii="Times New Roman" w:hAnsi="Times New Roman" w:cs="Times New Roman"/>
                <w:color w:val="auto"/>
                <w:lang w:val="en-US" w:eastAsia="zh-CN"/>
              </w:rPr>
              <w:t>、与《国内水路运输管理条例》相符性分析</w:t>
            </w:r>
            <w:bookmarkEnd w:id="109"/>
            <w:bookmarkEnd w:id="110"/>
            <w:bookmarkEnd w:id="111"/>
            <w:bookmarkEnd w:id="112"/>
            <w:bookmarkEnd w:id="113"/>
            <w:bookmarkEnd w:id="114"/>
            <w:bookmarkEnd w:id="115"/>
            <w:bookmarkEnd w:id="116"/>
            <w:bookmarkEnd w:id="117"/>
            <w:bookmarkEnd w:id="118"/>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照《国内水路运输管理条例》，项目码头功能为加强渔政执法、加大执法力度，有效、及时地打击渔业水域的各种违法行为，完善渔政管理的功能，加强渔船的管理，提高行政效率，降低行政成本，不属于水路运输经营者，不进行水路运输经营活动，符合《国内水路运输管理条例》。</w:t>
            </w:r>
          </w:p>
          <w:p>
            <w:pPr>
              <w:pStyle w:val="3"/>
              <w:bidi w:val="0"/>
              <w:rPr>
                <w:rFonts w:hint="default" w:ascii="Times New Roman" w:hAnsi="Times New Roman" w:cs="Times New Roman"/>
                <w:color w:val="auto"/>
                <w:lang w:val="en-US" w:eastAsia="zh-CN"/>
              </w:rPr>
            </w:pPr>
            <w:bookmarkStart w:id="119" w:name="_Toc25367"/>
            <w:bookmarkStart w:id="120" w:name="_Toc806"/>
            <w:bookmarkStart w:id="121" w:name="_Toc15343"/>
            <w:bookmarkStart w:id="122" w:name="_Toc27426"/>
            <w:bookmarkStart w:id="123" w:name="_Toc6084"/>
            <w:bookmarkStart w:id="124" w:name="_Toc8774"/>
            <w:bookmarkStart w:id="125" w:name="_Toc30462"/>
            <w:bookmarkStart w:id="126" w:name="_Toc13840"/>
            <w:bookmarkStart w:id="127" w:name="_Toc3878"/>
            <w:bookmarkStart w:id="128" w:name="_Toc22859"/>
            <w:r>
              <w:rPr>
                <w:rFonts w:hint="eastAsia" w:cs="Times New Roman"/>
                <w:color w:val="auto"/>
                <w:lang w:val="en-US" w:eastAsia="zh-CN"/>
              </w:rPr>
              <w:t>7</w:t>
            </w:r>
            <w:r>
              <w:rPr>
                <w:rFonts w:hint="default" w:ascii="Times New Roman" w:hAnsi="Times New Roman" w:cs="Times New Roman"/>
                <w:color w:val="auto"/>
                <w:lang w:val="en-US" w:eastAsia="zh-CN"/>
              </w:rPr>
              <w:t>、与《港口建设项目环境影响评价文件审批原则》相符性分析</w:t>
            </w:r>
            <w:bookmarkEnd w:id="119"/>
            <w:bookmarkEnd w:id="120"/>
            <w:bookmarkEnd w:id="121"/>
            <w:bookmarkEnd w:id="122"/>
            <w:bookmarkEnd w:id="123"/>
            <w:bookmarkEnd w:id="124"/>
            <w:bookmarkEnd w:id="125"/>
            <w:bookmarkEnd w:id="126"/>
            <w:bookmarkEnd w:id="127"/>
            <w:bookmarkEnd w:id="128"/>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表1.</w:t>
            </w:r>
            <w:r>
              <w:rPr>
                <w:rFonts w:hint="eastAsia" w:cs="Times New Roman"/>
                <w:color w:val="auto"/>
                <w:lang w:val="en-US" w:eastAsia="zh-CN"/>
              </w:rPr>
              <w:t>2</w:t>
            </w:r>
            <w:r>
              <w:rPr>
                <w:rFonts w:hint="default" w:ascii="Times New Roman" w:hAnsi="Times New Roman" w:cs="Times New Roman"/>
                <w:color w:val="auto"/>
                <w:lang w:val="en-US" w:eastAsia="zh-CN"/>
              </w:rPr>
              <w:t xml:space="preserve"> 与《港口建设项目环境影响评价文件审批原则》相符性分析</w:t>
            </w:r>
          </w:p>
          <w:tbl>
            <w:tblPr>
              <w:tblStyle w:val="12"/>
              <w:tblW w:w="486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178"/>
              <w:gridCol w:w="3386"/>
              <w:gridCol w:w="9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top"/>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序号</w:t>
                  </w:r>
                </w:p>
              </w:tc>
              <w:tc>
                <w:tcPr>
                  <w:tcW w:w="1912" w:type="pct"/>
                  <w:noWrap w:val="0"/>
                  <w:vAlign w:val="top"/>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审批原则</w:t>
                  </w:r>
                </w:p>
              </w:tc>
              <w:tc>
                <w:tcPr>
                  <w:tcW w:w="2037" w:type="pct"/>
                  <w:noWrap w:val="0"/>
                  <w:vAlign w:val="top"/>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项目实际情况</w:t>
                  </w:r>
                </w:p>
              </w:tc>
              <w:tc>
                <w:tcPr>
                  <w:tcW w:w="562" w:type="pct"/>
                  <w:noWrap w:val="0"/>
                  <w:vAlign w:val="top"/>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本原则适用于沿海、内河港口建设项目环境影响评价文件的审批</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本项目位于蒸水</w:t>
                  </w:r>
                  <w:r>
                    <w:rPr>
                      <w:rFonts w:hint="eastAsia" w:cs="Times New Roman"/>
                      <w:color w:val="auto"/>
                      <w:lang w:val="en-US" w:eastAsia="zh-CN"/>
                    </w:rPr>
                    <w:t>右</w:t>
                  </w:r>
                  <w:r>
                    <w:rPr>
                      <w:rFonts w:hint="default" w:ascii="Times New Roman" w:hAnsi="Times New Roman" w:cs="Times New Roman"/>
                      <w:color w:val="auto"/>
                      <w:lang w:val="en-US" w:eastAsia="zh-CN"/>
                    </w:rPr>
                    <w:t>岸，属于内河港口</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符合环境保护相关法律法规和政策要求，与主体功能区规划、近岸海域环境功能区划、水环境功能区划、生态功能区划、海洋功能区划、生态环境保护规划、港口总体规划、流域规划等相协调，满足相关规划环评要求。</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本项目满足《衡阳港总体规划》（2035年）要求</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选址、施工布置不占用自然保护区、风景名胜区、世界文化和自然遗产地、饮用水水源保护区以及其他生态保护红线等环境敏感区中法律法规禁止占用的区域。通过优化项目主要污染源和风险源的平面布置，与居民集中区等环境敏感区的距离科学合理。</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本项目不在生态红线范围内，与居民集中区的最近距离为75米，未受到大气和噪声环境的影响</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项目对鱼类等水生生物的洄游通道</w:t>
                  </w:r>
                  <w:r>
                    <w:rPr>
                      <w:rFonts w:hint="eastAsia" w:ascii="宋体" w:hAnsi="宋体" w:eastAsia="宋体" w:cs="宋体"/>
                      <w:color w:val="auto"/>
                      <w:lang w:val="en-US" w:eastAsia="zh-CN"/>
                    </w:rPr>
                    <w:t>及“三场”等</w:t>
                  </w:r>
                  <w:r>
                    <w:rPr>
                      <w:rFonts w:hint="default" w:ascii="Times New Roman" w:hAnsi="Times New Roman" w:cs="Times New Roman"/>
                      <w:color w:val="auto"/>
                      <w:lang w:val="en-US" w:eastAsia="zh-CN"/>
                    </w:rPr>
                    <w:t>重要生境、物种多样性及资源量产生不利影响的，提出了工程设计和施工方案优化、施工噪声及振动控制、施工期监控驱赶救助、迁地保护、增殖放流、人工鱼礁及其他生态修复措施。对湿地生态系统结构和功能、河湖生态缓冲带造成不利影响的，提出了优化工程设计、生态修复等措施。对陆域生态造成不利影响的，提出了避让环境敏感区、生态修复等对策。</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在采取上述措施后，对水生生物的不利影响能够得到缓解和控制，不会造成原有珍稀濒危保护或重要经济水生生物在相关河段、湖泊或海域消失，不会对区域生态系统造成重大不利影响。</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w:t>
                  </w:r>
                  <w:r>
                    <w:rPr>
                      <w:rFonts w:hint="eastAsia" w:cs="Times New Roman"/>
                      <w:color w:val="auto"/>
                      <w:lang w:val="en-US" w:eastAsia="zh-CN"/>
                    </w:rPr>
                    <w:t>施工期不涉及水域施工。施工期挖截流沟连通沉淀池，防止雨、污水进入蒸水；施工场址周围设置沙土围栏，洒水降尘，减少废气对蒸水的影响；施工过程中的建筑材料、建筑弃土、生活垃圾等远离水体堆放，尽可能减少对水体产生影响的风险。</w:t>
                  </w:r>
                  <w:r>
                    <w:rPr>
                      <w:rFonts w:hint="default" w:ascii="Times New Roman" w:hAnsi="Times New Roman" w:cs="Times New Roman"/>
                      <w:color w:val="auto"/>
                      <w:lang w:val="en-US" w:eastAsia="zh-CN"/>
                    </w:rPr>
                    <w:t>码头的设立可加强禁渔期的监管力度，有效恢复渔业资源，维护生态平衡，为维护生物多样性，促进渔业可持续发展具有重要意义</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布置及水工构筑物改变水文情势，造成水体交换、水污染物扩散能力降低且影响水质的，提出了工程优化调整措施。针对冲洗污水、初期雨污水、含尘废水、含油污水、洗箱（罐）废水、生活污水等，提出了收集、处置措施。</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在采取上述措施后，废（污）水能够得到妥善处置，排放、回用或综合利用均符合相关标准，排污口设置符合相关要求。</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建设生活污水舱，码头工作人员日常生活污水收集后交由环卫部门处置</w:t>
                  </w:r>
                  <w:r>
                    <w:rPr>
                      <w:rFonts w:hint="eastAsia" w:cs="Times New Roman"/>
                      <w:color w:val="auto"/>
                      <w:lang w:val="en-US" w:eastAsia="zh-CN"/>
                    </w:rPr>
                    <w:t>。</w:t>
                  </w:r>
                  <w:r>
                    <w:rPr>
                      <w:rFonts w:hint="default" w:ascii="Times New Roman" w:hAnsi="Times New Roman" w:cs="Times New Roman"/>
                      <w:color w:val="auto"/>
                      <w:lang w:val="en-US" w:eastAsia="zh-CN"/>
                    </w:rPr>
                    <w:t>施工场地设置沉淀池，施工废水经沉淀处理后回用。施工冲刷雨水经沉淀池沉淀处理后外排</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煤炭、矿石等干散货码头项目，综合考虑建设性质、运营方式、货种等特点，针对物料装卸、输送和堆场储存提出了必要可行的封闭工艺优化方案，以及防风抑尘网、喷淋湿式抑尘等措施。油气、化工等液体散货码头项目，提出了必要可行的挥发性气体控制、油气回收处理等措施。散装粮食、木材及其制品等采用熏蒸工艺的，提出了采用符合国家相关规定的工艺、药剂的要求以及控制气体挥发强度的措施。根据国家相关规划或政策规定，提出了配备岸电设施要求。</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在采取上述措施后，粉尘、挥发性气体等排放符合相关标准，不会对周边环境敏感目标造成重大不利影响。</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本项目不涉及干散货、液体散货、散装粮食、木材及其制品等，无粉尘、挥发性气体等排放</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声环境敏感目标产生不利影响的，提出了优化平面布置、选用低噪声设备、隔声减振等措施。按照国家相关规定，提出了一般固体废物、危险废物的收集、贮存、运输及处置要求。在采取上述措施后，噪声排放、固体废物处置等符合相关标准，不会对周边居民集中区等环境敏感目标造成重大不利影响。</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本项目是</w:t>
                  </w:r>
                  <w:r>
                    <w:rPr>
                      <w:rFonts w:hint="eastAsia" w:cs="Times New Roman"/>
                      <w:color w:val="auto"/>
                      <w:lang w:val="en-US" w:eastAsia="zh-CN"/>
                    </w:rPr>
                    <w:t>改扩建</w:t>
                  </w:r>
                  <w:r>
                    <w:rPr>
                      <w:rFonts w:hint="default" w:ascii="Times New Roman" w:hAnsi="Times New Roman" w:cs="Times New Roman"/>
                      <w:color w:val="auto"/>
                      <w:lang w:val="en-US" w:eastAsia="zh-CN"/>
                    </w:rPr>
                    <w:t>项目，</w:t>
                  </w:r>
                  <w:r>
                    <w:rPr>
                      <w:rFonts w:hint="eastAsia" w:cs="Times New Roman"/>
                      <w:color w:val="auto"/>
                      <w:lang w:val="en-US" w:eastAsia="zh-CN"/>
                    </w:rPr>
                    <w:t>依托现有码头及趸船进行改造性建设。</w:t>
                  </w:r>
                  <w:r>
                    <w:rPr>
                      <w:rFonts w:hint="default" w:ascii="Times New Roman" w:hAnsi="Times New Roman" w:cs="Times New Roman"/>
                      <w:color w:val="auto"/>
                      <w:lang w:val="en-US" w:eastAsia="zh-CN"/>
                    </w:rPr>
                    <w:t>项目所在区域</w:t>
                  </w:r>
                  <w:r>
                    <w:rPr>
                      <w:rFonts w:hint="eastAsia" w:cs="Times New Roman"/>
                      <w:color w:val="auto"/>
                      <w:lang w:val="en-US" w:eastAsia="zh-CN"/>
                    </w:rPr>
                    <w:t>西南</w:t>
                  </w:r>
                  <w:r>
                    <w:rPr>
                      <w:rFonts w:hint="default" w:ascii="Times New Roman" w:hAnsi="Times New Roman" w:cs="Times New Roman"/>
                      <w:color w:val="auto"/>
                      <w:lang w:val="en-US" w:eastAsia="zh-CN"/>
                    </w:rPr>
                    <w:t>侧为</w:t>
                  </w:r>
                  <w:r>
                    <w:rPr>
                      <w:rFonts w:hint="eastAsia" w:cs="Times New Roman"/>
                      <w:color w:val="auto"/>
                      <w:lang w:val="en-US" w:eastAsia="zh-CN"/>
                    </w:rPr>
                    <w:t>蒸水南路</w:t>
                  </w:r>
                  <w:r>
                    <w:rPr>
                      <w:rFonts w:hint="default" w:ascii="Times New Roman" w:hAnsi="Times New Roman" w:cs="Times New Roman"/>
                      <w:color w:val="auto"/>
                      <w:lang w:val="en-US" w:eastAsia="zh-CN"/>
                    </w:rPr>
                    <w:t>、</w:t>
                  </w:r>
                  <w:r>
                    <w:rPr>
                      <w:rFonts w:hint="eastAsia" w:cs="Times New Roman"/>
                      <w:color w:val="auto"/>
                      <w:lang w:val="en-US" w:eastAsia="zh-CN"/>
                    </w:rPr>
                    <w:t>东北</w:t>
                  </w:r>
                  <w:r>
                    <w:rPr>
                      <w:rFonts w:hint="default" w:ascii="Times New Roman" w:hAnsi="Times New Roman" w:cs="Times New Roman"/>
                      <w:color w:val="auto"/>
                      <w:lang w:val="en-US" w:eastAsia="zh-CN"/>
                    </w:rPr>
                    <w:t>侧为</w:t>
                  </w:r>
                  <w:r>
                    <w:rPr>
                      <w:rFonts w:hint="eastAsia" w:cs="Times New Roman"/>
                      <w:color w:val="auto"/>
                      <w:lang w:val="en-US" w:eastAsia="zh-CN"/>
                    </w:rPr>
                    <w:t>蒸</w:t>
                  </w:r>
                  <w:r>
                    <w:rPr>
                      <w:rFonts w:hint="default" w:ascii="Times New Roman" w:hAnsi="Times New Roman" w:cs="Times New Roman"/>
                      <w:color w:val="auto"/>
                      <w:lang w:val="en-US" w:eastAsia="zh-CN"/>
                    </w:rPr>
                    <w:t>水，根据声环境质量现状检测结果显示，能满足《声环境质量标准》（GB3096-2008）中的2类标准</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根据相关规划和政策要求，提出了船舶污水、船舶垃圾、船舶压载水及沉积物等接收处置措施。</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营运期执法船生活垃圾运至趸船，与趸船产生的生活垃圾一并收集送至岸上垃圾收集点，交由环卫部门处置。维修保养垃圾、机修废油应交由有相关资质单位处置，禁止垃圾污染水体。船舶生活污水在趸船上经化粪</w:t>
                  </w:r>
                  <w:r>
                    <w:rPr>
                      <w:rFonts w:hint="eastAsia" w:cs="Times New Roman"/>
                      <w:color w:val="auto"/>
                      <w:lang w:val="en-US" w:eastAsia="zh-CN"/>
                    </w:rPr>
                    <w:t>池</w:t>
                  </w:r>
                  <w:r>
                    <w:rPr>
                      <w:rFonts w:hint="default" w:ascii="Times New Roman" w:hAnsi="Times New Roman" w:cs="Times New Roman"/>
                      <w:color w:val="auto"/>
                      <w:lang w:val="en-US" w:eastAsia="zh-CN"/>
                    </w:rPr>
                    <w:t>预处理后，在容量为5m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污水收集箱中暂存，每周由具备生活污水处理</w:t>
                  </w:r>
                  <w:r>
                    <w:rPr>
                      <w:rFonts w:hint="eastAsia" w:cs="Times New Roman"/>
                      <w:color w:val="auto"/>
                      <w:lang w:val="en-US" w:eastAsia="zh-CN"/>
                    </w:rPr>
                    <w:t>能力</w:t>
                  </w:r>
                  <w:r>
                    <w:rPr>
                      <w:rFonts w:hint="default" w:ascii="Times New Roman" w:hAnsi="Times New Roman" w:cs="Times New Roman"/>
                      <w:color w:val="auto"/>
                      <w:lang w:val="en-US" w:eastAsia="zh-CN"/>
                    </w:rPr>
                    <w:t>的单位接受，不在项目所在水域排放</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施工组织方案具有环境合理性，对取、弃土（渣）场、施工场地（道路）等提出了水土流失防治和生态修复等措施。根据环境保护相关标准和要求，对施工期各类废（污）水、废气、噪声、固体废物等提出防治或处置措施。其中，涉水施工对水质造成不利影响的，提出了施工方案优化及悬浮物控制等措施；针对施工产生的疏浚物，提出了符合相关规定的处置或综合利用方案。</w:t>
                  </w:r>
                </w:p>
              </w:tc>
              <w:tc>
                <w:tcPr>
                  <w:tcW w:w="2037" w:type="pct"/>
                  <w:noWrap w:val="0"/>
                  <w:vAlign w:val="center"/>
                </w:tcPr>
                <w:p>
                  <w:pPr>
                    <w:pStyle w:val="16"/>
                    <w:bidi w:val="0"/>
                    <w:jc w:val="both"/>
                    <w:rPr>
                      <w:rFonts w:hint="eastAsia" w:cs="Times New Roman"/>
                      <w:color w:val="auto"/>
                      <w:lang w:val="en-US" w:eastAsia="zh-CN"/>
                    </w:rPr>
                  </w:pPr>
                  <w:r>
                    <w:rPr>
                      <w:rFonts w:hint="default" w:ascii="Times New Roman" w:hAnsi="Times New Roman" w:cs="Times New Roman"/>
                      <w:color w:val="auto"/>
                      <w:lang w:val="en-US" w:eastAsia="zh-CN"/>
                    </w:rPr>
                    <w:t>项目施工组织方案具有环境合理性，</w:t>
                  </w:r>
                  <w:r>
                    <w:rPr>
                      <w:rFonts w:hint="eastAsia" w:cs="Times New Roman"/>
                      <w:color w:val="auto"/>
                      <w:lang w:val="en-US" w:eastAsia="zh-CN"/>
                    </w:rPr>
                    <w:t>对</w:t>
                  </w:r>
                  <w:r>
                    <w:rPr>
                      <w:rFonts w:hint="default" w:ascii="Times New Roman" w:hAnsi="Times New Roman" w:cs="Times New Roman"/>
                      <w:color w:val="auto"/>
                      <w:lang w:val="en-US" w:eastAsia="zh-CN"/>
                    </w:rPr>
                    <w:t>施工期各类废（污）水、废气、噪声、固体废物等提出防治或处理措施</w:t>
                  </w:r>
                  <w:r>
                    <w:rPr>
                      <w:rFonts w:hint="eastAsia" w:cs="Times New Roman"/>
                      <w:color w:val="auto"/>
                      <w:lang w:val="en-US" w:eastAsia="zh-CN"/>
                    </w:rPr>
                    <w:t>；</w:t>
                  </w:r>
                </w:p>
                <w:p>
                  <w:pPr>
                    <w:pStyle w:val="16"/>
                    <w:bidi w:val="0"/>
                    <w:jc w:val="both"/>
                    <w:rPr>
                      <w:rFonts w:hint="eastAsia" w:cs="Times New Roman"/>
                      <w:color w:val="auto"/>
                      <w:lang w:val="en-US" w:eastAsia="zh-CN"/>
                    </w:rPr>
                  </w:pPr>
                  <w:r>
                    <w:rPr>
                      <w:rFonts w:hint="eastAsia" w:cs="Times New Roman"/>
                      <w:color w:val="auto"/>
                      <w:lang w:val="en-US" w:eastAsia="zh-CN"/>
                    </w:rPr>
                    <w:t>废水：施工场地设置沉淀池，挖截流沟，截流沟废水汇入沉淀池，上清液回用；</w:t>
                  </w:r>
                </w:p>
                <w:p>
                  <w:pPr>
                    <w:pStyle w:val="16"/>
                    <w:bidi w:val="0"/>
                    <w:jc w:val="both"/>
                    <w:rPr>
                      <w:rFonts w:hint="eastAsia"/>
                      <w:color w:val="auto"/>
                      <w:lang w:val="en-US" w:eastAsia="zh-CN"/>
                    </w:rPr>
                  </w:pPr>
                  <w:r>
                    <w:rPr>
                      <w:rFonts w:hint="eastAsia"/>
                      <w:color w:val="auto"/>
                      <w:lang w:val="en-US" w:eastAsia="zh-CN"/>
                    </w:rPr>
                    <w:t>废气：洒水降尘、缩短起尘操作时间，运输车辆规范运输；</w:t>
                  </w:r>
                </w:p>
                <w:p>
                  <w:pPr>
                    <w:pStyle w:val="16"/>
                    <w:bidi w:val="0"/>
                    <w:jc w:val="both"/>
                    <w:rPr>
                      <w:rFonts w:hint="eastAsia"/>
                      <w:color w:val="auto"/>
                      <w:lang w:val="en-US" w:eastAsia="zh-CN"/>
                    </w:rPr>
                  </w:pPr>
                  <w:r>
                    <w:rPr>
                      <w:rFonts w:hint="eastAsia"/>
                      <w:color w:val="auto"/>
                      <w:lang w:val="en-US" w:eastAsia="zh-CN"/>
                    </w:rPr>
                    <w:t>噪声：合理安排施工时间和施工场所，选用低噪声机械设备，运输车辆减少鸣笛；</w:t>
                  </w:r>
                </w:p>
                <w:p>
                  <w:pPr>
                    <w:pStyle w:val="16"/>
                    <w:bidi w:val="0"/>
                    <w:jc w:val="both"/>
                    <w:rPr>
                      <w:rFonts w:hint="default"/>
                      <w:color w:val="auto"/>
                      <w:lang w:val="en-US" w:eastAsia="zh-CN"/>
                    </w:rPr>
                  </w:pPr>
                  <w:r>
                    <w:rPr>
                      <w:rFonts w:hint="eastAsia"/>
                      <w:color w:val="auto"/>
                      <w:lang w:val="en-US" w:eastAsia="zh-CN"/>
                    </w:rPr>
                    <w:t>固体废物：生活垃圾、弃土等设置固定堆放点，做到日产日清。</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针对码头、港区航道等存在的溢油或危险化学品泄漏等环境风险，提出了工程防控、应急资源配备、事故池、事故污水处置等风险防范措施，以及环境应急预案编制、与地方人民政府及相关部门、有关单位建立应急联动机制等要求。</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本项目不涉及溢油或危险</w:t>
                  </w:r>
                  <w:r>
                    <w:rPr>
                      <w:rFonts w:hint="eastAsia" w:cs="Times New Roman"/>
                      <w:color w:val="auto"/>
                      <w:lang w:val="en-US" w:eastAsia="zh-CN"/>
                    </w:rPr>
                    <w:t>化学品泄漏</w:t>
                  </w:r>
                  <w:r>
                    <w:rPr>
                      <w:rFonts w:hint="default" w:ascii="Times New Roman" w:hAnsi="Times New Roman" w:cs="Times New Roman"/>
                      <w:color w:val="auto"/>
                      <w:lang w:val="en-US" w:eastAsia="zh-CN"/>
                    </w:rPr>
                    <w:t>等环境风险</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改、扩建项目在全面梳理了与项目有关的现有工程环境问题基础上，提出</w:t>
                  </w:r>
                  <w:r>
                    <w:rPr>
                      <w:rFonts w:hint="eastAsia" w:ascii="宋体" w:hAnsi="宋体" w:eastAsia="宋体" w:cs="宋体"/>
                      <w:color w:val="auto"/>
                      <w:lang w:val="en-US" w:eastAsia="zh-CN"/>
                    </w:rPr>
                    <w:t>了“以新带老”</w:t>
                  </w:r>
                  <w:r>
                    <w:rPr>
                      <w:rFonts w:hint="default" w:ascii="Times New Roman" w:hAnsi="Times New Roman" w:cs="Times New Roman"/>
                      <w:color w:val="auto"/>
                      <w:lang w:val="en-US" w:eastAsia="zh-CN"/>
                    </w:rPr>
                    <w:t>措施。</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eastAsia" w:cs="Times New Roman"/>
                      <w:color w:val="auto"/>
                      <w:lang w:val="en-US" w:eastAsia="zh-CN"/>
                    </w:rPr>
                    <w:t>现有工程各污染物均能达标排放，本项目拟对现有码头平台进行加固。</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按相关导则及规定要求，制定了水生生态、水环境、大气环境、噪声等环境监测计划，明确了监测网点、因子、频次等有关要求，提出了开展环境影响后评价、根据监测评估结果优化环境保护措施的要求。根据需要和相关规定，提出了环境保护设计、开展相关科学研究、环境管理等要求。</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已按相关导则及规定要求制定对应环境检测计划</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13</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对环境保护措施进行了深入论证，建设单位主体责任、投资估算、时间节点、预期效果明确，确保科学有效、安全可行、绿色协调。</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已论证</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14</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按相关规定开展了信息公开和公众参与。</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本项目属于环评报告表，不需要做公众参与</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w:t>
                  </w:r>
                </w:p>
              </w:tc>
              <w:tc>
                <w:tcPr>
                  <w:tcW w:w="19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环境影响评价文件编制规范，符合相关管理规定和环评技术标准要求。</w:t>
                  </w:r>
                </w:p>
              </w:tc>
              <w:tc>
                <w:tcPr>
                  <w:tcW w:w="203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与相关管理规定和环评技术标准相符</w:t>
                  </w:r>
                  <w:r>
                    <w:rPr>
                      <w:rFonts w:hint="eastAsia" w:cs="Times New Roman"/>
                      <w:color w:val="auto"/>
                      <w:lang w:val="en-US" w:eastAsia="zh-CN"/>
                    </w:rPr>
                    <w:t>。</w:t>
                  </w:r>
                </w:p>
              </w:tc>
              <w:tc>
                <w:tcPr>
                  <w:tcW w:w="56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相符</w:t>
                  </w:r>
                </w:p>
              </w:tc>
            </w:tr>
          </w:tbl>
          <w:p>
            <w:pPr>
              <w:pStyle w:val="3"/>
              <w:bidi w:val="0"/>
              <w:rPr>
                <w:rFonts w:hint="default" w:ascii="Times New Roman" w:hAnsi="Times New Roman" w:cs="Times New Roman"/>
                <w:color w:val="auto"/>
                <w:lang w:val="en-US" w:eastAsia="zh-CN"/>
              </w:rPr>
            </w:pPr>
            <w:bookmarkStart w:id="129" w:name="_Toc15282"/>
            <w:bookmarkStart w:id="130" w:name="_Toc23352"/>
            <w:bookmarkStart w:id="131" w:name="_Toc31187"/>
            <w:bookmarkStart w:id="132" w:name="_Toc18223"/>
            <w:bookmarkStart w:id="133" w:name="_Toc3179"/>
            <w:bookmarkStart w:id="134" w:name="_Toc1023"/>
            <w:bookmarkStart w:id="135" w:name="_Toc30823"/>
            <w:bookmarkStart w:id="136" w:name="_Toc22"/>
            <w:bookmarkStart w:id="137" w:name="_Toc1320"/>
            <w:bookmarkStart w:id="138" w:name="_Toc16036"/>
            <w:r>
              <w:rPr>
                <w:rFonts w:hint="eastAsia" w:cs="Times New Roman"/>
                <w:color w:val="auto"/>
                <w:lang w:val="en-US" w:eastAsia="zh-CN"/>
              </w:rPr>
              <w:t>8</w:t>
            </w:r>
            <w:r>
              <w:rPr>
                <w:rFonts w:hint="default" w:ascii="Times New Roman" w:hAnsi="Times New Roman" w:cs="Times New Roman"/>
                <w:color w:val="auto"/>
                <w:lang w:val="en-US" w:eastAsia="zh-CN"/>
              </w:rPr>
              <w:t>、与航道通航条件相符性分析</w:t>
            </w:r>
            <w:bookmarkEnd w:id="129"/>
            <w:bookmarkEnd w:id="130"/>
            <w:bookmarkEnd w:id="131"/>
            <w:bookmarkEnd w:id="132"/>
            <w:bookmarkEnd w:id="133"/>
            <w:bookmarkEnd w:id="134"/>
            <w:bookmarkEnd w:id="135"/>
            <w:bookmarkEnd w:id="136"/>
            <w:bookmarkEnd w:id="137"/>
            <w:bookmarkEnd w:id="138"/>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航道通航条件为：①航道应具有足够的航道深度。航道深度是指全航线中所具有的最小通航保证深度，它取决于航道上最困难的区段和浅滩上的水深。航道深度是河流通航的基本条件之一，它是限制船舶吨位和通过能力的主要因素，也是选择船舶吃水量和载重量的主要因素。航道深度增加，可以选择吃水量深、载重量大的船舶，但却会增加整治和维修航道的费用。②航道应有足够的航道宽度。航道的宽度依据航道等级和通航方式（单线航行、双线航行或三线航行）的不同而定。公式如下：航道宽度=同时交错的船队或船舶宽度之和+富余宽度。其中富余宽度是</w:t>
            </w:r>
            <w:r>
              <w:rPr>
                <w:rFonts w:hint="eastAsia" w:ascii="宋体" w:hAnsi="宋体" w:eastAsia="宋体" w:cs="宋体"/>
                <w:color w:val="auto"/>
                <w:lang w:val="en-US" w:eastAsia="zh-CN"/>
              </w:rPr>
              <w:t>“同时交错的船队或船舶宽度之和”</w:t>
            </w:r>
            <w:r>
              <w:rPr>
                <w:rFonts w:hint="default" w:ascii="Times New Roman" w:hAnsi="Times New Roman" w:cs="Times New Roman"/>
                <w:color w:val="auto"/>
                <w:lang w:val="en-US" w:eastAsia="zh-CN"/>
              </w:rPr>
              <w:t>的1.5~2.5倍。③航道应有适宜的航道转弯半径。航道转弯半径是指航道中心线上最小曲线半径。一般航道转弯半径不得小于最大航行船舶长度的4</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5倍，若受自然条件限制，最低也不得小于船舶长度的3倍，否则，将会影响航行安全。④航道应有合理的航道许可流速。航道许可流速是指航线上的最大水流速度。船舶航行速度与流速的关系如下：下水（顺水）航行时：航速=船舶静水速度+流速。上水（逆水）航行时：航速=船舶静水速度-流速船舶的静水速度一般在9~13km/h，因此，航道上的流速以小于3m/s为宜。⑤航道应有符合规定的水上外廊。水上外廊是指要保证船舶通过时，水面以上部分所需要的高度和宽度，其尺寸按航道的等级确定。一至四级航道上桥梁等建筑物的净空高度，取20年一遇的洪水期最高水位来确定；五六级航道则取10年一遇的洪水期最高水位确定。</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本项目所在地蒸水</w:t>
            </w:r>
            <w:r>
              <w:rPr>
                <w:rFonts w:hint="eastAsia" w:cs="Times New Roman"/>
                <w:color w:val="auto"/>
                <w:lang w:val="en-US" w:eastAsia="zh-CN"/>
              </w:rPr>
              <w:t>位于湖南省西南部，全长194公里，流域面积3470平方公里，平均坡降为0.54</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。上游礁石林立，河床曲折，河面宽60~80米；中游丘陵地带，河宽80~100米；下游为河漫滩平原，河宽100~200米。据神头山水文站1952-1998年对蒸水流量实测，最大流量为2770m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/s（1954年），其次为2450m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/s</w:t>
            </w:r>
            <w:r>
              <w:rPr>
                <w:rFonts w:hint="eastAsia" w:cs="Times New Roman"/>
                <w:color w:val="auto"/>
                <w:lang w:val="en-US" w:eastAsia="zh-CN"/>
              </w:rPr>
              <w:t>（1962年）和2320</w:t>
            </w:r>
            <w:r>
              <w:rPr>
                <w:rFonts w:hint="eastAsia" w:ascii="Times New Roman" w:hAnsi="Times New Roman" w:cs="Times New Roman"/>
                <w:color w:val="auto"/>
                <w:lang w:val="en-US" w:eastAsia="zh-CN"/>
              </w:rPr>
              <w:t>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/s</w:t>
            </w:r>
            <w:r>
              <w:rPr>
                <w:rFonts w:hint="eastAsia" w:cs="Times New Roman"/>
                <w:color w:val="auto"/>
                <w:lang w:val="en-US" w:eastAsia="zh-CN"/>
              </w:rPr>
              <w:t>（1982年），平均流量为45.83</w:t>
            </w:r>
            <w:r>
              <w:rPr>
                <w:rFonts w:hint="eastAsia" w:ascii="Times New Roman" w:hAnsi="Times New Roman" w:cs="Times New Roman"/>
                <w:color w:val="auto"/>
                <w:lang w:val="en-US" w:eastAsia="zh-CN"/>
              </w:rPr>
              <w:t>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/s</w:t>
            </w:r>
            <w:r>
              <w:rPr>
                <w:rFonts w:hint="eastAsia" w:cs="Times New Roman"/>
                <w:color w:val="auto"/>
                <w:lang w:val="en-US" w:eastAsia="zh-CN"/>
              </w:rPr>
              <w:t>，丰水期4-6月，枯水期12-1月，年平均水温18.5</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，最高水温38.5</w:t>
            </w:r>
            <w:r>
              <w:rPr>
                <w:rFonts w:hint="default" w:ascii="Times New Roman" w:hAnsi="Times New Roman" w:cs="Times New Roman"/>
                <w:color w:val="auto"/>
                <w:lang w:val="en-US" w:eastAsia="zh-CN"/>
              </w:rPr>
              <w:t>℃</w:t>
            </w:r>
            <w:r>
              <w:rPr>
                <w:rFonts w:hint="eastAsia" w:cs="Times New Roman"/>
                <w:color w:val="auto"/>
                <w:lang w:val="en-US" w:eastAsia="zh-CN"/>
              </w:rPr>
              <w:t>，最低水温0</w:t>
            </w:r>
            <w:r>
              <w:rPr>
                <w:rFonts w:hint="default" w:ascii="Times New Roman" w:hAnsi="Times New Roman" w:cs="Times New Roman"/>
                <w:color w:val="auto"/>
                <w:lang w:val="en-US" w:eastAsia="zh-CN"/>
              </w:rPr>
              <w:t>℃。本项目停泊船型较小，满足通航条件。码头布局顺水流方向，整体布局模式为：码头台阶-跳板-浮船-跳板-趸船-执法船艇，趸船系泊离岸20米，执法船艇靠泊于趸船外侧，整体占用河道40余米，不足蒸水宽度四分之一。且蒸水几无大型船只通行，对行洪安全和航道通行影响较小。</w:t>
            </w:r>
          </w:p>
          <w:p>
            <w:pPr>
              <w:pStyle w:val="3"/>
              <w:bidi w:val="0"/>
              <w:rPr>
                <w:rFonts w:hint="default" w:ascii="Times New Roman" w:hAnsi="Times New Roman" w:cs="Times New Roman"/>
                <w:color w:val="auto"/>
                <w:lang w:val="en-US" w:eastAsia="zh-CN"/>
              </w:rPr>
            </w:pPr>
            <w:bookmarkStart w:id="139" w:name="_Toc13351"/>
            <w:bookmarkStart w:id="140" w:name="_Toc9078"/>
            <w:bookmarkStart w:id="141" w:name="_Toc3478"/>
            <w:bookmarkStart w:id="142" w:name="_Toc28692"/>
            <w:bookmarkStart w:id="143" w:name="_Toc17296"/>
            <w:bookmarkStart w:id="144" w:name="_Toc7714"/>
            <w:bookmarkStart w:id="145" w:name="_Toc26953"/>
            <w:bookmarkStart w:id="146" w:name="_Toc23438"/>
            <w:bookmarkStart w:id="147" w:name="_Toc20169"/>
            <w:bookmarkStart w:id="148" w:name="_Toc17291"/>
            <w:r>
              <w:rPr>
                <w:rFonts w:hint="eastAsia" w:cs="Times New Roman"/>
                <w:color w:val="auto"/>
                <w:lang w:val="en-US" w:eastAsia="zh-CN"/>
              </w:rPr>
              <w:t>9</w:t>
            </w:r>
            <w:r>
              <w:rPr>
                <w:rFonts w:hint="default" w:ascii="Times New Roman" w:hAnsi="Times New Roman" w:cs="Times New Roman"/>
                <w:color w:val="auto"/>
                <w:lang w:val="en-US" w:eastAsia="zh-CN"/>
              </w:rPr>
              <w:t>、选址合理性</w:t>
            </w:r>
            <w:bookmarkEnd w:id="139"/>
            <w:bookmarkEnd w:id="140"/>
            <w:bookmarkEnd w:id="141"/>
            <w:bookmarkEnd w:id="142"/>
            <w:bookmarkEnd w:id="143"/>
            <w:bookmarkEnd w:id="144"/>
            <w:bookmarkEnd w:id="145"/>
            <w:bookmarkEnd w:id="146"/>
            <w:bookmarkEnd w:id="147"/>
            <w:bookmarkEnd w:id="148"/>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本项目建设工程用地</w:t>
            </w:r>
            <w:r>
              <w:rPr>
                <w:rFonts w:hint="eastAsia" w:cs="Times New Roman"/>
                <w:color w:val="auto"/>
                <w:lang w:val="en-US" w:eastAsia="zh-CN"/>
              </w:rPr>
              <w:t>不</w:t>
            </w:r>
            <w:r>
              <w:rPr>
                <w:rFonts w:hint="default" w:ascii="Times New Roman" w:hAnsi="Times New Roman" w:cs="Times New Roman"/>
                <w:color w:val="auto"/>
                <w:lang w:val="en-US" w:eastAsia="zh-CN"/>
              </w:rPr>
              <w:t>占用河道</w:t>
            </w:r>
            <w:r>
              <w:rPr>
                <w:rFonts w:hint="eastAsia" w:cs="Times New Roman"/>
                <w:color w:val="auto"/>
                <w:lang w:val="en-US" w:eastAsia="zh-CN"/>
              </w:rPr>
              <w:t>及滩涂用地</w:t>
            </w:r>
            <w:r>
              <w:rPr>
                <w:rFonts w:hint="default" w:ascii="Times New Roman" w:hAnsi="Times New Roman" w:cs="Times New Roman"/>
                <w:color w:val="auto"/>
                <w:lang w:val="en-US" w:eastAsia="zh-CN"/>
              </w:rPr>
              <w:t>，工程用地</w:t>
            </w:r>
            <w:r>
              <w:rPr>
                <w:rFonts w:hint="eastAsia" w:cs="Times New Roman"/>
                <w:color w:val="auto"/>
                <w:lang w:val="en-US" w:eastAsia="zh-CN"/>
              </w:rPr>
              <w:t>主要</w:t>
            </w:r>
            <w:r>
              <w:rPr>
                <w:rFonts w:hint="default" w:ascii="Times New Roman" w:hAnsi="Times New Roman" w:cs="Times New Roman"/>
                <w:color w:val="auto"/>
                <w:lang w:val="en-US" w:eastAsia="zh-CN"/>
              </w:rPr>
              <w:t>为在现有基础上改</w:t>
            </w:r>
            <w:r>
              <w:rPr>
                <w:rFonts w:hint="eastAsia" w:cs="Times New Roman"/>
                <w:color w:val="auto"/>
                <w:lang w:val="en-US" w:eastAsia="zh-CN"/>
              </w:rPr>
              <w:t>扩</w:t>
            </w:r>
            <w:r>
              <w:rPr>
                <w:rFonts w:hint="default" w:ascii="Times New Roman" w:hAnsi="Times New Roman" w:cs="Times New Roman"/>
                <w:color w:val="auto"/>
                <w:lang w:val="en-US" w:eastAsia="zh-CN"/>
              </w:rPr>
              <w:t>建。项目不存在与农民争地矛盾，符合土地使用规划；不属于《限制用地项目目录（2012年本）》和《禁止用地项目目录（2012年本）》，符合国家用地政策；项目所在区域具备良好的工程条件，建材调运、产品输出便捷顺畅；项目所需的块石、砖、钢筋、水泥等建材，或本地有产，或可就近择优购置；本项目给排水、供电均可依托蒸湘区</w:t>
            </w:r>
            <w:r>
              <w:rPr>
                <w:rFonts w:hint="eastAsia" w:cs="Times New Roman"/>
                <w:color w:val="auto"/>
                <w:lang w:val="en-US" w:eastAsia="zh-CN"/>
              </w:rPr>
              <w:t>大立小区</w:t>
            </w:r>
            <w:r>
              <w:rPr>
                <w:rFonts w:hint="default" w:ascii="Times New Roman" w:hAnsi="Times New Roman" w:cs="Times New Roman"/>
                <w:color w:val="auto"/>
                <w:lang w:val="en-US" w:eastAsia="zh-CN"/>
              </w:rPr>
              <w:t>就近接入，具有较好的建设条件；渔政码头选址位于衡阳市蒸湘区大立村蒸水河段，铜钱渡大桥上游200米左岸处，蒸水入湘江河口</w:t>
            </w:r>
            <w:r>
              <w:rPr>
                <w:rFonts w:hint="eastAsia" w:cs="Times New Roman"/>
                <w:color w:val="auto"/>
                <w:lang w:val="en-US" w:eastAsia="zh-CN"/>
              </w:rPr>
              <w:t>上游</w:t>
            </w:r>
            <w:r>
              <w:rPr>
                <w:rFonts w:hint="default" w:ascii="Times New Roman" w:hAnsi="Times New Roman" w:cs="Times New Roman"/>
                <w:color w:val="auto"/>
                <w:lang w:val="en-US" w:eastAsia="zh-CN"/>
              </w:rPr>
              <w:t>2.5公里处，距离支队办公地点仅2公里路程，无论办公还是来往湘江、耒水、蒸水等三大主要河流巡逻执法都十分快捷。码头毗邻城市主干道，交通便利，执法人员集合开展行动极为方便；该地点水流平缓，水深符合设计要求，江岸地质条件好，内陆渔政码头规划区为河滩和荒地，交通、通讯便捷，电力充沛，水源方便，建材运输距离短，综合建设条件优越；码头位置河道开阔，不占用主航道，建设符合水利及防洪要求。</w:t>
            </w:r>
          </w:p>
        </w:tc>
      </w:tr>
    </w:tbl>
    <w:p>
      <w:pPr>
        <w:spacing w:line="360" w:lineRule="auto"/>
        <w:outlineLvl w:val="9"/>
        <w:rPr>
          <w:rFonts w:hint="default" w:ascii="Times New Roman" w:hAnsi="Times New Roman" w:eastAsia="黑体" w:cs="Times New Roman"/>
          <w:color w:val="auto"/>
          <w:sz w:val="30"/>
        </w:rPr>
        <w:sectPr>
          <w:footerReference r:id="rId6" w:type="default"/>
          <w:pgSz w:w="11906" w:h="16838"/>
          <w:pgMar w:top="1701" w:right="1531" w:bottom="1701" w:left="1531" w:header="851" w:footer="1077" w:gutter="0"/>
          <w:pgNumType w:start="1"/>
          <w:cols w:space="720" w:num="1"/>
          <w:docGrid w:linePitch="312" w:charSpace="0"/>
        </w:sectPr>
      </w:pPr>
    </w:p>
    <w:p>
      <w:pPr>
        <w:pStyle w:val="2"/>
        <w:bidi w:val="0"/>
        <w:rPr>
          <w:rFonts w:hint="default"/>
          <w:color w:val="auto"/>
        </w:rPr>
      </w:pPr>
      <w:bookmarkStart w:id="149" w:name="_Toc28779"/>
      <w:bookmarkStart w:id="150" w:name="_Toc13880"/>
      <w:r>
        <w:rPr>
          <w:rFonts w:hint="default"/>
          <w:color w:val="auto"/>
        </w:rPr>
        <w:t>二、建设内容</w:t>
      </w:r>
      <w:bookmarkEnd w:id="149"/>
      <w:bookmarkEnd w:id="150"/>
    </w:p>
    <w:tbl>
      <w:tblPr>
        <w:tblStyle w:val="11"/>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3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cs="Times New Roman"/>
                <w:color w:val="auto"/>
                <w:kern w:val="0"/>
                <w:szCs w:val="21"/>
              </w:rPr>
            </w:pPr>
            <w:r>
              <w:rPr>
                <w:rFonts w:hint="default" w:ascii="Times New Roman" w:hAnsi="Times New Roman" w:cs="Times New Roman"/>
                <w:color w:val="auto"/>
              </w:rPr>
              <w:t>地理位置</w:t>
            </w:r>
          </w:p>
        </w:tc>
        <w:tc>
          <w:tcPr>
            <w:tcW w:w="8380" w:type="dxa"/>
            <w:noWrap w:val="0"/>
            <w:vAlign w:val="center"/>
          </w:tcPr>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本项目衡阳市</w:t>
            </w:r>
            <w:r>
              <w:rPr>
                <w:rFonts w:hint="eastAsia" w:cs="Times New Roman"/>
                <w:color w:val="auto"/>
                <w:lang w:val="en-US" w:eastAsia="zh-CN"/>
              </w:rPr>
              <w:t>级</w:t>
            </w:r>
            <w:r>
              <w:rPr>
                <w:rFonts w:hint="default" w:ascii="Times New Roman" w:hAnsi="Times New Roman" w:cs="Times New Roman"/>
                <w:color w:val="auto"/>
                <w:lang w:val="en-US" w:eastAsia="zh-CN"/>
              </w:rPr>
              <w:t>渔政执法码头</w:t>
            </w:r>
            <w:r>
              <w:rPr>
                <w:rFonts w:hint="eastAsia" w:cs="Times New Roman"/>
                <w:color w:val="auto"/>
                <w:lang w:val="en-US" w:eastAsia="zh-CN"/>
              </w:rPr>
              <w:t>改扩建</w:t>
            </w:r>
            <w:r>
              <w:rPr>
                <w:rFonts w:hint="default" w:ascii="Times New Roman" w:hAnsi="Times New Roman" w:cs="Times New Roman"/>
                <w:color w:val="auto"/>
                <w:lang w:val="en-US" w:eastAsia="zh-CN"/>
              </w:rPr>
              <w:t>项目地点位于衡阳市蒸湘区大立村蒸水河段，铜钱渡大桥上游200米左岸处，码头东北侧为蒸水，西南侧</w:t>
            </w:r>
            <w:r>
              <w:rPr>
                <w:rFonts w:hint="eastAsia" w:ascii="Times New Roman" w:hAnsi="Times New Roman" w:cs="Times New Roman"/>
                <w:color w:val="auto"/>
                <w:lang w:val="en-US" w:eastAsia="zh-CN"/>
              </w:rPr>
              <w:t>75</w:t>
            </w:r>
            <w:r>
              <w:rPr>
                <w:rFonts w:hint="default" w:ascii="Times New Roman" w:hAnsi="Times New Roman" w:cs="Times New Roman"/>
                <w:color w:val="auto"/>
                <w:lang w:val="en-US" w:eastAsia="zh-CN"/>
              </w:rPr>
              <w:t>米为</w:t>
            </w:r>
            <w:r>
              <w:rPr>
                <w:rFonts w:hint="eastAsia" w:cs="Times New Roman"/>
                <w:color w:val="auto"/>
                <w:lang w:val="en-US" w:eastAsia="zh-CN"/>
              </w:rPr>
              <w:t>大立小区</w:t>
            </w:r>
            <w:r>
              <w:rPr>
                <w:rFonts w:hint="default" w:ascii="Times New Roman" w:hAnsi="Times New Roman" w:cs="Times New Roman"/>
                <w:color w:val="auto"/>
                <w:lang w:val="en-US" w:eastAsia="zh-CN"/>
              </w:rPr>
              <w:t>。项目详细地理位置见附图1。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项目组成及规模</w:t>
            </w:r>
          </w:p>
        </w:tc>
        <w:tc>
          <w:tcPr>
            <w:tcW w:w="8380" w:type="dxa"/>
            <w:noWrap w:val="0"/>
            <w:vAlign w:val="center"/>
          </w:tcPr>
          <w:p>
            <w:pPr>
              <w:pStyle w:val="3"/>
              <w:bidi w:val="0"/>
              <w:rPr>
                <w:rFonts w:hint="default" w:ascii="Times New Roman" w:hAnsi="Times New Roman" w:cs="Times New Roman"/>
                <w:color w:val="auto"/>
                <w:lang w:val="en-US" w:eastAsia="zh-CN"/>
              </w:rPr>
            </w:pPr>
            <w:bookmarkStart w:id="151" w:name="_Toc29319"/>
            <w:bookmarkStart w:id="152" w:name="_Toc7749"/>
            <w:bookmarkStart w:id="153" w:name="_Toc10557"/>
            <w:bookmarkStart w:id="154" w:name="_Toc13289"/>
            <w:bookmarkStart w:id="155" w:name="_Toc19387"/>
            <w:bookmarkStart w:id="156" w:name="_Toc9459"/>
            <w:bookmarkStart w:id="157" w:name="_Toc27605"/>
            <w:bookmarkStart w:id="158" w:name="_Toc27432"/>
            <w:bookmarkStart w:id="159" w:name="_Toc8916"/>
            <w:bookmarkStart w:id="160" w:name="_Toc26174"/>
            <w:r>
              <w:rPr>
                <w:rFonts w:hint="default" w:ascii="Times New Roman" w:hAnsi="Times New Roman" w:cs="Times New Roman"/>
                <w:color w:val="auto"/>
                <w:lang w:val="en-US" w:eastAsia="zh-CN"/>
              </w:rPr>
              <w:t>1、项目由来</w:t>
            </w:r>
            <w:bookmarkEnd w:id="151"/>
            <w:bookmarkEnd w:id="152"/>
            <w:bookmarkEnd w:id="153"/>
            <w:bookmarkEnd w:id="154"/>
            <w:bookmarkEnd w:id="155"/>
            <w:bookmarkEnd w:id="156"/>
            <w:bookmarkEnd w:id="157"/>
            <w:bookmarkEnd w:id="158"/>
            <w:bookmarkEnd w:id="159"/>
            <w:bookmarkEnd w:id="160"/>
          </w:p>
          <w:p>
            <w:pPr>
              <w:bidi w:val="0"/>
              <w:rPr>
                <w:rFonts w:hint="default" w:ascii="Times New Roman" w:hAnsi="Times New Roman" w:cs="Times New Roman"/>
                <w:b w:val="0"/>
                <w:bCs w:val="0"/>
                <w:color w:val="auto"/>
                <w:kern w:val="0"/>
                <w:sz w:val="24"/>
                <w:szCs w:val="21"/>
                <w:lang w:val="en-US" w:eastAsia="zh-CN"/>
              </w:rPr>
            </w:pPr>
            <w:r>
              <w:rPr>
                <w:rFonts w:hint="default" w:ascii="Times New Roman" w:hAnsi="Times New Roman" w:cs="Times New Roman"/>
                <w:b w:val="0"/>
                <w:bCs w:val="0"/>
                <w:color w:val="auto"/>
                <w:kern w:val="0"/>
                <w:sz w:val="24"/>
                <w:szCs w:val="21"/>
                <w:lang w:val="en-US" w:eastAsia="zh-CN"/>
              </w:rPr>
              <w:t>衡阳市农业综合行政执法支队现有渔政趸船1艘、</w:t>
            </w:r>
            <w:r>
              <w:rPr>
                <w:rFonts w:hint="eastAsia" w:cs="Times New Roman"/>
                <w:color w:val="auto"/>
                <w:lang w:val="en-US" w:eastAsia="zh-CN"/>
              </w:rPr>
              <w:t>6艘执法艇</w:t>
            </w:r>
            <w:r>
              <w:rPr>
                <w:rFonts w:hint="default" w:ascii="Times New Roman" w:hAnsi="Times New Roman" w:cs="Times New Roman"/>
                <w:b w:val="0"/>
                <w:bCs w:val="0"/>
                <w:color w:val="auto"/>
                <w:kern w:val="0"/>
                <w:sz w:val="24"/>
                <w:szCs w:val="21"/>
                <w:lang w:val="en-US" w:eastAsia="zh-CN"/>
              </w:rPr>
              <w:t>。因执法资金短缺，市本级一直没有修建专用渔政码头，长期临时靠泊或租借码头使用，基础设施配套严重不足，极大的影响了渔政执法工作效率。一、因租用码头不能进行基础设施建设，船舶停靠不便且有脱锚的风险；二、现有码头基础配套设施较差，码头平台交通不便且存在周边群众落水的安全隐患。</w:t>
            </w:r>
          </w:p>
          <w:p>
            <w:pPr>
              <w:bidi w:val="0"/>
              <w:rPr>
                <w:rFonts w:hint="default" w:ascii="Times New Roman" w:hAnsi="Times New Roman" w:cs="Times New Roman"/>
                <w:b w:val="0"/>
                <w:bCs w:val="0"/>
                <w:color w:val="auto"/>
                <w:kern w:val="0"/>
                <w:sz w:val="24"/>
                <w:szCs w:val="21"/>
                <w:lang w:val="en-US" w:eastAsia="zh-CN"/>
              </w:rPr>
            </w:pPr>
            <w:r>
              <w:rPr>
                <w:rFonts w:hint="default" w:ascii="Times New Roman" w:hAnsi="Times New Roman" w:cs="Times New Roman"/>
                <w:b w:val="0"/>
                <w:bCs w:val="0"/>
                <w:color w:val="auto"/>
                <w:kern w:val="0"/>
                <w:sz w:val="24"/>
                <w:szCs w:val="21"/>
                <w:lang w:val="en-US" w:eastAsia="zh-CN"/>
              </w:rPr>
              <w:t>为积极适应新时代新形势对渔政执法工作的新要求，保障长江流域禁捕等重大战略决策的落实落地，农业农村部2020年11月发布《渔政执法装备配备指导标准》，按执法区域和队伍性质提出了省市县三级渔政执法机构执法装备配备的项目和数量，其中内陆集中行使渔业执法职能的农业综合行政执法机构渔政执法装备配备指导标准指出：县级（大队）配备停泊30吨级以上船舶渔政执勤码头或趸船1座（限大江大湖、边境交界水域地区）。</w:t>
            </w:r>
          </w:p>
          <w:p>
            <w:pPr>
              <w:bidi w:val="0"/>
              <w:rPr>
                <w:rFonts w:hint="default" w:ascii="Times New Roman" w:hAnsi="Times New Roman" w:cs="Times New Roman"/>
                <w:b w:val="0"/>
                <w:bCs w:val="0"/>
                <w:color w:val="auto"/>
                <w:kern w:val="0"/>
                <w:sz w:val="24"/>
                <w:szCs w:val="21"/>
                <w:lang w:val="en-US" w:eastAsia="zh-CN"/>
              </w:rPr>
            </w:pPr>
            <w:r>
              <w:rPr>
                <w:rFonts w:hint="default" w:ascii="Times New Roman" w:hAnsi="Times New Roman" w:cs="Times New Roman"/>
                <w:b w:val="0"/>
                <w:bCs w:val="0"/>
                <w:color w:val="auto"/>
                <w:kern w:val="0"/>
                <w:sz w:val="24"/>
                <w:szCs w:val="21"/>
                <w:lang w:val="en-US" w:eastAsia="zh-CN"/>
              </w:rPr>
              <w:t>为了衡阳市渔业发展，满足渔政工作实际需要，更为了解决衡阳市渔业生产存在的问题，湖南省畜牧水产事务中心及市属各相关单位多次组织专家对衡阳市渔政码头建设进行了考察认证。水利、环保、财政、自然资源、规划、交通、海事等部门对渔政码头的建设给予了大力支持，交通部门将渔政码头纳入了港航规划公务码头范围，对项目建设给予资金保障，同意按比例提供配套资金（相关内容见附件</w:t>
            </w:r>
            <w:r>
              <w:rPr>
                <w:rFonts w:hint="eastAsia" w:cs="Times New Roman"/>
                <w:b w:val="0"/>
                <w:bCs w:val="0"/>
                <w:color w:val="auto"/>
                <w:kern w:val="0"/>
                <w:sz w:val="24"/>
                <w:szCs w:val="21"/>
                <w:lang w:val="en-US" w:eastAsia="zh-CN"/>
              </w:rPr>
              <w:t>5</w:t>
            </w:r>
            <w:r>
              <w:rPr>
                <w:rFonts w:hint="default" w:ascii="Times New Roman" w:hAnsi="Times New Roman" w:cs="Times New Roman"/>
                <w:b w:val="0"/>
                <w:bCs w:val="0"/>
                <w:color w:val="auto"/>
                <w:kern w:val="0"/>
                <w:sz w:val="24"/>
                <w:szCs w:val="21"/>
                <w:lang w:val="en-US" w:eastAsia="zh-CN"/>
              </w:rPr>
              <w:t>）。拟改造渔政码头区域气候适宜、水面宽阔、地势稳定，既可利用其基础设施，又不影响河道行洪，地理位置非常好；项目所需的块石、砖、钢筋、水泥、网箱等建材及冷冻加工设备，或可本地生产、或可就近选择购置，原材料等项目物资供给可靠；项目区供电生产安全有保障；项目建设使用的是国有水域滩涂地，占地为河段岸滩及堤坡，不与农业争地和其它建筑冲突，码头改扩建符合水利及防洪要求。</w:t>
            </w:r>
          </w:p>
          <w:p>
            <w:pPr>
              <w:bidi w:val="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根据《中华人民共和国环境影响评价法》、《建设项目环境保护管理条例》（国务院令第682号）有关规定并对照《建设项目环境影响评价分类管理名录》（2021年版），本次</w:t>
            </w:r>
            <w:r>
              <w:rPr>
                <w:rFonts w:hint="eastAsia" w:ascii="Times New Roman" w:hAnsi="Times New Roman" w:cs="Times New Roman"/>
                <w:color w:val="auto"/>
                <w:sz w:val="24"/>
                <w:szCs w:val="24"/>
                <w:lang w:val="en-US" w:eastAsia="zh-CN"/>
              </w:rPr>
              <w:t>建设项目</w:t>
            </w:r>
            <w:r>
              <w:rPr>
                <w:rFonts w:hint="default" w:ascii="Times New Roman" w:hAnsi="Times New Roman" w:cs="Times New Roman"/>
                <w:color w:val="auto"/>
                <w:sz w:val="24"/>
                <w:szCs w:val="24"/>
                <w:lang w:val="en-US" w:eastAsia="zh-CN"/>
              </w:rPr>
              <w:t>评价范围仅进行岸基加固、通码头公路扩宽加固及沿河栈道加固</w:t>
            </w:r>
            <w:r>
              <w:rPr>
                <w:rFonts w:hint="eastAsia" w:ascii="Times New Roman" w:hAnsi="Times New Roman" w:cs="Times New Roman"/>
                <w:color w:val="auto"/>
                <w:sz w:val="24"/>
                <w:szCs w:val="24"/>
                <w:lang w:val="en-US" w:eastAsia="zh-CN"/>
              </w:rPr>
              <w:t>工程</w:t>
            </w:r>
            <w:r>
              <w:rPr>
                <w:rFonts w:hint="default" w:ascii="Times New Roman" w:hAnsi="Times New Roman" w:cs="Times New Roman"/>
                <w:color w:val="auto"/>
                <w:sz w:val="24"/>
                <w:szCs w:val="24"/>
                <w:lang w:val="en-US" w:eastAsia="zh-CN"/>
              </w:rPr>
              <w:t>，无涉水工程，不涉及湘江衡阳段四大家鱼国家级水产种质资源保护区（湘江干流近尾洲电站以下至大源渡电站以上河段，舂陵水、耒水入湘江口以上10公里和蒸水入湘江口5公里河段），不涉及生态保护红线管控范围（见附件），不涉及国家公园、自然保护区、风景名胜区、世界文化和自然遗产地、海洋特别保护区、饮用水水源保护区，不涉及重要水生生物的自然产卵场、索饵场、越冬场和洄游通道，不涉及天然渔场，因此本项目</w:t>
            </w:r>
            <w:r>
              <w:rPr>
                <w:rFonts w:hint="eastAsia" w:ascii="Times New Roman" w:hAnsi="Times New Roman" w:cs="Times New Roman"/>
                <w:color w:val="auto"/>
                <w:sz w:val="24"/>
                <w:szCs w:val="24"/>
                <w:lang w:val="en-US" w:eastAsia="zh-CN"/>
              </w:rPr>
              <w:t>不涉及《建设项目环境影响评价分类管理名录》（2021年版）“五十二、交通运输业、管道运输业——141、滚装、客运、工作船、游艇码头”提到的环境敏感区，</w:t>
            </w:r>
            <w:r>
              <w:rPr>
                <w:rFonts w:hint="default" w:ascii="Times New Roman" w:hAnsi="Times New Roman" w:cs="Times New Roman"/>
                <w:color w:val="auto"/>
                <w:sz w:val="24"/>
                <w:szCs w:val="24"/>
                <w:lang w:val="en-US" w:eastAsia="zh-CN"/>
              </w:rPr>
              <w:t>属于类别中的</w:t>
            </w:r>
            <w:r>
              <w:rPr>
                <w:rFonts w:hint="eastAsia" w:ascii="宋体" w:hAnsi="宋体" w:eastAsia="宋体" w:cs="宋体"/>
                <w:color w:val="auto"/>
                <w:sz w:val="24"/>
                <w:szCs w:val="24"/>
                <w:lang w:val="en-US" w:eastAsia="zh-CN"/>
              </w:rPr>
              <w:t>“其他”</w:t>
            </w:r>
            <w:r>
              <w:rPr>
                <w:rFonts w:hint="default" w:ascii="Times New Roman" w:hAnsi="Times New Roman" w:cs="Times New Roman"/>
                <w:color w:val="auto"/>
                <w:sz w:val="24"/>
                <w:szCs w:val="24"/>
                <w:lang w:val="en-US" w:eastAsia="zh-CN"/>
              </w:rPr>
              <w:t>，应编制环境影响报告表。</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根据要求，衡阳市农业综合行政执法支队2023年8月2日委托</w:t>
            </w:r>
            <w:r>
              <w:rPr>
                <w:rFonts w:hint="eastAsia" w:cs="Times New Roman"/>
                <w:color w:val="auto"/>
                <w:lang w:val="en-US" w:eastAsia="zh-CN"/>
              </w:rPr>
              <w:t>衡阳</w:t>
            </w:r>
            <w:r>
              <w:rPr>
                <w:rFonts w:hint="default" w:ascii="Times New Roman" w:hAnsi="Times New Roman" w:cs="Times New Roman"/>
                <w:color w:val="auto"/>
                <w:lang w:val="en-US" w:eastAsia="zh-CN"/>
              </w:rPr>
              <w:t>职安环保科技有限责任公司承担本项目环境影响评价工作，我公司接受委托后，认真研究该项目的有关资料，并进行了实地踏勘和调研，收集和核实有关材料和工程资料，在现场调查、环境现状监测等环节工作的基础上，按《港口建设项目环境影响评价规范》的要求，编制完成了本项目的环境影响报告表。</w:t>
            </w:r>
          </w:p>
          <w:p>
            <w:pPr>
              <w:pStyle w:val="3"/>
              <w:bidi w:val="0"/>
              <w:rPr>
                <w:rFonts w:hint="default" w:ascii="Times New Roman" w:hAnsi="Times New Roman" w:cs="Times New Roman"/>
                <w:color w:val="auto"/>
                <w:lang w:val="en-US" w:eastAsia="zh-CN"/>
              </w:rPr>
            </w:pPr>
            <w:bookmarkStart w:id="161" w:name="_Toc18405"/>
            <w:bookmarkStart w:id="162" w:name="_Toc20517"/>
            <w:bookmarkStart w:id="163" w:name="_Toc6622"/>
            <w:bookmarkStart w:id="164" w:name="_Toc23147"/>
            <w:bookmarkStart w:id="165" w:name="_Toc20831"/>
            <w:bookmarkStart w:id="166" w:name="_Toc4244"/>
            <w:bookmarkStart w:id="167" w:name="_Toc30331"/>
            <w:bookmarkStart w:id="168" w:name="_Toc30665"/>
            <w:bookmarkStart w:id="169" w:name="_Toc17477"/>
            <w:bookmarkStart w:id="170" w:name="_Toc11360"/>
            <w:r>
              <w:rPr>
                <w:rFonts w:hint="default" w:ascii="Times New Roman" w:hAnsi="Times New Roman" w:cs="Times New Roman"/>
                <w:color w:val="auto"/>
                <w:lang w:val="en-US" w:eastAsia="zh-CN"/>
              </w:rPr>
              <w:t>2、项目概况</w:t>
            </w:r>
            <w:bookmarkEnd w:id="161"/>
            <w:bookmarkEnd w:id="162"/>
            <w:bookmarkEnd w:id="163"/>
            <w:bookmarkEnd w:id="164"/>
            <w:bookmarkEnd w:id="165"/>
            <w:bookmarkEnd w:id="166"/>
            <w:bookmarkEnd w:id="167"/>
            <w:bookmarkEnd w:id="168"/>
            <w:bookmarkEnd w:id="169"/>
            <w:bookmarkEnd w:id="170"/>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（1）项目名称：衡阳市</w:t>
            </w:r>
            <w:r>
              <w:rPr>
                <w:rFonts w:hint="eastAsia" w:cs="Times New Roman"/>
                <w:color w:val="auto"/>
                <w:lang w:val="en-US" w:eastAsia="zh-CN"/>
              </w:rPr>
              <w:t>级</w:t>
            </w:r>
            <w:r>
              <w:rPr>
                <w:rFonts w:hint="default" w:ascii="Times New Roman" w:hAnsi="Times New Roman" w:cs="Times New Roman"/>
                <w:color w:val="auto"/>
                <w:lang w:val="en-US" w:eastAsia="zh-CN"/>
              </w:rPr>
              <w:t>渔政码头</w:t>
            </w:r>
            <w:r>
              <w:rPr>
                <w:rFonts w:hint="eastAsia" w:cs="Times New Roman"/>
                <w:color w:val="auto"/>
                <w:lang w:val="en-US" w:eastAsia="zh-CN"/>
              </w:rPr>
              <w:t>改扩建</w:t>
            </w:r>
            <w:r>
              <w:rPr>
                <w:rFonts w:hint="default" w:ascii="Times New Roman" w:hAnsi="Times New Roman" w:cs="Times New Roman"/>
                <w:color w:val="auto"/>
                <w:lang w:val="en-US" w:eastAsia="zh-CN"/>
              </w:rPr>
              <w:t>项目</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（2）项目性质：改</w:t>
            </w:r>
            <w:r>
              <w:rPr>
                <w:rFonts w:hint="eastAsia" w:cs="Times New Roman"/>
                <w:color w:val="auto"/>
                <w:lang w:val="en-US" w:eastAsia="zh-CN"/>
              </w:rPr>
              <w:t>扩</w:t>
            </w:r>
            <w:r>
              <w:rPr>
                <w:rFonts w:hint="default" w:ascii="Times New Roman" w:hAnsi="Times New Roman" w:cs="Times New Roman"/>
                <w:color w:val="auto"/>
                <w:lang w:val="en-US" w:eastAsia="zh-CN"/>
              </w:rPr>
              <w:t>建</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（3）建设单位：衡阳市农业综合行政执法支队</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（4）建设地址：衡阳市蒸湘区大立村蒸水河段，铜钱渡大桥上游200米左岸处</w:t>
            </w:r>
          </w:p>
          <w:p>
            <w:pPr>
              <w:bidi w:val="0"/>
              <w:rPr>
                <w:rFonts w:hint="eastAsia" w:cs="Times New Roman"/>
                <w:color w:val="auto"/>
                <w:lang w:val="en-US" w:eastAsia="zh-CN"/>
              </w:rPr>
            </w:pPr>
            <w:r>
              <w:rPr>
                <w:rFonts w:hint="eastAsia" w:cs="Times New Roman"/>
                <w:color w:val="auto"/>
                <w:lang w:val="en-US" w:eastAsia="zh-CN"/>
              </w:rPr>
              <w:t>（5）占用水域岸线长度：本项目不新增占用水域岸线</w:t>
            </w:r>
          </w:p>
          <w:p>
            <w:pPr>
              <w:bidi w:val="0"/>
              <w:rPr>
                <w:rFonts w:hint="default" w:cs="Times New Roman"/>
                <w:color w:val="auto"/>
                <w:lang w:val="en-US" w:eastAsia="zh-CN"/>
              </w:rPr>
            </w:pPr>
            <w:r>
              <w:rPr>
                <w:rFonts w:hint="eastAsia" w:cs="Times New Roman"/>
                <w:color w:val="auto"/>
                <w:lang w:val="en-US" w:eastAsia="zh-CN"/>
              </w:rPr>
              <w:t>（6）建设规模：现有渔政趸船上新建一层，规划两间罚没物资仓库、两间值班室，共计200平方米，屋顶增设隔热降温设施；配备必要办公、生活及仓储设备1套，配套通信及导航设备1套；安装可旋转式电动起重机1套；总体加固岸基长度400米，配套修建不锈钢护栏400米；改造通码头公路1条，连接码头平台与市区主干道；沿河栈道加固；趸船舱底设置储存油水罐，设置生活污水舱；建设衡阳市“智慧渔政”监控系统及运营副中心，配套建设视频会议系统、网络、消防等设施。</w:t>
            </w:r>
          </w:p>
          <w:p>
            <w:pPr>
              <w:bidi w:val="0"/>
              <w:rPr>
                <w:rFonts w:hint="eastAsia" w:cs="Times New Roman"/>
                <w:color w:val="auto"/>
                <w:lang w:val="en-US" w:eastAsia="zh-CN"/>
              </w:rPr>
            </w:pPr>
            <w:r>
              <w:rPr>
                <w:rFonts w:hint="eastAsia" w:cs="Times New Roman"/>
                <w:color w:val="auto"/>
                <w:lang w:val="en-US" w:eastAsia="zh-CN"/>
              </w:rPr>
              <w:t>（7）项目目标：通过改造建设衡阳市渔政执法趸船及码头附属设施，加大对湘江衡阳段的综合执法能力，实现对渔业资源更有效的保护和合理利用，对整个湘江的水生态环境保护工作将产生深远的影响。</w:t>
            </w:r>
          </w:p>
          <w:p>
            <w:pPr>
              <w:bidi w:val="0"/>
              <w:rPr>
                <w:rFonts w:hint="default" w:cs="Times New Roman"/>
                <w:color w:val="auto"/>
                <w:lang w:val="en-US" w:eastAsia="zh-CN"/>
              </w:rPr>
            </w:pPr>
            <w:r>
              <w:rPr>
                <w:rFonts w:hint="eastAsia" w:cs="Times New Roman"/>
                <w:color w:val="auto"/>
                <w:lang w:val="en-US" w:eastAsia="zh-CN"/>
              </w:rPr>
              <w:t>（8）功能定位：拟建项目主要用于衡阳市渔政执法工作。</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9</w:t>
            </w:r>
            <w:r>
              <w:rPr>
                <w:rFonts w:hint="default" w:ascii="Times New Roman" w:hAnsi="Times New Roman" w:cs="Times New Roman"/>
                <w:color w:val="auto"/>
                <w:lang w:val="en-US" w:eastAsia="zh-CN"/>
              </w:rPr>
              <w:t>）项目投资：本工程总投资概算413.71万元，其中建筑工程355.2万元，工程建设其他费用及基本预备费58.51万元。资金来源：申请2021年中央财政成品油价格调整对渔业补助资金400万元，地方配套13.71万元。</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10</w:t>
            </w:r>
            <w:r>
              <w:rPr>
                <w:rFonts w:hint="default" w:ascii="Times New Roman" w:hAnsi="Times New Roman" w:cs="Times New Roman"/>
                <w:color w:val="auto"/>
                <w:lang w:val="en-US" w:eastAsia="zh-CN"/>
              </w:rPr>
              <w:t>）</w:t>
            </w:r>
            <w:r>
              <w:rPr>
                <w:rFonts w:hint="eastAsia" w:cs="Times New Roman"/>
                <w:color w:val="auto"/>
                <w:lang w:val="en-US" w:eastAsia="zh-CN"/>
              </w:rPr>
              <w:t>施工工期</w:t>
            </w:r>
            <w:r>
              <w:rPr>
                <w:rFonts w:hint="default" w:ascii="Times New Roman" w:hAnsi="Times New Roman" w:cs="Times New Roman"/>
                <w:color w:val="auto"/>
                <w:lang w:val="en-US" w:eastAsia="zh-CN"/>
              </w:rPr>
              <w:t>：</w:t>
            </w:r>
            <w:r>
              <w:rPr>
                <w:rFonts w:hint="eastAsia" w:cs="Times New Roman"/>
                <w:color w:val="auto"/>
                <w:lang w:val="en-US" w:eastAsia="zh-CN"/>
              </w:rPr>
              <w:t>12个月</w:t>
            </w:r>
          </w:p>
          <w:p>
            <w:pPr>
              <w:pStyle w:val="3"/>
              <w:bidi w:val="0"/>
              <w:rPr>
                <w:rFonts w:hint="default" w:ascii="Times New Roman" w:hAnsi="Times New Roman" w:cs="Times New Roman"/>
                <w:color w:val="auto"/>
                <w:lang w:val="en-US" w:eastAsia="zh-CN"/>
              </w:rPr>
            </w:pPr>
            <w:bookmarkStart w:id="171" w:name="_Toc2262"/>
            <w:bookmarkStart w:id="172" w:name="_Toc23842"/>
            <w:bookmarkStart w:id="173" w:name="_Toc17383"/>
            <w:bookmarkStart w:id="174" w:name="_Toc21672"/>
            <w:bookmarkStart w:id="175" w:name="_Toc1634"/>
            <w:bookmarkStart w:id="176" w:name="_Toc8618"/>
            <w:bookmarkStart w:id="177" w:name="_Toc10381"/>
            <w:bookmarkStart w:id="178" w:name="_Toc16597"/>
            <w:bookmarkStart w:id="179" w:name="_Toc18395"/>
            <w:bookmarkStart w:id="180" w:name="_Toc22982"/>
            <w:r>
              <w:rPr>
                <w:rFonts w:hint="default" w:ascii="Times New Roman" w:hAnsi="Times New Roman" w:cs="Times New Roman"/>
                <w:color w:val="auto"/>
                <w:lang w:val="en-US" w:eastAsia="zh-CN"/>
              </w:rPr>
              <w:t>3、码头功能</w:t>
            </w:r>
            <w:bookmarkEnd w:id="171"/>
            <w:bookmarkEnd w:id="172"/>
            <w:bookmarkEnd w:id="173"/>
            <w:bookmarkEnd w:id="174"/>
            <w:bookmarkEnd w:id="175"/>
            <w:bookmarkEnd w:id="176"/>
            <w:bookmarkEnd w:id="177"/>
            <w:bookmarkEnd w:id="178"/>
            <w:bookmarkEnd w:id="179"/>
            <w:bookmarkEnd w:id="180"/>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渔政执法码头功能为加强渔政执法、加大执法力度，有效、及时地打击渔业水域的各种违法行为，又可完善渔政管理的功能，加强渔船的管理，提高行政效率，降低行政成本。一是为渔政船艇提供泊位。目前衡阳市有</w:t>
            </w:r>
            <w:r>
              <w:rPr>
                <w:rFonts w:hint="eastAsia" w:cs="Times New Roman"/>
                <w:color w:val="auto"/>
                <w:lang w:val="en-US" w:eastAsia="zh-CN"/>
              </w:rPr>
              <w:t>6艘执法艇</w:t>
            </w:r>
            <w:r>
              <w:rPr>
                <w:rFonts w:hint="default" w:ascii="Times New Roman" w:hAnsi="Times New Roman" w:cs="Times New Roman"/>
                <w:color w:val="auto"/>
                <w:lang w:val="en-US" w:eastAsia="zh-CN"/>
              </w:rPr>
              <w:t>，因执法资金短缺，市本级一直没有修建专用渔政码头，长期临时靠泊或租借码头使用，通过完善码头建设，趸船在保障自给的情况下，有能力接待邻近县市渔政船艇停靠，利于开展联合执法行动。二是利用趸船平台会议培训室，布置渔业法规、资源保护知识宣传栏，加强渔民素质教育，提高遵法守法自觉性。三是配套消防、通讯、救生、野外监控、应急救助通道等水陆基础设施，保持24小时值守状态，随时为误捕误伤珍稀动物提供救助服务。</w:t>
            </w:r>
            <w:r>
              <w:rPr>
                <w:rFonts w:hint="eastAsia" w:cs="Times New Roman"/>
                <w:color w:val="auto"/>
                <w:lang w:val="en-US" w:eastAsia="zh-CN"/>
              </w:rPr>
              <w:t>该码头不进行货物的装卸工作，管理用房主要用于日常行政办公，不设食宿。</w:t>
            </w:r>
          </w:p>
          <w:p>
            <w:pPr>
              <w:pStyle w:val="3"/>
              <w:bidi w:val="0"/>
              <w:rPr>
                <w:rFonts w:hint="default" w:ascii="Times New Roman" w:hAnsi="Times New Roman" w:cs="Times New Roman"/>
                <w:color w:val="auto"/>
                <w:lang w:val="en-US" w:eastAsia="zh-CN"/>
              </w:rPr>
            </w:pPr>
            <w:bookmarkStart w:id="181" w:name="_Toc23581"/>
            <w:bookmarkStart w:id="182" w:name="_Toc8336"/>
            <w:bookmarkStart w:id="183" w:name="_Toc28314"/>
            <w:bookmarkStart w:id="184" w:name="_Toc20216"/>
            <w:bookmarkStart w:id="185" w:name="_Toc29954"/>
            <w:bookmarkStart w:id="186" w:name="_Toc23516"/>
            <w:bookmarkStart w:id="187" w:name="_Toc7817"/>
            <w:bookmarkStart w:id="188" w:name="_Toc26265"/>
            <w:bookmarkStart w:id="189" w:name="_Toc31784"/>
            <w:bookmarkStart w:id="190" w:name="_Toc13286"/>
            <w:r>
              <w:rPr>
                <w:rFonts w:hint="default" w:ascii="Times New Roman" w:hAnsi="Times New Roman" w:cs="Times New Roman"/>
                <w:color w:val="auto"/>
                <w:lang w:val="en-US" w:eastAsia="zh-CN"/>
              </w:rPr>
              <w:t>4、建设内容及规模</w:t>
            </w:r>
            <w:bookmarkEnd w:id="181"/>
            <w:bookmarkEnd w:id="182"/>
            <w:bookmarkEnd w:id="183"/>
            <w:bookmarkEnd w:id="184"/>
            <w:bookmarkEnd w:id="185"/>
            <w:bookmarkEnd w:id="186"/>
            <w:bookmarkEnd w:id="187"/>
            <w:bookmarkEnd w:id="188"/>
            <w:bookmarkEnd w:id="189"/>
            <w:bookmarkEnd w:id="190"/>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本项目位于湖南省衡阳市蒸湘区大立村蒸水河段，铜钱渡大桥上游200米左岸处，总投资413.71万元，码头总占地面积1320m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岸基加固。码头范围护坡由于长年的水流冲刷，坡脚出现损毁。需要重新对大堤坡脚进行加固处理。预估总体加固长度400米，主要工程量包括浆砌石砌筑护岸，顶面混凝土硬化等，同时配套修建不锈钢护栏400米。</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（2）通码头公路</w:t>
            </w:r>
            <w:r>
              <w:rPr>
                <w:rFonts w:hint="eastAsia" w:cs="Times New Roman"/>
                <w:color w:val="auto"/>
                <w:lang w:val="en-US" w:eastAsia="zh-CN"/>
              </w:rPr>
              <w:t>扩宽加固</w:t>
            </w:r>
            <w:r>
              <w:rPr>
                <w:rFonts w:hint="default" w:ascii="Times New Roman" w:hAnsi="Times New Roman" w:cs="Times New Roman"/>
                <w:color w:val="auto"/>
                <w:lang w:val="en-US" w:eastAsia="zh-CN"/>
              </w:rPr>
              <w:t>。依托</w:t>
            </w:r>
            <w:r>
              <w:rPr>
                <w:rFonts w:hint="eastAsia" w:cs="Times New Roman"/>
                <w:color w:val="auto"/>
                <w:lang w:val="en-US" w:eastAsia="zh-CN"/>
              </w:rPr>
              <w:t>现有</w:t>
            </w:r>
            <w:r>
              <w:rPr>
                <w:rFonts w:hint="default" w:ascii="Times New Roman" w:hAnsi="Times New Roman" w:cs="Times New Roman"/>
                <w:color w:val="auto"/>
                <w:lang w:val="en-US" w:eastAsia="zh-CN"/>
              </w:rPr>
              <w:t>铺砖步道，清除</w:t>
            </w:r>
            <w:r>
              <w:rPr>
                <w:rFonts w:hint="eastAsia" w:cs="Times New Roman"/>
                <w:color w:val="auto"/>
                <w:lang w:val="en-US" w:eastAsia="zh-CN"/>
              </w:rPr>
              <w:t>现有</w:t>
            </w:r>
            <w:r>
              <w:rPr>
                <w:rFonts w:hint="default" w:ascii="Times New Roman" w:hAnsi="Times New Roman" w:cs="Times New Roman"/>
                <w:color w:val="auto"/>
                <w:lang w:val="en-US" w:eastAsia="zh-CN"/>
              </w:rPr>
              <w:t>道路铺装并铺设沥青进行路面加固扩宽处理，道路两旁</w:t>
            </w:r>
            <w:r>
              <w:rPr>
                <w:rFonts w:hint="eastAsia" w:cs="Times New Roman"/>
                <w:color w:val="auto"/>
                <w:lang w:val="en-US" w:eastAsia="zh-CN"/>
              </w:rPr>
              <w:t>重新</w:t>
            </w:r>
            <w:r>
              <w:rPr>
                <w:rFonts w:hint="default" w:ascii="Times New Roman" w:hAnsi="Times New Roman" w:cs="Times New Roman"/>
                <w:color w:val="auto"/>
                <w:lang w:val="en-US" w:eastAsia="zh-CN"/>
              </w:rPr>
              <w:t>建立绿化带，设计方案预计建设公路长度850米，宽度4米，用于连接码头沿河栈道与蒸水南路主干道，</w:t>
            </w:r>
            <w:r>
              <w:rPr>
                <w:rFonts w:hint="eastAsia" w:cs="Times New Roman"/>
                <w:color w:val="auto"/>
                <w:lang w:val="en-US" w:eastAsia="zh-CN"/>
              </w:rPr>
              <w:t>可供</w:t>
            </w:r>
            <w:r>
              <w:rPr>
                <w:rFonts w:hint="default" w:ascii="Times New Roman" w:hAnsi="Times New Roman" w:cs="Times New Roman"/>
                <w:color w:val="auto"/>
                <w:lang w:val="en-US" w:eastAsia="zh-CN"/>
              </w:rPr>
              <w:t>小型货车通行。</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（3）沿河栈道</w:t>
            </w:r>
            <w:r>
              <w:rPr>
                <w:rFonts w:hint="eastAsia" w:cs="Times New Roman"/>
                <w:color w:val="auto"/>
                <w:lang w:val="en-US" w:eastAsia="zh-CN"/>
              </w:rPr>
              <w:t>加固</w:t>
            </w:r>
            <w:r>
              <w:rPr>
                <w:rFonts w:hint="default" w:ascii="Times New Roman" w:hAnsi="Times New Roman" w:cs="Times New Roman"/>
                <w:color w:val="auto"/>
                <w:lang w:val="en-US" w:eastAsia="zh-CN"/>
              </w:rPr>
              <w:t>。依托</w:t>
            </w:r>
            <w:r>
              <w:rPr>
                <w:rFonts w:hint="eastAsia" w:cs="Times New Roman"/>
                <w:color w:val="auto"/>
                <w:lang w:val="en-US" w:eastAsia="zh-CN"/>
              </w:rPr>
              <w:t>现有</w:t>
            </w:r>
            <w:r>
              <w:rPr>
                <w:rFonts w:hint="default" w:ascii="Times New Roman" w:hAnsi="Times New Roman" w:cs="Times New Roman"/>
                <w:color w:val="auto"/>
                <w:lang w:val="en-US" w:eastAsia="zh-CN"/>
              </w:rPr>
              <w:t>铺砖步道，清除</w:t>
            </w:r>
            <w:r>
              <w:rPr>
                <w:rFonts w:hint="eastAsia" w:cs="Times New Roman"/>
                <w:color w:val="auto"/>
                <w:lang w:val="en-US" w:eastAsia="zh-CN"/>
              </w:rPr>
              <w:t>现有</w:t>
            </w:r>
            <w:r>
              <w:rPr>
                <w:rFonts w:hint="default" w:ascii="Times New Roman" w:hAnsi="Times New Roman" w:cs="Times New Roman"/>
                <w:color w:val="auto"/>
                <w:lang w:val="en-US" w:eastAsia="zh-CN"/>
              </w:rPr>
              <w:t>道路铺装并铺设沥青进行路面加固处理，不破坏原有绿化带，设计方案预计建设沿河栈道长度400米，宽度1.8米，采用休闲景观道路设计，可供行人与自行车通行。</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此外，本项目建设内容中渔政趸船改造、码头基础设施建设、公用工程等涉水工程已依托</w:t>
            </w:r>
            <w:r>
              <w:rPr>
                <w:rFonts w:hint="eastAsia" w:cs="Times New Roman"/>
                <w:color w:val="auto"/>
                <w:lang w:val="en-US" w:eastAsia="zh-CN"/>
              </w:rPr>
              <w:t>现有</w:t>
            </w:r>
            <w:r>
              <w:rPr>
                <w:rFonts w:hint="default" w:ascii="Times New Roman" w:hAnsi="Times New Roman" w:cs="Times New Roman"/>
                <w:color w:val="auto"/>
                <w:lang w:val="en-US" w:eastAsia="zh-CN"/>
              </w:rPr>
              <w:t>码头完成建/改造，本次评价不涉及涉水工程内容，因此仅对施工期陆上工程进行评价。</w:t>
            </w:r>
          </w:p>
          <w:p>
            <w:pPr>
              <w:pStyle w:val="17"/>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2.</w:t>
            </w:r>
            <w:r>
              <w:rPr>
                <w:rFonts w:hint="eastAsia" w:cs="Times New Roman"/>
                <w:color w:val="auto"/>
                <w:lang w:val="en-US" w:eastAsia="zh-CN"/>
              </w:rPr>
              <w:t>1</w:t>
            </w:r>
            <w:r>
              <w:rPr>
                <w:rFonts w:hint="default" w:ascii="Times New Roman" w:hAnsi="Times New Roman" w:cs="Times New Roman"/>
                <w:color w:val="auto"/>
              </w:rPr>
              <w:t>本项目主要建设内容一览表</w:t>
            </w:r>
          </w:p>
          <w:tbl>
            <w:tblPr>
              <w:tblStyle w:val="12"/>
              <w:tblW w:w="8164"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313"/>
              <w:gridCol w:w="4887"/>
              <w:gridCol w:w="1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11" w:type="dxa"/>
                  <w:gridSpan w:val="2"/>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工程名称</w:t>
                  </w:r>
                </w:p>
              </w:tc>
              <w:tc>
                <w:tcPr>
                  <w:tcW w:w="4887" w:type="dxa"/>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建设内容</w:t>
                  </w:r>
                </w:p>
              </w:tc>
              <w:tc>
                <w:tcPr>
                  <w:tcW w:w="1266" w:type="dxa"/>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主体工程</w:t>
                  </w: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渔政趸船</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现有渔政趸船上新建一层，规划两间罚没物资仓库、两间值班室，共计200平方米，屋顶增设隔热降温设施；配备必要办公、生活及仓储设备1套，配套通信及导航设备1套；安装可旋转式电动起重机1套</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趸船修造已完成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辅助工程</w:t>
                  </w: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定置系缆柱</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4根</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16"/>
                    <w:bidi w:val="0"/>
                    <w:rPr>
                      <w:rFonts w:hint="default" w:ascii="Times New Roman" w:hAnsi="Times New Roman" w:cs="Times New Roman"/>
                      <w:color w:val="auto"/>
                      <w:lang w:val="en-US" w:eastAsia="zh-CN"/>
                    </w:rPr>
                  </w:pP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岸基加固</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岸基加固长度400米，配套不锈钢护栏400米</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16"/>
                    <w:bidi w:val="0"/>
                    <w:rPr>
                      <w:rFonts w:hint="default" w:ascii="Times New Roman" w:hAnsi="Times New Roman" w:cs="Times New Roman"/>
                      <w:color w:val="auto"/>
                      <w:lang w:val="en-US" w:eastAsia="zh-CN"/>
                    </w:rPr>
                  </w:pP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通码头公路</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850米长，4米宽沥青路面</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扩宽、加固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16"/>
                    <w:bidi w:val="0"/>
                    <w:rPr>
                      <w:rFonts w:hint="default" w:ascii="Times New Roman" w:hAnsi="Times New Roman" w:cs="Times New Roman"/>
                      <w:color w:val="auto"/>
                      <w:lang w:val="en-US" w:eastAsia="zh-CN"/>
                    </w:rPr>
                  </w:pP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沿河栈道</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400米长，1.8米宽沥青路面</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加固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16"/>
                    <w:bidi w:val="0"/>
                    <w:rPr>
                      <w:rFonts w:hint="default" w:ascii="Times New Roman" w:hAnsi="Times New Roman" w:cs="Times New Roman"/>
                      <w:color w:val="auto"/>
                      <w:lang w:val="en-US" w:eastAsia="zh-CN"/>
                    </w:rPr>
                  </w:pPr>
                </w:p>
              </w:tc>
              <w:tc>
                <w:tcPr>
                  <w:tcW w:w="1313" w:type="dxa"/>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港区监控</w:t>
                  </w:r>
                </w:p>
              </w:tc>
              <w:tc>
                <w:tcPr>
                  <w:tcW w:w="4887" w:type="dxa"/>
                  <w:noWrap w:val="0"/>
                  <w:vAlign w:val="center"/>
                </w:tcPr>
                <w:p>
                  <w:pPr>
                    <w:pStyle w:val="16"/>
                    <w:bidi w:val="0"/>
                    <w:jc w:val="both"/>
                    <w:rPr>
                      <w:rFonts w:hint="default"/>
                      <w:color w:val="auto"/>
                      <w:lang w:val="en-US" w:eastAsia="zh-CN"/>
                    </w:rPr>
                  </w:pPr>
                  <w:r>
                    <w:rPr>
                      <w:rFonts w:hint="eastAsia"/>
                      <w:color w:val="auto"/>
                      <w:lang w:val="en-US" w:eastAsia="zh-CN"/>
                    </w:rPr>
                    <w:t>建设衡阳市“智慧渔政”监控系统及运营副中心，配套建设视频会议系统、网络、消防等设施</w:t>
                  </w:r>
                </w:p>
              </w:tc>
              <w:tc>
                <w:tcPr>
                  <w:tcW w:w="1266" w:type="dxa"/>
                  <w:noWrap w:val="0"/>
                  <w:vAlign w:val="center"/>
                </w:tcPr>
                <w:p>
                  <w:pPr>
                    <w:pStyle w:val="16"/>
                    <w:bidi w:val="0"/>
                    <w:rPr>
                      <w:rFonts w:hint="default" w:cs="Times New Roman"/>
                      <w:color w:val="auto"/>
                      <w:lang w:val="en-US" w:eastAsia="zh-CN"/>
                    </w:rPr>
                  </w:pPr>
                  <w:r>
                    <w:rPr>
                      <w:rFonts w:hint="eastAsia" w:cs="Times New Roman"/>
                      <w:color w:val="auto"/>
                      <w:lang w:val="en-US" w:eastAsia="zh-CN"/>
                    </w:rPr>
                    <w:t>已建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公用工程</w:t>
                  </w: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给排水</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生活用水接入点为河道南侧300米大立小区自来水管网，采用设计压力为1.25Mpa的Φ63PE管道接入，用于整个码头日常生活用水</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市政供水管网已接入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16"/>
                    <w:bidi w:val="0"/>
                    <w:rPr>
                      <w:rFonts w:hint="default" w:ascii="Times New Roman" w:hAnsi="Times New Roman" w:cs="Times New Roman"/>
                      <w:color w:val="auto"/>
                      <w:lang w:val="en-US" w:eastAsia="zh-CN"/>
                    </w:rPr>
                  </w:pP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供电</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电源接入点为大立小区380伏三相电源，距离300米，配套抽屉式MHS型配电屏1台，满足船上生活、施工用电量</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市政电网已接入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16"/>
                    <w:bidi w:val="0"/>
                    <w:rPr>
                      <w:rFonts w:hint="default" w:ascii="Times New Roman" w:hAnsi="Times New Roman" w:cs="Times New Roman"/>
                      <w:color w:val="auto"/>
                      <w:lang w:val="en-US" w:eastAsia="zh-CN"/>
                    </w:rPr>
                  </w:pPr>
                </w:p>
              </w:tc>
              <w:tc>
                <w:tcPr>
                  <w:tcW w:w="1313" w:type="dxa"/>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网络</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网络接入点为大</w:t>
                  </w:r>
                  <w:r>
                    <w:rPr>
                      <w:rFonts w:hint="eastAsia" w:cs="Times New Roman"/>
                      <w:color w:val="auto"/>
                      <w:lang w:val="en-US" w:eastAsia="zh-CN"/>
                    </w:rPr>
                    <w:t>立</w:t>
                  </w:r>
                  <w:r>
                    <w:rPr>
                      <w:rFonts w:hint="default" w:ascii="Times New Roman" w:hAnsi="Times New Roman" w:cs="Times New Roman"/>
                      <w:color w:val="auto"/>
                      <w:lang w:val="en-US" w:eastAsia="zh-CN"/>
                    </w:rPr>
                    <w:t>小区，距离300米，满足船上办公及智慧渔政视频监控系统用</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网络已接入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98" w:type="dxa"/>
                  <w:vMerge w:val="restar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临时工程</w:t>
                  </w:r>
                </w:p>
              </w:tc>
              <w:tc>
                <w:tcPr>
                  <w:tcW w:w="1313" w:type="dxa"/>
                  <w:noWrap w:val="0"/>
                  <w:vAlign w:val="center"/>
                </w:tcPr>
                <w:p>
                  <w:pPr>
                    <w:pStyle w:val="16"/>
                    <w:bidi w:val="0"/>
                    <w:rPr>
                      <w:rFonts w:hint="default" w:cs="Times New Roman"/>
                      <w:color w:val="auto"/>
                      <w:lang w:val="en-US" w:eastAsia="zh-CN"/>
                    </w:rPr>
                  </w:pPr>
                  <w:r>
                    <w:rPr>
                      <w:rFonts w:hint="eastAsia" w:cs="Times New Roman"/>
                      <w:color w:val="auto"/>
                      <w:lang w:val="en-US" w:eastAsia="zh-CN"/>
                    </w:rPr>
                    <w:t>施工便道</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eastAsia" w:cs="Times New Roman"/>
                      <w:color w:val="auto"/>
                      <w:lang w:val="en-US" w:eastAsia="zh-CN"/>
                    </w:rPr>
                    <w:t>依托现有沿河栈道和通码头公路</w:t>
                  </w:r>
                </w:p>
              </w:tc>
              <w:tc>
                <w:tcPr>
                  <w:tcW w:w="1266" w:type="dxa"/>
                  <w:noWrap w:val="0"/>
                  <w:vAlign w:val="center"/>
                </w:tcPr>
                <w:p>
                  <w:pPr>
                    <w:pStyle w:val="16"/>
                    <w:bidi w:val="0"/>
                    <w:rPr>
                      <w:rFonts w:hint="default" w:cs="Times New Roman"/>
                      <w:color w:val="auto"/>
                      <w:lang w:val="en-US" w:eastAsia="zh-CN"/>
                    </w:rPr>
                  </w:pPr>
                  <w:r>
                    <w:rPr>
                      <w:rFonts w:hint="eastAsia" w:cs="Times New Roman"/>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98" w:type="dxa"/>
                  <w:vMerge w:val="continue"/>
                  <w:noWrap w:val="0"/>
                  <w:vAlign w:val="center"/>
                </w:tcPr>
                <w:p>
                  <w:pPr>
                    <w:pStyle w:val="16"/>
                    <w:bidi w:val="0"/>
                    <w:rPr>
                      <w:color w:val="auto"/>
                    </w:rPr>
                  </w:pPr>
                </w:p>
              </w:tc>
              <w:tc>
                <w:tcPr>
                  <w:tcW w:w="1313" w:type="dxa"/>
                  <w:noWrap w:val="0"/>
                  <w:vAlign w:val="center"/>
                </w:tcPr>
                <w:p>
                  <w:pPr>
                    <w:pStyle w:val="16"/>
                    <w:bidi w:val="0"/>
                    <w:rPr>
                      <w:rFonts w:hint="default" w:cs="Times New Roman"/>
                      <w:color w:val="auto"/>
                      <w:lang w:val="en-US" w:eastAsia="zh-CN"/>
                    </w:rPr>
                  </w:pPr>
                  <w:r>
                    <w:rPr>
                      <w:rFonts w:hint="eastAsia" w:cs="Times New Roman"/>
                      <w:color w:val="auto"/>
                      <w:lang w:val="en-US" w:eastAsia="zh-CN"/>
                    </w:rPr>
                    <w:t>物料堆场</w:t>
                  </w:r>
                </w:p>
              </w:tc>
              <w:tc>
                <w:tcPr>
                  <w:tcW w:w="4887" w:type="dxa"/>
                  <w:noWrap w:val="0"/>
                  <w:vAlign w:val="center"/>
                </w:tcPr>
                <w:p>
                  <w:pPr>
                    <w:pStyle w:val="16"/>
                    <w:bidi w:val="0"/>
                    <w:jc w:val="both"/>
                    <w:rPr>
                      <w:rFonts w:hint="default" w:cs="Times New Roman"/>
                      <w:color w:val="auto"/>
                      <w:lang w:val="en-US" w:eastAsia="zh-CN"/>
                    </w:rPr>
                  </w:pPr>
                  <w:r>
                    <w:rPr>
                      <w:rFonts w:hint="eastAsia" w:cs="Times New Roman"/>
                      <w:color w:val="auto"/>
                      <w:lang w:val="en-US" w:eastAsia="zh-CN"/>
                    </w:rPr>
                    <w:t>位于亲水平台西南侧，占地面积约80m</w:t>
                  </w:r>
                  <w:r>
                    <w:rPr>
                      <w:rFonts w:hint="eastAsia" w:cs="Times New Roman"/>
                      <w:color w:val="auto"/>
                      <w:vertAlign w:val="superscript"/>
                      <w:lang w:val="en-US" w:eastAsia="zh-CN"/>
                    </w:rPr>
                    <w:t>2</w:t>
                  </w:r>
                  <w:r>
                    <w:rPr>
                      <w:rFonts w:hint="eastAsia" w:cs="Times New Roman"/>
                      <w:color w:val="auto"/>
                      <w:lang w:val="en-US" w:eastAsia="zh-CN"/>
                    </w:rPr>
                    <w:t>，用于临时堆放施工所需物料</w:t>
                  </w:r>
                </w:p>
              </w:tc>
              <w:tc>
                <w:tcPr>
                  <w:tcW w:w="1266" w:type="dxa"/>
                  <w:noWrap w:val="0"/>
                  <w:vAlign w:val="center"/>
                </w:tcPr>
                <w:p>
                  <w:pPr>
                    <w:pStyle w:val="16"/>
                    <w:bidi w:val="0"/>
                    <w:rPr>
                      <w:rFonts w:hint="default" w:cs="Times New Roman"/>
                      <w:color w:val="auto"/>
                      <w:lang w:val="en-US" w:eastAsia="zh-CN"/>
                    </w:rPr>
                  </w:pPr>
                  <w:r>
                    <w:rPr>
                      <w:rFonts w:hint="eastAsia" w:cs="Times New Roman"/>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98" w:type="dxa"/>
                  <w:vMerge w:val="continue"/>
                  <w:noWrap w:val="0"/>
                  <w:vAlign w:val="center"/>
                </w:tcPr>
                <w:p>
                  <w:pPr>
                    <w:pStyle w:val="16"/>
                    <w:bidi w:val="0"/>
                    <w:rPr>
                      <w:rFonts w:hint="default" w:cs="Times New Roman"/>
                      <w:color w:val="auto"/>
                      <w:lang w:val="en-US" w:eastAsia="zh-CN"/>
                    </w:rPr>
                  </w:pPr>
                </w:p>
              </w:tc>
              <w:tc>
                <w:tcPr>
                  <w:tcW w:w="1313" w:type="dxa"/>
                  <w:noWrap w:val="0"/>
                  <w:vAlign w:val="center"/>
                </w:tcPr>
                <w:p>
                  <w:pPr>
                    <w:pStyle w:val="16"/>
                    <w:bidi w:val="0"/>
                    <w:rPr>
                      <w:rFonts w:hint="default" w:cs="Times New Roman"/>
                      <w:color w:val="auto"/>
                      <w:lang w:val="en-US" w:eastAsia="zh-CN"/>
                    </w:rPr>
                  </w:pPr>
                  <w:r>
                    <w:rPr>
                      <w:rFonts w:hint="eastAsia" w:cs="Times New Roman"/>
                      <w:color w:val="auto"/>
                      <w:lang w:val="en-US" w:eastAsia="zh-CN"/>
                    </w:rPr>
                    <w:t>建筑垃圾临时堆放场</w:t>
                  </w:r>
                </w:p>
              </w:tc>
              <w:tc>
                <w:tcPr>
                  <w:tcW w:w="4887" w:type="dxa"/>
                  <w:noWrap w:val="0"/>
                  <w:vAlign w:val="center"/>
                </w:tcPr>
                <w:p>
                  <w:pPr>
                    <w:pStyle w:val="16"/>
                    <w:bidi w:val="0"/>
                    <w:jc w:val="both"/>
                    <w:rPr>
                      <w:rFonts w:hint="default" w:cs="Times New Roman"/>
                      <w:color w:val="auto"/>
                      <w:lang w:val="en-US" w:eastAsia="zh-CN"/>
                    </w:rPr>
                  </w:pPr>
                  <w:r>
                    <w:rPr>
                      <w:rFonts w:hint="eastAsia" w:cs="Times New Roman"/>
                      <w:color w:val="auto"/>
                      <w:lang w:val="en-US" w:eastAsia="zh-CN"/>
                    </w:rPr>
                    <w:t>位于厂界西北角，占地面积约200m</w:t>
                  </w:r>
                  <w:r>
                    <w:rPr>
                      <w:rFonts w:hint="eastAsia" w:cs="Times New Roman"/>
                      <w:color w:val="auto"/>
                      <w:vertAlign w:val="superscript"/>
                      <w:lang w:val="en-US" w:eastAsia="zh-CN"/>
                    </w:rPr>
                    <w:t>2</w:t>
                  </w:r>
                  <w:r>
                    <w:rPr>
                      <w:rFonts w:hint="eastAsia" w:cs="Times New Roman"/>
                      <w:color w:val="auto"/>
                      <w:lang w:val="en-US" w:eastAsia="zh-CN"/>
                    </w:rPr>
                    <w:t>，用于临时堆放岸基加固、沿河栈道加固和通码头公路扩宽加固工程产生的建筑垃圾，配套建设截流沟以及淋滤水收集池</w:t>
                  </w:r>
                </w:p>
              </w:tc>
              <w:tc>
                <w:tcPr>
                  <w:tcW w:w="1266" w:type="dxa"/>
                  <w:noWrap w:val="0"/>
                  <w:vAlign w:val="center"/>
                </w:tcPr>
                <w:p>
                  <w:pPr>
                    <w:pStyle w:val="16"/>
                    <w:bidi w:val="0"/>
                    <w:rPr>
                      <w:rFonts w:hint="default" w:cs="Times New Roman"/>
                      <w:color w:val="auto"/>
                      <w:lang w:val="en-US" w:eastAsia="zh-CN"/>
                    </w:rPr>
                  </w:pPr>
                  <w:r>
                    <w:rPr>
                      <w:rFonts w:hint="eastAsia" w:cs="Times New Roman"/>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98" w:type="dxa"/>
                  <w:vMerge w:val="continue"/>
                  <w:noWrap w:val="0"/>
                  <w:vAlign w:val="center"/>
                </w:tcPr>
                <w:p>
                  <w:pPr>
                    <w:pStyle w:val="16"/>
                    <w:bidi w:val="0"/>
                    <w:rPr>
                      <w:rFonts w:hint="default" w:cs="Times New Roman"/>
                      <w:color w:val="auto"/>
                      <w:lang w:val="en-US" w:eastAsia="zh-CN"/>
                    </w:rPr>
                  </w:pPr>
                </w:p>
              </w:tc>
              <w:tc>
                <w:tcPr>
                  <w:tcW w:w="1313" w:type="dxa"/>
                  <w:noWrap w:val="0"/>
                  <w:vAlign w:val="center"/>
                </w:tcPr>
                <w:p>
                  <w:pPr>
                    <w:pStyle w:val="16"/>
                    <w:bidi w:val="0"/>
                    <w:rPr>
                      <w:rFonts w:hint="default" w:cs="Times New Roman"/>
                      <w:color w:val="auto"/>
                      <w:lang w:val="en-US" w:eastAsia="zh-CN"/>
                    </w:rPr>
                  </w:pPr>
                  <w:r>
                    <w:rPr>
                      <w:rFonts w:hint="eastAsia" w:cs="Times New Roman"/>
                      <w:color w:val="auto"/>
                      <w:lang w:val="en-US" w:eastAsia="zh-CN"/>
                    </w:rPr>
                    <w:t>沙土围挡</w:t>
                  </w:r>
                </w:p>
              </w:tc>
              <w:tc>
                <w:tcPr>
                  <w:tcW w:w="4887" w:type="dxa"/>
                  <w:noWrap w:val="0"/>
                  <w:vAlign w:val="center"/>
                </w:tcPr>
                <w:p>
                  <w:pPr>
                    <w:pStyle w:val="16"/>
                    <w:bidi w:val="0"/>
                    <w:jc w:val="both"/>
                    <w:rPr>
                      <w:rFonts w:hint="default" w:cs="Times New Roman"/>
                      <w:color w:val="auto"/>
                      <w:lang w:val="en-US" w:eastAsia="zh-CN"/>
                    </w:rPr>
                  </w:pPr>
                  <w:r>
                    <w:rPr>
                      <w:rFonts w:hint="eastAsia" w:cs="Times New Roman"/>
                      <w:color w:val="auto"/>
                      <w:lang w:val="en-US" w:eastAsia="zh-CN"/>
                    </w:rPr>
                    <w:t>施工场址周围设置沙土围挡，围挡上方设置喷淋降尘</w:t>
                  </w:r>
                </w:p>
              </w:tc>
              <w:tc>
                <w:tcPr>
                  <w:tcW w:w="1266" w:type="dxa"/>
                  <w:noWrap w:val="0"/>
                  <w:vAlign w:val="center"/>
                </w:tcPr>
                <w:p>
                  <w:pPr>
                    <w:pStyle w:val="16"/>
                    <w:bidi w:val="0"/>
                    <w:rPr>
                      <w:rFonts w:hint="default" w:cs="Times New Roman"/>
                      <w:color w:val="auto"/>
                      <w:lang w:val="en-US" w:eastAsia="zh-CN"/>
                    </w:rPr>
                  </w:pPr>
                  <w:r>
                    <w:rPr>
                      <w:rFonts w:hint="eastAsia" w:cs="Times New Roman"/>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restar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环保工程</w:t>
                  </w: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废气</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施工场址周围设置沙土围栏</w:t>
                  </w:r>
                  <w:r>
                    <w:rPr>
                      <w:rFonts w:hint="eastAsia" w:cs="Times New Roman"/>
                      <w:color w:val="auto"/>
                      <w:lang w:val="en-US" w:eastAsia="zh-CN"/>
                    </w:rPr>
                    <w:t>与喷淋降尘</w:t>
                  </w:r>
                  <w:r>
                    <w:rPr>
                      <w:rFonts w:hint="default" w:ascii="Times New Roman" w:hAnsi="Times New Roman" w:cs="Times New Roman"/>
                      <w:color w:val="auto"/>
                      <w:lang w:val="en-US" w:eastAsia="zh-CN"/>
                    </w:rPr>
                    <w:t>，用土工布固定，并在其设截土、沙沟，工程完成后回填</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减少作业扬尘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16"/>
                    <w:bidi w:val="0"/>
                    <w:rPr>
                      <w:rFonts w:hint="default" w:ascii="Times New Roman" w:hAnsi="Times New Roman" w:cs="Times New Roman"/>
                      <w:color w:val="auto"/>
                      <w:lang w:val="en-US" w:eastAsia="zh-CN"/>
                    </w:rPr>
                  </w:pP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废水</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施工场地设置沉淀池，施工废水经沉淀处理后回用，施工冲刷雨水经沉淀池沉淀处理后外排</w:t>
                  </w:r>
                  <w:r>
                    <w:rPr>
                      <w:rFonts w:hint="eastAsia" w:cs="Times New Roman"/>
                      <w:color w:val="auto"/>
                      <w:lang w:val="en-US" w:eastAsia="zh-CN"/>
                    </w:rPr>
                    <w:t>；</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施工过程中建筑材料远离水体堆放，并建临时堆放棚</w:t>
                  </w:r>
                  <w:r>
                    <w:rPr>
                      <w:rFonts w:hint="eastAsia" w:cs="Times New Roman"/>
                      <w:color w:val="auto"/>
                      <w:lang w:val="en-US" w:eastAsia="zh-CN"/>
                    </w:rPr>
                    <w:t>；</w:t>
                  </w:r>
                </w:p>
                <w:p>
                  <w:pPr>
                    <w:pStyle w:val="16"/>
                    <w:bidi w:val="0"/>
                    <w:jc w:val="both"/>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材料堆放场、挖方、填方四周应挖截留沟，截留沟废水汇入沉淀池，上清液回用</w:t>
                  </w:r>
                  <w:r>
                    <w:rPr>
                      <w:rFonts w:hint="eastAsia" w:ascii="Times New Roman" w:hAnsi="Times New Roman" w:cs="Times New Roman"/>
                      <w:color w:val="auto"/>
                      <w:lang w:val="en-US" w:eastAsia="zh-CN"/>
                    </w:rPr>
                    <w:t>；</w:t>
                  </w:r>
                </w:p>
                <w:p>
                  <w:pPr>
                    <w:pStyle w:val="16"/>
                    <w:bidi w:val="0"/>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运营期生活污水经趸船化粪池预处理后在容量为5m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污水收集箱中暂存，每周由具备生活污水处理资质的单位接受，不在项目所在水域排放；</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设置含油污水接收设施，可接收船舶含油污水，收集后委托具有相应资质的单位处置</w:t>
                  </w:r>
                  <w:r>
                    <w:rPr>
                      <w:rFonts w:hint="eastAsia" w:ascii="Times New Roman" w:hAnsi="Times New Roman" w:cs="Times New Roman"/>
                      <w:color w:val="auto"/>
                      <w:lang w:val="en-US" w:eastAsia="zh-CN"/>
                    </w:rPr>
                    <w:t>。</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减少</w:t>
                  </w:r>
                  <w:r>
                    <w:rPr>
                      <w:rFonts w:hint="eastAsia" w:cs="Times New Roman"/>
                      <w:color w:val="auto"/>
                      <w:lang w:val="en-US" w:eastAsia="zh-CN"/>
                    </w:rPr>
                    <w:t>项目</w:t>
                  </w:r>
                  <w:r>
                    <w:rPr>
                      <w:rFonts w:hint="default" w:ascii="Times New Roman" w:hAnsi="Times New Roman" w:cs="Times New Roman"/>
                      <w:color w:val="auto"/>
                      <w:lang w:val="en-US" w:eastAsia="zh-CN"/>
                    </w:rPr>
                    <w:t>对水体产生影响的风险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16"/>
                    <w:bidi w:val="0"/>
                    <w:rPr>
                      <w:rFonts w:hint="default" w:ascii="Times New Roman" w:hAnsi="Times New Roman" w:cs="Times New Roman"/>
                      <w:color w:val="auto"/>
                      <w:lang w:val="en-US" w:eastAsia="zh-CN"/>
                    </w:rPr>
                  </w:pP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固废</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污水处理系统产生的沉淀池污泥经压缩后外运处置；</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码头职工生活垃圾交由</w:t>
                  </w:r>
                  <w:r>
                    <w:rPr>
                      <w:rFonts w:hint="eastAsia" w:cs="Times New Roman"/>
                      <w:color w:val="auto"/>
                      <w:lang w:val="en-US" w:eastAsia="zh-CN"/>
                    </w:rPr>
                    <w:t>环卫部门</w:t>
                  </w:r>
                  <w:r>
                    <w:rPr>
                      <w:rFonts w:hint="default" w:ascii="Times New Roman" w:hAnsi="Times New Roman" w:cs="Times New Roman"/>
                      <w:color w:val="auto"/>
                      <w:lang w:val="en-US" w:eastAsia="zh-CN"/>
                    </w:rPr>
                    <w:t>外运处置；</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设备检修维护过程产生少量的废机油储存在危废暂存间，交由有资质的单位处理</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8" w:type="dxa"/>
                  <w:vMerge w:val="continue"/>
                  <w:noWrap w:val="0"/>
                  <w:vAlign w:val="center"/>
                </w:tcPr>
                <w:p>
                  <w:pPr>
                    <w:pStyle w:val="16"/>
                    <w:bidi w:val="0"/>
                    <w:rPr>
                      <w:rFonts w:hint="default" w:ascii="Times New Roman" w:hAnsi="Times New Roman" w:cs="Times New Roman"/>
                      <w:color w:val="auto"/>
                      <w:lang w:val="en-US" w:eastAsia="zh-CN"/>
                    </w:rPr>
                  </w:pPr>
                </w:p>
              </w:tc>
              <w:tc>
                <w:tcPr>
                  <w:tcW w:w="1313" w:type="dxa"/>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噪声</w:t>
                  </w:r>
                </w:p>
              </w:tc>
              <w:tc>
                <w:tcPr>
                  <w:tcW w:w="4887" w:type="dxa"/>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选用低噪声机械设备或带隔声、消声的设备</w:t>
                  </w:r>
                  <w:r>
                    <w:rPr>
                      <w:rFonts w:hint="eastAsia" w:cs="Times New Roman"/>
                      <w:color w:val="auto"/>
                      <w:lang w:val="en-US" w:eastAsia="zh-CN"/>
                    </w:rPr>
                    <w:t>；</w:t>
                  </w:r>
                </w:p>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运输车辆进入现场应减速，并减少鸣笛</w:t>
                  </w:r>
                </w:p>
              </w:tc>
              <w:tc>
                <w:tcPr>
                  <w:tcW w:w="1266" w:type="dxa"/>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w:t>
                  </w:r>
                </w:p>
              </w:tc>
            </w:tr>
          </w:tbl>
          <w:p>
            <w:pPr>
              <w:pStyle w:val="3"/>
              <w:bidi w:val="0"/>
              <w:rPr>
                <w:rFonts w:hint="default" w:ascii="Times New Roman" w:hAnsi="Times New Roman" w:cs="Times New Roman"/>
                <w:color w:val="auto"/>
                <w:lang w:val="en-US" w:eastAsia="zh-CN"/>
              </w:rPr>
            </w:pPr>
            <w:bookmarkStart w:id="191" w:name="_Toc23109"/>
            <w:bookmarkStart w:id="192" w:name="_Toc10498"/>
            <w:bookmarkStart w:id="193" w:name="_Toc13249"/>
            <w:bookmarkStart w:id="194" w:name="_Toc20037"/>
            <w:bookmarkStart w:id="195" w:name="_Toc6833"/>
            <w:bookmarkStart w:id="196" w:name="_Toc4279"/>
            <w:bookmarkStart w:id="197" w:name="_Toc9872"/>
            <w:bookmarkStart w:id="198" w:name="_Toc20141"/>
            <w:bookmarkStart w:id="199" w:name="_Toc26772"/>
            <w:bookmarkStart w:id="200" w:name="_Toc27565"/>
            <w:r>
              <w:rPr>
                <w:rFonts w:hint="default" w:ascii="Times New Roman" w:hAnsi="Times New Roman" w:cs="Times New Roman"/>
                <w:color w:val="auto"/>
                <w:lang w:val="en-US" w:eastAsia="zh-CN"/>
              </w:rPr>
              <w:t>5、</w:t>
            </w:r>
            <w:bookmarkEnd w:id="191"/>
            <w:bookmarkEnd w:id="192"/>
            <w:bookmarkEnd w:id="193"/>
            <w:r>
              <w:rPr>
                <w:rFonts w:hint="eastAsia" w:cs="Times New Roman"/>
                <w:color w:val="auto"/>
                <w:lang w:val="en-US" w:eastAsia="zh-CN"/>
              </w:rPr>
              <w:t>生产定员与工作制度</w:t>
            </w:r>
            <w:bookmarkEnd w:id="194"/>
            <w:bookmarkEnd w:id="195"/>
            <w:bookmarkEnd w:id="196"/>
            <w:bookmarkEnd w:id="197"/>
            <w:bookmarkEnd w:id="198"/>
            <w:bookmarkEnd w:id="199"/>
            <w:bookmarkEnd w:id="200"/>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支队下设3个副科级内设科室、8个正科级执法大队，暂定编制86人，现有工作人员83人（其中在编人员78人，临聘人员5人）。目前，支队班子成员、内设科室和大队负责人已全部配备到位。渔政执法值班人员实行2班制，每班2人</w:t>
            </w:r>
            <w:r>
              <w:rPr>
                <w:rFonts w:hint="eastAsia" w:cs="Times New Roman"/>
                <w:color w:val="auto"/>
                <w:lang w:val="en-US" w:eastAsia="zh-CN"/>
              </w:rPr>
              <w:t>，年工作约300天，值班人员均不在项目范围内食宿</w:t>
            </w:r>
            <w:r>
              <w:rPr>
                <w:rFonts w:hint="default" w:ascii="Times New Roman" w:hAnsi="Times New Roman" w:cs="Times New Roman"/>
                <w:color w:val="auto"/>
                <w:lang w:val="en-US" w:eastAsia="zh-CN"/>
              </w:rPr>
              <w:t>。</w:t>
            </w:r>
          </w:p>
          <w:p>
            <w:pPr>
              <w:pStyle w:val="3"/>
              <w:bidi w:val="0"/>
              <w:rPr>
                <w:rFonts w:hint="default" w:ascii="Times New Roman" w:hAnsi="Times New Roman" w:cs="Times New Roman"/>
                <w:color w:val="auto"/>
                <w:lang w:val="en-US" w:eastAsia="zh-CN"/>
              </w:rPr>
            </w:pPr>
            <w:bookmarkStart w:id="201" w:name="_Toc13451"/>
            <w:bookmarkStart w:id="202" w:name="_Toc12129"/>
            <w:bookmarkStart w:id="203" w:name="_Toc19668"/>
            <w:bookmarkStart w:id="204" w:name="_Toc9315"/>
            <w:bookmarkStart w:id="205" w:name="_Toc2490"/>
            <w:bookmarkStart w:id="206" w:name="_Toc5143"/>
            <w:bookmarkStart w:id="207" w:name="_Toc16838"/>
            <w:bookmarkStart w:id="208" w:name="_Toc14022"/>
            <w:bookmarkStart w:id="209" w:name="_Toc21034"/>
            <w:bookmarkStart w:id="210" w:name="_Toc25684"/>
            <w:r>
              <w:rPr>
                <w:rFonts w:hint="default" w:ascii="Times New Roman" w:hAnsi="Times New Roman" w:cs="Times New Roman"/>
                <w:color w:val="auto"/>
                <w:lang w:val="en-US" w:eastAsia="zh-CN"/>
              </w:rPr>
              <w:t>6、公用工程及辅助工程</w:t>
            </w:r>
            <w:bookmarkEnd w:id="201"/>
            <w:bookmarkEnd w:id="202"/>
            <w:bookmarkEnd w:id="203"/>
            <w:bookmarkEnd w:id="204"/>
            <w:bookmarkEnd w:id="205"/>
            <w:bookmarkEnd w:id="206"/>
            <w:bookmarkEnd w:id="207"/>
            <w:bookmarkEnd w:id="208"/>
            <w:bookmarkEnd w:id="209"/>
            <w:bookmarkEnd w:id="210"/>
          </w:p>
          <w:p>
            <w:pPr>
              <w:pStyle w:val="4"/>
              <w:bidi w:val="0"/>
              <w:rPr>
                <w:rFonts w:hint="default" w:ascii="Times New Roman" w:hAnsi="Times New Roman" w:cs="Times New Roman"/>
                <w:color w:val="auto"/>
                <w:lang w:val="en-US" w:eastAsia="zh-CN"/>
              </w:rPr>
            </w:pPr>
            <w:bookmarkStart w:id="211" w:name="_Toc19188"/>
            <w:bookmarkStart w:id="212" w:name="_Toc30570"/>
            <w:bookmarkStart w:id="213" w:name="_Toc15829"/>
            <w:bookmarkStart w:id="214" w:name="_Toc21747"/>
            <w:bookmarkStart w:id="215" w:name="_Toc28064"/>
            <w:bookmarkStart w:id="216" w:name="_Toc15096"/>
            <w:bookmarkStart w:id="217" w:name="_Toc28456"/>
            <w:bookmarkStart w:id="218" w:name="_Toc2812"/>
            <w:bookmarkStart w:id="219" w:name="_Toc9169"/>
            <w:r>
              <w:rPr>
                <w:rFonts w:hint="default" w:ascii="Times New Roman" w:hAnsi="Times New Roman" w:cs="Times New Roman"/>
                <w:color w:val="auto"/>
                <w:lang w:val="en-US" w:eastAsia="zh-CN"/>
              </w:rPr>
              <w:t>6.1 供电</w:t>
            </w:r>
            <w:bookmarkEnd w:id="211"/>
            <w:bookmarkEnd w:id="212"/>
            <w:bookmarkEnd w:id="213"/>
            <w:bookmarkEnd w:id="214"/>
            <w:bookmarkEnd w:id="215"/>
            <w:bookmarkEnd w:id="216"/>
            <w:bookmarkEnd w:id="217"/>
            <w:bookmarkEnd w:id="218"/>
            <w:bookmarkEnd w:id="219"/>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根据2019年2月，交通运输部、财政部、发展改革委、国家能源局、国家电网公司和南方电网公司等六部门联合制定印发了《关于进一步共同推进船舶靠港使用岸电工作的通知》，为切实贯彻落实</w:t>
            </w:r>
            <w:r>
              <w:rPr>
                <w:rFonts w:hint="eastAsia" w:cs="Times New Roman"/>
                <w:color w:val="auto"/>
                <w:lang w:val="en-US" w:eastAsia="zh-CN"/>
              </w:rPr>
              <w:t>《中华人民共和国大气污染防治法》“</w:t>
            </w:r>
            <w:r>
              <w:rPr>
                <w:rFonts w:hint="default" w:ascii="Times New Roman" w:hAnsi="Times New Roman" w:cs="Times New Roman"/>
                <w:color w:val="auto"/>
                <w:lang w:val="en-US" w:eastAsia="zh-CN"/>
              </w:rPr>
              <w:t>新建码头应当规划、设计和建设岸基供电设施；已建成的码头应当逐步实施岸基供电设施改造；船舶靠港后应当优先使用岸电</w:t>
            </w:r>
            <w:r>
              <w:rPr>
                <w:rFonts w:hint="eastAsia" w:cs="Times New Roman"/>
                <w:color w:val="auto"/>
                <w:lang w:val="en-US" w:eastAsia="zh-CN"/>
              </w:rPr>
              <w:t>”</w:t>
            </w:r>
            <w:r>
              <w:rPr>
                <w:rFonts w:hint="default" w:ascii="Times New Roman" w:hAnsi="Times New Roman" w:cs="Times New Roman"/>
                <w:color w:val="auto"/>
                <w:lang w:val="en-US" w:eastAsia="zh-CN"/>
              </w:rPr>
              <w:t>的有关规定按港区设计停靠船舶等级配套建设相关岸电系统。码头平台未设置岸电设施，但是船舶停靠岸时不需要充电。</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港区电源接入点为大立小区380伏三相电源，距离300米，选用D yn11型变压器，起到节能和抑制谐波作用。配套抽屉式MHS型配电屏1台，满足船上生活、施工用电量。码头照明采用新型高效节能灯具和节能光源；每套灯具设无功补偿，补偿后功率因数cosφ≥0.92。</w:t>
            </w:r>
          </w:p>
          <w:p>
            <w:pPr>
              <w:pStyle w:val="4"/>
              <w:bidi w:val="0"/>
              <w:rPr>
                <w:rFonts w:hint="default" w:ascii="Times New Roman" w:hAnsi="Times New Roman" w:cs="Times New Roman"/>
                <w:color w:val="auto"/>
                <w:lang w:val="en-US" w:eastAsia="zh-CN"/>
              </w:rPr>
            </w:pPr>
            <w:bookmarkStart w:id="220" w:name="_Toc959"/>
            <w:bookmarkStart w:id="221" w:name="_Toc14396"/>
            <w:bookmarkStart w:id="222" w:name="_Toc17325"/>
            <w:bookmarkStart w:id="223" w:name="_Toc14688"/>
            <w:bookmarkStart w:id="224" w:name="_Toc22502"/>
            <w:bookmarkStart w:id="225" w:name="_Toc20943"/>
            <w:bookmarkStart w:id="226" w:name="_Toc6587"/>
            <w:bookmarkStart w:id="227" w:name="_Toc2214"/>
            <w:bookmarkStart w:id="228" w:name="_Toc29688"/>
            <w:r>
              <w:rPr>
                <w:rFonts w:hint="default" w:ascii="Times New Roman" w:hAnsi="Times New Roman" w:cs="Times New Roman"/>
                <w:color w:val="auto"/>
                <w:lang w:val="en-US" w:eastAsia="zh-CN"/>
              </w:rPr>
              <w:t>6.2 供水</w:t>
            </w:r>
            <w:bookmarkEnd w:id="220"/>
            <w:bookmarkEnd w:id="221"/>
            <w:bookmarkEnd w:id="222"/>
            <w:bookmarkEnd w:id="223"/>
            <w:bookmarkEnd w:id="224"/>
            <w:bookmarkEnd w:id="225"/>
            <w:bookmarkEnd w:id="226"/>
            <w:bookmarkEnd w:id="227"/>
            <w:bookmarkEnd w:id="228"/>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港区现有用水包括施工用水、生活用水、环保用水和消防用水。本项目用水接入点为河道南侧300米大立小区自来水管网，采用设计压力为1.25Mpa的Φ63PE管道接入，用于整个码头日常生活用水，本项目主管及支管共300米。水质符合《生活饮用水卫生标准》（GB5749-2006）。</w:t>
            </w:r>
          </w:p>
          <w:p>
            <w:pPr>
              <w:pStyle w:val="4"/>
              <w:bidi w:val="0"/>
              <w:rPr>
                <w:rFonts w:hint="default" w:ascii="Times New Roman" w:hAnsi="Times New Roman" w:cs="Times New Roman"/>
                <w:color w:val="auto"/>
                <w:lang w:val="en-US" w:eastAsia="zh-CN"/>
              </w:rPr>
            </w:pPr>
            <w:bookmarkStart w:id="229" w:name="_Toc25387"/>
            <w:bookmarkStart w:id="230" w:name="_Toc14865"/>
            <w:bookmarkStart w:id="231" w:name="_Toc12490"/>
            <w:bookmarkStart w:id="232" w:name="_Toc16125"/>
            <w:bookmarkStart w:id="233" w:name="_Toc20591"/>
            <w:bookmarkStart w:id="234" w:name="_Toc18257"/>
            <w:bookmarkStart w:id="235" w:name="_Toc8366"/>
            <w:bookmarkStart w:id="236" w:name="_Toc2180"/>
            <w:bookmarkStart w:id="237" w:name="_Toc19920"/>
            <w:r>
              <w:rPr>
                <w:rFonts w:hint="default" w:ascii="Times New Roman" w:hAnsi="Times New Roman" w:cs="Times New Roman"/>
                <w:color w:val="auto"/>
                <w:lang w:val="en-US" w:eastAsia="zh-CN"/>
              </w:rPr>
              <w:t>6.3 排水</w:t>
            </w:r>
            <w:bookmarkEnd w:id="229"/>
            <w:bookmarkEnd w:id="230"/>
            <w:bookmarkEnd w:id="231"/>
            <w:bookmarkEnd w:id="232"/>
            <w:bookmarkEnd w:id="233"/>
            <w:bookmarkEnd w:id="234"/>
            <w:bookmarkEnd w:id="235"/>
            <w:bookmarkEnd w:id="236"/>
            <w:bookmarkEnd w:id="237"/>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施工场地设置沉淀池，施工废水经沉淀处理后回用。施工冲刷雨水经沉淀池沉淀处理后外排；材料堆放场、挖方、填方四周应挖截留沟，以尽可能减少对水体产生影响的风险，截留沟废水汇入简易沉淀池，上清液回用。</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本项目生活污水按照规范要求设置与生活污水产生量相当的处理装置及储存容器，船舶生活污水在趸船上经化粪预处理后，在容量为5m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污水收集箱中暂存，每周由具备生活污水处理资质的单位接收，不得在项目所在水域排放。</w:t>
            </w:r>
          </w:p>
          <w:p>
            <w:pPr>
              <w:pStyle w:val="4"/>
              <w:bidi w:val="0"/>
              <w:rPr>
                <w:rFonts w:hint="eastAsia"/>
                <w:color w:val="auto"/>
                <w:lang w:val="en-US" w:eastAsia="zh-CN"/>
              </w:rPr>
            </w:pPr>
            <w:bookmarkStart w:id="238" w:name="_Toc16624"/>
            <w:bookmarkStart w:id="239" w:name="_Toc3730"/>
            <w:bookmarkStart w:id="240" w:name="_Toc1885"/>
            <w:bookmarkStart w:id="241" w:name="_Toc12642"/>
            <w:bookmarkStart w:id="242" w:name="_Toc31458"/>
            <w:r>
              <w:rPr>
                <w:rFonts w:hint="eastAsia"/>
                <w:color w:val="auto"/>
                <w:lang w:val="en-US" w:eastAsia="zh-CN"/>
              </w:rPr>
              <w:t>6.4 港区监控及网络</w:t>
            </w:r>
            <w:bookmarkEnd w:id="238"/>
            <w:bookmarkEnd w:id="239"/>
            <w:bookmarkEnd w:id="240"/>
            <w:bookmarkEnd w:id="241"/>
            <w:bookmarkEnd w:id="242"/>
          </w:p>
          <w:p>
            <w:pPr>
              <w:rPr>
                <w:rFonts w:hint="eastAsia"/>
                <w:color w:val="auto"/>
                <w:lang w:val="en-US" w:eastAsia="zh-CN"/>
              </w:rPr>
            </w:pPr>
            <w:r>
              <w:rPr>
                <w:rFonts w:hint="eastAsia"/>
                <w:color w:val="auto"/>
                <w:lang w:val="en-US" w:eastAsia="zh-CN"/>
              </w:rPr>
              <w:t>系统带宽计算：项目设2只监控摄像机，视频使用D1（高清视频格式）格式传输，视频码流为2Mbps，只有视频码流达到2Mbps的时候，才能保证在监控中心解码输出高质量的视频画面，但码流高，如果网络丢包就会出现马赛克图像或者图像卡壳。</w:t>
            </w:r>
          </w:p>
          <w:p>
            <w:pPr>
              <w:rPr>
                <w:rFonts w:hint="eastAsia"/>
                <w:color w:val="auto"/>
                <w:lang w:val="en-US" w:eastAsia="zh-CN"/>
              </w:rPr>
            </w:pPr>
            <w:r>
              <w:rPr>
                <w:rFonts w:hint="eastAsia"/>
                <w:color w:val="auto"/>
                <w:lang w:val="en-US" w:eastAsia="zh-CN"/>
              </w:rPr>
              <w:t>接入点设计：接入点架设应遵循：a、应建立在航道沿线能够无遮挡直视河道的地点；b、能够建立制高点的监控地点。</w:t>
            </w:r>
          </w:p>
          <w:p>
            <w:pPr>
              <w:rPr>
                <w:rFonts w:hint="eastAsia"/>
                <w:color w:val="auto"/>
                <w:lang w:val="en-US" w:eastAsia="zh-CN"/>
              </w:rPr>
            </w:pPr>
            <w:r>
              <w:rPr>
                <w:rFonts w:hint="eastAsia"/>
                <w:color w:val="auto"/>
                <w:lang w:val="en-US" w:eastAsia="zh-CN"/>
              </w:rPr>
              <w:t>无线设备选型：由于监控图像属于固定传输，使用外接天线型远端无线收发器或者无线DVS外接定向天线，以避免在传输过程中无线图像的失真等问题，加强点对多点的无线传输。</w:t>
            </w:r>
          </w:p>
          <w:p>
            <w:pPr>
              <w:rPr>
                <w:rFonts w:hint="eastAsia"/>
                <w:color w:val="auto"/>
                <w:lang w:val="en-US" w:eastAsia="zh-CN"/>
              </w:rPr>
            </w:pPr>
            <w:r>
              <w:rPr>
                <w:rFonts w:hint="eastAsia"/>
                <w:color w:val="auto"/>
                <w:lang w:val="en-US" w:eastAsia="zh-CN"/>
              </w:rPr>
              <w:t>接入点无线设备选型：由于河道的地理位置以及制高点的不相同，前端设备的天线则使用定向型天线，使无线收发器设备能无死角地与覆盖网络建立无线传输链路，达到无线视频数据传输的最好效果。</w:t>
            </w:r>
          </w:p>
          <w:p>
            <w:pPr>
              <w:rPr>
                <w:rFonts w:hint="default"/>
                <w:color w:val="auto"/>
                <w:lang w:val="en-US" w:eastAsia="zh-CN"/>
              </w:rPr>
            </w:pPr>
            <w:r>
              <w:rPr>
                <w:rFonts w:hint="eastAsia"/>
                <w:color w:val="auto"/>
                <w:lang w:val="en-US" w:eastAsia="zh-CN"/>
              </w:rPr>
              <w:t>网络接入点：网络接入点为大立小区，距离300米，满足船上办公及智慧渔政视频监控系统用。网络线路走地下管网，通过破路埋设地下管道通至码头。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总平面及现场布置</w:t>
            </w:r>
          </w:p>
        </w:tc>
        <w:tc>
          <w:tcPr>
            <w:tcW w:w="8380" w:type="dxa"/>
            <w:noWrap w:val="0"/>
            <w:vAlign w:val="center"/>
          </w:tcPr>
          <w:p>
            <w:pPr>
              <w:bidi w:val="0"/>
              <w:rPr>
                <w:rFonts w:hint="default" w:ascii="Times New Roman" w:hAnsi="Times New Roman" w:cs="Times New Roman"/>
                <w:color w:val="auto"/>
                <w:lang w:val="en-US" w:eastAsia="zh-CN"/>
              </w:rPr>
            </w:pPr>
            <w:r>
              <w:rPr>
                <w:rFonts w:hint="eastAsia" w:cs="Times New Roman"/>
                <w:color w:val="auto"/>
                <w:lang w:val="en-US" w:eastAsia="zh-CN"/>
              </w:rPr>
              <w:t>本项目评价范围不涉及码头建设与涉水工程，仅包含</w:t>
            </w:r>
            <w:r>
              <w:rPr>
                <w:rFonts w:hint="default" w:ascii="Times New Roman" w:hAnsi="Times New Roman" w:cs="Times New Roman"/>
                <w:color w:val="auto"/>
                <w:lang w:val="en-US" w:eastAsia="zh-CN"/>
              </w:rPr>
              <w:t>陆域</w:t>
            </w:r>
            <w:r>
              <w:rPr>
                <w:rFonts w:hint="eastAsia" w:cs="Times New Roman"/>
                <w:color w:val="auto"/>
                <w:lang w:val="en-US" w:eastAsia="zh-CN"/>
              </w:rPr>
              <w:t>工程。</w:t>
            </w:r>
            <w:r>
              <w:rPr>
                <w:rFonts w:hint="default" w:ascii="Times New Roman" w:hAnsi="Times New Roman" w:cs="Times New Roman"/>
                <w:color w:val="auto"/>
                <w:lang w:val="en-US" w:eastAsia="zh-CN"/>
              </w:rPr>
              <w:t>码头陆域布置在蒸水西南侧，亲水平台占地800m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，根据使用要求，码头改造现有通码头公路一条。</w:t>
            </w:r>
            <w:r>
              <w:rPr>
                <w:rFonts w:hint="eastAsia" w:cs="Times New Roman"/>
                <w:color w:val="auto"/>
                <w:lang w:val="en-US" w:eastAsia="zh-CN"/>
              </w:rPr>
              <w:t>现有</w:t>
            </w:r>
            <w:r>
              <w:rPr>
                <w:rFonts w:hint="default" w:ascii="Times New Roman" w:hAnsi="Times New Roman" w:cs="Times New Roman"/>
                <w:color w:val="auto"/>
                <w:lang w:val="en-US" w:eastAsia="zh-CN"/>
              </w:rPr>
              <w:t>道路850米长，宽1.8米，设计改造公路850米长，宽4米，连接沿河栈道与市区蒸水南路主干道，公路建成后铺设柏油路面，两旁绿化，可用于小型货车通行；沿河栈道加固，现有沿河栈道400米长、1.8米宽，采用休闲景观道路设计，配备人行道及自行车道；沿蒸水河岸基加固400米，配套修建不锈钢护栏400米。</w:t>
            </w:r>
          </w:p>
          <w:p>
            <w:pPr>
              <w:bidi w:val="0"/>
              <w:rPr>
                <w:rFonts w:hint="default" w:ascii="Times New Roman" w:hAnsi="Times New Roman" w:cs="Times New Roman"/>
                <w:color w:val="auto"/>
                <w:vertAlign w:val="baseline"/>
                <w:lang w:val="en-US" w:eastAsia="zh-CN"/>
              </w:rPr>
            </w:pPr>
            <w:r>
              <w:rPr>
                <w:rFonts w:hint="default" w:ascii="Times New Roman" w:hAnsi="Times New Roman" w:cs="Times New Roman"/>
                <w:color w:val="auto"/>
                <w:lang w:val="en-US" w:eastAsia="zh-CN"/>
              </w:rPr>
              <w:t>本项目场区总平面布置具体见附图</w:t>
            </w:r>
            <w:r>
              <w:rPr>
                <w:rFonts w:hint="eastAsia" w:cs="Times New Roman"/>
                <w:color w:val="auto"/>
                <w:lang w:val="en-US" w:eastAsia="zh-CN"/>
              </w:rPr>
              <w:t>6</w:t>
            </w:r>
            <w:r>
              <w:rPr>
                <w:rFonts w:hint="default" w:ascii="Times New Roman" w:hAnsi="Times New Roman" w:cs="Times New Roman"/>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施工方案</w:t>
            </w:r>
          </w:p>
        </w:tc>
        <w:tc>
          <w:tcPr>
            <w:tcW w:w="8380" w:type="dxa"/>
            <w:noWrap w:val="0"/>
            <w:vAlign w:val="center"/>
          </w:tcPr>
          <w:p>
            <w:pPr>
              <w:pStyle w:val="3"/>
              <w:bidi w:val="0"/>
              <w:rPr>
                <w:rFonts w:hint="default" w:ascii="Times New Roman" w:hAnsi="Times New Roman" w:cs="Times New Roman"/>
                <w:color w:val="auto"/>
                <w:lang w:val="en-US" w:eastAsia="zh-CN"/>
              </w:rPr>
            </w:pPr>
            <w:bookmarkStart w:id="243" w:name="_Toc4430"/>
            <w:bookmarkStart w:id="244" w:name="_Toc4946"/>
            <w:bookmarkStart w:id="245" w:name="_Toc12822"/>
            <w:bookmarkStart w:id="246" w:name="_Toc2815"/>
            <w:bookmarkStart w:id="247" w:name="_Toc3515"/>
            <w:bookmarkStart w:id="248" w:name="_Toc6404"/>
            <w:bookmarkStart w:id="249" w:name="_Toc12148"/>
            <w:bookmarkStart w:id="250" w:name="_Toc25295"/>
            <w:bookmarkStart w:id="251" w:name="_Toc30041"/>
            <w:bookmarkStart w:id="252" w:name="_Toc9712"/>
            <w:r>
              <w:rPr>
                <w:rFonts w:hint="default" w:ascii="Times New Roman" w:hAnsi="Times New Roman" w:cs="Times New Roman"/>
                <w:color w:val="auto"/>
                <w:lang w:val="en-US" w:eastAsia="zh-CN"/>
              </w:rPr>
              <w:t>1、施工方案</w:t>
            </w:r>
            <w:bookmarkEnd w:id="243"/>
            <w:bookmarkEnd w:id="244"/>
            <w:bookmarkEnd w:id="245"/>
            <w:bookmarkEnd w:id="246"/>
            <w:bookmarkEnd w:id="247"/>
            <w:bookmarkEnd w:id="248"/>
            <w:bookmarkEnd w:id="249"/>
            <w:bookmarkEnd w:id="250"/>
            <w:bookmarkEnd w:id="251"/>
            <w:bookmarkEnd w:id="252"/>
          </w:p>
          <w:p>
            <w:pPr>
              <w:pStyle w:val="4"/>
              <w:bidi w:val="0"/>
              <w:rPr>
                <w:rFonts w:hint="default" w:ascii="Times New Roman" w:hAnsi="Times New Roman" w:cs="Times New Roman"/>
                <w:color w:val="auto"/>
                <w:lang w:val="en-US" w:eastAsia="zh-CN"/>
              </w:rPr>
            </w:pPr>
            <w:bookmarkStart w:id="253" w:name="_Toc19279"/>
            <w:bookmarkStart w:id="254" w:name="_Toc4094"/>
            <w:bookmarkStart w:id="255" w:name="_Toc1293"/>
            <w:bookmarkStart w:id="256" w:name="_Toc19489"/>
            <w:bookmarkStart w:id="257" w:name="_Toc15915"/>
            <w:bookmarkStart w:id="258" w:name="_Toc1112"/>
            <w:bookmarkStart w:id="259" w:name="_Toc30064"/>
            <w:bookmarkStart w:id="260" w:name="_Toc23251"/>
            <w:bookmarkStart w:id="261" w:name="_Toc20310"/>
            <w:r>
              <w:rPr>
                <w:rFonts w:hint="default" w:ascii="Times New Roman" w:hAnsi="Times New Roman" w:cs="Times New Roman"/>
                <w:color w:val="auto"/>
                <w:lang w:val="en-US" w:eastAsia="zh-CN"/>
              </w:rPr>
              <w:t>1.1 工程概况</w:t>
            </w:r>
            <w:bookmarkEnd w:id="253"/>
            <w:bookmarkEnd w:id="254"/>
            <w:bookmarkEnd w:id="255"/>
            <w:bookmarkEnd w:id="256"/>
            <w:bookmarkEnd w:id="257"/>
            <w:bookmarkEnd w:id="258"/>
            <w:bookmarkEnd w:id="259"/>
            <w:bookmarkEnd w:id="260"/>
            <w:bookmarkEnd w:id="261"/>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本项目位于衡阳市蒸湘区大立村蒸水河段，铜钱渡大桥上游200米左岸处，项目施工依托</w:t>
            </w:r>
            <w:r>
              <w:rPr>
                <w:rFonts w:hint="eastAsia" w:cs="Times New Roman"/>
                <w:color w:val="auto"/>
                <w:lang w:val="en-US" w:eastAsia="zh-CN"/>
              </w:rPr>
              <w:t>现有</w:t>
            </w:r>
            <w:r>
              <w:rPr>
                <w:rFonts w:hint="default" w:ascii="Times New Roman" w:hAnsi="Times New Roman" w:cs="Times New Roman"/>
                <w:color w:val="auto"/>
                <w:lang w:val="en-US" w:eastAsia="zh-CN"/>
              </w:rPr>
              <w:t>码头设施进行改建，工程施工现场不设施工人员生活区，临时住房租用附近民房加以解决，不新建设陆域用房或临时住房。</w:t>
            </w:r>
          </w:p>
          <w:p>
            <w:pPr>
              <w:pStyle w:val="4"/>
              <w:bidi w:val="0"/>
              <w:rPr>
                <w:rFonts w:hint="default" w:ascii="Times New Roman" w:hAnsi="Times New Roman" w:cs="Times New Roman"/>
                <w:color w:val="auto"/>
                <w:lang w:val="en-US" w:eastAsia="zh-CN"/>
              </w:rPr>
            </w:pPr>
            <w:bookmarkStart w:id="262" w:name="_Toc7861"/>
            <w:bookmarkStart w:id="263" w:name="_Toc28220"/>
            <w:bookmarkStart w:id="264" w:name="_Toc15466"/>
            <w:bookmarkStart w:id="265" w:name="_Toc26415"/>
            <w:bookmarkStart w:id="266" w:name="_Toc583"/>
            <w:bookmarkStart w:id="267" w:name="_Toc7350"/>
            <w:bookmarkStart w:id="268" w:name="_Toc1687"/>
            <w:bookmarkStart w:id="269" w:name="_Toc11809"/>
            <w:bookmarkStart w:id="270" w:name="_Toc23422"/>
            <w:r>
              <w:rPr>
                <w:rFonts w:hint="default" w:ascii="Times New Roman" w:hAnsi="Times New Roman" w:cs="Times New Roman"/>
                <w:color w:val="auto"/>
                <w:lang w:val="en-US" w:eastAsia="zh-CN"/>
              </w:rPr>
              <w:t>1.2 施工条件</w:t>
            </w:r>
            <w:bookmarkEnd w:id="262"/>
            <w:bookmarkEnd w:id="263"/>
            <w:bookmarkEnd w:id="264"/>
            <w:bookmarkEnd w:id="265"/>
            <w:bookmarkEnd w:id="266"/>
            <w:bookmarkEnd w:id="267"/>
            <w:bookmarkEnd w:id="268"/>
            <w:bookmarkEnd w:id="269"/>
            <w:bookmarkEnd w:id="270"/>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本项目施工处场地宽阔，可满足施工的要求。</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本项目所在地水陆交通便利，当地及邻近地区砂、石料来源丰富，能够保证本工程的需要；工程建设依托现有码头的水电设施，具备施工用水、用电的条件。</w:t>
            </w:r>
          </w:p>
          <w:p>
            <w:pPr>
              <w:pStyle w:val="4"/>
              <w:bidi w:val="0"/>
              <w:rPr>
                <w:rFonts w:hint="default" w:ascii="Times New Roman" w:hAnsi="Times New Roman" w:cs="Times New Roman"/>
                <w:color w:val="auto"/>
                <w:lang w:val="en-US" w:eastAsia="zh-CN"/>
              </w:rPr>
            </w:pPr>
            <w:bookmarkStart w:id="271" w:name="_Toc16929"/>
            <w:bookmarkStart w:id="272" w:name="_Toc23459"/>
            <w:bookmarkStart w:id="273" w:name="_Toc23886"/>
            <w:bookmarkStart w:id="274" w:name="_Toc14081"/>
            <w:bookmarkStart w:id="275" w:name="_Toc23385"/>
            <w:bookmarkStart w:id="276" w:name="_Toc15679"/>
            <w:bookmarkStart w:id="277" w:name="_Toc25503"/>
            <w:bookmarkStart w:id="278" w:name="_Toc8393"/>
            <w:bookmarkStart w:id="279" w:name="_Toc14792"/>
            <w:r>
              <w:rPr>
                <w:rFonts w:hint="default" w:ascii="Times New Roman" w:hAnsi="Times New Roman" w:cs="Times New Roman"/>
                <w:color w:val="auto"/>
                <w:lang w:val="en-US" w:eastAsia="zh-CN"/>
              </w:rPr>
              <w:t>1.3 施工内容</w:t>
            </w:r>
            <w:bookmarkEnd w:id="271"/>
            <w:bookmarkEnd w:id="272"/>
            <w:bookmarkEnd w:id="273"/>
            <w:bookmarkEnd w:id="274"/>
            <w:bookmarkEnd w:id="275"/>
            <w:bookmarkEnd w:id="276"/>
            <w:bookmarkEnd w:id="277"/>
            <w:bookmarkEnd w:id="278"/>
            <w:bookmarkEnd w:id="279"/>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项目施工建设项目主要包括岸基加固、通码头公路扩宽加固和沿河栈道加固</w:t>
            </w:r>
            <w:r>
              <w:rPr>
                <w:rFonts w:hint="eastAsia" w:cs="Times New Roman"/>
                <w:color w:val="auto"/>
                <w:lang w:val="en-US" w:eastAsia="zh-CN"/>
              </w:rPr>
              <w:t>工程</w:t>
            </w:r>
            <w:r>
              <w:rPr>
                <w:rFonts w:hint="default" w:ascii="Times New Roman" w:hAnsi="Times New Roman" w:cs="Times New Roman"/>
                <w:color w:val="auto"/>
                <w:lang w:val="en-US" w:eastAsia="zh-CN"/>
              </w:rPr>
              <w:t>。</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（1）通码头公路扩宽加固、沿河栈道加固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drawing>
                <wp:inline distT="0" distB="0" distL="114300" distR="114300">
                  <wp:extent cx="3496945" cy="1958340"/>
                  <wp:effectExtent l="0" t="0" r="8255" b="3810"/>
                  <wp:docPr id="1" name="图片 10"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绘图1"/>
                          <pic:cNvPicPr>
                            <a:picLocks noChangeAspect="1"/>
                          </pic:cNvPicPr>
                        </pic:nvPicPr>
                        <pic:blipFill>
                          <a:blip r:embed="rId8"/>
                          <a:stretch>
                            <a:fillRect/>
                          </a:stretch>
                        </pic:blipFill>
                        <pic:spPr>
                          <a:xfrm>
                            <a:off x="0" y="0"/>
                            <a:ext cx="3496945" cy="1958340"/>
                          </a:xfrm>
                          <a:prstGeom prst="rect">
                            <a:avLst/>
                          </a:prstGeom>
                          <a:noFill/>
                          <a:ln>
                            <a:noFill/>
                          </a:ln>
                        </pic:spPr>
                      </pic:pic>
                    </a:graphicData>
                  </a:graphic>
                </wp:inline>
              </w:drawing>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图2.1 码头路面加固施工流程及产污环节图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①清除</w:t>
            </w:r>
            <w:r>
              <w:rPr>
                <w:rFonts w:hint="eastAsia" w:cs="Times New Roman"/>
                <w:color w:val="auto"/>
                <w:lang w:val="en-US" w:eastAsia="zh-CN"/>
              </w:rPr>
              <w:t>现有</w:t>
            </w:r>
            <w:r>
              <w:rPr>
                <w:rFonts w:hint="default" w:ascii="Times New Roman" w:hAnsi="Times New Roman" w:cs="Times New Roman"/>
                <w:color w:val="auto"/>
                <w:lang w:val="en-US" w:eastAsia="zh-CN"/>
              </w:rPr>
              <w:t>道路铺砖，清理路面上的污物、灰尘和其他杂质，保证路面干燥清洁；</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②对于路面上的不平整、裂缝、坑洞等损坏部分，需要进行破损处理和修复，使路面整体均匀、平整；</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③测量、放样挂线、安装侧模，使用碎石对路面进行基础处理和铺设，用于填平不平整的路面，并注入压密；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④依据《沥青路面施工及验收规范》（GB50092-96）确定并验证沥青混合料标准配合比，采用平衡梁法摊铺施工；</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⑤待摊铺层完全自然冷却后，检查路面的平整度、均匀性、厚度是否达到设计要求，并依据《城市道路交通标志和标线设置规范》（GB51038-2015）施加标线，用于安全驾驶和交通管理。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（2）岸基加固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drawing>
                <wp:inline distT="0" distB="0" distL="114300" distR="114300">
                  <wp:extent cx="5183505" cy="2386965"/>
                  <wp:effectExtent l="0" t="0" r="17145" b="13335"/>
                  <wp:docPr id="24" name="图片 24" descr="岸基加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岸基加固'"/>
                          <pic:cNvPicPr>
                            <a:picLocks noChangeAspect="1"/>
                          </pic:cNvPicPr>
                        </pic:nvPicPr>
                        <pic:blipFill>
                          <a:blip r:embed="rId9"/>
                          <a:stretch>
                            <a:fillRect/>
                          </a:stretch>
                        </pic:blipFill>
                        <pic:spPr>
                          <a:xfrm>
                            <a:off x="0" y="0"/>
                            <a:ext cx="5183505" cy="2386965"/>
                          </a:xfrm>
                          <a:prstGeom prst="rect">
                            <a:avLst/>
                          </a:prstGeom>
                        </pic:spPr>
                      </pic:pic>
                    </a:graphicData>
                  </a:graphic>
                </wp:inline>
              </w:drawing>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图2.2 岸基加固施工流程及产污环节图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码头范围护坡由于常年的水流冲刷，坡脚出现损毁。需要重新对大堤坡脚进行加固处理。总体加固长度400米，</w:t>
            </w:r>
            <w:r>
              <w:rPr>
                <w:rFonts w:hint="eastAsia" w:cs="Times New Roman"/>
                <w:color w:val="auto"/>
                <w:lang w:val="en-US" w:eastAsia="zh-CN"/>
              </w:rPr>
              <w:t>本项目抛石挤淤工程已依托现有码头完成，</w:t>
            </w:r>
            <w:r>
              <w:rPr>
                <w:rFonts w:hint="default" w:ascii="Times New Roman" w:hAnsi="Times New Roman" w:cs="Times New Roman"/>
                <w:color w:val="auto"/>
                <w:lang w:val="en-US" w:eastAsia="zh-CN"/>
              </w:rPr>
              <w:t>主要工程量包括浆砌石砌筑护岸，顶面混凝土硬化等，</w:t>
            </w:r>
            <w:r>
              <w:rPr>
                <w:rFonts w:hint="eastAsia" w:cs="Times New Roman"/>
                <w:color w:val="auto"/>
                <w:lang w:val="en-US" w:eastAsia="zh-CN"/>
              </w:rPr>
              <w:t>并</w:t>
            </w:r>
            <w:r>
              <w:rPr>
                <w:rFonts w:hint="default" w:ascii="Times New Roman" w:hAnsi="Times New Roman" w:cs="Times New Roman"/>
                <w:color w:val="auto"/>
                <w:lang w:val="en-US" w:eastAsia="zh-CN"/>
              </w:rPr>
              <w:t>配套修建不锈钢护栏400米。</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本项目中抛石挤淤流程已依托</w:t>
            </w:r>
            <w:r>
              <w:rPr>
                <w:rFonts w:hint="eastAsia" w:cs="Times New Roman"/>
                <w:color w:val="auto"/>
                <w:lang w:val="en-US" w:eastAsia="zh-CN"/>
              </w:rPr>
              <w:t>现</w:t>
            </w:r>
            <w:r>
              <w:rPr>
                <w:rFonts w:hint="default" w:ascii="Times New Roman" w:hAnsi="Times New Roman" w:cs="Times New Roman"/>
                <w:color w:val="auto"/>
                <w:lang w:val="en-US" w:eastAsia="zh-CN"/>
              </w:rPr>
              <w:t>有码头基础建设完成，该施工主要内容为在</w:t>
            </w:r>
            <w:r>
              <w:rPr>
                <w:rFonts w:hint="eastAsia" w:cs="Times New Roman"/>
                <w:color w:val="auto"/>
                <w:lang w:val="en-US" w:eastAsia="zh-CN"/>
              </w:rPr>
              <w:t>现有</w:t>
            </w:r>
            <w:r>
              <w:rPr>
                <w:rFonts w:hint="default" w:ascii="Times New Roman" w:hAnsi="Times New Roman" w:cs="Times New Roman"/>
                <w:color w:val="auto"/>
                <w:lang w:val="en-US" w:eastAsia="zh-CN"/>
              </w:rPr>
              <w:t>码头已有基础上浆砌石砌筑护岸和顶面混凝土硬化</w:t>
            </w:r>
            <w:r>
              <w:rPr>
                <w:rFonts w:hint="eastAsia" w:cs="Times New Roman"/>
                <w:color w:val="auto"/>
                <w:lang w:val="en-US" w:eastAsia="zh-CN"/>
              </w:rPr>
              <w:t>，无需开展涉水工程</w:t>
            </w:r>
            <w:r>
              <w:rPr>
                <w:rFonts w:hint="default" w:ascii="Times New Roman" w:hAnsi="Times New Roman" w:cs="Times New Roman"/>
                <w:color w:val="auto"/>
                <w:lang w:val="en-US" w:eastAsia="zh-CN"/>
              </w:rPr>
              <w:t>。</w:t>
            </w:r>
            <w:r>
              <w:rPr>
                <w:rFonts w:hint="eastAsia" w:cs="Times New Roman"/>
                <w:color w:val="auto"/>
                <w:lang w:val="en-US" w:eastAsia="zh-CN"/>
              </w:rPr>
              <w:t>本项目外购预拌M5水泥砂浆，不在现场进行拌制。</w:t>
            </w:r>
            <w:r>
              <w:rPr>
                <w:rFonts w:hint="default" w:ascii="Times New Roman" w:hAnsi="Times New Roman" w:cs="Times New Roman"/>
                <w:color w:val="auto"/>
                <w:lang w:val="en-US" w:eastAsia="zh-CN"/>
              </w:rPr>
              <w:t>码头区域护岸边坡稳定系数应满足《堤防工程设计规范》（GB50286-2013）土堤边坡抗滑稳定安全系数表中2类堤防工程抗滑稳定安全系数要求。</w:t>
            </w:r>
          </w:p>
          <w:p>
            <w:pPr>
              <w:pStyle w:val="3"/>
              <w:bidi w:val="0"/>
              <w:rPr>
                <w:rFonts w:hint="default" w:ascii="Times New Roman" w:hAnsi="Times New Roman" w:cs="Times New Roman"/>
                <w:color w:val="auto"/>
                <w:lang w:val="en-US" w:eastAsia="zh-CN"/>
              </w:rPr>
            </w:pPr>
            <w:bookmarkStart w:id="280" w:name="_Toc21901"/>
            <w:bookmarkStart w:id="281" w:name="_Toc12937"/>
            <w:bookmarkStart w:id="282" w:name="_Toc25984"/>
            <w:bookmarkStart w:id="283" w:name="_Toc3381"/>
            <w:bookmarkStart w:id="284" w:name="_Toc17319"/>
            <w:bookmarkStart w:id="285" w:name="_Toc32109"/>
            <w:bookmarkStart w:id="286" w:name="_Toc26495"/>
            <w:bookmarkStart w:id="287" w:name="_Toc18153"/>
            <w:bookmarkStart w:id="288" w:name="_Toc9203"/>
            <w:bookmarkStart w:id="289" w:name="_Toc15728"/>
            <w:r>
              <w:rPr>
                <w:rFonts w:hint="default" w:ascii="Times New Roman" w:hAnsi="Times New Roman" w:cs="Times New Roman"/>
                <w:color w:val="auto"/>
                <w:lang w:val="en-US" w:eastAsia="zh-CN"/>
              </w:rPr>
              <w:t>2、施工时间安排</w:t>
            </w:r>
            <w:bookmarkEnd w:id="280"/>
            <w:bookmarkEnd w:id="281"/>
            <w:bookmarkEnd w:id="282"/>
            <w:bookmarkEnd w:id="283"/>
            <w:bookmarkEnd w:id="284"/>
            <w:bookmarkEnd w:id="285"/>
            <w:bookmarkEnd w:id="286"/>
            <w:bookmarkEnd w:id="287"/>
            <w:bookmarkEnd w:id="288"/>
            <w:bookmarkEnd w:id="289"/>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本项目计划工期</w:t>
            </w:r>
            <w:r>
              <w:rPr>
                <w:rFonts w:hint="eastAsia" w:cs="Times New Roman"/>
                <w:color w:val="auto"/>
                <w:lang w:val="en-US" w:eastAsia="zh-CN"/>
              </w:rPr>
              <w:t>1</w:t>
            </w:r>
            <w:r>
              <w:rPr>
                <w:rFonts w:hint="default" w:ascii="Times New Roman" w:hAnsi="Times New Roman" w:cs="Times New Roman"/>
                <w:color w:val="auto"/>
                <w:lang w:val="en-US" w:eastAsia="zh-CN"/>
              </w:rPr>
              <w:t>年，</w:t>
            </w:r>
            <w:r>
              <w:rPr>
                <w:rFonts w:hint="eastAsia" w:cs="Times New Roman"/>
                <w:color w:val="auto"/>
                <w:lang w:val="en-US" w:eastAsia="zh-CN"/>
              </w:rPr>
              <w:t>即2024年5月-2025年4月</w:t>
            </w:r>
            <w:r>
              <w:rPr>
                <w:rFonts w:hint="default" w:ascii="Times New Roman" w:hAnsi="Times New Roman" w:cs="Times New Roman"/>
                <w:color w:val="auto"/>
                <w:lang w:val="en-US" w:eastAsia="zh-CN"/>
              </w:rPr>
              <w:t>。</w:t>
            </w:r>
            <w:r>
              <w:rPr>
                <w:rFonts w:hint="eastAsia" w:cs="Times New Roman"/>
                <w:color w:val="auto"/>
                <w:lang w:val="en-US" w:eastAsia="zh-CN"/>
              </w:rPr>
              <w:t>其中：2024年8月以前完成项目前期工作；2024年8月-2024年12月进行勘察、设计、审批；2025年1月-2025年4月进行工程建设，同步进行设备采购；2025年5月全面竣工验收。</w:t>
            </w:r>
          </w:p>
          <w:p>
            <w:pPr>
              <w:pStyle w:val="3"/>
              <w:bidi w:val="0"/>
              <w:rPr>
                <w:rFonts w:hint="default" w:ascii="Times New Roman" w:hAnsi="Times New Roman" w:cs="Times New Roman"/>
                <w:color w:val="auto"/>
                <w:lang w:val="en-US" w:eastAsia="zh-CN"/>
              </w:rPr>
            </w:pPr>
            <w:bookmarkStart w:id="290" w:name="_Toc7857"/>
            <w:bookmarkStart w:id="291" w:name="_Toc9958"/>
            <w:bookmarkStart w:id="292" w:name="_Toc23327"/>
            <w:bookmarkStart w:id="293" w:name="_Toc15571"/>
            <w:bookmarkStart w:id="294" w:name="_Toc12393"/>
            <w:bookmarkStart w:id="295" w:name="_Toc16944"/>
            <w:bookmarkStart w:id="296" w:name="_Toc1158"/>
            <w:bookmarkStart w:id="297" w:name="_Toc12990"/>
            <w:bookmarkStart w:id="298" w:name="_Toc23924"/>
            <w:bookmarkStart w:id="299" w:name="_Toc6316"/>
            <w:r>
              <w:rPr>
                <w:rFonts w:hint="default" w:ascii="Times New Roman" w:hAnsi="Times New Roman" w:cs="Times New Roman"/>
                <w:color w:val="auto"/>
                <w:lang w:val="en-US" w:eastAsia="zh-CN"/>
              </w:rPr>
              <w:t>3、施工人数</w:t>
            </w:r>
            <w:bookmarkEnd w:id="290"/>
            <w:bookmarkEnd w:id="291"/>
            <w:bookmarkEnd w:id="292"/>
            <w:bookmarkEnd w:id="293"/>
            <w:bookmarkEnd w:id="294"/>
            <w:bookmarkEnd w:id="295"/>
            <w:bookmarkEnd w:id="296"/>
            <w:bookmarkEnd w:id="297"/>
            <w:bookmarkEnd w:id="298"/>
            <w:bookmarkEnd w:id="299"/>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本工程施工劳动总工日</w:t>
            </w:r>
            <w:r>
              <w:rPr>
                <w:rFonts w:hint="eastAsia" w:cs="Times New Roman"/>
                <w:color w:val="auto"/>
                <w:lang w:val="en-US" w:eastAsia="zh-CN"/>
              </w:rPr>
              <w:t>400</w:t>
            </w:r>
            <w:r>
              <w:rPr>
                <w:rFonts w:hint="default" w:ascii="Times New Roman" w:hAnsi="Times New Roman" w:cs="Times New Roman"/>
                <w:color w:val="auto"/>
                <w:lang w:val="en-US" w:eastAsia="zh-CN"/>
              </w:rPr>
              <w:t>个，平均每日施工人数约</w:t>
            </w:r>
            <w:r>
              <w:rPr>
                <w:rFonts w:hint="eastAsia" w:cs="Times New Roman"/>
                <w:color w:val="auto"/>
                <w:lang w:val="en-US" w:eastAsia="zh-CN"/>
              </w:rPr>
              <w:t>4</w:t>
            </w:r>
            <w:r>
              <w:rPr>
                <w:rFonts w:hint="default" w:ascii="Times New Roman" w:hAnsi="Times New Roman" w:cs="Times New Roman"/>
                <w:color w:val="auto"/>
                <w:lang w:val="en-US" w:eastAsia="zh-CN"/>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10" w:type="dxa"/>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其他</w:t>
            </w:r>
          </w:p>
        </w:tc>
        <w:tc>
          <w:tcPr>
            <w:tcW w:w="8380" w:type="dxa"/>
            <w:noWrap w:val="0"/>
            <w:vAlign w:val="center"/>
          </w:tcPr>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无</w:t>
            </w:r>
          </w:p>
        </w:tc>
      </w:tr>
    </w:tbl>
    <w:p>
      <w:pPr>
        <w:pStyle w:val="2"/>
        <w:bidi w:val="0"/>
        <w:rPr>
          <w:rFonts w:hint="default" w:ascii="Times New Roman" w:hAnsi="Times New Roman" w:eastAsia="黑体" w:cs="Times New Roman"/>
          <w:snapToGrid w:val="0"/>
          <w:color w:val="auto"/>
          <w:sz w:val="30"/>
          <w:szCs w:val="30"/>
        </w:rPr>
      </w:pPr>
      <w:r>
        <w:rPr>
          <w:rFonts w:hint="default" w:ascii="Times New Roman" w:hAnsi="Times New Roman" w:eastAsia="仿宋_GB2312" w:cs="Times New Roman"/>
          <w:b/>
          <w:bCs w:val="0"/>
          <w:color w:val="auto"/>
        </w:rPr>
        <w:br w:type="page"/>
      </w:r>
      <w:bookmarkStart w:id="300" w:name="_Toc32632"/>
      <w:bookmarkStart w:id="301" w:name="_Toc19185"/>
      <w:r>
        <w:rPr>
          <w:rFonts w:hint="default" w:ascii="Times New Roman" w:hAnsi="Times New Roman" w:eastAsia="黑体" w:cs="Times New Roman"/>
          <w:snapToGrid w:val="0"/>
          <w:color w:val="auto"/>
          <w:sz w:val="30"/>
          <w:szCs w:val="30"/>
        </w:rPr>
        <w:t>三、生态环境现状、保护目标及评价标准</w:t>
      </w:r>
      <w:bookmarkEnd w:id="300"/>
      <w:bookmarkEnd w:id="301"/>
    </w:p>
    <w:tbl>
      <w:tblPr>
        <w:tblStyle w:val="11"/>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2" w:hRule="atLeast"/>
          <w:jc w:val="center"/>
        </w:trPr>
        <w:tc>
          <w:tcPr>
            <w:tcW w:w="904" w:type="dxa"/>
            <w:noWrap w:val="0"/>
            <w:vAlign w:val="center"/>
          </w:tcPr>
          <w:p>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生态环境现状</w:t>
            </w:r>
          </w:p>
        </w:tc>
        <w:tc>
          <w:tcPr>
            <w:tcW w:w="8253" w:type="dxa"/>
            <w:noWrap w:val="0"/>
            <w:vAlign w:val="center"/>
          </w:tcPr>
          <w:p>
            <w:pPr>
              <w:pStyle w:val="3"/>
              <w:bidi w:val="0"/>
              <w:rPr>
                <w:rFonts w:hint="default" w:ascii="Times New Roman" w:hAnsi="Times New Roman" w:cs="Times New Roman"/>
                <w:color w:val="auto"/>
                <w:lang w:val="en-US" w:eastAsia="zh-CN"/>
              </w:rPr>
            </w:pPr>
            <w:bookmarkStart w:id="302" w:name="_Toc31590"/>
            <w:bookmarkStart w:id="303" w:name="_Toc17122"/>
            <w:bookmarkStart w:id="304" w:name="_Toc28640"/>
            <w:bookmarkStart w:id="305" w:name="_Toc31521"/>
            <w:bookmarkStart w:id="306" w:name="_Toc20525"/>
            <w:bookmarkStart w:id="307" w:name="_Toc14344"/>
            <w:bookmarkStart w:id="308" w:name="_Toc22483"/>
            <w:bookmarkStart w:id="309" w:name="_Toc31877"/>
            <w:bookmarkStart w:id="310" w:name="_Toc7465"/>
            <w:bookmarkStart w:id="311" w:name="_Toc30022"/>
            <w:r>
              <w:rPr>
                <w:rFonts w:hint="default" w:ascii="Times New Roman" w:hAnsi="Times New Roman" w:cs="Times New Roman"/>
                <w:color w:val="auto"/>
                <w:lang w:val="en-US" w:eastAsia="zh-CN"/>
              </w:rPr>
              <w:t>1、大气环境现状调查与评价</w:t>
            </w:r>
            <w:bookmarkEnd w:id="302"/>
            <w:bookmarkEnd w:id="303"/>
            <w:bookmarkEnd w:id="304"/>
            <w:bookmarkEnd w:id="305"/>
            <w:bookmarkEnd w:id="306"/>
            <w:bookmarkEnd w:id="307"/>
            <w:bookmarkEnd w:id="308"/>
            <w:bookmarkEnd w:id="309"/>
            <w:bookmarkEnd w:id="310"/>
            <w:bookmarkEnd w:id="311"/>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（1）大气环境功能区</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根据当地环境空气功能区划，项目所在地环境空气为二类功能区，空气质量标准执行《环境空气质量标准》（GB3095-2012）二级标准及2018年修改单中的二级标准。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（2）项目所在区域达标情况判断</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根据衡阳市生态环境局《关于202</w:t>
            </w:r>
            <w:r>
              <w:rPr>
                <w:rFonts w:hint="eastAsia" w:cs="Times New Roman"/>
                <w:color w:val="auto"/>
                <w:lang w:val="en-US" w:eastAsia="zh-CN"/>
              </w:rPr>
              <w:t>3</w:t>
            </w:r>
            <w:r>
              <w:rPr>
                <w:rFonts w:hint="default" w:ascii="Times New Roman" w:hAnsi="Times New Roman" w:cs="Times New Roman"/>
                <w:color w:val="auto"/>
                <w:lang w:val="en-US" w:eastAsia="zh-CN"/>
              </w:rPr>
              <w:t>年12月及1-12月全市环境质量状况的通报》中相关数据进行判定，其判定结果如下。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lang w:val="en-US" w:eastAsia="zh-CN"/>
              </w:rPr>
            </w:pPr>
            <w:r>
              <w:rPr>
                <w:color w:val="auto"/>
              </w:rPr>
              <w:drawing>
                <wp:inline distT="0" distB="0" distL="114300" distR="114300">
                  <wp:extent cx="5100320" cy="2616835"/>
                  <wp:effectExtent l="0" t="0" r="5080" b="1206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0"/>
                          <a:stretch>
                            <a:fillRect/>
                          </a:stretch>
                        </pic:blipFill>
                        <pic:spPr>
                          <a:xfrm>
                            <a:off x="0" y="0"/>
                            <a:ext cx="5100320" cy="2616835"/>
                          </a:xfrm>
                          <a:prstGeom prst="rect">
                            <a:avLst/>
                          </a:prstGeom>
                          <a:noFill/>
                          <a:ln>
                            <a:noFill/>
                          </a:ln>
                        </pic:spPr>
                      </pic:pic>
                    </a:graphicData>
                  </a:graphic>
                </wp:inline>
              </w:drawing>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图3.1 202</w:t>
            </w:r>
            <w:r>
              <w:rPr>
                <w:rFonts w:hint="eastAsia" w:cs="Times New Roman"/>
                <w:color w:val="auto"/>
                <w:lang w:val="en-US" w:eastAsia="zh-CN"/>
              </w:rPr>
              <w:t>3</w:t>
            </w:r>
            <w:r>
              <w:rPr>
                <w:rFonts w:hint="default" w:ascii="Times New Roman" w:hAnsi="Times New Roman" w:cs="Times New Roman"/>
                <w:color w:val="auto"/>
                <w:lang w:val="en-US" w:eastAsia="zh-CN"/>
              </w:rPr>
              <w:t>年12月及1-12月衡阳市城区环境空气污染物浓度情况</w:t>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表3.1 区域环境空气质量现状评价表</w:t>
            </w:r>
          </w:p>
          <w:tbl>
            <w:tblPr>
              <w:tblStyle w:val="12"/>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513"/>
              <w:gridCol w:w="1087"/>
              <w:gridCol w:w="1137"/>
              <w:gridCol w:w="1300"/>
              <w:gridCol w:w="1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3"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污染物</w:t>
                  </w:r>
                </w:p>
              </w:tc>
              <w:tc>
                <w:tcPr>
                  <w:tcW w:w="1569"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年评价指标</w:t>
                  </w:r>
                </w:p>
              </w:tc>
              <w:tc>
                <w:tcPr>
                  <w:tcW w:w="679"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现状浓度（</w:t>
                  </w:r>
                  <w:r>
                    <w:rPr>
                      <w:rFonts w:hint="default" w:ascii="Times New Roman" w:hAnsi="Times New Roman" w:cs="Times New Roman"/>
                      <w:b/>
                      <w:bCs/>
                      <w:color w:val="auto"/>
                    </w:rPr>
                    <w:t>µg/</w:t>
                  </w:r>
                  <w:r>
                    <w:rPr>
                      <w:rFonts w:hint="default" w:ascii="Times New Roman" w:hAnsi="Times New Roman" w:cs="Times New Roman"/>
                      <w:b/>
                      <w:bCs/>
                      <w:color w:val="auto"/>
                      <w:lang w:eastAsia="zh-CN"/>
                    </w:rPr>
                    <w:t>m</w:t>
                  </w:r>
                  <w:r>
                    <w:rPr>
                      <w:rFonts w:hint="default" w:ascii="Times New Roman" w:hAnsi="Times New Roman" w:cs="Times New Roman"/>
                      <w:b/>
                      <w:bCs/>
                      <w:color w:val="auto"/>
                      <w:vertAlign w:val="superscript"/>
                      <w:lang w:val="en-US" w:eastAsia="zh-CN"/>
                    </w:rPr>
                    <w:t>3</w:t>
                  </w:r>
                  <w:r>
                    <w:rPr>
                      <w:rFonts w:hint="default" w:ascii="Times New Roman" w:hAnsi="Times New Roman" w:cs="Times New Roman"/>
                      <w:b/>
                      <w:bCs/>
                      <w:color w:val="auto"/>
                      <w:lang w:val="en-US" w:eastAsia="zh-CN"/>
                    </w:rPr>
                    <w:t>）</w:t>
                  </w:r>
                </w:p>
              </w:tc>
              <w:tc>
                <w:tcPr>
                  <w:tcW w:w="710"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标准值（</w:t>
                  </w:r>
                  <w:r>
                    <w:rPr>
                      <w:rFonts w:hint="default" w:ascii="Times New Roman" w:hAnsi="Times New Roman" w:cs="Times New Roman"/>
                      <w:b/>
                      <w:bCs/>
                      <w:color w:val="auto"/>
                    </w:rPr>
                    <w:t>µg/</w:t>
                  </w:r>
                  <w:r>
                    <w:rPr>
                      <w:rFonts w:hint="default" w:ascii="Times New Roman" w:hAnsi="Times New Roman" w:cs="Times New Roman"/>
                      <w:b/>
                      <w:bCs/>
                      <w:color w:val="auto"/>
                      <w:lang w:eastAsia="zh-CN"/>
                    </w:rPr>
                    <w:t>m</w:t>
                  </w:r>
                  <w:r>
                    <w:rPr>
                      <w:rFonts w:hint="default" w:ascii="Times New Roman" w:hAnsi="Times New Roman" w:cs="Times New Roman"/>
                      <w:b/>
                      <w:bCs/>
                      <w:color w:val="auto"/>
                      <w:vertAlign w:val="superscript"/>
                      <w:lang w:val="en-US" w:eastAsia="zh-CN"/>
                    </w:rPr>
                    <w:t>3</w:t>
                  </w:r>
                  <w:r>
                    <w:rPr>
                      <w:rFonts w:hint="default" w:ascii="Times New Roman" w:hAnsi="Times New Roman" w:cs="Times New Roman"/>
                      <w:b/>
                      <w:bCs/>
                      <w:color w:val="auto"/>
                      <w:lang w:val="en-US" w:eastAsia="zh-CN"/>
                    </w:rPr>
                    <w:t>）</w:t>
                  </w:r>
                </w:p>
              </w:tc>
              <w:tc>
                <w:tcPr>
                  <w:tcW w:w="812"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浓度占标率（%）</w:t>
                  </w:r>
                </w:p>
              </w:tc>
              <w:tc>
                <w:tcPr>
                  <w:tcW w:w="685" w:type="pct"/>
                  <w:noWrap w:val="0"/>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SO</w:t>
                  </w:r>
                  <w:r>
                    <w:rPr>
                      <w:rFonts w:hint="default" w:ascii="Times New Roman" w:hAnsi="Times New Roman" w:cs="Times New Roman"/>
                      <w:color w:val="auto"/>
                      <w:vertAlign w:val="subscript"/>
                      <w:lang w:val="en-US" w:eastAsia="zh-CN"/>
                    </w:rPr>
                    <w:t>2</w:t>
                  </w:r>
                </w:p>
              </w:tc>
              <w:tc>
                <w:tcPr>
                  <w:tcW w:w="1569"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年平均质量浓度</w:t>
                  </w:r>
                </w:p>
              </w:tc>
              <w:tc>
                <w:tcPr>
                  <w:tcW w:w="679" w:type="pc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12</w:t>
                  </w:r>
                </w:p>
              </w:tc>
              <w:tc>
                <w:tcPr>
                  <w:tcW w:w="710"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60</w:t>
                  </w:r>
                </w:p>
              </w:tc>
              <w:tc>
                <w:tcPr>
                  <w:tcW w:w="1300" w:type="dxa"/>
                  <w:noWrap w:val="0"/>
                  <w:vAlign w:val="center"/>
                </w:tcPr>
                <w:p>
                  <w:pPr>
                    <w:pStyle w:val="16"/>
                    <w:bidi w:val="0"/>
                    <w:rPr>
                      <w:rFonts w:hint="default"/>
                      <w:color w:val="auto"/>
                      <w:lang w:val="en-US" w:eastAsia="zh-CN"/>
                    </w:rPr>
                  </w:pPr>
                  <w:r>
                    <w:rPr>
                      <w:rFonts w:hint="default"/>
                      <w:color w:val="auto"/>
                      <w:lang w:val="en-US" w:eastAsia="zh-CN"/>
                    </w:rPr>
                    <w:t>20</w:t>
                  </w:r>
                </w:p>
              </w:tc>
              <w:tc>
                <w:tcPr>
                  <w:tcW w:w="685"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NO</w:t>
                  </w:r>
                  <w:r>
                    <w:rPr>
                      <w:rFonts w:hint="default" w:ascii="Times New Roman" w:hAnsi="Times New Roman" w:cs="Times New Roman"/>
                      <w:color w:val="auto"/>
                      <w:vertAlign w:val="subscript"/>
                      <w:lang w:val="en-US" w:eastAsia="zh-CN"/>
                    </w:rPr>
                    <w:t>2</w:t>
                  </w:r>
                </w:p>
              </w:tc>
              <w:tc>
                <w:tcPr>
                  <w:tcW w:w="1569"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lang w:val="en-US" w:eastAsia="zh-CN"/>
                    </w:rPr>
                    <w:t>年平均质量浓度</w:t>
                  </w:r>
                </w:p>
              </w:tc>
              <w:tc>
                <w:tcPr>
                  <w:tcW w:w="679" w:type="pc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20</w:t>
                  </w:r>
                </w:p>
              </w:tc>
              <w:tc>
                <w:tcPr>
                  <w:tcW w:w="710"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40</w:t>
                  </w:r>
                </w:p>
              </w:tc>
              <w:tc>
                <w:tcPr>
                  <w:tcW w:w="1300" w:type="dxa"/>
                  <w:noWrap w:val="0"/>
                  <w:vAlign w:val="center"/>
                </w:tcPr>
                <w:p>
                  <w:pPr>
                    <w:pStyle w:val="16"/>
                    <w:bidi w:val="0"/>
                    <w:rPr>
                      <w:rFonts w:hint="default"/>
                      <w:color w:val="auto"/>
                      <w:lang w:val="en-US" w:eastAsia="zh-CN"/>
                    </w:rPr>
                  </w:pPr>
                  <w:r>
                    <w:rPr>
                      <w:rFonts w:hint="default"/>
                      <w:color w:val="auto"/>
                      <w:lang w:val="en-US" w:eastAsia="zh-CN"/>
                    </w:rPr>
                    <w:t>50</w:t>
                  </w:r>
                </w:p>
              </w:tc>
              <w:tc>
                <w:tcPr>
                  <w:tcW w:w="68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CO</w:t>
                  </w:r>
                </w:p>
              </w:tc>
              <w:tc>
                <w:tcPr>
                  <w:tcW w:w="1569"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24h平均第95位百分位数</w:t>
                  </w:r>
                </w:p>
              </w:tc>
              <w:tc>
                <w:tcPr>
                  <w:tcW w:w="679" w:type="pc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1400</w:t>
                  </w:r>
                </w:p>
              </w:tc>
              <w:tc>
                <w:tcPr>
                  <w:tcW w:w="710"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4000</w:t>
                  </w:r>
                </w:p>
              </w:tc>
              <w:tc>
                <w:tcPr>
                  <w:tcW w:w="1300" w:type="dxa"/>
                  <w:noWrap w:val="0"/>
                  <w:vAlign w:val="center"/>
                </w:tcPr>
                <w:p>
                  <w:pPr>
                    <w:pStyle w:val="16"/>
                    <w:bidi w:val="0"/>
                    <w:rPr>
                      <w:rFonts w:hint="default"/>
                      <w:color w:val="auto"/>
                      <w:lang w:val="en-US" w:eastAsia="zh-CN"/>
                    </w:rPr>
                  </w:pPr>
                  <w:r>
                    <w:rPr>
                      <w:rFonts w:hint="default"/>
                      <w:color w:val="auto"/>
                      <w:lang w:val="en-US" w:eastAsia="zh-CN"/>
                    </w:rPr>
                    <w:t>35</w:t>
                  </w:r>
                </w:p>
              </w:tc>
              <w:tc>
                <w:tcPr>
                  <w:tcW w:w="68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O</w:t>
                  </w:r>
                  <w:r>
                    <w:rPr>
                      <w:rFonts w:hint="default" w:ascii="Times New Roman" w:hAnsi="Times New Roman" w:cs="Times New Roman"/>
                      <w:color w:val="auto"/>
                      <w:vertAlign w:val="subscript"/>
                      <w:lang w:val="en-US" w:eastAsia="zh-CN"/>
                    </w:rPr>
                    <w:t>3</w:t>
                  </w:r>
                </w:p>
              </w:tc>
              <w:tc>
                <w:tcPr>
                  <w:tcW w:w="1569"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8h平均第90位百分位数</w:t>
                  </w:r>
                </w:p>
              </w:tc>
              <w:tc>
                <w:tcPr>
                  <w:tcW w:w="679" w:type="pc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138</w:t>
                  </w:r>
                </w:p>
              </w:tc>
              <w:tc>
                <w:tcPr>
                  <w:tcW w:w="710"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160</w:t>
                  </w:r>
                </w:p>
              </w:tc>
              <w:tc>
                <w:tcPr>
                  <w:tcW w:w="1300" w:type="dxa"/>
                  <w:noWrap w:val="0"/>
                  <w:vAlign w:val="center"/>
                </w:tcPr>
                <w:p>
                  <w:pPr>
                    <w:pStyle w:val="16"/>
                    <w:bidi w:val="0"/>
                    <w:rPr>
                      <w:rFonts w:hint="default"/>
                      <w:color w:val="auto"/>
                      <w:lang w:val="en-US" w:eastAsia="zh-CN"/>
                    </w:rPr>
                  </w:pPr>
                  <w:r>
                    <w:rPr>
                      <w:rFonts w:hint="default"/>
                      <w:color w:val="auto"/>
                      <w:lang w:val="en-US" w:eastAsia="zh-CN"/>
                    </w:rPr>
                    <w:t>86.25</w:t>
                  </w:r>
                </w:p>
              </w:tc>
              <w:tc>
                <w:tcPr>
                  <w:tcW w:w="68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10</w:t>
                  </w:r>
                </w:p>
              </w:tc>
              <w:tc>
                <w:tcPr>
                  <w:tcW w:w="1569"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年平均质量浓度</w:t>
                  </w:r>
                </w:p>
              </w:tc>
              <w:tc>
                <w:tcPr>
                  <w:tcW w:w="679" w:type="pc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55</w:t>
                  </w:r>
                </w:p>
              </w:tc>
              <w:tc>
                <w:tcPr>
                  <w:tcW w:w="710"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70</w:t>
                  </w:r>
                </w:p>
              </w:tc>
              <w:tc>
                <w:tcPr>
                  <w:tcW w:w="1300" w:type="dxa"/>
                  <w:noWrap w:val="0"/>
                  <w:vAlign w:val="center"/>
                </w:tcPr>
                <w:p>
                  <w:pPr>
                    <w:pStyle w:val="16"/>
                    <w:bidi w:val="0"/>
                    <w:rPr>
                      <w:rFonts w:hint="default"/>
                      <w:color w:val="auto"/>
                      <w:lang w:val="en-US" w:eastAsia="zh-CN"/>
                    </w:rPr>
                  </w:pPr>
                  <w:r>
                    <w:rPr>
                      <w:rFonts w:hint="default"/>
                      <w:color w:val="auto"/>
                      <w:lang w:val="en-US" w:eastAsia="zh-CN"/>
                    </w:rPr>
                    <w:t>78.57</w:t>
                  </w:r>
                </w:p>
              </w:tc>
              <w:tc>
                <w:tcPr>
                  <w:tcW w:w="68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2.5</w:t>
                  </w:r>
                </w:p>
              </w:tc>
              <w:tc>
                <w:tcPr>
                  <w:tcW w:w="1569"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lang w:val="en-US" w:eastAsia="zh-CN"/>
                    </w:rPr>
                    <w:t>年平均质量浓度</w:t>
                  </w:r>
                </w:p>
              </w:tc>
              <w:tc>
                <w:tcPr>
                  <w:tcW w:w="679" w:type="pc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39</w:t>
                  </w:r>
                </w:p>
              </w:tc>
              <w:tc>
                <w:tcPr>
                  <w:tcW w:w="710"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w:t>
                  </w:r>
                </w:p>
              </w:tc>
              <w:tc>
                <w:tcPr>
                  <w:tcW w:w="1300" w:type="dxa"/>
                  <w:noWrap w:val="0"/>
                  <w:vAlign w:val="center"/>
                </w:tcPr>
                <w:p>
                  <w:pPr>
                    <w:pStyle w:val="16"/>
                    <w:bidi w:val="0"/>
                    <w:rPr>
                      <w:rFonts w:hint="default"/>
                      <w:color w:val="auto"/>
                      <w:lang w:val="en-US" w:eastAsia="zh-CN"/>
                    </w:rPr>
                  </w:pPr>
                  <w:r>
                    <w:rPr>
                      <w:rFonts w:hint="default"/>
                      <w:color w:val="auto"/>
                      <w:lang w:val="en-US" w:eastAsia="zh-CN"/>
                    </w:rPr>
                    <w:t>111.43</w:t>
                  </w:r>
                </w:p>
              </w:tc>
              <w:tc>
                <w:tcPr>
                  <w:tcW w:w="685" w:type="pct"/>
                  <w:noWrap w:val="0"/>
                  <w:vAlign w:val="center"/>
                </w:tcPr>
                <w:p>
                  <w:pPr>
                    <w:pStyle w:val="16"/>
                    <w:bidi w:val="0"/>
                    <w:rPr>
                      <w:rFonts w:hint="default" w:ascii="Times New Roman" w:hAnsi="Times New Roman" w:cs="Times New Roman"/>
                      <w:color w:val="auto"/>
                    </w:rPr>
                  </w:pPr>
                  <w:r>
                    <w:rPr>
                      <w:rFonts w:hint="eastAsia" w:cs="Times New Roman"/>
                      <w:color w:val="auto"/>
                      <w:lang w:val="en-US" w:eastAsia="zh-CN"/>
                    </w:rPr>
                    <w:t>不</w:t>
                  </w:r>
                  <w:r>
                    <w:rPr>
                      <w:rFonts w:hint="default" w:ascii="Times New Roman" w:hAnsi="Times New Roman" w:cs="Times New Roman"/>
                      <w:color w:val="auto"/>
                      <w:lang w:val="en-US" w:eastAsia="zh-CN"/>
                    </w:rPr>
                    <w:t>达标</w:t>
                  </w:r>
                </w:p>
              </w:tc>
            </w:tr>
          </w:tbl>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由上表可知，项目所在区域SO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、NO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10</w:t>
            </w:r>
            <w:r>
              <w:rPr>
                <w:rFonts w:hint="default" w:ascii="Times New Roman" w:hAnsi="Times New Roman" w:cs="Times New Roman"/>
                <w:color w:val="auto"/>
                <w:lang w:val="en-US" w:eastAsia="zh-CN"/>
              </w:rPr>
              <w:t>的年平均浓度值达到《环境空气质量标准》（GB3095-2012）及其修改单中的二级标准；CO的第95%位日平均浓度值达到《环境空气质量标准》（GB3095-2012）及其修改单中的二级标准；O</w:t>
            </w:r>
            <w:r>
              <w:rPr>
                <w:rFonts w:hint="default" w:ascii="Times New Roman" w:hAnsi="Times New Roman" w:cs="Times New Roman"/>
                <w:color w:val="auto"/>
                <w:vertAlign w:val="subscript"/>
                <w:lang w:val="en-US" w:eastAsia="zh-CN"/>
              </w:rPr>
              <w:t>3</w:t>
            </w:r>
            <w:r>
              <w:rPr>
                <w:rFonts w:hint="default" w:ascii="Times New Roman" w:hAnsi="Times New Roman" w:cs="Times New Roman"/>
                <w:color w:val="auto"/>
                <w:lang w:val="en-US" w:eastAsia="zh-CN"/>
              </w:rPr>
              <w:t>的第90%位8小时均值达到《环境空气质量标准》（GB3095-2012）及其修改单中的二级标准，</w:t>
            </w:r>
            <w:r>
              <w:rPr>
                <w:rFonts w:hint="eastAsia" w:cs="Times New Roman"/>
                <w:color w:val="auto"/>
                <w:lang w:val="en-US" w:eastAsia="zh-CN"/>
              </w:rPr>
              <w:t>PM</w:t>
            </w:r>
            <w:r>
              <w:rPr>
                <w:rFonts w:hint="eastAsia" w:cs="Times New Roman"/>
                <w:color w:val="auto"/>
                <w:vertAlign w:val="subscript"/>
                <w:lang w:val="en-US" w:eastAsia="zh-CN"/>
              </w:rPr>
              <w:t>2.5</w:t>
            </w:r>
            <w:r>
              <w:rPr>
                <w:rFonts w:hint="eastAsia" w:cs="Times New Roman"/>
                <w:color w:val="auto"/>
                <w:lang w:val="en-US" w:eastAsia="zh-CN"/>
              </w:rPr>
              <w:t>的年平均浓度不满足</w:t>
            </w:r>
            <w:r>
              <w:rPr>
                <w:rFonts w:hint="default" w:ascii="Times New Roman" w:hAnsi="Times New Roman" w:cs="Times New Roman"/>
                <w:color w:val="auto"/>
                <w:lang w:val="en-US" w:eastAsia="zh-CN"/>
              </w:rPr>
              <w:t>《环境空气质量标准》（GB3095-2012）及其修改单中的二级标准</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项目所在区域为环境空气质量</w:t>
            </w:r>
            <w:r>
              <w:rPr>
                <w:rFonts w:hint="eastAsia" w:cs="Times New Roman"/>
                <w:color w:val="auto"/>
                <w:lang w:val="en-US" w:eastAsia="zh-CN"/>
              </w:rPr>
              <w:t>不</w:t>
            </w:r>
            <w:r>
              <w:rPr>
                <w:rFonts w:hint="default" w:ascii="Times New Roman" w:hAnsi="Times New Roman" w:cs="Times New Roman"/>
                <w:color w:val="auto"/>
                <w:lang w:val="en-US" w:eastAsia="zh-CN"/>
              </w:rPr>
              <w:t>达标区。</w:t>
            </w:r>
          </w:p>
          <w:p>
            <w:pPr>
              <w:pStyle w:val="3"/>
              <w:bidi w:val="0"/>
              <w:rPr>
                <w:rFonts w:hint="default" w:ascii="Times New Roman" w:hAnsi="Times New Roman" w:cs="Times New Roman"/>
                <w:color w:val="auto"/>
                <w:lang w:val="en-US" w:eastAsia="zh-CN"/>
              </w:rPr>
            </w:pPr>
            <w:bookmarkStart w:id="312" w:name="_Toc6632"/>
            <w:bookmarkStart w:id="313" w:name="_Toc5289"/>
            <w:bookmarkStart w:id="314" w:name="_Toc5841"/>
            <w:bookmarkStart w:id="315" w:name="_Toc26703"/>
            <w:bookmarkStart w:id="316" w:name="_Toc19849"/>
            <w:bookmarkStart w:id="317" w:name="_Toc20432"/>
            <w:bookmarkStart w:id="318" w:name="_Toc29990"/>
            <w:bookmarkStart w:id="319" w:name="_Toc27109"/>
            <w:bookmarkStart w:id="320" w:name="_Toc14608"/>
            <w:bookmarkStart w:id="321" w:name="_Toc30689"/>
            <w:r>
              <w:rPr>
                <w:rFonts w:hint="default" w:ascii="Times New Roman" w:hAnsi="Times New Roman" w:cs="Times New Roman"/>
                <w:color w:val="auto"/>
                <w:lang w:val="en-US" w:eastAsia="zh-CN"/>
              </w:rPr>
              <w:t>2、地表水环境现状调查与评价</w:t>
            </w:r>
            <w:bookmarkEnd w:id="312"/>
            <w:bookmarkEnd w:id="313"/>
            <w:bookmarkEnd w:id="314"/>
            <w:bookmarkEnd w:id="315"/>
            <w:bookmarkEnd w:id="316"/>
            <w:bookmarkEnd w:id="317"/>
            <w:bookmarkEnd w:id="318"/>
            <w:bookmarkEnd w:id="319"/>
            <w:bookmarkEnd w:id="320"/>
            <w:bookmarkEnd w:id="321"/>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（1）水环境功能区</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位于衡阳市蒸湘区大立村，建设项目附近河流主要为蒸水。根据《湖南省主要地表水系水环境功能区划》（DB43/023-2005），如图3.2所示，本项目位于蒸水英陂拦河坝至湘江入河口水域，为工业用水区，水质执行《地表水环境质量标准》（GB3838-2002）Ⅳ类标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val="0"/>
                <w:bCs w:val="0"/>
                <w:color w:val="auto"/>
                <w:kern w:val="0"/>
                <w:sz w:val="24"/>
                <w:szCs w:val="21"/>
                <w:lang w:val="en-US" w:eastAsia="zh-CN"/>
              </w:rPr>
            </w:pPr>
            <w:r>
              <w:rPr>
                <w:rFonts w:hint="default" w:ascii="Times New Roman" w:hAnsi="Times New Roman" w:cs="Times New Roman"/>
                <w:b w:val="0"/>
                <w:bCs w:val="0"/>
                <w:color w:val="auto"/>
                <w:kern w:val="0"/>
                <w:sz w:val="24"/>
                <w:szCs w:val="21"/>
                <w:lang w:val="en-US" w:eastAsia="zh-CN"/>
              </w:rPr>
              <w:drawing>
                <wp:inline distT="0" distB="0" distL="114300" distR="114300">
                  <wp:extent cx="5099050" cy="2916555"/>
                  <wp:effectExtent l="0" t="0" r="0" b="0"/>
                  <wp:docPr id="4" name="图片 5" descr="snipaste_20230807_10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snipaste_20230807_100838"/>
                          <pic:cNvPicPr>
                            <a:picLocks noChangeAspect="1"/>
                          </pic:cNvPicPr>
                        </pic:nvPicPr>
                        <pic:blipFill>
                          <a:blip r:embed="rId11"/>
                          <a:stretch>
                            <a:fillRect/>
                          </a:stretch>
                        </pic:blipFill>
                        <pic:spPr>
                          <a:xfrm>
                            <a:off x="0" y="0"/>
                            <a:ext cx="5099050" cy="2916555"/>
                          </a:xfrm>
                          <a:prstGeom prst="rect">
                            <a:avLst/>
                          </a:prstGeom>
                          <a:noFill/>
                          <a:ln>
                            <a:noFill/>
                          </a:ln>
                        </pic:spPr>
                      </pic:pic>
                    </a:graphicData>
                  </a:graphic>
                </wp:inline>
              </w:drawing>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图3.2 湖南省主要水系地表水环境功能区划</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（2）蒸水河水环境质量达标情况</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为了解本项目所在区域地表水环境现状，本评价引用衡阳市生态环境局发布的《关于202</w:t>
            </w:r>
            <w:r>
              <w:rPr>
                <w:rFonts w:hint="eastAsia" w:cs="Times New Roman"/>
                <w:color w:val="auto"/>
                <w:lang w:val="en-US" w:eastAsia="zh-CN"/>
              </w:rPr>
              <w:t>3</w:t>
            </w:r>
            <w:r>
              <w:rPr>
                <w:rFonts w:hint="default" w:ascii="Times New Roman" w:hAnsi="Times New Roman" w:cs="Times New Roman"/>
                <w:color w:val="auto"/>
                <w:lang w:val="en-US" w:eastAsia="zh-CN"/>
              </w:rPr>
              <w:t>年12月及1-12月全市环境质量状况的通报》中蒸水入湘江口断面的监测数据进行评价，监测情况如图3.3所示。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default" w:ascii="Times New Roman" w:hAnsi="Times New Roman" w:cs="Times New Roman"/>
                <w:b w:val="0"/>
                <w:bCs w:val="0"/>
                <w:color w:val="auto"/>
                <w:kern w:val="0"/>
                <w:sz w:val="24"/>
                <w:szCs w:val="21"/>
                <w:lang w:val="en-US" w:eastAsia="zh-CN"/>
              </w:rPr>
            </w:pPr>
            <w:r>
              <w:rPr>
                <w:color w:val="auto"/>
              </w:rPr>
              <w:drawing>
                <wp:inline distT="0" distB="0" distL="114300" distR="114300">
                  <wp:extent cx="5098415" cy="3198495"/>
                  <wp:effectExtent l="0" t="0" r="6985" b="190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2"/>
                          <a:stretch>
                            <a:fillRect/>
                          </a:stretch>
                        </pic:blipFill>
                        <pic:spPr>
                          <a:xfrm>
                            <a:off x="0" y="0"/>
                            <a:ext cx="5098415" cy="3198495"/>
                          </a:xfrm>
                          <a:prstGeom prst="rect">
                            <a:avLst/>
                          </a:prstGeom>
                          <a:noFill/>
                          <a:ln>
                            <a:noFill/>
                          </a:ln>
                        </pic:spPr>
                      </pic:pic>
                    </a:graphicData>
                  </a:graphic>
                </wp:inline>
              </w:drawing>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图3.3 202</w:t>
            </w:r>
            <w:r>
              <w:rPr>
                <w:rFonts w:hint="eastAsia" w:cs="Times New Roman"/>
                <w:color w:val="auto"/>
                <w:lang w:val="en-US" w:eastAsia="zh-CN"/>
              </w:rPr>
              <w:t>3</w:t>
            </w:r>
            <w:r>
              <w:rPr>
                <w:rFonts w:hint="default" w:ascii="Times New Roman" w:hAnsi="Times New Roman" w:cs="Times New Roman"/>
                <w:color w:val="auto"/>
                <w:lang w:val="en-US" w:eastAsia="zh-CN"/>
              </w:rPr>
              <w:t>年12月及1-12月蒸湘区水环境质量状况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val="0"/>
                <w:bCs w:val="0"/>
                <w:color w:val="auto"/>
                <w:kern w:val="0"/>
                <w:sz w:val="24"/>
                <w:szCs w:val="21"/>
                <w:lang w:val="en-US" w:eastAsia="zh-CN"/>
              </w:rPr>
              <w:t>依据图3.3可知，蒸水入湘江口断面满足《地表水环境质量标准》（GB3838-2002）Ⅲ类标准要求，能满足相应水功能区划要求。区域地表水水质现状情况良好，属于水质达标区。</w:t>
            </w:r>
          </w:p>
          <w:p>
            <w:pPr>
              <w:pStyle w:val="3"/>
              <w:bidi w:val="0"/>
              <w:rPr>
                <w:rFonts w:hint="default" w:ascii="Times New Roman" w:hAnsi="Times New Roman" w:cs="Times New Roman"/>
                <w:color w:val="auto"/>
                <w:lang w:val="en-US" w:eastAsia="zh-CN"/>
              </w:rPr>
            </w:pPr>
            <w:bookmarkStart w:id="322" w:name="_Toc14339"/>
            <w:bookmarkStart w:id="323" w:name="_Toc13094"/>
            <w:bookmarkStart w:id="324" w:name="_Toc12158"/>
            <w:bookmarkStart w:id="325" w:name="_Toc23718"/>
            <w:bookmarkStart w:id="326" w:name="_Toc10638"/>
            <w:bookmarkStart w:id="327" w:name="_Toc3887"/>
            <w:bookmarkStart w:id="328" w:name="_Toc25481"/>
            <w:bookmarkStart w:id="329" w:name="_Toc23712"/>
            <w:bookmarkStart w:id="330" w:name="_Toc1504"/>
            <w:bookmarkStart w:id="331" w:name="_Toc14828"/>
            <w:r>
              <w:rPr>
                <w:rFonts w:hint="default" w:ascii="Times New Roman" w:hAnsi="Times New Roman" w:cs="Times New Roman"/>
                <w:color w:val="auto"/>
                <w:lang w:val="en-US" w:eastAsia="zh-CN"/>
              </w:rPr>
              <w:t>3、声环境质量现状</w:t>
            </w:r>
            <w:bookmarkEnd w:id="322"/>
            <w:bookmarkEnd w:id="323"/>
            <w:bookmarkEnd w:id="324"/>
            <w:bookmarkEnd w:id="325"/>
            <w:bookmarkEnd w:id="326"/>
            <w:bookmarkEnd w:id="327"/>
            <w:bookmarkEnd w:id="328"/>
            <w:bookmarkEnd w:id="329"/>
            <w:bookmarkEnd w:id="330"/>
            <w:bookmarkEnd w:id="331"/>
          </w:p>
          <w:p>
            <w:pPr>
              <w:bidi w:val="0"/>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为了解项目区域声环境质量现状，</w:t>
            </w:r>
            <w:r>
              <w:rPr>
                <w:rFonts w:hint="eastAsia" w:ascii="Times New Roman" w:hAnsi="Times New Roman" w:cs="Times New Roman"/>
                <w:color w:val="auto"/>
                <w:lang w:val="en-US" w:eastAsia="zh-CN"/>
              </w:rPr>
              <w:t>本次评价本公司对本项目评价范围内的声环境敏感点进行噪声监测。监测点的噪声现状监测于2023年</w:t>
            </w:r>
            <w:r>
              <w:rPr>
                <w:rFonts w:hint="eastAsia" w:cs="Times New Roman"/>
                <w:color w:val="auto"/>
                <w:lang w:val="en-US" w:eastAsia="zh-CN"/>
              </w:rPr>
              <w:t>8</w:t>
            </w:r>
            <w:r>
              <w:rPr>
                <w:rFonts w:hint="eastAsia" w:ascii="Times New Roman" w:hAnsi="Times New Roman" w:cs="Times New Roman"/>
                <w:color w:val="auto"/>
                <w:lang w:val="en-US" w:eastAsia="zh-CN"/>
              </w:rPr>
              <w:t>月</w:t>
            </w:r>
            <w:r>
              <w:rPr>
                <w:rFonts w:hint="eastAsia" w:cs="Times New Roman"/>
                <w:color w:val="auto"/>
                <w:lang w:val="en-US" w:eastAsia="zh-CN"/>
              </w:rPr>
              <w:t>14</w:t>
            </w:r>
            <w:r>
              <w:rPr>
                <w:rFonts w:hint="eastAsia" w:ascii="Times New Roman" w:hAnsi="Times New Roman" w:cs="Times New Roman"/>
                <w:color w:val="auto"/>
                <w:lang w:val="en-US" w:eastAsia="zh-CN"/>
              </w:rPr>
              <w:t>日完成，监测点位与监测结果情况见表3.</w:t>
            </w:r>
            <w:r>
              <w:rPr>
                <w:rFonts w:hint="eastAsia" w:cs="Times New Roman"/>
                <w:color w:val="auto"/>
                <w:lang w:val="en-US" w:eastAsia="zh-CN"/>
              </w:rPr>
              <w:t>2</w:t>
            </w:r>
            <w:r>
              <w:rPr>
                <w:rFonts w:hint="eastAsia" w:ascii="Times New Roman" w:hAnsi="Times New Roman" w:cs="Times New Roman"/>
                <w:color w:val="auto"/>
                <w:lang w:val="en-US" w:eastAsia="zh-CN"/>
              </w:rPr>
              <w:t>、表3.</w:t>
            </w:r>
            <w:r>
              <w:rPr>
                <w:rFonts w:hint="eastAsia" w:cs="Times New Roman"/>
                <w:color w:val="auto"/>
                <w:lang w:val="en-US" w:eastAsia="zh-CN"/>
              </w:rPr>
              <w:t>3</w:t>
            </w:r>
            <w:r>
              <w:rPr>
                <w:rFonts w:hint="eastAsia" w:ascii="Times New Roman" w:hAnsi="Times New Roman" w:cs="Times New Roman"/>
                <w:color w:val="auto"/>
                <w:lang w:val="en-US" w:eastAsia="zh-CN"/>
              </w:rPr>
              <w:t>。</w:t>
            </w:r>
          </w:p>
          <w:p>
            <w:pPr>
              <w:pStyle w:val="17"/>
              <w:bidi w:val="0"/>
              <w:rPr>
                <w:rFonts w:hint="eastAsia"/>
                <w:color w:val="auto"/>
                <w:lang w:val="en-US" w:eastAsia="zh-CN"/>
              </w:rPr>
            </w:pPr>
            <w:r>
              <w:rPr>
                <w:rFonts w:hint="eastAsia"/>
                <w:color w:val="auto"/>
                <w:lang w:val="en-US" w:eastAsia="zh-CN"/>
              </w:rPr>
              <w:t>表3.2 监测点位与项目位置关系</w:t>
            </w:r>
          </w:p>
          <w:tbl>
            <w:tblPr>
              <w:tblStyle w:val="1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748"/>
              <w:gridCol w:w="1419"/>
              <w:gridCol w:w="14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6" w:type="pct"/>
                  <w:vAlign w:val="center"/>
                </w:tcPr>
                <w:p>
                  <w:pPr>
                    <w:pStyle w:val="16"/>
                    <w:bidi w:val="0"/>
                    <w:jc w:val="center"/>
                    <w:rPr>
                      <w:rFonts w:hint="default"/>
                      <w:b/>
                      <w:bCs/>
                      <w:color w:val="auto"/>
                      <w:lang w:val="en-US" w:eastAsia="zh-CN"/>
                    </w:rPr>
                  </w:pPr>
                  <w:r>
                    <w:rPr>
                      <w:rFonts w:hint="eastAsia"/>
                      <w:b/>
                      <w:bCs/>
                      <w:color w:val="auto"/>
                      <w:lang w:val="en-US" w:eastAsia="zh-CN"/>
                    </w:rPr>
                    <w:t>编号</w:t>
                  </w:r>
                </w:p>
              </w:tc>
              <w:tc>
                <w:tcPr>
                  <w:tcW w:w="2341" w:type="pct"/>
                  <w:vAlign w:val="center"/>
                </w:tcPr>
                <w:p>
                  <w:pPr>
                    <w:pStyle w:val="16"/>
                    <w:bidi w:val="0"/>
                    <w:jc w:val="center"/>
                    <w:rPr>
                      <w:rFonts w:hint="default"/>
                      <w:b/>
                      <w:bCs/>
                      <w:color w:val="auto"/>
                      <w:lang w:val="en-US" w:eastAsia="zh-CN"/>
                    </w:rPr>
                  </w:pPr>
                  <w:r>
                    <w:rPr>
                      <w:rFonts w:hint="eastAsia"/>
                      <w:b/>
                      <w:bCs/>
                      <w:color w:val="auto"/>
                      <w:lang w:val="en-US" w:eastAsia="zh-CN"/>
                    </w:rPr>
                    <w:t>监测点位</w:t>
                  </w:r>
                </w:p>
              </w:tc>
              <w:tc>
                <w:tcPr>
                  <w:tcW w:w="886" w:type="pct"/>
                  <w:vAlign w:val="center"/>
                </w:tcPr>
                <w:p>
                  <w:pPr>
                    <w:pStyle w:val="16"/>
                    <w:bidi w:val="0"/>
                    <w:jc w:val="center"/>
                    <w:rPr>
                      <w:rFonts w:hint="default"/>
                      <w:b/>
                      <w:bCs/>
                      <w:color w:val="auto"/>
                      <w:lang w:val="en-US" w:eastAsia="zh-CN"/>
                    </w:rPr>
                  </w:pPr>
                  <w:r>
                    <w:rPr>
                      <w:rFonts w:hint="eastAsia"/>
                      <w:b/>
                      <w:bCs/>
                      <w:color w:val="auto"/>
                      <w:lang w:val="en-US" w:eastAsia="zh-CN"/>
                    </w:rPr>
                    <w:t>方位</w:t>
                  </w:r>
                </w:p>
              </w:tc>
              <w:tc>
                <w:tcPr>
                  <w:tcW w:w="886" w:type="pct"/>
                  <w:vAlign w:val="center"/>
                </w:tcPr>
                <w:p>
                  <w:pPr>
                    <w:pStyle w:val="16"/>
                    <w:bidi w:val="0"/>
                    <w:jc w:val="center"/>
                    <w:rPr>
                      <w:rFonts w:hint="default"/>
                      <w:b/>
                      <w:bCs/>
                      <w:color w:val="auto"/>
                      <w:lang w:val="en-US" w:eastAsia="zh-CN"/>
                    </w:rPr>
                  </w:pPr>
                  <w:r>
                    <w:rPr>
                      <w:rFonts w:hint="eastAsia"/>
                      <w:b/>
                      <w:bCs/>
                      <w:color w:val="auto"/>
                      <w:lang w:val="en-US" w:eastAsia="zh-CN"/>
                    </w:rPr>
                    <w:t>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86" w:type="pct"/>
                  <w:vAlign w:val="center"/>
                </w:tcPr>
                <w:p>
                  <w:pPr>
                    <w:pStyle w:val="16"/>
                    <w:bidi w:val="0"/>
                    <w:jc w:val="center"/>
                    <w:rPr>
                      <w:rFonts w:hint="default"/>
                      <w:color w:val="auto"/>
                      <w:lang w:val="en-US" w:eastAsia="zh-CN"/>
                    </w:rPr>
                  </w:pPr>
                  <w:r>
                    <w:rPr>
                      <w:rFonts w:hint="eastAsia"/>
                      <w:color w:val="auto"/>
                      <w:lang w:val="en-US" w:eastAsia="zh-CN"/>
                    </w:rPr>
                    <w:t>N1</w:t>
                  </w:r>
                </w:p>
              </w:tc>
              <w:tc>
                <w:tcPr>
                  <w:tcW w:w="2341" w:type="pct"/>
                  <w:vAlign w:val="center"/>
                </w:tcPr>
                <w:p>
                  <w:pPr>
                    <w:pStyle w:val="16"/>
                    <w:bidi w:val="0"/>
                    <w:jc w:val="center"/>
                    <w:rPr>
                      <w:rFonts w:hint="default"/>
                      <w:color w:val="auto"/>
                      <w:lang w:val="en-US" w:eastAsia="zh-CN"/>
                    </w:rPr>
                  </w:pPr>
                  <w:r>
                    <w:rPr>
                      <w:rFonts w:hint="eastAsia"/>
                      <w:color w:val="auto"/>
                      <w:lang w:val="en-US" w:eastAsia="zh-CN"/>
                    </w:rPr>
                    <w:t>大立小区居民点</w:t>
                  </w:r>
                </w:p>
              </w:tc>
              <w:tc>
                <w:tcPr>
                  <w:tcW w:w="886" w:type="pct"/>
                  <w:vAlign w:val="center"/>
                </w:tcPr>
                <w:p>
                  <w:pPr>
                    <w:pStyle w:val="16"/>
                    <w:bidi w:val="0"/>
                    <w:jc w:val="center"/>
                    <w:rPr>
                      <w:rFonts w:hint="default"/>
                      <w:color w:val="auto"/>
                      <w:lang w:val="en-US" w:eastAsia="zh-CN"/>
                    </w:rPr>
                  </w:pPr>
                  <w:r>
                    <w:rPr>
                      <w:rFonts w:hint="eastAsia"/>
                      <w:color w:val="auto"/>
                      <w:lang w:val="en-US" w:eastAsia="zh-CN"/>
                    </w:rPr>
                    <w:t>西南</w:t>
                  </w:r>
                </w:p>
              </w:tc>
              <w:tc>
                <w:tcPr>
                  <w:tcW w:w="886" w:type="pct"/>
                  <w:vAlign w:val="center"/>
                </w:tcPr>
                <w:p>
                  <w:pPr>
                    <w:pStyle w:val="16"/>
                    <w:bidi w:val="0"/>
                    <w:jc w:val="center"/>
                    <w:rPr>
                      <w:rFonts w:hint="default"/>
                      <w:color w:val="auto"/>
                      <w:lang w:val="en-US" w:eastAsia="zh-CN"/>
                    </w:rPr>
                  </w:pPr>
                  <w:r>
                    <w:rPr>
                      <w:rFonts w:hint="eastAsia"/>
                      <w:color w:val="auto"/>
                      <w:lang w:val="en-US" w:eastAsia="zh-CN"/>
                    </w:rPr>
                    <w:t>75m</w:t>
                  </w:r>
                </w:p>
              </w:tc>
            </w:tr>
          </w:tbl>
          <w:p>
            <w:pPr>
              <w:pStyle w:val="17"/>
              <w:bidi w:val="0"/>
              <w:rPr>
                <w:rFonts w:hint="eastAsia"/>
                <w:color w:val="auto"/>
                <w:lang w:val="en-US" w:eastAsia="zh-CN"/>
              </w:rPr>
            </w:pPr>
            <w:r>
              <w:rPr>
                <w:rFonts w:hint="eastAsia"/>
                <w:color w:val="auto"/>
                <w:lang w:val="en-US" w:eastAsia="zh-CN"/>
              </w:rPr>
              <w:t>表3.3 声环境质量监测结果、达标情况（单位：dB（A））</w:t>
            </w:r>
          </w:p>
          <w:tbl>
            <w:tblPr>
              <w:tblStyle w:val="12"/>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53"/>
              <w:gridCol w:w="1101"/>
              <w:gridCol w:w="900"/>
              <w:gridCol w:w="901"/>
              <w:gridCol w:w="1010"/>
              <w:gridCol w:w="1010"/>
              <w:gridCol w:w="6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pStyle w:val="16"/>
                    <w:bidi w:val="0"/>
                    <w:jc w:val="center"/>
                    <w:rPr>
                      <w:rFonts w:hint="default"/>
                      <w:b/>
                      <w:bCs/>
                      <w:color w:val="auto"/>
                      <w:lang w:val="en-US" w:eastAsia="zh-CN"/>
                    </w:rPr>
                  </w:pPr>
                  <w:r>
                    <w:rPr>
                      <w:rFonts w:hint="eastAsia"/>
                      <w:b/>
                      <w:bCs/>
                      <w:color w:val="auto"/>
                      <w:lang w:val="en-US" w:eastAsia="zh-CN"/>
                    </w:rPr>
                    <w:t>编号</w:t>
                  </w:r>
                </w:p>
              </w:tc>
              <w:tc>
                <w:tcPr>
                  <w:tcW w:w="1095" w:type="pct"/>
                  <w:vMerge w:val="restart"/>
                  <w:vAlign w:val="center"/>
                </w:tcPr>
                <w:p>
                  <w:pPr>
                    <w:pStyle w:val="16"/>
                    <w:bidi w:val="0"/>
                    <w:jc w:val="center"/>
                    <w:rPr>
                      <w:rFonts w:hint="default"/>
                      <w:b/>
                      <w:bCs/>
                      <w:color w:val="auto"/>
                      <w:lang w:val="en-US" w:eastAsia="zh-CN"/>
                    </w:rPr>
                  </w:pPr>
                  <w:r>
                    <w:rPr>
                      <w:rFonts w:hint="eastAsia"/>
                      <w:b/>
                      <w:bCs/>
                      <w:color w:val="auto"/>
                      <w:lang w:val="en-US" w:eastAsia="zh-CN"/>
                    </w:rPr>
                    <w:t>监测点位</w:t>
                  </w:r>
                </w:p>
              </w:tc>
              <w:tc>
                <w:tcPr>
                  <w:tcW w:w="688" w:type="pct"/>
                  <w:vMerge w:val="restart"/>
                  <w:vAlign w:val="center"/>
                </w:tcPr>
                <w:p>
                  <w:pPr>
                    <w:pStyle w:val="16"/>
                    <w:bidi w:val="0"/>
                    <w:jc w:val="center"/>
                    <w:rPr>
                      <w:rFonts w:hint="default"/>
                      <w:b/>
                      <w:bCs/>
                      <w:color w:val="auto"/>
                      <w:lang w:val="en-US" w:eastAsia="zh-CN"/>
                    </w:rPr>
                  </w:pPr>
                  <w:r>
                    <w:rPr>
                      <w:rFonts w:hint="eastAsia"/>
                      <w:b/>
                      <w:bCs/>
                      <w:color w:val="auto"/>
                      <w:lang w:val="en-US" w:eastAsia="zh-CN"/>
                    </w:rPr>
                    <w:t>监测因子</w:t>
                  </w:r>
                </w:p>
              </w:tc>
              <w:tc>
                <w:tcPr>
                  <w:tcW w:w="1125" w:type="pct"/>
                  <w:gridSpan w:val="2"/>
                  <w:vAlign w:val="center"/>
                </w:tcPr>
                <w:p>
                  <w:pPr>
                    <w:pStyle w:val="16"/>
                    <w:bidi w:val="0"/>
                    <w:jc w:val="center"/>
                    <w:rPr>
                      <w:rFonts w:hint="default"/>
                      <w:b/>
                      <w:bCs/>
                      <w:color w:val="auto"/>
                      <w:lang w:val="en-US" w:eastAsia="zh-CN"/>
                    </w:rPr>
                  </w:pPr>
                  <w:r>
                    <w:rPr>
                      <w:rFonts w:hint="eastAsia"/>
                      <w:b/>
                      <w:bCs/>
                      <w:color w:val="auto"/>
                      <w:lang w:val="en-US" w:eastAsia="zh-CN"/>
                    </w:rPr>
                    <w:t>测量值dB（A）</w:t>
                  </w:r>
                </w:p>
              </w:tc>
              <w:tc>
                <w:tcPr>
                  <w:tcW w:w="1262" w:type="pct"/>
                  <w:gridSpan w:val="2"/>
                  <w:vAlign w:val="center"/>
                </w:tcPr>
                <w:p>
                  <w:pPr>
                    <w:pStyle w:val="16"/>
                    <w:bidi w:val="0"/>
                    <w:jc w:val="center"/>
                    <w:rPr>
                      <w:rFonts w:hint="default"/>
                      <w:b/>
                      <w:bCs/>
                      <w:color w:val="auto"/>
                      <w:lang w:val="en-US" w:eastAsia="zh-CN"/>
                    </w:rPr>
                  </w:pPr>
                  <w:r>
                    <w:rPr>
                      <w:rFonts w:hint="eastAsia"/>
                      <w:b/>
                      <w:bCs/>
                      <w:color w:val="auto"/>
                      <w:lang w:val="en-US" w:eastAsia="zh-CN"/>
                    </w:rPr>
                    <w:t>标准限值dB（A）</w:t>
                  </w:r>
                </w:p>
              </w:tc>
              <w:tc>
                <w:tcPr>
                  <w:tcW w:w="414" w:type="pct"/>
                  <w:vMerge w:val="restart"/>
                  <w:vAlign w:val="center"/>
                </w:tcPr>
                <w:p>
                  <w:pPr>
                    <w:pStyle w:val="16"/>
                    <w:bidi w:val="0"/>
                    <w:jc w:val="center"/>
                    <w:rPr>
                      <w:rFonts w:hint="default"/>
                      <w:b/>
                      <w:bCs/>
                      <w:color w:val="auto"/>
                      <w:lang w:val="en-US" w:eastAsia="zh-CN"/>
                    </w:rPr>
                  </w:pPr>
                  <w:r>
                    <w:rPr>
                      <w:rFonts w:hint="eastAsia"/>
                      <w:b/>
                      <w:bCs/>
                      <w:color w:val="auto"/>
                      <w:lang w:val="en-US" w:eastAsia="zh-CN"/>
                    </w:rPr>
                    <w:t>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14" w:type="pct"/>
                  <w:vMerge w:val="continue"/>
                  <w:vAlign w:val="center"/>
                </w:tcPr>
                <w:p>
                  <w:pPr>
                    <w:pStyle w:val="16"/>
                    <w:bidi w:val="0"/>
                    <w:jc w:val="center"/>
                    <w:rPr>
                      <w:rFonts w:hint="default"/>
                      <w:color w:val="auto"/>
                      <w:lang w:val="en-US" w:eastAsia="zh-CN"/>
                    </w:rPr>
                  </w:pPr>
                </w:p>
              </w:tc>
              <w:tc>
                <w:tcPr>
                  <w:tcW w:w="1095" w:type="pct"/>
                  <w:vMerge w:val="continue"/>
                  <w:vAlign w:val="center"/>
                </w:tcPr>
                <w:p>
                  <w:pPr>
                    <w:pStyle w:val="16"/>
                    <w:bidi w:val="0"/>
                    <w:jc w:val="center"/>
                    <w:rPr>
                      <w:rFonts w:hint="default"/>
                      <w:color w:val="auto"/>
                      <w:lang w:val="en-US" w:eastAsia="zh-CN"/>
                    </w:rPr>
                  </w:pPr>
                </w:p>
              </w:tc>
              <w:tc>
                <w:tcPr>
                  <w:tcW w:w="688" w:type="pct"/>
                  <w:vMerge w:val="continue"/>
                  <w:vAlign w:val="center"/>
                </w:tcPr>
                <w:p>
                  <w:pPr>
                    <w:pStyle w:val="16"/>
                    <w:bidi w:val="0"/>
                    <w:jc w:val="center"/>
                    <w:rPr>
                      <w:rFonts w:hint="default"/>
                      <w:color w:val="auto"/>
                      <w:lang w:val="en-US" w:eastAsia="zh-CN"/>
                    </w:rPr>
                  </w:pPr>
                </w:p>
              </w:tc>
              <w:tc>
                <w:tcPr>
                  <w:tcW w:w="562" w:type="pct"/>
                  <w:vAlign w:val="center"/>
                </w:tcPr>
                <w:p>
                  <w:pPr>
                    <w:pStyle w:val="16"/>
                    <w:bidi w:val="0"/>
                    <w:jc w:val="center"/>
                    <w:rPr>
                      <w:rFonts w:hint="default"/>
                      <w:b/>
                      <w:bCs/>
                      <w:color w:val="auto"/>
                      <w:lang w:val="en-US" w:eastAsia="zh-CN"/>
                    </w:rPr>
                  </w:pPr>
                  <w:r>
                    <w:rPr>
                      <w:rFonts w:hint="eastAsia"/>
                      <w:b/>
                      <w:bCs/>
                      <w:color w:val="auto"/>
                      <w:lang w:val="en-US" w:eastAsia="zh-CN"/>
                    </w:rPr>
                    <w:t>昼间</w:t>
                  </w:r>
                </w:p>
              </w:tc>
              <w:tc>
                <w:tcPr>
                  <w:tcW w:w="562" w:type="pct"/>
                  <w:vAlign w:val="center"/>
                </w:tcPr>
                <w:p>
                  <w:pPr>
                    <w:pStyle w:val="16"/>
                    <w:bidi w:val="0"/>
                    <w:jc w:val="center"/>
                    <w:rPr>
                      <w:rFonts w:hint="default"/>
                      <w:b/>
                      <w:bCs/>
                      <w:color w:val="auto"/>
                      <w:lang w:val="en-US" w:eastAsia="zh-CN"/>
                    </w:rPr>
                  </w:pPr>
                  <w:r>
                    <w:rPr>
                      <w:rFonts w:hint="eastAsia"/>
                      <w:b/>
                      <w:bCs/>
                      <w:color w:val="auto"/>
                      <w:lang w:val="en-US" w:eastAsia="zh-CN"/>
                    </w:rPr>
                    <w:t>夜间</w:t>
                  </w:r>
                </w:p>
              </w:tc>
              <w:tc>
                <w:tcPr>
                  <w:tcW w:w="631" w:type="pct"/>
                  <w:vAlign w:val="center"/>
                </w:tcPr>
                <w:p>
                  <w:pPr>
                    <w:pStyle w:val="16"/>
                    <w:bidi w:val="0"/>
                    <w:jc w:val="center"/>
                    <w:rPr>
                      <w:rFonts w:hint="default"/>
                      <w:b/>
                      <w:bCs/>
                      <w:color w:val="auto"/>
                      <w:lang w:val="en-US" w:eastAsia="zh-CN"/>
                    </w:rPr>
                  </w:pPr>
                  <w:r>
                    <w:rPr>
                      <w:rFonts w:hint="eastAsia"/>
                      <w:b/>
                      <w:bCs/>
                      <w:color w:val="auto"/>
                      <w:lang w:val="en-US" w:eastAsia="zh-CN"/>
                    </w:rPr>
                    <w:t>昼间</w:t>
                  </w:r>
                </w:p>
              </w:tc>
              <w:tc>
                <w:tcPr>
                  <w:tcW w:w="631" w:type="pct"/>
                  <w:vAlign w:val="center"/>
                </w:tcPr>
                <w:p>
                  <w:pPr>
                    <w:pStyle w:val="16"/>
                    <w:bidi w:val="0"/>
                    <w:jc w:val="center"/>
                    <w:rPr>
                      <w:rFonts w:hint="default"/>
                      <w:b/>
                      <w:bCs/>
                      <w:color w:val="auto"/>
                      <w:lang w:val="en-US" w:eastAsia="zh-CN"/>
                    </w:rPr>
                  </w:pPr>
                  <w:r>
                    <w:rPr>
                      <w:rFonts w:hint="eastAsia"/>
                      <w:b/>
                      <w:bCs/>
                      <w:color w:val="auto"/>
                      <w:lang w:val="en-US" w:eastAsia="zh-CN"/>
                    </w:rPr>
                    <w:t>夜间</w:t>
                  </w:r>
                </w:p>
              </w:tc>
              <w:tc>
                <w:tcPr>
                  <w:tcW w:w="414" w:type="pct"/>
                  <w:vMerge w:val="continue"/>
                  <w:vAlign w:val="center"/>
                </w:tcPr>
                <w:p>
                  <w:pPr>
                    <w:pStyle w:val="16"/>
                    <w:bidi w:val="0"/>
                    <w:jc w:val="center"/>
                    <w:rPr>
                      <w:rFonts w:hint="default"/>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14" w:type="pct"/>
                  <w:vAlign w:val="center"/>
                </w:tcPr>
                <w:p>
                  <w:pPr>
                    <w:pStyle w:val="16"/>
                    <w:bidi w:val="0"/>
                    <w:jc w:val="center"/>
                    <w:rPr>
                      <w:rFonts w:hint="default"/>
                      <w:color w:val="auto"/>
                      <w:lang w:val="en-US" w:eastAsia="zh-CN"/>
                    </w:rPr>
                  </w:pPr>
                  <w:r>
                    <w:rPr>
                      <w:rFonts w:hint="eastAsia"/>
                      <w:color w:val="auto"/>
                      <w:lang w:val="en-US" w:eastAsia="zh-CN"/>
                    </w:rPr>
                    <w:t>N1</w:t>
                  </w:r>
                </w:p>
              </w:tc>
              <w:tc>
                <w:tcPr>
                  <w:tcW w:w="1095" w:type="pct"/>
                  <w:vAlign w:val="center"/>
                </w:tcPr>
                <w:p>
                  <w:pPr>
                    <w:pStyle w:val="16"/>
                    <w:bidi w:val="0"/>
                    <w:jc w:val="center"/>
                    <w:rPr>
                      <w:rFonts w:hint="default"/>
                      <w:color w:val="auto"/>
                      <w:lang w:val="en-US" w:eastAsia="zh-CN"/>
                    </w:rPr>
                  </w:pPr>
                  <w:r>
                    <w:rPr>
                      <w:rFonts w:hint="eastAsia"/>
                      <w:color w:val="auto"/>
                      <w:lang w:val="en-US" w:eastAsia="zh-CN"/>
                    </w:rPr>
                    <w:t>大立小区居民点</w:t>
                  </w:r>
                </w:p>
              </w:tc>
              <w:tc>
                <w:tcPr>
                  <w:tcW w:w="688" w:type="pct"/>
                  <w:vAlign w:val="center"/>
                </w:tcPr>
                <w:p>
                  <w:pPr>
                    <w:pStyle w:val="16"/>
                    <w:bidi w:val="0"/>
                    <w:jc w:val="center"/>
                    <w:rPr>
                      <w:rFonts w:hint="default"/>
                      <w:color w:val="auto"/>
                      <w:lang w:val="en-US" w:eastAsia="zh-CN"/>
                    </w:rPr>
                  </w:pPr>
                  <w:r>
                    <w:rPr>
                      <w:rFonts w:hint="eastAsia"/>
                      <w:color w:val="auto"/>
                      <w:lang w:val="en-US" w:eastAsia="zh-CN"/>
                    </w:rPr>
                    <w:t>环境噪声</w:t>
                  </w:r>
                </w:p>
              </w:tc>
              <w:tc>
                <w:tcPr>
                  <w:tcW w:w="562" w:type="pct"/>
                  <w:vAlign w:val="center"/>
                </w:tcPr>
                <w:p>
                  <w:pPr>
                    <w:pStyle w:val="16"/>
                    <w:bidi w:val="0"/>
                    <w:jc w:val="center"/>
                    <w:rPr>
                      <w:rFonts w:hint="default"/>
                      <w:color w:val="auto"/>
                      <w:lang w:val="en-US" w:eastAsia="zh-CN"/>
                    </w:rPr>
                  </w:pPr>
                  <w:r>
                    <w:rPr>
                      <w:rFonts w:hint="eastAsia"/>
                      <w:color w:val="auto"/>
                      <w:lang w:val="en-US" w:eastAsia="zh-CN"/>
                    </w:rPr>
                    <w:t>52</w:t>
                  </w:r>
                </w:p>
              </w:tc>
              <w:tc>
                <w:tcPr>
                  <w:tcW w:w="562" w:type="pct"/>
                  <w:vAlign w:val="center"/>
                </w:tcPr>
                <w:p>
                  <w:pPr>
                    <w:pStyle w:val="16"/>
                    <w:bidi w:val="0"/>
                    <w:jc w:val="center"/>
                    <w:rPr>
                      <w:rFonts w:hint="default"/>
                      <w:color w:val="auto"/>
                      <w:lang w:val="en-US" w:eastAsia="zh-CN"/>
                    </w:rPr>
                  </w:pPr>
                  <w:r>
                    <w:rPr>
                      <w:rFonts w:hint="eastAsia"/>
                      <w:color w:val="auto"/>
                      <w:lang w:val="en-US" w:eastAsia="zh-CN"/>
                    </w:rPr>
                    <w:t>47</w:t>
                  </w:r>
                </w:p>
              </w:tc>
              <w:tc>
                <w:tcPr>
                  <w:tcW w:w="631" w:type="pct"/>
                  <w:vAlign w:val="center"/>
                </w:tcPr>
                <w:p>
                  <w:pPr>
                    <w:pStyle w:val="16"/>
                    <w:bidi w:val="0"/>
                    <w:jc w:val="center"/>
                    <w:rPr>
                      <w:rFonts w:hint="default"/>
                      <w:color w:val="auto"/>
                      <w:lang w:val="en-US" w:eastAsia="zh-CN"/>
                    </w:rPr>
                  </w:pPr>
                  <w:r>
                    <w:rPr>
                      <w:rFonts w:hint="eastAsia"/>
                      <w:color w:val="auto"/>
                      <w:lang w:val="en-US" w:eastAsia="zh-CN"/>
                    </w:rPr>
                    <w:t>60</w:t>
                  </w:r>
                </w:p>
              </w:tc>
              <w:tc>
                <w:tcPr>
                  <w:tcW w:w="631" w:type="pct"/>
                  <w:vAlign w:val="center"/>
                </w:tcPr>
                <w:p>
                  <w:pPr>
                    <w:pStyle w:val="16"/>
                    <w:bidi w:val="0"/>
                    <w:jc w:val="center"/>
                    <w:rPr>
                      <w:rFonts w:hint="default"/>
                      <w:color w:val="auto"/>
                      <w:lang w:val="en-US" w:eastAsia="zh-CN"/>
                    </w:rPr>
                  </w:pPr>
                  <w:r>
                    <w:rPr>
                      <w:rFonts w:hint="eastAsia"/>
                      <w:color w:val="auto"/>
                      <w:lang w:val="en-US" w:eastAsia="zh-CN"/>
                    </w:rPr>
                    <w:t>50</w:t>
                  </w:r>
                </w:p>
              </w:tc>
              <w:tc>
                <w:tcPr>
                  <w:tcW w:w="414" w:type="pct"/>
                  <w:vAlign w:val="center"/>
                </w:tcPr>
                <w:p>
                  <w:pPr>
                    <w:pStyle w:val="16"/>
                    <w:bidi w:val="0"/>
                    <w:jc w:val="center"/>
                    <w:rPr>
                      <w:rFonts w:hint="default"/>
                      <w:color w:val="auto"/>
                      <w:lang w:val="en-US" w:eastAsia="zh-CN"/>
                    </w:rPr>
                  </w:pPr>
                  <w:r>
                    <w:rPr>
                      <w:rFonts w:hint="eastAsia"/>
                      <w:color w:val="auto"/>
                      <w:lang w:val="en-US" w:eastAsia="zh-CN"/>
                    </w:rPr>
                    <w:t>达标</w:t>
                  </w:r>
                </w:p>
              </w:tc>
            </w:tr>
          </w:tbl>
          <w:p>
            <w:pPr>
              <w:pStyle w:val="3"/>
              <w:bidi w:val="0"/>
              <w:rPr>
                <w:rFonts w:hint="default" w:ascii="Times New Roman" w:hAnsi="Times New Roman" w:cs="Times New Roman"/>
                <w:color w:val="auto"/>
                <w:lang w:val="en-US" w:eastAsia="zh-CN"/>
              </w:rPr>
            </w:pPr>
            <w:bookmarkStart w:id="332" w:name="_Toc351"/>
            <w:bookmarkStart w:id="333" w:name="_Toc31268"/>
            <w:bookmarkStart w:id="334" w:name="_Toc4101"/>
            <w:bookmarkStart w:id="335" w:name="_Toc30161"/>
            <w:bookmarkStart w:id="336" w:name="_Toc9622"/>
            <w:bookmarkStart w:id="337" w:name="_Toc4789"/>
            <w:bookmarkStart w:id="338" w:name="_Toc4828"/>
            <w:bookmarkStart w:id="339" w:name="_Toc2309"/>
            <w:bookmarkStart w:id="340" w:name="_Toc7003"/>
            <w:bookmarkStart w:id="341" w:name="_Toc29988"/>
            <w:r>
              <w:rPr>
                <w:rFonts w:hint="default" w:ascii="Times New Roman" w:hAnsi="Times New Roman" w:cs="Times New Roman"/>
                <w:color w:val="auto"/>
                <w:lang w:val="en-US" w:eastAsia="zh-CN"/>
              </w:rPr>
              <w:t>4、生态环境质量现状</w:t>
            </w:r>
            <w:bookmarkEnd w:id="332"/>
            <w:bookmarkEnd w:id="333"/>
            <w:bookmarkEnd w:id="334"/>
            <w:bookmarkEnd w:id="335"/>
            <w:bookmarkEnd w:id="336"/>
            <w:bookmarkEnd w:id="337"/>
            <w:bookmarkEnd w:id="338"/>
            <w:bookmarkEnd w:id="339"/>
            <w:bookmarkEnd w:id="340"/>
            <w:bookmarkEnd w:id="341"/>
          </w:p>
          <w:p>
            <w:pPr>
              <w:bidi w:val="0"/>
              <w:rPr>
                <w:rFonts w:hint="default" w:ascii="Times New Roman" w:hAnsi="Times New Roman" w:cs="Times New Roman"/>
                <w:color w:val="auto"/>
                <w:lang w:val="en-US" w:eastAsia="zh-CN"/>
              </w:rPr>
            </w:pPr>
            <w:r>
              <w:rPr>
                <w:rFonts w:hint="default" w:ascii="Times New Roman" w:hAnsi="Times New Roman" w:cs="Times New Roman"/>
                <w:b w:val="0"/>
                <w:bCs w:val="0"/>
                <w:color w:val="auto"/>
                <w:kern w:val="0"/>
                <w:szCs w:val="21"/>
                <w:lang w:val="en-US" w:eastAsia="zh-CN"/>
              </w:rPr>
              <w:t>（1）项目所在区域主体</w:t>
            </w:r>
            <w:r>
              <w:rPr>
                <w:rFonts w:hint="default" w:ascii="Times New Roman" w:hAnsi="Times New Roman" w:cs="Times New Roman"/>
                <w:color w:val="auto"/>
                <w:lang w:val="en-US" w:eastAsia="zh-CN"/>
              </w:rPr>
              <w:t>功能区划</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湖南省主体功能区规划》，本项目评价区属于国家级重点开发区域的环长株潭城市群。该区功能定位为全国资源节约型和环境友好型社会建设的示范区，全国重要的综合交通枢纽以及交通运输设备、工程机械、节能环保装备制造、文化旅游和商贸物流基地，区域性的有色金属和生物医药、新材料、新能源、电子信息等战略性新兴产业基地。积极构建以长株潭为核心，以衡阳、岳阳、常德、益阳、娄底等重要节点城市为支撑，集约化、开放式、错位发展的空间开发格局。</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（2）项目所在区域生态功能区划</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湖南省生态功能区划研究报告》（湖南省环境保护厅等，2005），评价区属湘中-湘南低山丘陵水土保安与生态文化生态功能区。该区内有湖南省政治、文化、经济中心——长沙。区内交通方便、经济发达，城镇化和工业化程度高新技术集中，地貌类型多样，除雪峰山东麓为山地外，其余为丘陵岗地、河谷平原。气候温热，水资源丰富，是湖南重要的农业生产基地之一。除红岩盆地外，丘陵区植被恢复较好，土壤侵蚀模数逐渐下降。矿产品种丰富，蕴藏量大开发条件较好。旅游资源丰富，品种齐全，特别是人文景观资源独具特色国家级景区景点和历史文物较集中。人口密度大，垦殖指数高，水土流失潜在威胁十分严重。碳酸盐岩类和红岩类地区，地表水资源缺乏，夏秋干旱严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（3）土地利用类型</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衡阳市土地利用总体规划（2006-2020年）》，评价区属中部岗地平原地区。该区包括蒸湘、石鼓、雁峰和珠晖四区，面积为51803公顷，占全市土地总面积的3.39%，是湘南中心城市和交通物流中心。本区城镇村及工矿用地、交通用地、园地、水域的比例和土地利用效益均高于其他土地利用区，但“三废”污染较严重，洪水对城镇威胁大。</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土地利用分区管制规则为合理控制城镇建设用地规模，促进中心城区节约集约利用土地；优化城市内部功能分区，加快中心城区基础设施建设，改善人均生态环境；发展城郊休闲生态农业，积极改善环境，以“三江六岸”和城郊休闲公园为骨架，建设城市生态屏障。</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（4）陆生生态现状</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区所在的衡阳市陆生自然植被以樟科、壳斗科、山茶科、山矾科、冬青科和禾本科刚竹属的植物为主。丘陵坡地区主要自然植被为亚热带常绿阔叶林（次生林）、常绿与落叶阔叶混交林、落叶阔叶林、竹林、低丘针叶林和针阔叶混交林，人工植被有国外松林、杉木林、杨树林、油茶林、柑桔林等等，主要植物种类有：马尾松、国外松（以湿地松为主）、杉木、枫香、樟树、马褂木、酸枣树、油茶、石栎、毛竹、盐肤木、构树、朴树、杜鹃、继木、柃木、假死柴、白茅、冬茅、蕨、五节芒、莎草、狗牙根、蓼、一年篷等，丘陵坡地区植被覆盖率高，森林覆盖率也较高；丘间平地区地表覆盖物以农田植被为主，兼有林带、旱地草丛和河滩草甸植被，主要农作物有水田和旱地作物，林地以田间四旁林、农田防护林带、果园林和宅基地稀疏林、堤岸防护林带为主，丘间平地区植被覆盖率高，但森林覆盖率较低。衡阳市林草覆盖率为51.76%，湿地松为主。</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已知衡阳市有兽类和鸟类200余种，其中兽类30种，鸟类17目40科170种以上。国家一级保护动物有云豹、白鹳、河鹿（车獐）、中华秋沙鸭。国家二级保护动物有穿山甲、虎纹蛙、水獭、大灵猫、小灵猫、果子狸、水鹿、斑羚、鏖麝、鸳鸯。猛禽类有草峭、猫头鹰、褐林峭、短耳峭、大庐、红脚隼、白鹇、峭鹞、白冠长尾雉、红腹角雉、大鲵等。省重点保护动物有白鹭、环颈雉、竹鸡，白骨顶、珠颈斑鸠、华南虎、山斑鸠、苍鹭、牛背鹭、颅滋、中华竹鼠、银星竹鼠、狐、青鼬、貉、豹猫、蛇、蟾蛙等30余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（5）水生生态现状</w:t>
            </w:r>
          </w:p>
          <w:p>
            <w:pPr>
              <w:bidi w:val="0"/>
              <w:rPr>
                <w:rFonts w:hint="eastAsia" w:cs="Times New Roman"/>
                <w:color w:val="auto"/>
                <w:lang w:val="en-US" w:eastAsia="zh-CN"/>
              </w:rPr>
            </w:pPr>
            <w:r>
              <w:rPr>
                <w:rFonts w:hint="default" w:ascii="Times New Roman" w:hAnsi="Times New Roman" w:cs="Times New Roman"/>
                <w:color w:val="auto"/>
                <w:lang w:val="en-US" w:eastAsia="zh-CN"/>
              </w:rPr>
              <w:t>①浮游植物</w:t>
            </w:r>
            <w:r>
              <w:rPr>
                <w:rFonts w:hint="eastAsia" w:cs="Times New Roman"/>
                <w:color w:val="auto"/>
                <w:lang w:val="en-US" w:eastAsia="zh-CN"/>
              </w:rPr>
              <w:t>现状与评价</w:t>
            </w:r>
          </w:p>
          <w:p>
            <w:pPr>
              <w:bidi w:val="0"/>
              <w:rPr>
                <w:rFonts w:hint="eastAsia" w:cs="Times New Roman"/>
                <w:color w:val="auto"/>
                <w:lang w:val="en-US" w:eastAsia="zh-CN"/>
              </w:rPr>
            </w:pPr>
            <w:r>
              <w:rPr>
                <w:rFonts w:hint="eastAsia" w:cs="Times New Roman"/>
                <w:color w:val="auto"/>
                <w:lang w:val="en-US" w:eastAsia="zh-CN"/>
              </w:rPr>
              <w:t>a.种类组成</w:t>
            </w:r>
          </w:p>
          <w:p>
            <w:pPr>
              <w:bidi w:val="0"/>
              <w:rPr>
                <w:rFonts w:hint="eastAsia" w:cs="Times New Roman"/>
                <w:color w:val="auto"/>
                <w:lang w:val="en-US" w:eastAsia="zh-CN"/>
              </w:rPr>
            </w:pPr>
            <w:r>
              <w:rPr>
                <w:rFonts w:hint="eastAsia" w:cs="Times New Roman"/>
                <w:color w:val="auto"/>
                <w:lang w:val="en-US" w:eastAsia="zh-CN"/>
              </w:rPr>
              <w:t>根据《衡阳市渔政执法码头建设对湘江衡阳段四大家鱼国家级水产种质资源保护区影响专题论证报告》，调查期间，衡阳市共检出浮游植物29种，分属于5门17属。从藻类组成来看，水域中浮游植物以硅藻门种类最多，8属12种，占总数的32.43%；其次为绿藻门8属10种，占总数的27.03%；蓝藻门5属6种，占总数的16.22%；隐藻门2属4种，裸藻门1属3种，甲藻门2属2种，种类相对最少。常见的优势种类有硅藻门直链藻属Metosira的变形直链藻、针杆藻属Synedra的肘状针杆藻，蓝藻门色球藻属的小色球藻，裸藻门裸藻属Euglena的梭形裸藻。</w:t>
            </w:r>
          </w:p>
          <w:p>
            <w:pPr>
              <w:bidi w:val="0"/>
              <w:rPr>
                <w:rFonts w:hint="eastAsia" w:cs="Times New Roman"/>
                <w:color w:val="auto"/>
                <w:lang w:val="en-US" w:eastAsia="zh-CN"/>
              </w:rPr>
            </w:pPr>
            <w:r>
              <w:rPr>
                <w:rFonts w:hint="eastAsia" w:cs="Times New Roman"/>
                <w:color w:val="auto"/>
                <w:lang w:val="en-US" w:eastAsia="zh-CN"/>
              </w:rPr>
              <w:t>b.浮游植物现存量</w:t>
            </w:r>
          </w:p>
          <w:p>
            <w:pPr>
              <w:bidi w:val="0"/>
              <w:rPr>
                <w:rFonts w:hint="eastAsia" w:cs="Times New Roman"/>
                <w:color w:val="auto"/>
                <w:lang w:val="en-US" w:eastAsia="zh-CN"/>
              </w:rPr>
            </w:pPr>
            <w:r>
              <w:rPr>
                <w:rFonts w:hint="default" w:cs="Times New Roman"/>
                <w:color w:val="auto"/>
                <w:lang w:val="en-US" w:eastAsia="zh-CN"/>
              </w:rPr>
              <w:t>采样点的浮游植物密度均值为2.04×10</w:t>
            </w:r>
            <w:r>
              <w:rPr>
                <w:rFonts w:hint="default" w:cs="Times New Roman"/>
                <w:color w:val="auto"/>
                <w:vertAlign w:val="superscript"/>
                <w:lang w:val="en-US" w:eastAsia="zh-CN"/>
              </w:rPr>
              <w:t>5</w:t>
            </w:r>
            <w:r>
              <w:rPr>
                <w:rFonts w:hint="default" w:cs="Times New Roman"/>
                <w:color w:val="auto"/>
                <w:lang w:val="en-US" w:eastAsia="zh-CN"/>
              </w:rPr>
              <w:t>ind./L，生物量均值为0.281mg/L</w:t>
            </w:r>
            <w:r>
              <w:rPr>
                <w:rFonts w:hint="eastAsia" w:cs="Times New Roman"/>
                <w:color w:val="auto"/>
                <w:lang w:val="en-US" w:eastAsia="zh-CN"/>
              </w:rPr>
              <w:t>。</w:t>
            </w:r>
          </w:p>
          <w:p>
            <w:pPr>
              <w:bidi w:val="0"/>
              <w:rPr>
                <w:rFonts w:hint="eastAsia" w:cs="Times New Roman"/>
                <w:color w:val="auto"/>
                <w:lang w:val="en-US" w:eastAsia="zh-CN"/>
              </w:rPr>
            </w:pPr>
            <w:r>
              <w:rPr>
                <w:rFonts w:hint="eastAsia" w:cs="Times New Roman"/>
                <w:color w:val="auto"/>
                <w:lang w:val="en-US" w:eastAsia="zh-CN"/>
              </w:rPr>
              <w:t>c.浮游植物综合分析</w:t>
            </w:r>
          </w:p>
          <w:p>
            <w:pPr>
              <w:bidi w:val="0"/>
              <w:rPr>
                <w:rFonts w:hint="default" w:cs="Times New Roman"/>
                <w:color w:val="auto"/>
                <w:lang w:val="en-US" w:eastAsia="zh-CN"/>
              </w:rPr>
            </w:pPr>
            <w:r>
              <w:rPr>
                <w:rFonts w:hint="default" w:cs="Times New Roman"/>
                <w:color w:val="auto"/>
                <w:lang w:val="en-US" w:eastAsia="zh-CN"/>
              </w:rPr>
              <w:t>调查江段河道宽阔，水流较缓，作为开放性河流生态系统，其浮游植物主要依赖于上游输入和支流汇入。调查江段浮游植物现存量总体水平较低，表现出以硅藻为主，同时绿藻和蓝藻也占较高比例的缓流生境浮游植物组成特点。</w:t>
            </w:r>
          </w:p>
          <w:p>
            <w:pPr>
              <w:bidi w:val="0"/>
              <w:rPr>
                <w:rFonts w:hint="eastAsia" w:cs="Times New Roman"/>
                <w:color w:val="auto"/>
                <w:lang w:val="en-US" w:eastAsia="zh-CN"/>
              </w:rPr>
            </w:pPr>
            <w:r>
              <w:rPr>
                <w:rFonts w:hint="eastAsia" w:cs="Times New Roman"/>
                <w:color w:val="auto"/>
                <w:lang w:val="en-US" w:eastAsia="zh-CN"/>
              </w:rPr>
              <w:t>②浮游动物现状与评价</w:t>
            </w:r>
          </w:p>
          <w:p>
            <w:pPr>
              <w:bidi w:val="0"/>
              <w:rPr>
                <w:rFonts w:hint="eastAsia" w:cs="Times New Roman"/>
                <w:color w:val="auto"/>
                <w:lang w:val="en-US" w:eastAsia="zh-CN"/>
              </w:rPr>
            </w:pPr>
            <w:r>
              <w:rPr>
                <w:rFonts w:hint="eastAsia" w:cs="Times New Roman"/>
                <w:color w:val="auto"/>
                <w:lang w:val="en-US" w:eastAsia="zh-CN"/>
              </w:rPr>
              <w:t>a.种类组成</w:t>
            </w:r>
          </w:p>
          <w:p>
            <w:pPr>
              <w:bidi w:val="0"/>
              <w:rPr>
                <w:rFonts w:hint="default" w:cs="Times New Roman"/>
                <w:color w:val="auto"/>
                <w:lang w:val="en-US" w:eastAsia="zh-CN"/>
              </w:rPr>
            </w:pPr>
            <w:r>
              <w:rPr>
                <w:rFonts w:hint="default" w:cs="Times New Roman"/>
                <w:color w:val="auto"/>
                <w:lang w:val="en-US" w:eastAsia="zh-CN"/>
              </w:rPr>
              <w:t>调查中共检测到浮游动物26种（附表3），其中原生动物8种，占总种数的30.77%；轮虫9种，占总种数的34.62%；枝角类5种，占总种数的19.23%；桡足类4种，占总种数的15.38%。不同采样点的浮游动物种类数较接近，为17～20种，种类组成的重复率较高。</w:t>
            </w:r>
          </w:p>
          <w:p>
            <w:pPr>
              <w:bidi w:val="0"/>
              <w:rPr>
                <w:rFonts w:hint="default" w:cs="Times New Roman"/>
                <w:color w:val="auto"/>
                <w:lang w:val="en-US" w:eastAsia="zh-CN"/>
              </w:rPr>
            </w:pPr>
            <w:r>
              <w:rPr>
                <w:rFonts w:hint="default" w:cs="Times New Roman"/>
                <w:color w:val="auto"/>
                <w:lang w:val="en-US" w:eastAsia="zh-CN"/>
              </w:rPr>
              <w:t>分布较广泛的优势物种有：原生动物中的冠砂壳虫（Difflugia corona）、变形虫（Amoeba sp.），轮虫中的螺形龟甲轮虫（Keratella cochlearis）、萼花臂尾轮虫（Brachionus calyciflorus）、长三肢轮虫（Filinia longiseta），枝角类中长额象鼻溞（Bosmina longirostris）、圆形盘肠溞（Chydorussphaericus）和桡足类广布中剑水蚤（Mesocyclops leuckarti）等。</w:t>
            </w:r>
          </w:p>
          <w:p>
            <w:pPr>
              <w:bidi w:val="0"/>
              <w:rPr>
                <w:rFonts w:hint="eastAsia" w:cs="Times New Roman"/>
                <w:color w:val="auto"/>
                <w:lang w:val="en-US" w:eastAsia="zh-CN"/>
              </w:rPr>
            </w:pPr>
            <w:r>
              <w:rPr>
                <w:rFonts w:hint="eastAsia" w:cs="Times New Roman"/>
                <w:color w:val="auto"/>
                <w:lang w:val="en-US" w:eastAsia="zh-CN"/>
              </w:rPr>
              <w:t>b.浮游动物的现存量</w:t>
            </w:r>
          </w:p>
          <w:p>
            <w:pPr>
              <w:bidi w:val="0"/>
              <w:rPr>
                <w:rFonts w:hint="default" w:cs="Times New Roman"/>
                <w:color w:val="auto"/>
                <w:lang w:val="en-US" w:eastAsia="zh-CN"/>
              </w:rPr>
            </w:pPr>
            <w:r>
              <w:rPr>
                <w:rFonts w:hint="default" w:cs="Times New Roman"/>
                <w:color w:val="auto"/>
                <w:lang w:val="en-US" w:eastAsia="zh-CN"/>
              </w:rPr>
              <w:t>采样点的浮游动物生物量均值为0.022mg/L，按从高到低依次为枝角类、轮虫、桡足类、原生动物。</w:t>
            </w:r>
          </w:p>
          <w:p>
            <w:pPr>
              <w:bidi w:val="0"/>
              <w:rPr>
                <w:rFonts w:hint="eastAsia" w:cs="Times New Roman"/>
                <w:color w:val="auto"/>
                <w:lang w:val="en-US" w:eastAsia="zh-CN"/>
              </w:rPr>
            </w:pPr>
            <w:r>
              <w:rPr>
                <w:rFonts w:hint="eastAsia" w:cs="Times New Roman"/>
                <w:color w:val="auto"/>
                <w:lang w:val="en-US" w:eastAsia="zh-CN"/>
              </w:rPr>
              <w:t>c.浮游动物综合分析</w:t>
            </w:r>
          </w:p>
          <w:p>
            <w:pPr>
              <w:bidi w:val="0"/>
              <w:rPr>
                <w:rFonts w:hint="default" w:cs="Times New Roman"/>
                <w:color w:val="auto"/>
                <w:lang w:val="en-US" w:eastAsia="zh-CN"/>
              </w:rPr>
            </w:pPr>
            <w:r>
              <w:rPr>
                <w:rFonts w:hint="default" w:cs="Times New Roman"/>
                <w:color w:val="auto"/>
                <w:lang w:val="en-US" w:eastAsia="zh-CN"/>
              </w:rPr>
              <w:t>浮游动物整体分布特征与浮游植物较为接近，由于调查江段河道宽阔，水流较缓，其浮游动物也主要依赖于上游输入和支流汇入。</w:t>
            </w:r>
          </w:p>
          <w:p>
            <w:pPr>
              <w:bidi w:val="0"/>
              <w:rPr>
                <w:rFonts w:hint="eastAsia" w:cs="Times New Roman"/>
                <w:color w:val="auto"/>
                <w:lang w:val="en-US" w:eastAsia="zh-CN"/>
              </w:rPr>
            </w:pPr>
            <w:r>
              <w:rPr>
                <w:rFonts w:hint="eastAsia" w:cs="Times New Roman"/>
                <w:color w:val="auto"/>
                <w:lang w:val="en-US" w:eastAsia="zh-CN"/>
              </w:rPr>
              <w:t>③底栖动物现状与评价</w:t>
            </w:r>
          </w:p>
          <w:p>
            <w:pPr>
              <w:bidi w:val="0"/>
              <w:rPr>
                <w:rFonts w:hint="eastAsia" w:cs="Times New Roman"/>
                <w:color w:val="auto"/>
                <w:lang w:val="en-US" w:eastAsia="zh-CN"/>
              </w:rPr>
            </w:pPr>
            <w:r>
              <w:rPr>
                <w:rFonts w:hint="eastAsia" w:cs="Times New Roman"/>
                <w:color w:val="auto"/>
                <w:lang w:val="en-US" w:eastAsia="zh-CN"/>
              </w:rPr>
              <w:t>a.种类组成</w:t>
            </w:r>
          </w:p>
          <w:p>
            <w:pPr>
              <w:bidi w:val="0"/>
              <w:rPr>
                <w:rFonts w:hint="default" w:cs="Times New Roman"/>
                <w:color w:val="auto"/>
                <w:lang w:val="en-US" w:eastAsia="zh-CN"/>
              </w:rPr>
            </w:pPr>
            <w:r>
              <w:rPr>
                <w:rFonts w:hint="default" w:cs="Times New Roman"/>
                <w:color w:val="auto"/>
                <w:lang w:val="en-US" w:eastAsia="zh-CN"/>
              </w:rPr>
              <w:t>通过现场调查、采样、分析，共鉴定出底栖动物26种属，包括水生寡毛类、软体动物、水生昆虫和甲壳动物等类群，以软体动物为绝对优势类群，其次为水生寡毛类。</w:t>
            </w:r>
          </w:p>
          <w:p>
            <w:pPr>
              <w:bidi w:val="0"/>
              <w:rPr>
                <w:rFonts w:hint="eastAsia" w:cs="Times New Roman"/>
                <w:color w:val="auto"/>
                <w:lang w:val="en-US" w:eastAsia="zh-CN"/>
              </w:rPr>
            </w:pPr>
            <w:r>
              <w:rPr>
                <w:rFonts w:hint="eastAsia" w:cs="Times New Roman"/>
                <w:color w:val="auto"/>
                <w:lang w:val="en-US" w:eastAsia="zh-CN"/>
              </w:rPr>
              <w:t>b.底栖动物现存量</w:t>
            </w:r>
          </w:p>
          <w:p>
            <w:pPr>
              <w:bidi w:val="0"/>
              <w:rPr>
                <w:rFonts w:hint="eastAsia" w:cs="Times New Roman"/>
                <w:color w:val="auto"/>
                <w:lang w:val="en-US" w:eastAsia="zh-CN"/>
              </w:rPr>
            </w:pPr>
            <w:r>
              <w:rPr>
                <w:rFonts w:hint="eastAsia" w:cs="Times New Roman"/>
                <w:color w:val="auto"/>
                <w:lang w:val="en-US" w:eastAsia="zh-CN"/>
              </w:rPr>
              <w:t>采样点的底栖动物生物量均值为14.7g/m</w:t>
            </w:r>
            <w:r>
              <w:rPr>
                <w:rFonts w:hint="eastAsia" w:cs="Times New Roman"/>
                <w:color w:val="auto"/>
                <w:vertAlign w:val="superscript"/>
                <w:lang w:val="en-US" w:eastAsia="zh-CN"/>
              </w:rPr>
              <w:t>2</w:t>
            </w:r>
            <w:r>
              <w:rPr>
                <w:rFonts w:hint="eastAsia" w:cs="Times New Roman"/>
                <w:color w:val="auto"/>
                <w:lang w:val="en-US" w:eastAsia="zh-CN"/>
              </w:rPr>
              <w:t>。</w:t>
            </w:r>
          </w:p>
          <w:p>
            <w:pPr>
              <w:bidi w:val="0"/>
              <w:rPr>
                <w:rFonts w:hint="eastAsia" w:cs="Times New Roman"/>
                <w:color w:val="auto"/>
                <w:lang w:val="en-US" w:eastAsia="zh-CN"/>
              </w:rPr>
            </w:pPr>
            <w:r>
              <w:rPr>
                <w:rFonts w:hint="eastAsia" w:cs="Times New Roman"/>
                <w:color w:val="auto"/>
                <w:lang w:val="en-US" w:eastAsia="zh-CN"/>
              </w:rPr>
              <w:t>c.底栖动物综合评价</w:t>
            </w:r>
          </w:p>
          <w:p>
            <w:pPr>
              <w:bidi w:val="0"/>
              <w:rPr>
                <w:rFonts w:hint="default" w:cs="Times New Roman"/>
                <w:color w:val="auto"/>
                <w:lang w:val="en-US" w:eastAsia="zh-CN"/>
              </w:rPr>
            </w:pPr>
            <w:r>
              <w:rPr>
                <w:rFonts w:hint="default" w:cs="Times New Roman"/>
                <w:color w:val="auto"/>
                <w:lang w:val="en-US" w:eastAsia="zh-CN"/>
              </w:rPr>
              <w:t>湘江干流底栖动物种类数相对较多，各江段底栖动物种类结构差异水平分布差异不明显。整体来说，衡阳市渔政码头由于处于支流蒸水，水流量较湘江干流较缓，其底栖生物种类数与现存量均较其他江段稍高。</w:t>
            </w:r>
          </w:p>
          <w:p>
            <w:pPr>
              <w:bidi w:val="0"/>
              <w:rPr>
                <w:rFonts w:hint="eastAsia" w:cs="Times New Roman"/>
                <w:color w:val="auto"/>
                <w:lang w:val="en-US" w:eastAsia="zh-CN"/>
              </w:rPr>
            </w:pPr>
            <w:r>
              <w:rPr>
                <w:rFonts w:hint="eastAsia" w:cs="Times New Roman"/>
                <w:color w:val="auto"/>
                <w:lang w:val="en-US" w:eastAsia="zh-CN"/>
              </w:rPr>
              <w:t>④高等水生植物现状与评价</w:t>
            </w:r>
          </w:p>
          <w:p>
            <w:pPr>
              <w:bidi w:val="0"/>
              <w:rPr>
                <w:rFonts w:hint="default" w:cs="Times New Roman"/>
                <w:color w:val="auto"/>
                <w:lang w:val="en-US" w:eastAsia="zh-CN"/>
              </w:rPr>
            </w:pPr>
            <w:r>
              <w:rPr>
                <w:rFonts w:hint="default" w:cs="Times New Roman"/>
                <w:color w:val="auto"/>
                <w:lang w:val="en-US" w:eastAsia="zh-CN"/>
              </w:rPr>
              <w:t>调查区域少有浅滩分布，水生维管束植物不易生长，因此水生高等植物种类相对较少。调查共发现高等植物11种，其中挺水植物3种、沉水植物3种、漂浮植物2种和浮叶植物1种（附表5）。整体来说，水生高等植物的分布呈点状和小面积分布，且由于浅滩较少，挺水植物的数量相对较少，沉水植物在数量上占较大优势，苦草（Vallisneria）与水芹（Oenanthe</w:t>
            </w:r>
            <w:r>
              <w:rPr>
                <w:rFonts w:hint="eastAsia" w:cs="Times New Roman"/>
                <w:color w:val="auto"/>
                <w:lang w:val="en-US" w:eastAsia="zh-CN"/>
              </w:rPr>
              <w:t xml:space="preserve"> </w:t>
            </w:r>
            <w:r>
              <w:rPr>
                <w:rFonts w:hint="default" w:cs="Times New Roman"/>
                <w:color w:val="auto"/>
                <w:lang w:val="en-US" w:eastAsia="zh-CN"/>
              </w:rPr>
              <w:t>javanica）等种类为调查范围内的相对优势种。</w:t>
            </w:r>
          </w:p>
          <w:p>
            <w:pPr>
              <w:bidi w:val="0"/>
              <w:rPr>
                <w:rFonts w:hint="eastAsia" w:cs="Times New Roman"/>
                <w:color w:val="auto"/>
                <w:lang w:val="en-US" w:eastAsia="zh-CN"/>
              </w:rPr>
            </w:pPr>
            <w:r>
              <w:rPr>
                <w:rFonts w:hint="eastAsia" w:cs="Times New Roman"/>
                <w:color w:val="auto"/>
                <w:lang w:val="en-US" w:eastAsia="zh-CN"/>
              </w:rPr>
              <w:t>⑤鱼类区系现状与评价</w:t>
            </w:r>
          </w:p>
          <w:p>
            <w:pPr>
              <w:bidi w:val="0"/>
              <w:rPr>
                <w:rFonts w:hint="default" w:cs="Times New Roman"/>
                <w:color w:val="auto"/>
                <w:lang w:val="en-US" w:eastAsia="zh-CN"/>
              </w:rPr>
            </w:pPr>
            <w:r>
              <w:rPr>
                <w:rFonts w:hint="default" w:cs="Times New Roman"/>
                <w:color w:val="auto"/>
                <w:lang w:val="en-US" w:eastAsia="zh-CN"/>
              </w:rPr>
              <w:t>根据湖南省1973年全省进行的鱼类资源普查、1983年进行的全省渔业区划及《湖南鱼类志》信息，记录到湘江水系鱼类共有152种。分隶于10目26科，占长江水系的鱼类总数（370种）41.1%。目级水平显示：鲤形目（Cypriniformes）是湘江鱼类的主要构成类群，有103种，占总数的67.8%；其次是鲇形目（Silurformes）和鲈形目（Perciformes），分别为18和17种，分别占11.8%和11.2%；其它7目共14种，共占9.2%。从科级水平分析：鲤科（Cyprinidae）鱼类最为丰富，有87种，占湘江水系鱼类总数的57.2%；其次是鲿科（Bagridae）和鳜科（Sinipercidae），分别为11种和8种，占湘江水系鱼类总数的7.2%和5.3%；其余23科的种数较少，共计有46种，占湘江水系鱼类总数的30.3%。</w:t>
            </w:r>
          </w:p>
          <w:p>
            <w:pPr>
              <w:bidi w:val="0"/>
              <w:rPr>
                <w:rFonts w:hint="eastAsia" w:cs="Times New Roman"/>
                <w:color w:val="auto"/>
                <w:lang w:val="en-US" w:eastAsia="zh-CN"/>
              </w:rPr>
            </w:pPr>
            <w:r>
              <w:rPr>
                <w:rFonts w:hint="default" w:cs="Times New Roman"/>
                <w:color w:val="auto"/>
                <w:lang w:val="en-US" w:eastAsia="zh-CN"/>
              </w:rPr>
              <w:t>2008年以后，湘江共调查到湘江水系鱼类总共142种（包括亚种），有13种未找到标本，隶属于10目22科，占长江水系的鱼类总数（370种）38.4%。在目级水平上，鲤形目（Cypriniformes）鱼类为大宗，共有100种，占湘江水系鱼类总数的71.1%；其次是鲈形目（Perciformes）和鲇形目（Silurformes），分别为18和16种，分别占12.7%和11.3%；其它7目共8种，共占5.6%。科级水平上，鲤科（Cyprinidae）鱼类最为丰富，有78种，占湘江水系鱼类总数的54.9%；其次是鳅科（Cobitidae）和鲿科（Bagridae），分别为16种和11种，占湘江水系鱼类总数的11.3%和7.7%；其余19科的种数较少，共计有37种，占湘江水系鱼类总数的26.1%</w:t>
            </w:r>
            <w:r>
              <w:rPr>
                <w:rFonts w:hint="eastAsia" w:cs="Times New Roman"/>
                <w:color w:val="auto"/>
                <w:lang w:val="en-US" w:eastAsia="zh-CN"/>
              </w:rPr>
              <w:t>。</w:t>
            </w:r>
          </w:p>
          <w:p>
            <w:pPr>
              <w:bidi w:val="0"/>
              <w:rPr>
                <w:rFonts w:hint="eastAsia" w:cs="Times New Roman"/>
                <w:color w:val="auto"/>
                <w:lang w:val="en-US" w:eastAsia="zh-CN"/>
              </w:rPr>
            </w:pPr>
            <w:r>
              <w:rPr>
                <w:rFonts w:hint="eastAsia" w:cs="Times New Roman"/>
                <w:color w:val="auto"/>
                <w:lang w:val="en-US" w:eastAsia="zh-CN"/>
              </w:rPr>
              <w:t>⑥珍稀、特有和濒危水生生物现状与评价</w:t>
            </w:r>
          </w:p>
          <w:p>
            <w:pPr>
              <w:bidi w:val="0"/>
              <w:rPr>
                <w:rFonts w:hint="default" w:cs="Times New Roman"/>
                <w:color w:val="auto"/>
                <w:lang w:val="en-US" w:eastAsia="zh-CN"/>
              </w:rPr>
            </w:pPr>
            <w:r>
              <w:rPr>
                <w:rFonts w:hint="default" w:cs="Times New Roman"/>
                <w:color w:val="auto"/>
                <w:lang w:val="en-US" w:eastAsia="zh-CN"/>
              </w:rPr>
              <w:t>目前，江段共调查到的珍稀、特有和濒危水生生物近40种，其中，江豚、中华鲟、鲥、鯮、中华倒刺鲃、刺鲃、白甲鱼、稀有白甲鱼、吉首光唇鱼、湖南吻鮈、岩原鲤、厚唇原吸鳅等鱼类在评价区已多年未发现。衡阳薄鳅、鳤、瓣结鱼、湘江蛇鮈、叉尾斗鱼、月鳢等鱼类为缓流、静水生态型，对环境的生态需求较宽，分布范围相对较广，现有极少量分布。但在本次现场调查中均未采集到相关样品。</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（6）生态环境现状评价结论</w:t>
            </w:r>
          </w:p>
          <w:p>
            <w:pPr>
              <w:bidi w:val="0"/>
              <w:rPr>
                <w:rFonts w:hint="default" w:ascii="Times New Roman" w:hAnsi="Times New Roman" w:cs="Times New Roman"/>
                <w:b w:val="0"/>
                <w:bCs w:val="0"/>
                <w:color w:val="auto"/>
                <w:kern w:val="0"/>
                <w:szCs w:val="21"/>
                <w:lang w:val="en-US" w:eastAsia="zh-CN"/>
              </w:rPr>
            </w:pPr>
            <w:r>
              <w:rPr>
                <w:rFonts w:hint="default" w:ascii="Times New Roman" w:hAnsi="Times New Roman" w:cs="Times New Roman"/>
                <w:color w:val="auto"/>
                <w:lang w:val="en-US" w:eastAsia="zh-CN"/>
              </w:rPr>
              <w:t>根据实地调查及查询相关资料，评价区有分布野生状态的受保护鱼类，本项目</w:t>
            </w:r>
            <w:r>
              <w:rPr>
                <w:rFonts w:hint="eastAsia" w:cs="Times New Roman"/>
                <w:color w:val="auto"/>
                <w:lang w:val="en-US" w:eastAsia="zh-CN"/>
              </w:rPr>
              <w:t>依托现有码头改建，致力于</w:t>
            </w:r>
            <w:r>
              <w:rPr>
                <w:rFonts w:hint="default" w:ascii="Times New Roman" w:hAnsi="Times New Roman" w:cs="Times New Roman"/>
                <w:color w:val="auto"/>
                <w:lang w:val="en-US" w:eastAsia="zh-CN"/>
              </w:rPr>
              <w:t>对野生物种的保护、救助工作。此外，建设区范围内没有风景名胜、自然景观等环境敏感点。综上，说明本项目区域</w:t>
            </w:r>
            <w:r>
              <w:rPr>
                <w:rFonts w:hint="eastAsia" w:cs="Times New Roman"/>
                <w:color w:val="auto"/>
                <w:lang w:val="en-US" w:eastAsia="zh-CN"/>
              </w:rPr>
              <w:t>选址合理，对区域生态环境具有积极效果</w:t>
            </w:r>
            <w:r>
              <w:rPr>
                <w:rFonts w:hint="default" w:ascii="Times New Roman" w:hAnsi="Times New Roman" w:cs="Times New Roman"/>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04" w:type="dxa"/>
            <w:noWrap w:val="0"/>
            <w:vAlign w:val="center"/>
          </w:tcPr>
          <w:p>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bCs/>
                <w:color w:val="auto"/>
                <w:szCs w:val="21"/>
              </w:rPr>
              <w:t>与项目有关的原有环境污染和生态破坏问题</w:t>
            </w:r>
          </w:p>
        </w:tc>
        <w:tc>
          <w:tcPr>
            <w:tcW w:w="8253" w:type="dxa"/>
            <w:noWrap w:val="0"/>
            <w:vAlign w:val="center"/>
          </w:tcPr>
          <w:p>
            <w:pPr>
              <w:pStyle w:val="3"/>
              <w:bidi w:val="0"/>
              <w:rPr>
                <w:rFonts w:hint="default"/>
                <w:color w:val="auto"/>
                <w:lang w:val="en-US" w:eastAsia="zh-CN"/>
              </w:rPr>
            </w:pPr>
            <w:bookmarkStart w:id="342" w:name="_Toc16470"/>
            <w:bookmarkStart w:id="343" w:name="_Toc17498"/>
            <w:bookmarkStart w:id="344" w:name="_Toc26551"/>
            <w:bookmarkStart w:id="345" w:name="_Toc13445"/>
            <w:bookmarkStart w:id="346" w:name="_Toc31199"/>
            <w:bookmarkStart w:id="347" w:name="_Toc24355"/>
            <w:bookmarkStart w:id="348" w:name="_Toc21778"/>
            <w:bookmarkStart w:id="349" w:name="_Toc3813"/>
            <w:bookmarkStart w:id="350" w:name="_Toc23648"/>
            <w:bookmarkStart w:id="351" w:name="_Toc28434"/>
            <w:r>
              <w:rPr>
                <w:rFonts w:hint="eastAsia"/>
                <w:color w:val="auto"/>
                <w:lang w:val="en-US" w:eastAsia="zh-CN"/>
              </w:rPr>
              <w:t>1、项目现有工程</w:t>
            </w:r>
            <w:bookmarkEnd w:id="342"/>
            <w:bookmarkEnd w:id="343"/>
            <w:bookmarkEnd w:id="344"/>
            <w:bookmarkEnd w:id="345"/>
            <w:bookmarkEnd w:id="346"/>
            <w:bookmarkEnd w:id="347"/>
            <w:bookmarkEnd w:id="348"/>
          </w:p>
          <w:p>
            <w:pPr>
              <w:pStyle w:val="4"/>
              <w:bidi w:val="0"/>
              <w:rPr>
                <w:rFonts w:hint="default" w:ascii="Times New Roman" w:hAnsi="Times New Roman" w:cs="Times New Roman"/>
                <w:color w:val="auto"/>
                <w:lang w:val="en-US" w:eastAsia="zh-CN"/>
              </w:rPr>
            </w:pPr>
            <w:bookmarkStart w:id="352" w:name="_Toc10093"/>
            <w:bookmarkStart w:id="353" w:name="_Toc15316"/>
            <w:bookmarkStart w:id="354" w:name="_Toc2696"/>
            <w:bookmarkStart w:id="355" w:name="_Toc6539"/>
            <w:bookmarkStart w:id="356" w:name="_Toc31799"/>
            <w:bookmarkStart w:id="357" w:name="_Toc20755"/>
            <w:r>
              <w:rPr>
                <w:rFonts w:hint="eastAsia" w:cs="Times New Roman"/>
                <w:color w:val="auto"/>
                <w:lang w:val="en-US" w:eastAsia="zh-CN"/>
              </w:rPr>
              <w:t>1</w:t>
            </w:r>
            <w:r>
              <w:rPr>
                <w:rFonts w:hint="default" w:ascii="Times New Roman" w:hAnsi="Times New Roman" w:cs="Times New Roman"/>
                <w:color w:val="auto"/>
                <w:lang w:val="en-US" w:eastAsia="zh-CN"/>
              </w:rPr>
              <w:t>.1 通航船型</w:t>
            </w:r>
            <w:bookmarkEnd w:id="349"/>
            <w:bookmarkEnd w:id="350"/>
            <w:bookmarkEnd w:id="351"/>
            <w:bookmarkEnd w:id="352"/>
            <w:bookmarkEnd w:id="353"/>
            <w:bookmarkEnd w:id="354"/>
            <w:bookmarkEnd w:id="355"/>
            <w:bookmarkEnd w:id="356"/>
            <w:bookmarkEnd w:id="357"/>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积极适应新时代新形势对渔政执法工作的新要求，保障长江禁捕等重大战略决策的落实落地，农业农村部2020年11月发布了《渔政执法装备配备指导标准》，按执法区域和队伍性质提出了省市县三级渔政执法机构执法装备配备的项目和数量，其中内陆集中行使渔业执法职能的农业综合行政执法机构渔政执法装备配备指导标准指出：地市级（支队）配备停泊50吨级以上船舶渔政执勤码头或趸船1座（限大江大湖、边境交界水域地区）。</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目前衡阳市有</w:t>
            </w:r>
            <w:r>
              <w:rPr>
                <w:rFonts w:hint="eastAsia" w:cs="Times New Roman"/>
                <w:color w:val="auto"/>
                <w:lang w:val="en-US" w:eastAsia="zh-CN"/>
              </w:rPr>
              <w:t>6艘执法艇</w:t>
            </w:r>
            <w:r>
              <w:rPr>
                <w:rFonts w:hint="default" w:ascii="Times New Roman" w:hAnsi="Times New Roman" w:cs="Times New Roman"/>
                <w:color w:val="auto"/>
                <w:lang w:val="en-US" w:eastAsia="zh-CN"/>
              </w:rPr>
              <w:t>，通过完善码头建设，趸船在保障自给的情况下，有能力接待邻近县市渔政船艇停靠，利于开展联合执法行动。</w:t>
            </w:r>
            <w:r>
              <w:rPr>
                <w:rFonts w:hint="eastAsia" w:cs="Times New Roman"/>
                <w:color w:val="auto"/>
                <w:lang w:val="en-US" w:eastAsia="zh-CN"/>
              </w:rPr>
              <w:t>码头船舶型号规格如表3.4所示。</w:t>
            </w:r>
          </w:p>
          <w:p>
            <w:pPr>
              <w:pStyle w:val="17"/>
              <w:bidi w:val="0"/>
              <w:rPr>
                <w:rFonts w:hint="eastAsia"/>
                <w:color w:val="auto"/>
                <w:lang w:val="en-US" w:eastAsia="zh-CN"/>
              </w:rPr>
            </w:pPr>
            <w:r>
              <w:rPr>
                <w:rFonts w:hint="eastAsia"/>
                <w:color w:val="auto"/>
                <w:lang w:val="en-US" w:eastAsia="zh-CN"/>
              </w:rPr>
              <w:t>表3.4 码头船舶型号规格</w:t>
            </w:r>
          </w:p>
          <w:tbl>
            <w:tblPr>
              <w:tblStyle w:val="12"/>
              <w:tblW w:w="4995"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70"/>
              <w:gridCol w:w="1213"/>
              <w:gridCol w:w="1518"/>
              <w:gridCol w:w="1322"/>
              <w:gridCol w:w="948"/>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7" w:type="pct"/>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序号</w:t>
                  </w:r>
                </w:p>
              </w:tc>
              <w:tc>
                <w:tcPr>
                  <w:tcW w:w="793" w:type="pct"/>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船舶编号</w:t>
                  </w:r>
                </w:p>
              </w:tc>
              <w:tc>
                <w:tcPr>
                  <w:tcW w:w="758" w:type="pct"/>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规格型号</w:t>
                  </w:r>
                </w:p>
              </w:tc>
              <w:tc>
                <w:tcPr>
                  <w:tcW w:w="1775" w:type="pct"/>
                  <w:gridSpan w:val="2"/>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设施参数</w:t>
                  </w:r>
                </w:p>
              </w:tc>
              <w:tc>
                <w:tcPr>
                  <w:tcW w:w="592" w:type="pct"/>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数量</w:t>
                  </w:r>
                </w:p>
              </w:tc>
              <w:tc>
                <w:tcPr>
                  <w:tcW w:w="683" w:type="pct"/>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操作人数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97"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1</w:t>
                  </w:r>
                </w:p>
              </w:tc>
              <w:tc>
                <w:tcPr>
                  <w:tcW w:w="793"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渔政-43218</w:t>
                  </w:r>
                </w:p>
              </w:tc>
              <w:tc>
                <w:tcPr>
                  <w:tcW w:w="758"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SL-0.1型CZYF</w:t>
                  </w:r>
                </w:p>
              </w:tc>
              <w:tc>
                <w:tcPr>
                  <w:tcW w:w="94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年燃油量（t/a）</w:t>
                  </w:r>
                </w:p>
              </w:tc>
              <w:tc>
                <w:tcPr>
                  <w:tcW w:w="826"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5</w:t>
                  </w:r>
                </w:p>
              </w:tc>
              <w:tc>
                <w:tcPr>
                  <w:tcW w:w="592"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3</w:t>
                  </w:r>
                </w:p>
              </w:tc>
              <w:tc>
                <w:tcPr>
                  <w:tcW w:w="683"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97" w:type="pct"/>
                  <w:vMerge w:val="continue"/>
                  <w:vAlign w:val="center"/>
                </w:tcPr>
                <w:p>
                  <w:pPr>
                    <w:pStyle w:val="16"/>
                    <w:bidi w:val="0"/>
                    <w:jc w:val="center"/>
                    <w:rPr>
                      <w:color w:val="auto"/>
                    </w:rPr>
                  </w:pPr>
                </w:p>
              </w:tc>
              <w:tc>
                <w:tcPr>
                  <w:tcW w:w="793" w:type="pct"/>
                  <w:vMerge w:val="continue"/>
                  <w:vAlign w:val="center"/>
                </w:tcPr>
                <w:p>
                  <w:pPr>
                    <w:pStyle w:val="16"/>
                    <w:bidi w:val="0"/>
                    <w:jc w:val="center"/>
                    <w:rPr>
                      <w:color w:val="auto"/>
                    </w:rPr>
                  </w:pPr>
                </w:p>
              </w:tc>
              <w:tc>
                <w:tcPr>
                  <w:tcW w:w="758" w:type="pct"/>
                  <w:vMerge w:val="continue"/>
                  <w:vAlign w:val="center"/>
                </w:tcPr>
                <w:p>
                  <w:pPr>
                    <w:pStyle w:val="16"/>
                    <w:bidi w:val="0"/>
                    <w:jc w:val="center"/>
                    <w:rPr>
                      <w:color w:val="auto"/>
                    </w:rPr>
                  </w:pPr>
                </w:p>
              </w:tc>
              <w:tc>
                <w:tcPr>
                  <w:tcW w:w="94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尺寸（m）</w:t>
                  </w:r>
                </w:p>
              </w:tc>
              <w:tc>
                <w:tcPr>
                  <w:tcW w:w="826"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24</w:t>
                  </w:r>
                  <w:r>
                    <w:rPr>
                      <w:rFonts w:hint="default" w:ascii="Times New Roman" w:hAnsi="Times New Roman" w:cs="Times New Roman"/>
                      <w:color w:val="auto"/>
                      <w:vertAlign w:val="baseline"/>
                      <w:lang w:val="en-US" w:eastAsia="zh-CN"/>
                    </w:rPr>
                    <w:t>×</w:t>
                  </w:r>
                  <w:r>
                    <w:rPr>
                      <w:rFonts w:hint="eastAsia" w:ascii="Times New Roman" w:hAnsi="Times New Roman" w:cs="Times New Roman"/>
                      <w:color w:val="auto"/>
                      <w:vertAlign w:val="baseline"/>
                      <w:lang w:val="en-US" w:eastAsia="zh-CN"/>
                    </w:rPr>
                    <w:t>5.28</w:t>
                  </w:r>
                </w:p>
              </w:tc>
              <w:tc>
                <w:tcPr>
                  <w:tcW w:w="592" w:type="pct"/>
                  <w:vMerge w:val="continue"/>
                  <w:vAlign w:val="center"/>
                </w:tcPr>
                <w:p>
                  <w:pPr>
                    <w:pStyle w:val="16"/>
                    <w:bidi w:val="0"/>
                    <w:jc w:val="center"/>
                    <w:rPr>
                      <w:rFonts w:hint="default"/>
                      <w:color w:val="auto"/>
                      <w:vertAlign w:val="baseline"/>
                      <w:lang w:val="en-US" w:eastAsia="zh-CN"/>
                    </w:rPr>
                  </w:pPr>
                </w:p>
              </w:tc>
              <w:tc>
                <w:tcPr>
                  <w:tcW w:w="683" w:type="pct"/>
                  <w:vMerge w:val="continue"/>
                  <w:vAlign w:val="center"/>
                </w:tcPr>
                <w:p>
                  <w:pPr>
                    <w:pStyle w:val="16"/>
                    <w:bidi w:val="0"/>
                    <w:jc w:val="center"/>
                    <w:rPr>
                      <w:rFonts w:hint="default"/>
                      <w:color w:va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97" w:type="pct"/>
                  <w:vMerge w:val="continue"/>
                  <w:vAlign w:val="center"/>
                </w:tcPr>
                <w:p>
                  <w:pPr>
                    <w:pStyle w:val="16"/>
                    <w:bidi w:val="0"/>
                    <w:jc w:val="center"/>
                    <w:rPr>
                      <w:rFonts w:hint="default"/>
                      <w:color w:val="auto"/>
                      <w:vertAlign w:val="baseline"/>
                      <w:lang w:val="en-US" w:eastAsia="zh-CN"/>
                    </w:rPr>
                  </w:pPr>
                </w:p>
              </w:tc>
              <w:tc>
                <w:tcPr>
                  <w:tcW w:w="793" w:type="pct"/>
                  <w:vMerge w:val="continue"/>
                  <w:vAlign w:val="center"/>
                </w:tcPr>
                <w:p>
                  <w:pPr>
                    <w:pStyle w:val="16"/>
                    <w:bidi w:val="0"/>
                    <w:jc w:val="center"/>
                    <w:rPr>
                      <w:rFonts w:hint="default"/>
                      <w:color w:val="auto"/>
                      <w:vertAlign w:val="baseline"/>
                      <w:lang w:val="en-US" w:eastAsia="zh-CN"/>
                    </w:rPr>
                  </w:pPr>
                </w:p>
              </w:tc>
              <w:tc>
                <w:tcPr>
                  <w:tcW w:w="758" w:type="pct"/>
                  <w:vMerge w:val="continue"/>
                  <w:vAlign w:val="center"/>
                </w:tcPr>
                <w:p>
                  <w:pPr>
                    <w:pStyle w:val="16"/>
                    <w:bidi w:val="0"/>
                    <w:jc w:val="center"/>
                    <w:rPr>
                      <w:rFonts w:hint="default"/>
                      <w:color w:val="auto"/>
                      <w:vertAlign w:val="baseline"/>
                      <w:lang w:val="en-US" w:eastAsia="zh-CN"/>
                    </w:rPr>
                  </w:pPr>
                </w:p>
              </w:tc>
              <w:tc>
                <w:tcPr>
                  <w:tcW w:w="94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单缸排量（L）</w:t>
                  </w:r>
                </w:p>
              </w:tc>
              <w:tc>
                <w:tcPr>
                  <w:tcW w:w="826"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0.120</w:t>
                  </w:r>
                </w:p>
              </w:tc>
              <w:tc>
                <w:tcPr>
                  <w:tcW w:w="592" w:type="pct"/>
                  <w:vMerge w:val="continue"/>
                  <w:vAlign w:val="center"/>
                </w:tcPr>
                <w:p>
                  <w:pPr>
                    <w:pStyle w:val="16"/>
                    <w:bidi w:val="0"/>
                    <w:jc w:val="center"/>
                    <w:rPr>
                      <w:rFonts w:hint="default"/>
                      <w:color w:val="auto"/>
                      <w:vertAlign w:val="baseline"/>
                      <w:lang w:val="en-US" w:eastAsia="zh-CN"/>
                    </w:rPr>
                  </w:pPr>
                </w:p>
              </w:tc>
              <w:tc>
                <w:tcPr>
                  <w:tcW w:w="683" w:type="pct"/>
                  <w:vMerge w:val="continue"/>
                  <w:vAlign w:val="center"/>
                </w:tcPr>
                <w:p>
                  <w:pPr>
                    <w:pStyle w:val="16"/>
                    <w:bidi w:val="0"/>
                    <w:jc w:val="center"/>
                    <w:rPr>
                      <w:rFonts w:hint="default"/>
                      <w:color w:va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97" w:type="pct"/>
                  <w:vMerge w:val="continue"/>
                  <w:vAlign w:val="center"/>
                </w:tcPr>
                <w:p>
                  <w:pPr>
                    <w:pStyle w:val="16"/>
                    <w:bidi w:val="0"/>
                    <w:jc w:val="center"/>
                    <w:rPr>
                      <w:rFonts w:hint="default"/>
                      <w:color w:val="auto"/>
                      <w:vertAlign w:val="baseline"/>
                      <w:lang w:val="en-US" w:eastAsia="zh-CN"/>
                    </w:rPr>
                  </w:pPr>
                </w:p>
              </w:tc>
              <w:tc>
                <w:tcPr>
                  <w:tcW w:w="793" w:type="pct"/>
                  <w:vMerge w:val="continue"/>
                  <w:vAlign w:val="center"/>
                </w:tcPr>
                <w:p>
                  <w:pPr>
                    <w:pStyle w:val="16"/>
                    <w:bidi w:val="0"/>
                    <w:jc w:val="center"/>
                    <w:rPr>
                      <w:rFonts w:hint="default"/>
                      <w:color w:val="auto"/>
                      <w:vertAlign w:val="baseline"/>
                      <w:lang w:val="en-US" w:eastAsia="zh-CN"/>
                    </w:rPr>
                  </w:pPr>
                </w:p>
              </w:tc>
              <w:tc>
                <w:tcPr>
                  <w:tcW w:w="758" w:type="pct"/>
                  <w:vMerge w:val="continue"/>
                  <w:vAlign w:val="center"/>
                </w:tcPr>
                <w:p>
                  <w:pPr>
                    <w:pStyle w:val="16"/>
                    <w:bidi w:val="0"/>
                    <w:jc w:val="center"/>
                    <w:rPr>
                      <w:rFonts w:hint="default"/>
                      <w:color w:val="auto"/>
                      <w:vertAlign w:val="baseline"/>
                      <w:lang w:val="en-US" w:eastAsia="zh-CN"/>
                    </w:rPr>
                  </w:pPr>
                </w:p>
              </w:tc>
              <w:tc>
                <w:tcPr>
                  <w:tcW w:w="94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总排量（L）</w:t>
                  </w:r>
                </w:p>
              </w:tc>
              <w:tc>
                <w:tcPr>
                  <w:tcW w:w="826"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0.240</w:t>
                  </w:r>
                </w:p>
              </w:tc>
              <w:tc>
                <w:tcPr>
                  <w:tcW w:w="592" w:type="pct"/>
                  <w:vMerge w:val="continue"/>
                  <w:vAlign w:val="center"/>
                </w:tcPr>
                <w:p>
                  <w:pPr>
                    <w:pStyle w:val="16"/>
                    <w:bidi w:val="0"/>
                    <w:jc w:val="center"/>
                    <w:rPr>
                      <w:rFonts w:hint="default"/>
                      <w:color w:val="auto"/>
                      <w:vertAlign w:val="baseline"/>
                      <w:lang w:val="en-US" w:eastAsia="zh-CN"/>
                    </w:rPr>
                  </w:pPr>
                </w:p>
              </w:tc>
              <w:tc>
                <w:tcPr>
                  <w:tcW w:w="683" w:type="pct"/>
                  <w:vMerge w:val="continue"/>
                  <w:vAlign w:val="center"/>
                </w:tcPr>
                <w:p>
                  <w:pPr>
                    <w:pStyle w:val="16"/>
                    <w:bidi w:val="0"/>
                    <w:jc w:val="center"/>
                    <w:rPr>
                      <w:rFonts w:hint="default"/>
                      <w:color w:val="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397"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2</w:t>
                  </w:r>
                </w:p>
              </w:tc>
              <w:tc>
                <w:tcPr>
                  <w:tcW w:w="793"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渔政-43212</w:t>
                  </w:r>
                </w:p>
              </w:tc>
              <w:tc>
                <w:tcPr>
                  <w:tcW w:w="758"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S600</w:t>
                  </w:r>
                </w:p>
              </w:tc>
              <w:tc>
                <w:tcPr>
                  <w:tcW w:w="948"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年燃油量（t/a）</w:t>
                  </w:r>
                </w:p>
              </w:tc>
              <w:tc>
                <w:tcPr>
                  <w:tcW w:w="826"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0.3</w:t>
                  </w:r>
                </w:p>
              </w:tc>
              <w:tc>
                <w:tcPr>
                  <w:tcW w:w="592"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1</w:t>
                  </w:r>
                </w:p>
              </w:tc>
              <w:tc>
                <w:tcPr>
                  <w:tcW w:w="683"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397" w:type="pct"/>
                  <w:vMerge w:val="continue"/>
                  <w:vAlign w:val="center"/>
                </w:tcPr>
                <w:p>
                  <w:pPr>
                    <w:pStyle w:val="16"/>
                    <w:bidi w:val="0"/>
                    <w:jc w:val="center"/>
                    <w:rPr>
                      <w:color w:val="auto"/>
                    </w:rPr>
                  </w:pPr>
                </w:p>
              </w:tc>
              <w:tc>
                <w:tcPr>
                  <w:tcW w:w="793" w:type="pct"/>
                  <w:vMerge w:val="continue"/>
                  <w:vAlign w:val="center"/>
                </w:tcPr>
                <w:p>
                  <w:pPr>
                    <w:pStyle w:val="16"/>
                    <w:bidi w:val="0"/>
                    <w:jc w:val="center"/>
                    <w:rPr>
                      <w:color w:val="auto"/>
                    </w:rPr>
                  </w:pPr>
                </w:p>
              </w:tc>
              <w:tc>
                <w:tcPr>
                  <w:tcW w:w="758" w:type="pct"/>
                  <w:vMerge w:val="continue"/>
                  <w:vAlign w:val="center"/>
                </w:tcPr>
                <w:p>
                  <w:pPr>
                    <w:pStyle w:val="16"/>
                    <w:bidi w:val="0"/>
                    <w:jc w:val="center"/>
                    <w:rPr>
                      <w:color w:val="auto"/>
                    </w:rPr>
                  </w:pPr>
                </w:p>
              </w:tc>
              <w:tc>
                <w:tcPr>
                  <w:tcW w:w="948"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尺寸（m）</w:t>
                  </w:r>
                </w:p>
              </w:tc>
              <w:tc>
                <w:tcPr>
                  <w:tcW w:w="826"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5.97</w:t>
                  </w:r>
                  <w:r>
                    <w:rPr>
                      <w:rFonts w:hint="default" w:ascii="Times New Roman" w:hAnsi="Times New Roman" w:cs="Times New Roman"/>
                      <w:color w:val="auto"/>
                      <w:vertAlign w:val="baseline"/>
                      <w:lang w:val="en-US" w:eastAsia="zh-CN"/>
                    </w:rPr>
                    <w:t>×</w:t>
                  </w:r>
                  <w:r>
                    <w:rPr>
                      <w:rFonts w:hint="eastAsia" w:cs="Times New Roman"/>
                      <w:color w:val="auto"/>
                      <w:vertAlign w:val="baseline"/>
                      <w:lang w:val="en-US" w:eastAsia="zh-CN"/>
                    </w:rPr>
                    <w:t>2.26</w:t>
                  </w:r>
                </w:p>
              </w:tc>
              <w:tc>
                <w:tcPr>
                  <w:tcW w:w="592" w:type="pct"/>
                  <w:vMerge w:val="continue"/>
                  <w:vAlign w:val="center"/>
                </w:tcPr>
                <w:p>
                  <w:pPr>
                    <w:pStyle w:val="16"/>
                    <w:bidi w:val="0"/>
                    <w:jc w:val="center"/>
                    <w:rPr>
                      <w:color w:val="auto"/>
                    </w:rPr>
                  </w:pPr>
                </w:p>
              </w:tc>
              <w:tc>
                <w:tcPr>
                  <w:tcW w:w="683" w:type="pct"/>
                  <w:vMerge w:val="continue"/>
                  <w:vAlign w:val="center"/>
                </w:tcPr>
                <w:p>
                  <w:pPr>
                    <w:pStyle w:val="16"/>
                    <w:bidi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397" w:type="pct"/>
                  <w:vMerge w:val="continue"/>
                  <w:vAlign w:val="center"/>
                </w:tcPr>
                <w:p>
                  <w:pPr>
                    <w:pStyle w:val="16"/>
                    <w:bidi w:val="0"/>
                    <w:jc w:val="center"/>
                    <w:rPr>
                      <w:color w:val="auto"/>
                    </w:rPr>
                  </w:pPr>
                </w:p>
              </w:tc>
              <w:tc>
                <w:tcPr>
                  <w:tcW w:w="793" w:type="pct"/>
                  <w:vMerge w:val="continue"/>
                  <w:vAlign w:val="center"/>
                </w:tcPr>
                <w:p>
                  <w:pPr>
                    <w:pStyle w:val="16"/>
                    <w:bidi w:val="0"/>
                    <w:jc w:val="center"/>
                    <w:rPr>
                      <w:color w:val="auto"/>
                    </w:rPr>
                  </w:pPr>
                </w:p>
              </w:tc>
              <w:tc>
                <w:tcPr>
                  <w:tcW w:w="758" w:type="pct"/>
                  <w:vMerge w:val="continue"/>
                  <w:vAlign w:val="center"/>
                </w:tcPr>
                <w:p>
                  <w:pPr>
                    <w:pStyle w:val="16"/>
                    <w:bidi w:val="0"/>
                    <w:jc w:val="center"/>
                    <w:rPr>
                      <w:color w:val="auto"/>
                    </w:rPr>
                  </w:pPr>
                </w:p>
              </w:tc>
              <w:tc>
                <w:tcPr>
                  <w:tcW w:w="948"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单缸排量（L）</w:t>
                  </w:r>
                </w:p>
              </w:tc>
              <w:tc>
                <w:tcPr>
                  <w:tcW w:w="826"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0.020</w:t>
                  </w:r>
                </w:p>
              </w:tc>
              <w:tc>
                <w:tcPr>
                  <w:tcW w:w="592" w:type="pct"/>
                  <w:vMerge w:val="continue"/>
                  <w:vAlign w:val="center"/>
                </w:tcPr>
                <w:p>
                  <w:pPr>
                    <w:pStyle w:val="16"/>
                    <w:bidi w:val="0"/>
                    <w:jc w:val="center"/>
                    <w:rPr>
                      <w:color w:val="auto"/>
                    </w:rPr>
                  </w:pPr>
                </w:p>
              </w:tc>
              <w:tc>
                <w:tcPr>
                  <w:tcW w:w="683" w:type="pct"/>
                  <w:vMerge w:val="continue"/>
                  <w:vAlign w:val="center"/>
                </w:tcPr>
                <w:p>
                  <w:pPr>
                    <w:pStyle w:val="16"/>
                    <w:bidi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397" w:type="pct"/>
                  <w:vMerge w:val="continue"/>
                  <w:vAlign w:val="center"/>
                </w:tcPr>
                <w:p>
                  <w:pPr>
                    <w:pStyle w:val="16"/>
                    <w:bidi w:val="0"/>
                    <w:jc w:val="center"/>
                    <w:rPr>
                      <w:color w:val="auto"/>
                    </w:rPr>
                  </w:pPr>
                </w:p>
              </w:tc>
              <w:tc>
                <w:tcPr>
                  <w:tcW w:w="793" w:type="pct"/>
                  <w:vMerge w:val="continue"/>
                  <w:vAlign w:val="center"/>
                </w:tcPr>
                <w:p>
                  <w:pPr>
                    <w:pStyle w:val="16"/>
                    <w:bidi w:val="0"/>
                    <w:jc w:val="center"/>
                    <w:rPr>
                      <w:color w:val="auto"/>
                    </w:rPr>
                  </w:pPr>
                </w:p>
              </w:tc>
              <w:tc>
                <w:tcPr>
                  <w:tcW w:w="758" w:type="pct"/>
                  <w:vMerge w:val="continue"/>
                  <w:vAlign w:val="center"/>
                </w:tcPr>
                <w:p>
                  <w:pPr>
                    <w:pStyle w:val="16"/>
                    <w:bidi w:val="0"/>
                    <w:jc w:val="center"/>
                    <w:rPr>
                      <w:color w:val="auto"/>
                    </w:rPr>
                  </w:pPr>
                </w:p>
              </w:tc>
              <w:tc>
                <w:tcPr>
                  <w:tcW w:w="948"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总排量（L）</w:t>
                  </w:r>
                </w:p>
              </w:tc>
              <w:tc>
                <w:tcPr>
                  <w:tcW w:w="826"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0.020</w:t>
                  </w:r>
                </w:p>
              </w:tc>
              <w:tc>
                <w:tcPr>
                  <w:tcW w:w="592" w:type="pct"/>
                  <w:vMerge w:val="continue"/>
                  <w:vAlign w:val="center"/>
                </w:tcPr>
                <w:p>
                  <w:pPr>
                    <w:pStyle w:val="16"/>
                    <w:bidi w:val="0"/>
                    <w:jc w:val="center"/>
                    <w:rPr>
                      <w:color w:val="auto"/>
                    </w:rPr>
                  </w:pPr>
                </w:p>
              </w:tc>
              <w:tc>
                <w:tcPr>
                  <w:tcW w:w="683" w:type="pct"/>
                  <w:vMerge w:val="continue"/>
                  <w:vAlign w:val="center"/>
                </w:tcPr>
                <w:p>
                  <w:pPr>
                    <w:pStyle w:val="16"/>
                    <w:bidi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397"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3</w:t>
                  </w:r>
                </w:p>
              </w:tc>
              <w:tc>
                <w:tcPr>
                  <w:tcW w:w="793"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渔政-43087</w:t>
                  </w:r>
                </w:p>
              </w:tc>
              <w:tc>
                <w:tcPr>
                  <w:tcW w:w="758"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CYSF-0.05</w:t>
                  </w:r>
                </w:p>
              </w:tc>
              <w:tc>
                <w:tcPr>
                  <w:tcW w:w="948"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年燃油量（t/a）</w:t>
                  </w:r>
                </w:p>
              </w:tc>
              <w:tc>
                <w:tcPr>
                  <w:tcW w:w="826"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3</w:t>
                  </w:r>
                </w:p>
              </w:tc>
              <w:tc>
                <w:tcPr>
                  <w:tcW w:w="592"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2</w:t>
                  </w:r>
                </w:p>
              </w:tc>
              <w:tc>
                <w:tcPr>
                  <w:tcW w:w="683" w:type="pct"/>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397" w:type="pct"/>
                  <w:vMerge w:val="continue"/>
                  <w:vAlign w:val="center"/>
                </w:tcPr>
                <w:p>
                  <w:pPr>
                    <w:pStyle w:val="16"/>
                    <w:bidi w:val="0"/>
                    <w:jc w:val="center"/>
                    <w:rPr>
                      <w:color w:val="auto"/>
                    </w:rPr>
                  </w:pPr>
                </w:p>
              </w:tc>
              <w:tc>
                <w:tcPr>
                  <w:tcW w:w="793" w:type="pct"/>
                  <w:vMerge w:val="continue"/>
                  <w:vAlign w:val="center"/>
                </w:tcPr>
                <w:p>
                  <w:pPr>
                    <w:pStyle w:val="16"/>
                    <w:bidi w:val="0"/>
                    <w:jc w:val="center"/>
                    <w:rPr>
                      <w:color w:val="auto"/>
                    </w:rPr>
                  </w:pPr>
                </w:p>
              </w:tc>
              <w:tc>
                <w:tcPr>
                  <w:tcW w:w="758" w:type="pct"/>
                  <w:vMerge w:val="continue"/>
                  <w:vAlign w:val="center"/>
                </w:tcPr>
                <w:p>
                  <w:pPr>
                    <w:pStyle w:val="16"/>
                    <w:bidi w:val="0"/>
                    <w:jc w:val="center"/>
                    <w:rPr>
                      <w:color w:val="auto"/>
                    </w:rPr>
                  </w:pPr>
                </w:p>
              </w:tc>
              <w:tc>
                <w:tcPr>
                  <w:tcW w:w="948"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尺寸（m）</w:t>
                  </w:r>
                </w:p>
              </w:tc>
              <w:tc>
                <w:tcPr>
                  <w:tcW w:w="826"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12</w:t>
                  </w:r>
                  <w:r>
                    <w:rPr>
                      <w:rFonts w:hint="default" w:ascii="Times New Roman" w:hAnsi="Times New Roman" w:cs="Times New Roman"/>
                      <w:color w:val="auto"/>
                      <w:vertAlign w:val="baseline"/>
                      <w:lang w:val="en-US" w:eastAsia="zh-CN"/>
                    </w:rPr>
                    <w:t>×</w:t>
                  </w:r>
                  <w:r>
                    <w:rPr>
                      <w:rFonts w:hint="eastAsia" w:cs="Times New Roman"/>
                      <w:color w:val="auto"/>
                      <w:vertAlign w:val="baseline"/>
                      <w:lang w:val="en-US" w:eastAsia="zh-CN"/>
                    </w:rPr>
                    <w:t>2.26</w:t>
                  </w:r>
                </w:p>
              </w:tc>
              <w:tc>
                <w:tcPr>
                  <w:tcW w:w="592" w:type="pct"/>
                  <w:vMerge w:val="continue"/>
                  <w:vAlign w:val="center"/>
                </w:tcPr>
                <w:p>
                  <w:pPr>
                    <w:pStyle w:val="16"/>
                    <w:bidi w:val="0"/>
                    <w:jc w:val="center"/>
                    <w:rPr>
                      <w:color w:val="auto"/>
                    </w:rPr>
                  </w:pPr>
                </w:p>
              </w:tc>
              <w:tc>
                <w:tcPr>
                  <w:tcW w:w="683" w:type="pct"/>
                  <w:vMerge w:val="continue"/>
                  <w:vAlign w:val="center"/>
                </w:tcPr>
                <w:p>
                  <w:pPr>
                    <w:pStyle w:val="16"/>
                    <w:bidi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397" w:type="pct"/>
                  <w:vMerge w:val="continue"/>
                  <w:vAlign w:val="center"/>
                </w:tcPr>
                <w:p>
                  <w:pPr>
                    <w:pStyle w:val="16"/>
                    <w:bidi w:val="0"/>
                    <w:jc w:val="center"/>
                    <w:rPr>
                      <w:color w:val="auto"/>
                    </w:rPr>
                  </w:pPr>
                </w:p>
              </w:tc>
              <w:tc>
                <w:tcPr>
                  <w:tcW w:w="793" w:type="pct"/>
                  <w:vMerge w:val="continue"/>
                  <w:vAlign w:val="center"/>
                </w:tcPr>
                <w:p>
                  <w:pPr>
                    <w:pStyle w:val="16"/>
                    <w:bidi w:val="0"/>
                    <w:jc w:val="center"/>
                    <w:rPr>
                      <w:color w:val="auto"/>
                    </w:rPr>
                  </w:pPr>
                </w:p>
              </w:tc>
              <w:tc>
                <w:tcPr>
                  <w:tcW w:w="758" w:type="pct"/>
                  <w:vMerge w:val="continue"/>
                  <w:vAlign w:val="center"/>
                </w:tcPr>
                <w:p>
                  <w:pPr>
                    <w:pStyle w:val="16"/>
                    <w:bidi w:val="0"/>
                    <w:jc w:val="center"/>
                    <w:rPr>
                      <w:color w:val="auto"/>
                    </w:rPr>
                  </w:pPr>
                </w:p>
              </w:tc>
              <w:tc>
                <w:tcPr>
                  <w:tcW w:w="948"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单缸排量（L）</w:t>
                  </w:r>
                </w:p>
              </w:tc>
              <w:tc>
                <w:tcPr>
                  <w:tcW w:w="826"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0.120</w:t>
                  </w:r>
                </w:p>
              </w:tc>
              <w:tc>
                <w:tcPr>
                  <w:tcW w:w="592" w:type="pct"/>
                  <w:vMerge w:val="continue"/>
                  <w:vAlign w:val="center"/>
                </w:tcPr>
                <w:p>
                  <w:pPr>
                    <w:pStyle w:val="16"/>
                    <w:bidi w:val="0"/>
                    <w:jc w:val="center"/>
                    <w:rPr>
                      <w:color w:val="auto"/>
                    </w:rPr>
                  </w:pPr>
                </w:p>
              </w:tc>
              <w:tc>
                <w:tcPr>
                  <w:tcW w:w="683" w:type="pct"/>
                  <w:vMerge w:val="continue"/>
                  <w:vAlign w:val="center"/>
                </w:tcPr>
                <w:p>
                  <w:pPr>
                    <w:pStyle w:val="16"/>
                    <w:bidi w:val="0"/>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397" w:type="pct"/>
                  <w:vMerge w:val="continue"/>
                  <w:vAlign w:val="center"/>
                </w:tcPr>
                <w:p>
                  <w:pPr>
                    <w:pStyle w:val="16"/>
                    <w:bidi w:val="0"/>
                    <w:jc w:val="center"/>
                    <w:rPr>
                      <w:color w:val="auto"/>
                    </w:rPr>
                  </w:pPr>
                </w:p>
              </w:tc>
              <w:tc>
                <w:tcPr>
                  <w:tcW w:w="793" w:type="pct"/>
                  <w:vMerge w:val="continue"/>
                  <w:vAlign w:val="center"/>
                </w:tcPr>
                <w:p>
                  <w:pPr>
                    <w:pStyle w:val="16"/>
                    <w:bidi w:val="0"/>
                    <w:jc w:val="center"/>
                    <w:rPr>
                      <w:color w:val="auto"/>
                    </w:rPr>
                  </w:pPr>
                </w:p>
              </w:tc>
              <w:tc>
                <w:tcPr>
                  <w:tcW w:w="758" w:type="pct"/>
                  <w:vMerge w:val="continue"/>
                  <w:vAlign w:val="center"/>
                </w:tcPr>
                <w:p>
                  <w:pPr>
                    <w:pStyle w:val="16"/>
                    <w:bidi w:val="0"/>
                    <w:jc w:val="center"/>
                    <w:rPr>
                      <w:color w:val="auto"/>
                    </w:rPr>
                  </w:pPr>
                </w:p>
              </w:tc>
              <w:tc>
                <w:tcPr>
                  <w:tcW w:w="948"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总排量（L）</w:t>
                  </w:r>
                </w:p>
              </w:tc>
              <w:tc>
                <w:tcPr>
                  <w:tcW w:w="826" w:type="pct"/>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0.120</w:t>
                  </w:r>
                </w:p>
              </w:tc>
              <w:tc>
                <w:tcPr>
                  <w:tcW w:w="592" w:type="pct"/>
                  <w:vMerge w:val="continue"/>
                  <w:vAlign w:val="center"/>
                </w:tcPr>
                <w:p>
                  <w:pPr>
                    <w:pStyle w:val="16"/>
                    <w:bidi w:val="0"/>
                    <w:jc w:val="center"/>
                    <w:rPr>
                      <w:color w:val="auto"/>
                    </w:rPr>
                  </w:pPr>
                </w:p>
              </w:tc>
              <w:tc>
                <w:tcPr>
                  <w:tcW w:w="683" w:type="pct"/>
                  <w:vMerge w:val="continue"/>
                  <w:vAlign w:val="center"/>
                </w:tcPr>
                <w:p>
                  <w:pPr>
                    <w:pStyle w:val="16"/>
                    <w:bidi w:val="0"/>
                    <w:jc w:val="center"/>
                    <w:rPr>
                      <w:color w:val="auto"/>
                    </w:rPr>
                  </w:pPr>
                </w:p>
              </w:tc>
            </w:tr>
          </w:tbl>
          <w:p>
            <w:pPr>
              <w:pStyle w:val="4"/>
              <w:bidi w:val="0"/>
              <w:rPr>
                <w:rFonts w:hint="default" w:ascii="Times New Roman" w:hAnsi="Times New Roman" w:cs="Times New Roman"/>
                <w:color w:val="auto"/>
                <w:lang w:val="en-US" w:eastAsia="zh-CN"/>
              </w:rPr>
            </w:pPr>
            <w:bookmarkStart w:id="358" w:name="_Toc25216"/>
            <w:bookmarkStart w:id="359" w:name="_Toc23958"/>
            <w:bookmarkStart w:id="360" w:name="_Toc21732"/>
            <w:bookmarkStart w:id="361" w:name="_Toc30707"/>
            <w:bookmarkStart w:id="362" w:name="_Toc8894"/>
            <w:bookmarkStart w:id="363" w:name="_Toc16446"/>
            <w:bookmarkStart w:id="364" w:name="_Toc28247"/>
            <w:bookmarkStart w:id="365" w:name="_Toc8251"/>
            <w:bookmarkStart w:id="366" w:name="_Toc16800"/>
            <w:r>
              <w:rPr>
                <w:rFonts w:hint="eastAsia" w:cs="Times New Roman"/>
                <w:color w:val="auto"/>
                <w:lang w:val="en-US" w:eastAsia="zh-CN"/>
              </w:rPr>
              <w:t>1</w:t>
            </w:r>
            <w:r>
              <w:rPr>
                <w:rFonts w:hint="default" w:ascii="Times New Roman" w:hAnsi="Times New Roman" w:cs="Times New Roman"/>
                <w:color w:val="auto"/>
                <w:lang w:val="en-US" w:eastAsia="zh-CN"/>
              </w:rPr>
              <w:t>.2 码头泊位长度</w:t>
            </w:r>
            <w:bookmarkEnd w:id="358"/>
            <w:bookmarkEnd w:id="359"/>
            <w:bookmarkEnd w:id="360"/>
            <w:bookmarkEnd w:id="361"/>
            <w:bookmarkEnd w:id="362"/>
            <w:bookmarkEnd w:id="363"/>
            <w:bookmarkEnd w:id="364"/>
            <w:bookmarkEnd w:id="365"/>
            <w:bookmarkEnd w:id="366"/>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本项目设计泊位配置于钢质趸船外侧，考虑移船作业，根据《河港总体设计规范》，本项目泊位长度计算如下：</w:t>
            </w:r>
          </w:p>
          <w:p>
            <w:pPr>
              <w:bidi w:val="0"/>
              <w:ind w:left="0" w:lef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r>
              <w:rPr>
                <w:rFonts w:hint="default" w:ascii="Times New Roman" w:hAnsi="Times New Roman" w:cs="Times New Roman"/>
                <w:color w:val="auto"/>
                <w:vertAlign w:val="subscript"/>
                <w:lang w:val="en-US" w:eastAsia="zh-CN"/>
              </w:rPr>
              <w:t>b</w:t>
            </w:r>
            <w:r>
              <w:rPr>
                <w:rFonts w:hint="default" w:ascii="Times New Roman" w:hAnsi="Times New Roman" w:cs="Times New Roman"/>
                <w:color w:val="auto"/>
                <w:lang w:val="en-US" w:eastAsia="zh-CN"/>
              </w:rPr>
              <w:t>=L</w:t>
            </w:r>
            <w:r>
              <w:rPr>
                <w:rFonts w:hint="default" w:ascii="Times New Roman" w:hAnsi="Times New Roman" w:cs="Times New Roman"/>
                <w:color w:val="auto"/>
                <w:vertAlign w:val="subscript"/>
                <w:lang w:val="en-US" w:eastAsia="zh-CN"/>
              </w:rPr>
              <w:t>y</w:t>
            </w:r>
            <w:r>
              <w:rPr>
                <w:rFonts w:hint="default" w:ascii="Times New Roman" w:hAnsi="Times New Roman" w:cs="Times New Roman"/>
                <w:color w:val="auto"/>
                <w:lang w:val="en-US" w:eastAsia="zh-CN"/>
              </w:rPr>
              <w:t>+2d</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式中：L</w:t>
            </w:r>
            <w:r>
              <w:rPr>
                <w:rFonts w:hint="default" w:ascii="Times New Roman" w:hAnsi="Times New Roman" w:cs="Times New Roman"/>
                <w:color w:val="auto"/>
                <w:vertAlign w:val="subscript"/>
                <w:lang w:val="en-US" w:eastAsia="zh-CN"/>
              </w:rPr>
              <w:t>b</w:t>
            </w:r>
            <w:r>
              <w:rPr>
                <w:rFonts w:hint="default" w:ascii="Times New Roman" w:hAnsi="Times New Roman" w:cs="Times New Roman"/>
                <w:color w:val="auto"/>
                <w:lang w:val="en-US" w:eastAsia="zh-CN"/>
              </w:rPr>
              <w:t>——泊位长度；</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w:t>
            </w:r>
            <w:r>
              <w:rPr>
                <w:rFonts w:hint="default" w:ascii="Times New Roman" w:hAnsi="Times New Roman" w:cs="Times New Roman"/>
                <w:color w:val="auto"/>
                <w:vertAlign w:val="subscript"/>
                <w:lang w:val="en-US" w:eastAsia="zh-CN"/>
              </w:rPr>
              <w:t>y</w:t>
            </w:r>
            <w:r>
              <w:rPr>
                <w:rFonts w:hint="default" w:ascii="Times New Roman" w:hAnsi="Times New Roman" w:cs="Times New Roman"/>
                <w:color w:val="auto"/>
                <w:lang w:val="en-US" w:eastAsia="zh-CN"/>
              </w:rPr>
              <w:t>——船舶移动所需的水域长度，根据功能设计要求，取为</w:t>
            </w:r>
            <w:r>
              <w:rPr>
                <w:rFonts w:hint="eastAsia" w:cs="Times New Roman"/>
                <w:color w:val="auto"/>
                <w:lang w:val="en-US" w:eastAsia="zh-CN"/>
              </w:rPr>
              <w:t>24</w:t>
            </w:r>
            <w:r>
              <w:rPr>
                <w:rFonts w:hint="default" w:ascii="Times New Roman" w:hAnsi="Times New Roman" w:cs="Times New Roman"/>
                <w:color w:val="auto"/>
                <w:lang w:val="en-US" w:eastAsia="zh-CN"/>
              </w:rPr>
              <w:t>m；</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 ——泊位的富裕长度，取10m</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则泊位长度L</w:t>
            </w:r>
            <w:r>
              <w:rPr>
                <w:rFonts w:hint="default" w:ascii="Times New Roman" w:hAnsi="Times New Roman" w:cs="Times New Roman"/>
                <w:color w:val="auto"/>
                <w:vertAlign w:val="subscript"/>
                <w:lang w:val="en-US" w:eastAsia="zh-CN"/>
              </w:rPr>
              <w:t>b</w:t>
            </w:r>
            <w:r>
              <w:rPr>
                <w:rFonts w:hint="default" w:ascii="Times New Roman" w:hAnsi="Times New Roman" w:cs="Times New Roman"/>
                <w:color w:val="auto"/>
                <w:lang w:val="en-US" w:eastAsia="zh-CN"/>
              </w:rPr>
              <w:t>=</w:t>
            </w:r>
            <w:r>
              <w:rPr>
                <w:rFonts w:hint="eastAsia" w:cs="Times New Roman"/>
                <w:color w:val="auto"/>
                <w:lang w:val="en-US" w:eastAsia="zh-CN"/>
              </w:rPr>
              <w:t>24</w:t>
            </w:r>
            <w:r>
              <w:rPr>
                <w:rFonts w:hint="default" w:ascii="Times New Roman" w:hAnsi="Times New Roman" w:cs="Times New Roman"/>
                <w:color w:val="auto"/>
                <w:lang w:val="en-US" w:eastAsia="zh-CN"/>
              </w:rPr>
              <w:t>+10×2=</w:t>
            </w:r>
            <w:r>
              <w:rPr>
                <w:rFonts w:hint="eastAsia" w:cs="Times New Roman"/>
                <w:color w:val="auto"/>
                <w:lang w:val="en-US" w:eastAsia="zh-CN"/>
              </w:rPr>
              <w:t>44</w:t>
            </w:r>
            <w:r>
              <w:rPr>
                <w:rFonts w:hint="default" w:ascii="Times New Roman" w:hAnsi="Times New Roman" w:cs="Times New Roman"/>
                <w:color w:val="auto"/>
                <w:lang w:val="en-US" w:eastAsia="zh-CN"/>
              </w:rPr>
              <w:t>m。</w:t>
            </w:r>
          </w:p>
          <w:p>
            <w:pPr>
              <w:pStyle w:val="4"/>
              <w:bidi w:val="0"/>
              <w:rPr>
                <w:rFonts w:hint="default" w:ascii="Times New Roman" w:hAnsi="Times New Roman" w:cs="Times New Roman"/>
                <w:color w:val="auto"/>
                <w:lang w:val="en-US" w:eastAsia="zh-CN"/>
              </w:rPr>
            </w:pPr>
            <w:bookmarkStart w:id="367" w:name="_Toc754"/>
            <w:bookmarkStart w:id="368" w:name="_Toc27603"/>
            <w:bookmarkStart w:id="369" w:name="_Toc18256"/>
            <w:bookmarkStart w:id="370" w:name="_Toc23850"/>
            <w:bookmarkStart w:id="371" w:name="_Toc31127"/>
            <w:bookmarkStart w:id="372" w:name="_Toc25421"/>
            <w:bookmarkStart w:id="373" w:name="_Toc12333"/>
            <w:bookmarkStart w:id="374" w:name="_Toc13770"/>
            <w:bookmarkStart w:id="375" w:name="_Toc19550"/>
            <w:r>
              <w:rPr>
                <w:rFonts w:hint="eastAsia" w:cs="Times New Roman"/>
                <w:color w:val="auto"/>
                <w:lang w:val="en-US" w:eastAsia="zh-CN"/>
              </w:rPr>
              <w:t>1</w:t>
            </w:r>
            <w:r>
              <w:rPr>
                <w:rFonts w:hint="default" w:ascii="Times New Roman" w:hAnsi="Times New Roman" w:cs="Times New Roman"/>
                <w:color w:val="auto"/>
                <w:lang w:val="en-US" w:eastAsia="zh-CN"/>
              </w:rPr>
              <w:t>.3 码头前沿停泊水域</w:t>
            </w:r>
            <w:bookmarkEnd w:id="367"/>
            <w:bookmarkEnd w:id="368"/>
            <w:bookmarkEnd w:id="369"/>
            <w:bookmarkEnd w:id="370"/>
            <w:bookmarkEnd w:id="371"/>
            <w:bookmarkEnd w:id="372"/>
            <w:bookmarkEnd w:id="373"/>
            <w:bookmarkEnd w:id="374"/>
            <w:bookmarkEnd w:id="375"/>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根据《河港总体设计规范》（JTS166-2020）第3.2.1条，码头前沿停泊水域宽度取2倍船设计船宽，即</w:t>
            </w:r>
            <w:r>
              <w:rPr>
                <w:rFonts w:hint="eastAsia" w:cs="Times New Roman"/>
                <w:color w:val="auto"/>
                <w:lang w:val="en-US" w:eastAsia="zh-CN"/>
              </w:rPr>
              <w:t>5.28</w:t>
            </w:r>
            <w:r>
              <w:rPr>
                <w:rFonts w:hint="default" w:ascii="Times New Roman" w:hAnsi="Times New Roman" w:cs="Times New Roman"/>
                <w:color w:val="auto"/>
                <w:vertAlign w:val="baseline"/>
                <w:lang w:val="en-US" w:eastAsia="zh-CN"/>
              </w:rPr>
              <w:t>×</w:t>
            </w:r>
            <w:r>
              <w:rPr>
                <w:rFonts w:hint="eastAsia" w:cs="Times New Roman"/>
                <w:color w:val="auto"/>
                <w:vertAlign w:val="baseline"/>
                <w:lang w:val="en-US" w:eastAsia="zh-CN"/>
              </w:rPr>
              <w:t>2=10.56</w:t>
            </w:r>
            <w:r>
              <w:rPr>
                <w:rFonts w:hint="default" w:ascii="Times New Roman" w:hAnsi="Times New Roman" w:cs="Times New Roman"/>
                <w:color w:val="auto"/>
                <w:lang w:val="en-US" w:eastAsia="zh-CN"/>
              </w:rPr>
              <w:t>米。本工程停泊水域不占用主航道，</w:t>
            </w:r>
            <w:r>
              <w:rPr>
                <w:rFonts w:hint="default" w:ascii="Times New Roman" w:hAnsi="Times New Roman" w:cs="Times New Roman"/>
                <w:color w:val="auto"/>
              </w:rPr>
              <w:t>船舶停泊在本码头前沿不会影响主航道过往船舶通航</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满足规范要求。</w:t>
            </w:r>
          </w:p>
          <w:p>
            <w:pPr>
              <w:pStyle w:val="4"/>
              <w:bidi w:val="0"/>
              <w:rPr>
                <w:rFonts w:hint="default" w:ascii="Times New Roman" w:hAnsi="Times New Roman" w:cs="Times New Roman"/>
                <w:color w:val="auto"/>
                <w:lang w:val="en-US" w:eastAsia="zh-CN"/>
              </w:rPr>
            </w:pPr>
            <w:bookmarkStart w:id="376" w:name="_Toc6785"/>
            <w:bookmarkStart w:id="377" w:name="_Toc26194"/>
            <w:bookmarkStart w:id="378" w:name="_Toc31704"/>
            <w:bookmarkStart w:id="379" w:name="_Toc20807"/>
            <w:bookmarkStart w:id="380" w:name="_Toc21448"/>
            <w:bookmarkStart w:id="381" w:name="_Toc20061"/>
            <w:bookmarkStart w:id="382" w:name="_Toc26461"/>
            <w:bookmarkStart w:id="383" w:name="_Toc15173"/>
            <w:bookmarkStart w:id="384" w:name="_Toc25226"/>
            <w:r>
              <w:rPr>
                <w:rFonts w:hint="eastAsia" w:cs="Times New Roman"/>
                <w:color w:val="auto"/>
                <w:lang w:val="en-US" w:eastAsia="zh-CN"/>
              </w:rPr>
              <w:t>1</w:t>
            </w:r>
            <w:r>
              <w:rPr>
                <w:rFonts w:hint="default" w:ascii="Times New Roman" w:hAnsi="Times New Roman" w:cs="Times New Roman"/>
                <w:color w:val="auto"/>
                <w:lang w:val="en-US" w:eastAsia="zh-CN"/>
              </w:rPr>
              <w:t>.4 港池占用水域面积</w:t>
            </w:r>
            <w:bookmarkEnd w:id="376"/>
            <w:bookmarkEnd w:id="377"/>
            <w:bookmarkEnd w:id="378"/>
            <w:bookmarkEnd w:id="379"/>
            <w:bookmarkEnd w:id="380"/>
            <w:bookmarkEnd w:id="381"/>
            <w:bookmarkEnd w:id="382"/>
            <w:bookmarkEnd w:id="383"/>
            <w:bookmarkEnd w:id="384"/>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趸船占用水域面积为200m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p>
          <w:p>
            <w:pPr>
              <w:pStyle w:val="4"/>
              <w:bidi w:val="0"/>
              <w:rPr>
                <w:rFonts w:hint="default" w:ascii="Times New Roman" w:hAnsi="Times New Roman" w:cs="Times New Roman"/>
                <w:color w:val="auto"/>
                <w:lang w:val="en-US" w:eastAsia="zh-CN"/>
              </w:rPr>
            </w:pPr>
            <w:bookmarkStart w:id="385" w:name="_Toc13778"/>
            <w:bookmarkStart w:id="386" w:name="_Toc14470"/>
            <w:bookmarkStart w:id="387" w:name="_Toc18419"/>
            <w:bookmarkStart w:id="388" w:name="_Toc32692"/>
            <w:bookmarkStart w:id="389" w:name="_Toc5985"/>
            <w:bookmarkStart w:id="390" w:name="_Toc20212"/>
            <w:bookmarkStart w:id="391" w:name="_Toc2836"/>
            <w:bookmarkStart w:id="392" w:name="_Toc22511"/>
            <w:bookmarkStart w:id="393" w:name="_Toc4146"/>
            <w:r>
              <w:rPr>
                <w:rFonts w:hint="eastAsia" w:cs="Times New Roman"/>
                <w:color w:val="auto"/>
                <w:lang w:val="en-US" w:eastAsia="zh-CN"/>
              </w:rPr>
              <w:t>1</w:t>
            </w:r>
            <w:r>
              <w:rPr>
                <w:rFonts w:hint="default" w:ascii="Times New Roman" w:hAnsi="Times New Roman" w:cs="Times New Roman"/>
                <w:color w:val="auto"/>
                <w:lang w:val="en-US" w:eastAsia="zh-CN"/>
              </w:rPr>
              <w:t>.5 码头</w:t>
            </w:r>
            <w:bookmarkEnd w:id="385"/>
            <w:bookmarkEnd w:id="386"/>
            <w:bookmarkEnd w:id="387"/>
            <w:bookmarkEnd w:id="388"/>
            <w:bookmarkEnd w:id="389"/>
            <w:bookmarkEnd w:id="390"/>
            <w:bookmarkEnd w:id="391"/>
            <w:r>
              <w:rPr>
                <w:rFonts w:hint="eastAsia" w:cs="Times New Roman"/>
                <w:color w:val="auto"/>
                <w:lang w:val="en-US" w:eastAsia="zh-CN"/>
              </w:rPr>
              <w:t>基础设施建设</w:t>
            </w:r>
            <w:bookmarkEnd w:id="392"/>
            <w:bookmarkEnd w:id="393"/>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陆域为现有用地，改扩建钢筋砼平台1座，长</w:t>
            </w:r>
            <w:r>
              <w:rPr>
                <w:rFonts w:hint="eastAsia" w:cs="Times New Roman"/>
                <w:color w:val="auto"/>
                <w:lang w:val="en-US" w:eastAsia="zh-CN"/>
              </w:rPr>
              <w:t>4</w:t>
            </w:r>
            <w:r>
              <w:rPr>
                <w:rFonts w:hint="default" w:ascii="Times New Roman" w:hAnsi="Times New Roman" w:cs="Times New Roman"/>
                <w:color w:val="auto"/>
                <w:lang w:val="en-US" w:eastAsia="zh-CN"/>
              </w:rPr>
              <w:t>0米，宽</w:t>
            </w:r>
            <w:r>
              <w:rPr>
                <w:rFonts w:hint="eastAsia" w:cs="Times New Roman"/>
                <w:color w:val="auto"/>
                <w:lang w:val="en-US" w:eastAsia="zh-CN"/>
              </w:rPr>
              <w:t>2</w:t>
            </w:r>
            <w:r>
              <w:rPr>
                <w:rFonts w:hint="default" w:ascii="Times New Roman" w:hAnsi="Times New Roman" w:cs="Times New Roman"/>
                <w:color w:val="auto"/>
                <w:lang w:val="en-US" w:eastAsia="zh-CN"/>
              </w:rPr>
              <w:t>0米，面积800平方米；新建拱门一座；水中</w:t>
            </w:r>
            <w:r>
              <w:rPr>
                <w:rFonts w:hint="eastAsia" w:cs="Times New Roman"/>
                <w:color w:val="auto"/>
                <w:lang w:val="en-US" w:eastAsia="zh-CN"/>
              </w:rPr>
              <w:t>已</w:t>
            </w:r>
            <w:r>
              <w:rPr>
                <w:rFonts w:hint="default" w:ascii="Times New Roman" w:hAnsi="Times New Roman" w:cs="Times New Roman"/>
                <w:color w:val="auto"/>
                <w:lang w:val="en-US" w:eastAsia="zh-CN"/>
              </w:rPr>
              <w:t>定置系揽柱4根，用于固定趸船及执法船艇；新建10米高旗杆及底座。</w:t>
            </w:r>
          </w:p>
          <w:p>
            <w:pPr>
              <w:pStyle w:val="4"/>
              <w:bidi w:val="0"/>
              <w:rPr>
                <w:rFonts w:hint="default" w:ascii="Times New Roman" w:hAnsi="Times New Roman" w:cs="Times New Roman"/>
                <w:color w:val="auto"/>
                <w:lang w:val="en-US" w:eastAsia="zh-CN"/>
              </w:rPr>
            </w:pPr>
            <w:bookmarkStart w:id="394" w:name="_Toc3165"/>
            <w:bookmarkStart w:id="395" w:name="_Toc16289"/>
            <w:bookmarkStart w:id="396" w:name="_Toc7700"/>
            <w:bookmarkStart w:id="397" w:name="_Toc13539"/>
            <w:bookmarkStart w:id="398" w:name="_Toc10338"/>
            <w:bookmarkStart w:id="399" w:name="_Toc201"/>
            <w:bookmarkStart w:id="400" w:name="_Toc27187"/>
            <w:bookmarkStart w:id="401" w:name="_Toc29100"/>
            <w:bookmarkStart w:id="402" w:name="_Toc32593"/>
            <w:r>
              <w:rPr>
                <w:rFonts w:hint="eastAsia" w:cs="Times New Roman"/>
                <w:color w:val="auto"/>
                <w:lang w:val="en-US" w:eastAsia="zh-CN"/>
              </w:rPr>
              <w:t>1</w:t>
            </w:r>
            <w:r>
              <w:rPr>
                <w:rFonts w:hint="default" w:ascii="Times New Roman" w:hAnsi="Times New Roman" w:cs="Times New Roman"/>
                <w:color w:val="auto"/>
                <w:lang w:val="en-US" w:eastAsia="zh-CN"/>
              </w:rPr>
              <w:t>.6 回旋水域</w:t>
            </w:r>
            <w:bookmarkEnd w:id="394"/>
            <w:bookmarkEnd w:id="395"/>
            <w:bookmarkEnd w:id="396"/>
            <w:bookmarkEnd w:id="397"/>
            <w:bookmarkEnd w:id="398"/>
            <w:bookmarkEnd w:id="399"/>
            <w:bookmarkEnd w:id="400"/>
            <w:bookmarkEnd w:id="401"/>
            <w:bookmarkEnd w:id="402"/>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沿水流方向长度L</w:t>
            </w:r>
            <w:r>
              <w:rPr>
                <w:rFonts w:hint="default" w:ascii="Times New Roman" w:hAnsi="Times New Roman" w:cs="Times New Roman"/>
                <w:color w:val="auto"/>
                <w:vertAlign w:val="subscript"/>
                <w:lang w:val="en-US" w:eastAsia="zh-CN"/>
              </w:rPr>
              <w:t>回旋</w:t>
            </w:r>
            <w:r>
              <w:rPr>
                <w:rFonts w:hint="default" w:ascii="Times New Roman" w:hAnsi="Times New Roman" w:cs="Times New Roman"/>
                <w:color w:val="auto"/>
                <w:lang w:val="en-US" w:eastAsia="zh-CN"/>
              </w:rPr>
              <w:t>≥2.5L，垂直水流方向宽度B</w:t>
            </w:r>
            <w:r>
              <w:rPr>
                <w:rFonts w:hint="default" w:ascii="Times New Roman" w:hAnsi="Times New Roman" w:cs="Times New Roman"/>
                <w:color w:val="auto"/>
                <w:vertAlign w:val="subscript"/>
                <w:lang w:val="en-US" w:eastAsia="zh-CN"/>
              </w:rPr>
              <w:t>回旋</w:t>
            </w:r>
            <w:r>
              <w:rPr>
                <w:rFonts w:hint="default" w:ascii="Times New Roman" w:hAnsi="Times New Roman" w:cs="Times New Roman"/>
                <w:color w:val="auto"/>
                <w:lang w:val="en-US" w:eastAsia="zh-CN"/>
              </w:rPr>
              <w:t>≥1.5L，根据功能设计要求，L取为</w:t>
            </w:r>
            <w:r>
              <w:rPr>
                <w:rFonts w:hint="eastAsia" w:cs="Times New Roman"/>
                <w:color w:val="auto"/>
                <w:lang w:val="en-US" w:eastAsia="zh-CN"/>
              </w:rPr>
              <w:t>24</w:t>
            </w:r>
            <w:r>
              <w:rPr>
                <w:rFonts w:hint="default" w:ascii="Times New Roman" w:hAnsi="Times New Roman" w:cs="Times New Roman"/>
                <w:color w:val="auto"/>
                <w:lang w:val="en-US" w:eastAsia="zh-CN"/>
              </w:rPr>
              <w:t>米，L</w:t>
            </w:r>
            <w:r>
              <w:rPr>
                <w:rFonts w:hint="default" w:ascii="Times New Roman" w:hAnsi="Times New Roman" w:cs="Times New Roman"/>
                <w:color w:val="auto"/>
                <w:vertAlign w:val="subscript"/>
                <w:lang w:val="en-US" w:eastAsia="zh-CN"/>
              </w:rPr>
              <w:t>回旋</w:t>
            </w:r>
            <w:r>
              <w:rPr>
                <w:rFonts w:hint="default" w:ascii="Times New Roman" w:hAnsi="Times New Roman" w:cs="Times New Roman"/>
                <w:color w:val="auto"/>
                <w:lang w:val="en-US" w:eastAsia="zh-CN"/>
              </w:rPr>
              <w:t>≥2.5×</w:t>
            </w:r>
            <w:r>
              <w:rPr>
                <w:rFonts w:hint="eastAsia" w:cs="Times New Roman"/>
                <w:color w:val="auto"/>
                <w:lang w:val="en-US" w:eastAsia="zh-CN"/>
              </w:rPr>
              <w:t>24</w:t>
            </w:r>
            <w:r>
              <w:rPr>
                <w:rFonts w:hint="default" w:ascii="Times New Roman" w:hAnsi="Times New Roman" w:cs="Times New Roman"/>
                <w:color w:val="auto"/>
                <w:lang w:val="en-US" w:eastAsia="zh-CN"/>
              </w:rPr>
              <w:t>=</w:t>
            </w:r>
            <w:r>
              <w:rPr>
                <w:rFonts w:hint="eastAsia" w:cs="Times New Roman"/>
                <w:color w:val="auto"/>
                <w:lang w:val="en-US" w:eastAsia="zh-CN"/>
              </w:rPr>
              <w:t>60</w:t>
            </w:r>
            <w:r>
              <w:rPr>
                <w:rFonts w:hint="default" w:ascii="Times New Roman" w:hAnsi="Times New Roman" w:cs="Times New Roman"/>
                <w:color w:val="auto"/>
                <w:lang w:val="en-US" w:eastAsia="zh-CN"/>
              </w:rPr>
              <w:t>m，B</w:t>
            </w:r>
            <w:r>
              <w:rPr>
                <w:rFonts w:hint="default" w:ascii="Times New Roman" w:hAnsi="Times New Roman" w:cs="Times New Roman"/>
                <w:color w:val="auto"/>
                <w:vertAlign w:val="subscript"/>
                <w:lang w:val="en-US" w:eastAsia="zh-CN"/>
              </w:rPr>
              <w:t>回旋</w:t>
            </w:r>
            <w:r>
              <w:rPr>
                <w:rFonts w:hint="default" w:ascii="Times New Roman" w:hAnsi="Times New Roman" w:cs="Times New Roman"/>
                <w:color w:val="auto"/>
                <w:lang w:val="en-US" w:eastAsia="zh-CN"/>
              </w:rPr>
              <w:t>≥1.5×</w:t>
            </w:r>
            <w:r>
              <w:rPr>
                <w:rFonts w:hint="eastAsia" w:cs="Times New Roman"/>
                <w:color w:val="auto"/>
                <w:lang w:val="en-US" w:eastAsia="zh-CN"/>
              </w:rPr>
              <w:t>24</w:t>
            </w:r>
            <w:r>
              <w:rPr>
                <w:rFonts w:hint="default" w:ascii="Times New Roman" w:hAnsi="Times New Roman" w:cs="Times New Roman"/>
                <w:color w:val="auto"/>
                <w:lang w:val="en-US" w:eastAsia="zh-CN"/>
              </w:rPr>
              <w:t>=</w:t>
            </w:r>
            <w:r>
              <w:rPr>
                <w:rFonts w:hint="eastAsia" w:cs="Times New Roman"/>
                <w:color w:val="auto"/>
                <w:lang w:val="en-US" w:eastAsia="zh-CN"/>
              </w:rPr>
              <w:t>36</w:t>
            </w:r>
            <w:r>
              <w:rPr>
                <w:rFonts w:hint="default" w:ascii="Times New Roman" w:hAnsi="Times New Roman" w:cs="Times New Roman"/>
                <w:color w:val="auto"/>
                <w:lang w:val="en-US" w:eastAsia="zh-CN"/>
              </w:rPr>
              <w:t>m。</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码头前方水域宽阔，水深条件良好，可以满足</w:t>
            </w:r>
            <w:r>
              <w:rPr>
                <w:rFonts w:hint="eastAsia" w:cs="Times New Roman"/>
                <w:color w:val="auto"/>
                <w:lang w:val="en-US" w:eastAsia="zh-CN"/>
              </w:rPr>
              <w:t>执法</w:t>
            </w:r>
            <w:r>
              <w:rPr>
                <w:rFonts w:hint="default" w:ascii="Times New Roman" w:hAnsi="Times New Roman" w:cs="Times New Roman"/>
                <w:color w:val="auto"/>
                <w:lang w:val="en-US" w:eastAsia="zh-CN"/>
              </w:rPr>
              <w:t>船型在码头前方掉头需要。</w:t>
            </w:r>
          </w:p>
          <w:p>
            <w:pPr>
              <w:pStyle w:val="4"/>
              <w:bidi w:val="0"/>
              <w:rPr>
                <w:rFonts w:hint="default" w:ascii="Times New Roman" w:hAnsi="Times New Roman" w:cs="Times New Roman"/>
                <w:color w:val="auto"/>
                <w:lang w:val="en-US" w:eastAsia="zh-CN"/>
              </w:rPr>
            </w:pPr>
            <w:bookmarkStart w:id="403" w:name="_Toc8212"/>
            <w:bookmarkStart w:id="404" w:name="_Toc9200"/>
            <w:bookmarkStart w:id="405" w:name="_Toc8072"/>
            <w:bookmarkStart w:id="406" w:name="_Toc7338"/>
            <w:bookmarkStart w:id="407" w:name="_Toc3225"/>
            <w:bookmarkStart w:id="408" w:name="_Toc26893"/>
            <w:bookmarkStart w:id="409" w:name="_Toc26572"/>
            <w:bookmarkStart w:id="410" w:name="_Toc20558"/>
            <w:bookmarkStart w:id="411" w:name="_Toc3400"/>
            <w:r>
              <w:rPr>
                <w:rFonts w:hint="eastAsia" w:cs="Times New Roman"/>
                <w:color w:val="auto"/>
                <w:lang w:val="en-US" w:eastAsia="zh-CN"/>
              </w:rPr>
              <w:t>1</w:t>
            </w:r>
            <w:r>
              <w:rPr>
                <w:rFonts w:hint="default" w:ascii="Times New Roman" w:hAnsi="Times New Roman" w:cs="Times New Roman"/>
                <w:color w:val="auto"/>
                <w:lang w:val="en-US" w:eastAsia="zh-CN"/>
              </w:rPr>
              <w:t>.7 涉水工程结构设计</w:t>
            </w:r>
            <w:bookmarkEnd w:id="403"/>
            <w:bookmarkEnd w:id="404"/>
            <w:bookmarkEnd w:id="405"/>
            <w:bookmarkEnd w:id="406"/>
            <w:bookmarkEnd w:id="407"/>
            <w:bookmarkEnd w:id="408"/>
            <w:bookmarkEnd w:id="409"/>
            <w:bookmarkEnd w:id="410"/>
            <w:bookmarkEnd w:id="411"/>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本项目采用斜坡码头结构型式，泊位前方配置钢质趸船1艘，趸船采用锚链定位、移动，趸船与斜坡道之间采用跳趸及跳板连接。码头斜坡道利用</w:t>
            </w:r>
            <w:r>
              <w:rPr>
                <w:rFonts w:hint="eastAsia" w:cs="Times New Roman"/>
                <w:color w:val="auto"/>
                <w:lang w:val="en-US" w:eastAsia="zh-CN"/>
              </w:rPr>
              <w:t>现有</w:t>
            </w:r>
            <w:r>
              <w:rPr>
                <w:rFonts w:hint="default" w:ascii="Times New Roman" w:hAnsi="Times New Roman" w:cs="Times New Roman"/>
                <w:color w:val="auto"/>
                <w:lang w:val="en-US" w:eastAsia="zh-CN"/>
              </w:rPr>
              <w:t>实体结构，坡道坡度为1:2.4。斜坡道江侧端部加设厚600mm抛石护坡。</w:t>
            </w:r>
            <w:r>
              <w:rPr>
                <w:rFonts w:hint="eastAsia" w:cs="Times New Roman"/>
                <w:color w:val="auto"/>
                <w:lang w:val="en-US" w:eastAsia="zh-CN"/>
              </w:rPr>
              <w:t>本次改扩建项目涉水工程依托现有，不开展涉水工程。</w:t>
            </w:r>
          </w:p>
          <w:p>
            <w:pPr>
              <w:pStyle w:val="4"/>
              <w:bidi w:val="0"/>
              <w:rPr>
                <w:rFonts w:hint="default"/>
                <w:color w:val="auto"/>
                <w:lang w:val="en-US" w:eastAsia="zh-CN"/>
              </w:rPr>
            </w:pPr>
            <w:bookmarkStart w:id="412" w:name="_Toc2637"/>
            <w:bookmarkStart w:id="413" w:name="_Toc16798"/>
            <w:bookmarkStart w:id="414" w:name="_Toc19729"/>
            <w:bookmarkStart w:id="415" w:name="_Toc12943"/>
            <w:bookmarkStart w:id="416" w:name="_Toc10217"/>
            <w:bookmarkStart w:id="417" w:name="_Toc12477"/>
            <w:r>
              <w:rPr>
                <w:rFonts w:hint="eastAsia"/>
                <w:color w:val="auto"/>
                <w:lang w:val="en-US" w:eastAsia="zh-CN"/>
              </w:rPr>
              <w:t xml:space="preserve">1.8 </w:t>
            </w:r>
            <w:r>
              <w:rPr>
                <w:rFonts w:hint="default"/>
                <w:color w:val="auto"/>
                <w:lang w:val="en-US" w:eastAsia="zh-CN"/>
              </w:rPr>
              <w:t>码头布置</w:t>
            </w:r>
            <w:bookmarkEnd w:id="412"/>
            <w:bookmarkEnd w:id="413"/>
            <w:bookmarkEnd w:id="414"/>
            <w:bookmarkEnd w:id="415"/>
            <w:bookmarkEnd w:id="416"/>
            <w:bookmarkEnd w:id="417"/>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本工程位于湖南省衡阳市蒸湘区大立村蒸水河段，铜钱渡大桥上游200米左岸处，所在水域为蒸水英陂拦河坝至湘江入河口水域。</w:t>
            </w:r>
          </w:p>
          <w:p>
            <w:pPr>
              <w:pStyle w:val="4"/>
              <w:bidi w:val="0"/>
              <w:rPr>
                <w:rFonts w:hint="default"/>
                <w:color w:val="auto"/>
                <w:lang w:val="en-US" w:eastAsia="zh-CN"/>
              </w:rPr>
            </w:pPr>
            <w:bookmarkStart w:id="418" w:name="_Toc32406"/>
            <w:bookmarkStart w:id="419" w:name="_Toc18014"/>
            <w:bookmarkStart w:id="420" w:name="_Toc697"/>
            <w:bookmarkStart w:id="421" w:name="_Toc18928"/>
            <w:bookmarkStart w:id="422" w:name="_Toc15409"/>
            <w:bookmarkStart w:id="423" w:name="_Toc8520"/>
            <w:r>
              <w:rPr>
                <w:rFonts w:hint="eastAsia"/>
                <w:color w:val="auto"/>
                <w:lang w:val="en-US" w:eastAsia="zh-CN"/>
              </w:rPr>
              <w:t xml:space="preserve">1.9 </w:t>
            </w:r>
            <w:r>
              <w:rPr>
                <w:rFonts w:hint="default"/>
                <w:color w:val="auto"/>
                <w:lang w:val="en-US" w:eastAsia="zh-CN"/>
              </w:rPr>
              <w:t>水域布置</w:t>
            </w:r>
            <w:bookmarkEnd w:id="418"/>
            <w:bookmarkEnd w:id="419"/>
            <w:bookmarkEnd w:id="420"/>
            <w:bookmarkEnd w:id="421"/>
            <w:bookmarkEnd w:id="422"/>
            <w:bookmarkEnd w:id="423"/>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衡阳市</w:t>
            </w:r>
            <w:r>
              <w:rPr>
                <w:rFonts w:hint="eastAsia" w:cs="Times New Roman"/>
                <w:color w:val="auto"/>
                <w:lang w:val="en-US" w:eastAsia="zh-CN"/>
              </w:rPr>
              <w:t>级</w:t>
            </w:r>
            <w:r>
              <w:rPr>
                <w:rFonts w:hint="default" w:ascii="Times New Roman" w:hAnsi="Times New Roman" w:cs="Times New Roman"/>
                <w:color w:val="auto"/>
                <w:lang w:val="en-US" w:eastAsia="zh-CN"/>
              </w:rPr>
              <w:t>渔政码头已建水工建筑物上游侧暂无其他建筑物；码头下游侧200m处为铜钱渡大桥，根据规范要求需要的安全距离为4倍设计船长，码头与桥梁之间的安全间距满足规范要求。趸船占水域面积200m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vertAlign w:val="baseline"/>
                <w:lang w:val="en-US" w:eastAsia="zh-CN"/>
              </w:rPr>
              <w:t>，趸船上</w:t>
            </w:r>
            <w:r>
              <w:rPr>
                <w:rFonts w:hint="default" w:ascii="Times New Roman" w:hAnsi="Times New Roman" w:cs="Times New Roman"/>
                <w:color w:val="auto"/>
                <w:lang w:val="en-US" w:eastAsia="zh-CN"/>
              </w:rPr>
              <w:t>设置罚没物资仓库2间，值班休息室2间，内置可旋转式电动起重机一套。</w:t>
            </w:r>
          </w:p>
          <w:p>
            <w:pPr>
              <w:pStyle w:val="4"/>
              <w:bidi w:val="0"/>
              <w:rPr>
                <w:rFonts w:hint="eastAsia"/>
                <w:color w:val="auto"/>
                <w:lang w:val="en-US" w:eastAsia="zh-CN"/>
              </w:rPr>
            </w:pPr>
            <w:bookmarkStart w:id="424" w:name="_Toc28870"/>
            <w:bookmarkStart w:id="425" w:name="_Toc2227"/>
            <w:bookmarkStart w:id="426" w:name="_Toc4180"/>
            <w:bookmarkStart w:id="427" w:name="_Toc21037"/>
            <w:bookmarkStart w:id="428" w:name="_Toc3151"/>
            <w:bookmarkStart w:id="429" w:name="_Toc27942"/>
            <w:r>
              <w:rPr>
                <w:rFonts w:hint="eastAsia"/>
                <w:color w:val="auto"/>
                <w:lang w:val="en-US" w:eastAsia="zh-CN"/>
              </w:rPr>
              <w:t>1.10 陆域布置</w:t>
            </w:r>
            <w:bookmarkEnd w:id="424"/>
            <w:bookmarkEnd w:id="425"/>
            <w:bookmarkEnd w:id="426"/>
            <w:bookmarkEnd w:id="427"/>
            <w:bookmarkEnd w:id="428"/>
            <w:bookmarkEnd w:id="429"/>
          </w:p>
          <w:p>
            <w:pPr>
              <w:rPr>
                <w:rFonts w:hint="default"/>
                <w:color w:val="auto"/>
                <w:lang w:val="en-US" w:eastAsia="zh-CN"/>
              </w:rPr>
            </w:pPr>
            <w:r>
              <w:rPr>
                <w:rFonts w:hint="default" w:ascii="Times New Roman" w:hAnsi="Times New Roman" w:cs="Times New Roman"/>
                <w:color w:val="auto"/>
                <w:lang w:val="en-US" w:eastAsia="zh-CN"/>
              </w:rPr>
              <w:t>码头陆域布置在蒸水西南侧，亲水平台占地800m</w:t>
            </w:r>
            <w:r>
              <w:rPr>
                <w:rFonts w:hint="default" w:ascii="Times New Roman" w:hAnsi="Times New Roman" w:cs="Times New Roman"/>
                <w:color w:val="auto"/>
                <w:vertAlign w:val="superscript"/>
                <w:lang w:val="en-US" w:eastAsia="zh-CN"/>
              </w:rPr>
              <w:t>2</w:t>
            </w:r>
            <w:r>
              <w:rPr>
                <w:rFonts w:hint="eastAsia" w:cs="Times New Roman"/>
                <w:color w:val="auto"/>
                <w:vertAlign w:val="baseline"/>
                <w:lang w:val="en-US" w:eastAsia="zh-CN"/>
              </w:rPr>
              <w:t>。</w:t>
            </w:r>
            <w:r>
              <w:rPr>
                <w:rFonts w:hint="default" w:ascii="Times New Roman" w:hAnsi="Times New Roman" w:cs="Times New Roman"/>
                <w:color w:val="auto"/>
                <w:lang w:val="en-US" w:eastAsia="zh-CN"/>
              </w:rPr>
              <w:t>亲水平台设置拱门一座，水中定置系缆柱4根，10米高旗杆及底座一套。</w:t>
            </w:r>
          </w:p>
          <w:p>
            <w:pPr>
              <w:pStyle w:val="3"/>
              <w:bidi w:val="0"/>
              <w:rPr>
                <w:rFonts w:hint="eastAsia"/>
                <w:color w:val="auto"/>
                <w:lang w:val="en-US" w:eastAsia="zh-CN"/>
              </w:rPr>
            </w:pPr>
            <w:bookmarkStart w:id="430" w:name="_Toc31995"/>
            <w:bookmarkStart w:id="431" w:name="_Toc32545"/>
            <w:bookmarkStart w:id="432" w:name="_Toc12011"/>
            <w:bookmarkStart w:id="433" w:name="_Toc25640"/>
            <w:bookmarkStart w:id="434" w:name="_Toc2380"/>
            <w:bookmarkStart w:id="435" w:name="_Toc14438"/>
            <w:bookmarkStart w:id="436" w:name="_Toc31397"/>
            <w:r>
              <w:rPr>
                <w:rFonts w:hint="eastAsia"/>
                <w:color w:val="auto"/>
                <w:lang w:val="en-US" w:eastAsia="zh-CN"/>
              </w:rPr>
              <w:t>2、现有项目污染源强分析</w:t>
            </w:r>
            <w:bookmarkEnd w:id="430"/>
            <w:bookmarkEnd w:id="431"/>
            <w:bookmarkEnd w:id="432"/>
            <w:bookmarkEnd w:id="433"/>
            <w:bookmarkEnd w:id="434"/>
            <w:bookmarkEnd w:id="435"/>
          </w:p>
          <w:p>
            <w:pPr>
              <w:pStyle w:val="4"/>
              <w:bidi w:val="0"/>
              <w:rPr>
                <w:rFonts w:hint="eastAsia"/>
                <w:color w:val="auto"/>
                <w:lang w:val="en-US" w:eastAsia="zh-CN"/>
              </w:rPr>
            </w:pPr>
            <w:bookmarkStart w:id="437" w:name="_Toc7009"/>
            <w:bookmarkStart w:id="438" w:name="_Toc31978"/>
            <w:bookmarkStart w:id="439" w:name="_Toc11420"/>
            <w:bookmarkStart w:id="440" w:name="_Toc3732"/>
            <w:bookmarkStart w:id="441" w:name="_Toc15310"/>
            <w:r>
              <w:rPr>
                <w:rFonts w:hint="eastAsia"/>
                <w:color w:val="auto"/>
                <w:lang w:val="en-US" w:eastAsia="zh-CN"/>
              </w:rPr>
              <w:t>2.1 废气</w:t>
            </w:r>
            <w:bookmarkEnd w:id="437"/>
            <w:bookmarkEnd w:id="438"/>
            <w:bookmarkEnd w:id="439"/>
            <w:bookmarkEnd w:id="440"/>
            <w:bookmarkEnd w:id="441"/>
          </w:p>
          <w:p>
            <w:pPr>
              <w:rPr>
                <w:rFonts w:hint="eastAsia"/>
                <w:color w:val="auto"/>
                <w:lang w:val="en-US" w:eastAsia="zh-CN"/>
              </w:rPr>
            </w:pPr>
            <w:r>
              <w:rPr>
                <w:rFonts w:hint="eastAsia"/>
                <w:color w:val="auto"/>
                <w:lang w:val="en-US" w:eastAsia="zh-CN"/>
              </w:rPr>
              <w:t>本项目码头废气主要来自执法艇停泊和启动时排放的尾气，将对项目所在地大气环境产生一定影响。由于江边风速大，稀释扩散速度快，因此进出船舶尾气排放经大气稀释、扩散、通风等作用后，对周围环境影响小。</w:t>
            </w:r>
          </w:p>
          <w:p>
            <w:pPr>
              <w:pStyle w:val="4"/>
              <w:bidi w:val="0"/>
              <w:rPr>
                <w:rFonts w:hint="eastAsia"/>
                <w:color w:val="auto"/>
                <w:lang w:val="en-US" w:eastAsia="zh-CN"/>
              </w:rPr>
            </w:pPr>
            <w:bookmarkStart w:id="442" w:name="_Toc22095"/>
            <w:bookmarkStart w:id="443" w:name="_Toc6596"/>
            <w:bookmarkStart w:id="444" w:name="_Toc32056"/>
            <w:bookmarkStart w:id="445" w:name="_Toc13497"/>
            <w:bookmarkStart w:id="446" w:name="_Toc29980"/>
            <w:r>
              <w:rPr>
                <w:rFonts w:hint="eastAsia"/>
                <w:color w:val="auto"/>
                <w:lang w:val="en-US" w:eastAsia="zh-CN"/>
              </w:rPr>
              <w:t>2.2 废水</w:t>
            </w:r>
            <w:bookmarkEnd w:id="442"/>
            <w:bookmarkEnd w:id="443"/>
            <w:bookmarkEnd w:id="444"/>
            <w:bookmarkEnd w:id="445"/>
            <w:bookmarkEnd w:id="446"/>
          </w:p>
          <w:p>
            <w:pPr>
              <w:rPr>
                <w:rFonts w:hint="eastAsia"/>
                <w:color w:val="auto"/>
                <w:lang w:val="en-US" w:eastAsia="zh-CN"/>
              </w:rPr>
            </w:pPr>
            <w:r>
              <w:rPr>
                <w:rFonts w:hint="eastAsia"/>
                <w:color w:val="auto"/>
                <w:lang w:val="en-US" w:eastAsia="zh-CN"/>
              </w:rPr>
              <w:t>本项目废水主要来自于值班人员产生的生活污水、执法艇生活污水与趸船含油污水。</w:t>
            </w:r>
          </w:p>
          <w:p>
            <w:pPr>
              <w:rPr>
                <w:rFonts w:hint="eastAsia"/>
                <w:color w:val="auto"/>
                <w:lang w:val="en-US" w:eastAsia="zh-CN"/>
              </w:rPr>
            </w:pPr>
            <w:r>
              <w:rPr>
                <w:rFonts w:hint="eastAsia"/>
                <w:color w:val="auto"/>
                <w:lang w:val="en-US" w:eastAsia="zh-CN"/>
              </w:rPr>
              <w:t>（1）值班人员生活污水</w:t>
            </w:r>
          </w:p>
          <w:p>
            <w:pPr>
              <w:rPr>
                <w:rFonts w:hint="eastAsia" w:cs="Times New Roman"/>
                <w:color w:val="auto"/>
                <w:lang w:val="en-US" w:eastAsia="zh-CN"/>
              </w:rPr>
            </w:pPr>
            <w:r>
              <w:rPr>
                <w:rFonts w:hint="eastAsia"/>
                <w:color w:val="auto"/>
                <w:lang w:val="en-US" w:eastAsia="zh-CN"/>
              </w:rPr>
              <w:t>值班人员按4人/d计，年工作300天。</w:t>
            </w:r>
            <w:r>
              <w:rPr>
                <w:rFonts w:hint="default" w:ascii="Times New Roman" w:hAnsi="Times New Roman" w:cs="Times New Roman"/>
                <w:color w:val="auto"/>
                <w:lang w:val="en-US" w:eastAsia="zh-CN"/>
              </w:rPr>
              <w:t>根据湖南省地方标准《用水定额》（DB43/T388-2020），</w:t>
            </w:r>
            <w:r>
              <w:rPr>
                <w:rFonts w:hint="eastAsia" w:cs="Times New Roman"/>
                <w:color w:val="auto"/>
                <w:lang w:val="en-US" w:eastAsia="zh-CN"/>
              </w:rPr>
              <w:t>值班</w:t>
            </w:r>
            <w:r>
              <w:rPr>
                <w:rFonts w:hint="default" w:ascii="Times New Roman" w:hAnsi="Times New Roman" w:cs="Times New Roman"/>
                <w:color w:val="auto"/>
                <w:lang w:val="en-US" w:eastAsia="zh-CN"/>
              </w:rPr>
              <w:t>员工用水定额取按160L/(人·</w:t>
            </w:r>
            <w:r>
              <w:rPr>
                <w:rFonts w:hint="eastAsia" w:cs="Times New Roman"/>
                <w:color w:val="auto"/>
                <w:lang w:val="en-US" w:eastAsia="zh-CN"/>
              </w:rPr>
              <w:t>d</w:t>
            </w:r>
            <w:r>
              <w:rPr>
                <w:rFonts w:hint="default" w:ascii="Times New Roman" w:hAnsi="Times New Roman" w:cs="Times New Roman"/>
                <w:color w:val="auto"/>
                <w:lang w:val="en-US" w:eastAsia="zh-CN"/>
              </w:rPr>
              <w:t>)，排污系数按80%算，则生活污水排放量为</w:t>
            </w:r>
            <w:r>
              <w:rPr>
                <w:rFonts w:hint="eastAsia" w:cs="Times New Roman"/>
                <w:color w:val="auto"/>
                <w:lang w:val="en-US" w:eastAsia="zh-CN"/>
              </w:rPr>
              <w:t>512L/d，年生活污水产生量为153.6m</w:t>
            </w:r>
            <w:r>
              <w:rPr>
                <w:rFonts w:hint="eastAsia" w:cs="Times New Roman"/>
                <w:color w:val="auto"/>
                <w:vertAlign w:val="superscript"/>
                <w:lang w:val="en-US" w:eastAsia="zh-CN"/>
              </w:rPr>
              <w:t>3</w:t>
            </w:r>
            <w:r>
              <w:rPr>
                <w:rFonts w:hint="eastAsia" w:cs="Times New Roman"/>
                <w:color w:val="auto"/>
                <w:lang w:val="en-US" w:eastAsia="zh-CN"/>
              </w:rPr>
              <w:t>/a，</w:t>
            </w:r>
            <w:r>
              <w:rPr>
                <w:rFonts w:hint="default"/>
                <w:color w:val="auto"/>
                <w:vertAlign w:val="baseline"/>
                <w:lang w:val="en-US" w:eastAsia="zh-CN"/>
              </w:rPr>
              <w:t>根据《给水排水设计手册（第5册）》中4.2城镇污水水质，生活污水中各主要污染物浓度为COD</w:t>
            </w:r>
            <w:r>
              <w:rPr>
                <w:rFonts w:hint="eastAsia"/>
                <w:color w:val="auto"/>
                <w:vertAlign w:val="subscript"/>
                <w:lang w:val="en-US" w:eastAsia="zh-CN"/>
              </w:rPr>
              <w:t>Cr</w:t>
            </w:r>
            <w:r>
              <w:rPr>
                <w:rFonts w:hint="default"/>
                <w:color w:val="auto"/>
                <w:vertAlign w:val="baseline"/>
                <w:lang w:val="en-US" w:eastAsia="zh-CN"/>
              </w:rPr>
              <w:t>：400mg/L，BOD</w:t>
            </w:r>
            <w:r>
              <w:rPr>
                <w:rFonts w:hint="default"/>
                <w:color w:val="auto"/>
                <w:vertAlign w:val="subscript"/>
                <w:lang w:val="en-US" w:eastAsia="zh-CN"/>
              </w:rPr>
              <w:t>5</w:t>
            </w:r>
            <w:r>
              <w:rPr>
                <w:rFonts w:hint="default"/>
                <w:color w:val="auto"/>
                <w:vertAlign w:val="baseline"/>
                <w:lang w:val="en-US" w:eastAsia="zh-CN"/>
              </w:rPr>
              <w:t>：220mg/L，SS：200mg/L，NH</w:t>
            </w:r>
            <w:r>
              <w:rPr>
                <w:rFonts w:hint="default"/>
                <w:color w:val="auto"/>
                <w:vertAlign w:val="subscript"/>
                <w:lang w:val="en-US" w:eastAsia="zh-CN"/>
              </w:rPr>
              <w:t>3</w:t>
            </w:r>
            <w:r>
              <w:rPr>
                <w:rFonts w:hint="default"/>
                <w:color w:val="auto"/>
                <w:vertAlign w:val="baseline"/>
                <w:lang w:val="en-US" w:eastAsia="zh-CN"/>
              </w:rPr>
              <w:t>-N：40mg/L，动植物油：100mg/L</w:t>
            </w:r>
            <w:r>
              <w:rPr>
                <w:rFonts w:hint="eastAsia" w:cs="Times New Roman"/>
                <w:color w:val="auto"/>
                <w:lang w:val="en-US" w:eastAsia="zh-CN"/>
              </w:rPr>
              <w:t>，从而可以计算污染物产生量为COD</w:t>
            </w:r>
            <w:r>
              <w:rPr>
                <w:rFonts w:hint="eastAsia" w:cs="Times New Roman"/>
                <w:color w:val="auto"/>
                <w:vertAlign w:val="subscript"/>
                <w:lang w:val="en-US" w:eastAsia="zh-CN"/>
              </w:rPr>
              <w:t>Cr</w:t>
            </w:r>
            <w:r>
              <w:rPr>
                <w:rFonts w:hint="eastAsia" w:cs="Times New Roman"/>
                <w:color w:val="auto"/>
                <w:lang w:val="en-US" w:eastAsia="zh-CN"/>
              </w:rPr>
              <w:t>：0.061t/a、BOD</w:t>
            </w:r>
            <w:r>
              <w:rPr>
                <w:rFonts w:hint="eastAsia" w:cs="Times New Roman"/>
                <w:color w:val="auto"/>
                <w:vertAlign w:val="subscript"/>
                <w:lang w:val="en-US" w:eastAsia="zh-CN"/>
              </w:rPr>
              <w:t>5</w:t>
            </w:r>
            <w:r>
              <w:rPr>
                <w:rFonts w:hint="eastAsia" w:cs="Times New Roman"/>
                <w:color w:val="auto"/>
                <w:lang w:val="en-US" w:eastAsia="zh-CN"/>
              </w:rPr>
              <w:t>：0.034t/a、SS：0.031t/a、NH</w:t>
            </w:r>
            <w:r>
              <w:rPr>
                <w:rFonts w:hint="eastAsia" w:cs="Times New Roman"/>
                <w:color w:val="auto"/>
                <w:vertAlign w:val="subscript"/>
                <w:lang w:val="en-US" w:eastAsia="zh-CN"/>
              </w:rPr>
              <w:t>3</w:t>
            </w:r>
            <w:r>
              <w:rPr>
                <w:rFonts w:hint="eastAsia" w:cs="Times New Roman"/>
                <w:color w:val="auto"/>
                <w:lang w:val="en-US" w:eastAsia="zh-CN"/>
              </w:rPr>
              <w:t>-N：0.006t/a、动植物油：0.015t/a。</w:t>
            </w:r>
          </w:p>
          <w:p>
            <w:pPr>
              <w:rPr>
                <w:rFonts w:hint="eastAsia" w:cs="Times New Roman"/>
                <w:color w:val="auto"/>
                <w:lang w:val="en-US" w:eastAsia="zh-CN"/>
              </w:rPr>
            </w:pPr>
            <w:r>
              <w:rPr>
                <w:rFonts w:hint="eastAsia" w:cs="Times New Roman"/>
                <w:color w:val="auto"/>
                <w:lang w:val="en-US" w:eastAsia="zh-CN"/>
              </w:rPr>
              <w:t>（2）执法艇生活污水</w:t>
            </w:r>
          </w:p>
          <w:p>
            <w:pPr>
              <w:rPr>
                <w:rFonts w:hint="eastAsia" w:cs="Times New Roman"/>
                <w:color w:val="auto"/>
                <w:lang w:val="en-US" w:eastAsia="zh-CN"/>
              </w:rPr>
            </w:pPr>
            <w:r>
              <w:rPr>
                <w:rFonts w:hint="eastAsia" w:cs="Times New Roman"/>
                <w:color w:val="auto"/>
                <w:lang w:val="en-US" w:eastAsia="zh-CN"/>
              </w:rPr>
              <w:t>本项目现有6艘执法艇，每艘执法艇定员1人，年工作300天。</w:t>
            </w:r>
            <w:r>
              <w:rPr>
                <w:rFonts w:hint="default" w:ascii="Times New Roman" w:hAnsi="Times New Roman" w:cs="Times New Roman"/>
                <w:color w:val="auto"/>
                <w:lang w:val="en-US" w:eastAsia="zh-CN"/>
              </w:rPr>
              <w:t>根据湖南省地方标准《用水定额》（DB43/T388-2020），</w:t>
            </w:r>
            <w:r>
              <w:rPr>
                <w:rFonts w:hint="eastAsia" w:cs="Times New Roman"/>
                <w:color w:val="auto"/>
                <w:lang w:val="en-US" w:eastAsia="zh-CN"/>
              </w:rPr>
              <w:t>值班</w:t>
            </w:r>
            <w:r>
              <w:rPr>
                <w:rFonts w:hint="default" w:ascii="Times New Roman" w:hAnsi="Times New Roman" w:cs="Times New Roman"/>
                <w:color w:val="auto"/>
                <w:lang w:val="en-US" w:eastAsia="zh-CN"/>
              </w:rPr>
              <w:t>员工用水定额取按160L/(人·</w:t>
            </w:r>
            <w:r>
              <w:rPr>
                <w:rFonts w:hint="eastAsia" w:cs="Times New Roman"/>
                <w:color w:val="auto"/>
                <w:lang w:val="en-US" w:eastAsia="zh-CN"/>
              </w:rPr>
              <w:t>d</w:t>
            </w:r>
            <w:r>
              <w:rPr>
                <w:rFonts w:hint="default" w:ascii="Times New Roman" w:hAnsi="Times New Roman" w:cs="Times New Roman"/>
                <w:color w:val="auto"/>
                <w:lang w:val="en-US" w:eastAsia="zh-CN"/>
              </w:rPr>
              <w:t>)，排污系数按80%算，则生活污水排放量为</w:t>
            </w:r>
            <w:r>
              <w:rPr>
                <w:rFonts w:hint="eastAsia" w:cs="Times New Roman"/>
                <w:color w:val="auto"/>
                <w:lang w:val="en-US" w:eastAsia="zh-CN"/>
              </w:rPr>
              <w:t>768L/d，年生活污水产生量为230.4m</w:t>
            </w:r>
            <w:r>
              <w:rPr>
                <w:rFonts w:hint="eastAsia" w:cs="Times New Roman"/>
                <w:color w:val="auto"/>
                <w:vertAlign w:val="superscript"/>
                <w:lang w:val="en-US" w:eastAsia="zh-CN"/>
              </w:rPr>
              <w:t>3</w:t>
            </w:r>
            <w:r>
              <w:rPr>
                <w:rFonts w:hint="eastAsia" w:cs="Times New Roman"/>
                <w:color w:val="auto"/>
                <w:lang w:val="en-US" w:eastAsia="zh-CN"/>
              </w:rPr>
              <w:t>/a，</w:t>
            </w:r>
            <w:r>
              <w:rPr>
                <w:rFonts w:hint="default"/>
                <w:color w:val="auto"/>
                <w:vertAlign w:val="baseline"/>
                <w:lang w:val="en-US" w:eastAsia="zh-CN"/>
              </w:rPr>
              <w:t>根据《给水排水设计手册（第5册）》中4.2城镇污水水质，生活污水中各主要污染物浓度为COD</w:t>
            </w:r>
            <w:r>
              <w:rPr>
                <w:rFonts w:hint="eastAsia"/>
                <w:color w:val="auto"/>
                <w:vertAlign w:val="subscript"/>
                <w:lang w:val="en-US" w:eastAsia="zh-CN"/>
              </w:rPr>
              <w:t>Cr</w:t>
            </w:r>
            <w:r>
              <w:rPr>
                <w:rFonts w:hint="default"/>
                <w:color w:val="auto"/>
                <w:vertAlign w:val="baseline"/>
                <w:lang w:val="en-US" w:eastAsia="zh-CN"/>
              </w:rPr>
              <w:t>：400mg/L，BOD</w:t>
            </w:r>
            <w:r>
              <w:rPr>
                <w:rFonts w:hint="default"/>
                <w:color w:val="auto"/>
                <w:vertAlign w:val="subscript"/>
                <w:lang w:val="en-US" w:eastAsia="zh-CN"/>
              </w:rPr>
              <w:t>5</w:t>
            </w:r>
            <w:r>
              <w:rPr>
                <w:rFonts w:hint="default"/>
                <w:color w:val="auto"/>
                <w:vertAlign w:val="baseline"/>
                <w:lang w:val="en-US" w:eastAsia="zh-CN"/>
              </w:rPr>
              <w:t>：220mg/L，SS：200mg/L，NH</w:t>
            </w:r>
            <w:r>
              <w:rPr>
                <w:rFonts w:hint="default"/>
                <w:color w:val="auto"/>
                <w:vertAlign w:val="subscript"/>
                <w:lang w:val="en-US" w:eastAsia="zh-CN"/>
              </w:rPr>
              <w:t>3</w:t>
            </w:r>
            <w:r>
              <w:rPr>
                <w:rFonts w:hint="default"/>
                <w:color w:val="auto"/>
                <w:vertAlign w:val="baseline"/>
                <w:lang w:val="en-US" w:eastAsia="zh-CN"/>
              </w:rPr>
              <w:t>-N：40mg/L，动植物油：100mg/L</w:t>
            </w:r>
            <w:r>
              <w:rPr>
                <w:rFonts w:hint="eastAsia" w:cs="Times New Roman"/>
                <w:color w:val="auto"/>
                <w:lang w:val="en-US" w:eastAsia="zh-CN"/>
              </w:rPr>
              <w:t>，从而可以计算污染物产生量为COD</w:t>
            </w:r>
            <w:r>
              <w:rPr>
                <w:rFonts w:hint="eastAsia" w:cs="Times New Roman"/>
                <w:color w:val="auto"/>
                <w:vertAlign w:val="subscript"/>
                <w:lang w:val="en-US" w:eastAsia="zh-CN"/>
              </w:rPr>
              <w:t>Cr</w:t>
            </w:r>
            <w:r>
              <w:rPr>
                <w:rFonts w:hint="eastAsia" w:cs="Times New Roman"/>
                <w:color w:val="auto"/>
                <w:lang w:val="en-US" w:eastAsia="zh-CN"/>
              </w:rPr>
              <w:t>：0.092t/a、BOD</w:t>
            </w:r>
            <w:r>
              <w:rPr>
                <w:rFonts w:hint="eastAsia" w:cs="Times New Roman"/>
                <w:color w:val="auto"/>
                <w:vertAlign w:val="subscript"/>
                <w:lang w:val="en-US" w:eastAsia="zh-CN"/>
              </w:rPr>
              <w:t>5</w:t>
            </w:r>
            <w:r>
              <w:rPr>
                <w:rFonts w:hint="eastAsia" w:cs="Times New Roman"/>
                <w:color w:val="auto"/>
                <w:lang w:val="en-US" w:eastAsia="zh-CN"/>
              </w:rPr>
              <w:t>：0.051t/a、SS：0.046t/a、NH</w:t>
            </w:r>
            <w:r>
              <w:rPr>
                <w:rFonts w:hint="eastAsia" w:cs="Times New Roman"/>
                <w:color w:val="auto"/>
                <w:vertAlign w:val="subscript"/>
                <w:lang w:val="en-US" w:eastAsia="zh-CN"/>
              </w:rPr>
              <w:t>3</w:t>
            </w:r>
            <w:r>
              <w:rPr>
                <w:rFonts w:hint="eastAsia" w:cs="Times New Roman"/>
                <w:color w:val="auto"/>
                <w:lang w:val="en-US" w:eastAsia="zh-CN"/>
              </w:rPr>
              <w:t>-N：0.009t/a、动植物油：0.023t/a。</w:t>
            </w:r>
          </w:p>
          <w:p>
            <w:pPr>
              <w:rPr>
                <w:rFonts w:hint="eastAsia" w:cs="Times New Roman"/>
                <w:color w:val="auto"/>
                <w:lang w:val="en-US" w:eastAsia="zh-CN"/>
              </w:rPr>
            </w:pPr>
            <w:r>
              <w:rPr>
                <w:rFonts w:hint="eastAsia" w:cs="Times New Roman"/>
                <w:color w:val="auto"/>
                <w:lang w:val="en-US" w:eastAsia="zh-CN"/>
              </w:rPr>
              <w:t>（3）趸船含油废水</w:t>
            </w:r>
          </w:p>
          <w:p>
            <w:pPr>
              <w:rPr>
                <w:rFonts w:hint="default" w:eastAsia="宋体" w:cs="Times New Roman"/>
                <w:color w:val="auto"/>
                <w:lang w:val="en-US" w:eastAsia="zh-CN"/>
              </w:rPr>
            </w:pPr>
            <w:r>
              <w:rPr>
                <w:rFonts w:hint="eastAsia" w:cs="Times New Roman"/>
                <w:color w:val="auto"/>
                <w:lang w:val="en-US" w:eastAsia="zh-CN"/>
              </w:rPr>
              <w:t>本项目有趸船1艘，载重在500t以下。根据《港口工程环境保护设计规范》（JTS149-2018），500吨级船舶舱底油污水产生量为0.14m</w:t>
            </w:r>
            <w:r>
              <w:rPr>
                <w:rFonts w:hint="eastAsia" w:cs="Times New Roman"/>
                <w:color w:val="auto"/>
                <w:vertAlign w:val="superscript"/>
                <w:lang w:val="en-US" w:eastAsia="zh-CN"/>
              </w:rPr>
              <w:t>3</w:t>
            </w:r>
            <w:r>
              <w:rPr>
                <w:rFonts w:hint="eastAsia" w:cs="Times New Roman"/>
                <w:color w:val="auto"/>
                <w:lang w:val="en-US" w:eastAsia="zh-CN"/>
              </w:rPr>
              <w:t>/（d</w:t>
            </w:r>
            <w:r>
              <w:rPr>
                <w:rFonts w:hint="default" w:ascii="Times New Roman" w:hAnsi="Times New Roman" w:cs="Times New Roman"/>
                <w:color w:val="auto"/>
                <w:lang w:val="en-US" w:eastAsia="zh-CN"/>
              </w:rPr>
              <w:t>·</w:t>
            </w:r>
            <w:r>
              <w:rPr>
                <w:rFonts w:hint="eastAsia" w:cs="Times New Roman"/>
                <w:color w:val="auto"/>
                <w:lang w:val="en-US" w:eastAsia="zh-CN"/>
              </w:rPr>
              <w:t>艘），则</w:t>
            </w:r>
            <w:r>
              <w:rPr>
                <w:rFonts w:hint="default" w:ascii="Times New Roman" w:hAnsi="Times New Roman" w:cs="Times New Roman"/>
                <w:bCs/>
                <w:color w:val="auto"/>
                <w:sz w:val="24"/>
                <w:szCs w:val="24"/>
              </w:rPr>
              <w:t>全年舱底油污水发生量为</w:t>
            </w:r>
            <w:r>
              <w:rPr>
                <w:rFonts w:hint="eastAsia" w:cs="Times New Roman"/>
                <w:bCs/>
                <w:color w:val="auto"/>
                <w:sz w:val="24"/>
                <w:szCs w:val="24"/>
                <w:lang w:val="en-US" w:eastAsia="zh-CN"/>
              </w:rPr>
              <w:t>42m</w:t>
            </w:r>
            <w:r>
              <w:rPr>
                <w:rFonts w:hint="eastAsia" w:cs="Times New Roman"/>
                <w:bCs/>
                <w:color w:val="auto"/>
                <w:sz w:val="24"/>
                <w:szCs w:val="24"/>
                <w:vertAlign w:val="superscript"/>
                <w:lang w:val="en-US" w:eastAsia="zh-CN"/>
              </w:rPr>
              <w:t>3</w:t>
            </w:r>
            <w:r>
              <w:rPr>
                <w:rFonts w:hint="eastAsia" w:cs="Times New Roman"/>
                <w:bCs/>
                <w:color w:val="auto"/>
                <w:sz w:val="24"/>
                <w:szCs w:val="24"/>
                <w:lang w:val="en-US" w:eastAsia="zh-CN"/>
              </w:rPr>
              <w:t>/a。趸船</w:t>
            </w:r>
            <w:r>
              <w:rPr>
                <w:rFonts w:hint="default" w:ascii="Times New Roman" w:hAnsi="Times New Roman" w:cs="Times New Roman"/>
                <w:bCs/>
                <w:color w:val="auto"/>
                <w:sz w:val="24"/>
                <w:szCs w:val="24"/>
              </w:rPr>
              <w:t>舶舱底油污水主要污染因子为石油类的浓度</w:t>
            </w:r>
            <w:r>
              <w:rPr>
                <w:rFonts w:hint="eastAsia" w:cs="Times New Roman"/>
                <w:bCs/>
                <w:color w:val="auto"/>
                <w:sz w:val="24"/>
                <w:szCs w:val="24"/>
                <w:lang w:val="en-US" w:eastAsia="zh-CN"/>
              </w:rPr>
              <w:t>取2000mg/L，则石油类产生量</w:t>
            </w:r>
            <w:r>
              <w:rPr>
                <w:rFonts w:hint="default" w:ascii="Times New Roman" w:hAnsi="Times New Roman" w:cs="Times New Roman"/>
                <w:bCs/>
                <w:color w:val="auto"/>
                <w:sz w:val="24"/>
                <w:szCs w:val="24"/>
              </w:rPr>
              <w:t>为</w:t>
            </w:r>
            <w:r>
              <w:rPr>
                <w:rFonts w:hint="eastAsia" w:cs="Times New Roman"/>
                <w:bCs/>
                <w:color w:val="auto"/>
                <w:sz w:val="24"/>
                <w:szCs w:val="24"/>
                <w:lang w:val="en-US" w:eastAsia="zh-CN"/>
              </w:rPr>
              <w:t>0.084t/a。</w:t>
            </w:r>
          </w:p>
          <w:p>
            <w:pPr>
              <w:pStyle w:val="17"/>
              <w:bidi w:val="0"/>
              <w:rPr>
                <w:rFonts w:hint="eastAsia"/>
                <w:color w:val="auto"/>
                <w:lang w:val="en-US" w:eastAsia="zh-CN"/>
              </w:rPr>
            </w:pPr>
            <w:r>
              <w:rPr>
                <w:rFonts w:hint="eastAsia"/>
                <w:color w:val="auto"/>
                <w:lang w:val="en-US" w:eastAsia="zh-CN"/>
              </w:rPr>
              <w:t>表3.5 项目废水产排放情况一览表</w:t>
            </w:r>
          </w:p>
          <w:tbl>
            <w:tblPr>
              <w:tblStyle w:val="12"/>
              <w:tblW w:w="803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009"/>
              <w:gridCol w:w="2009"/>
              <w:gridCol w:w="2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018" w:type="dxa"/>
                  <w:gridSpan w:val="2"/>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污染物名称</w:t>
                  </w:r>
                </w:p>
              </w:tc>
              <w:tc>
                <w:tcPr>
                  <w:tcW w:w="2009" w:type="dxa"/>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产生浓度（mg/L）</w:t>
                  </w:r>
                </w:p>
              </w:tc>
              <w:tc>
                <w:tcPr>
                  <w:tcW w:w="2010" w:type="dxa"/>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产生量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趸船生活污水</w:t>
                  </w: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废水</w:t>
                  </w: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153.6m</w:t>
                  </w:r>
                  <w:r>
                    <w:rPr>
                      <w:rFonts w:hint="eastAsia"/>
                      <w:color w:val="auto"/>
                      <w:vertAlign w:val="superscript"/>
                      <w:lang w:val="en-US" w:eastAsia="zh-CN"/>
                    </w:rPr>
                    <w:t>3</w:t>
                  </w:r>
                  <w:r>
                    <w:rPr>
                      <w:rFonts w:hint="eastAsia"/>
                      <w:color w:val="auto"/>
                      <w:vertAlign w:val="baseline"/>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09" w:type="dxa"/>
                  <w:vMerge w:val="continue"/>
                  <w:vAlign w:val="center"/>
                </w:tcPr>
                <w:p>
                  <w:pPr>
                    <w:pStyle w:val="16"/>
                    <w:bidi w:val="0"/>
                    <w:jc w:val="center"/>
                    <w:rPr>
                      <w:rFonts w:hint="default"/>
                      <w:color w:val="auto"/>
                      <w:vertAlign w:val="baseline"/>
                      <w:lang w:val="en-US" w:eastAsia="zh-CN"/>
                    </w:rPr>
                  </w:pP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COD</w:t>
                  </w:r>
                  <w:r>
                    <w:rPr>
                      <w:rFonts w:hint="eastAsia"/>
                      <w:color w:val="auto"/>
                      <w:vertAlign w:val="subscript"/>
                      <w:lang w:val="en-US" w:eastAsia="zh-CN"/>
                    </w:rPr>
                    <w:t>Cr</w:t>
                  </w: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400</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0.061</w:t>
                  </w:r>
                  <w:r>
                    <w:rPr>
                      <w:rFonts w:hint="default"/>
                      <w:color w:val="auto"/>
                      <w:vertAlign w:val="baseli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continue"/>
                  <w:vAlign w:val="center"/>
                </w:tcPr>
                <w:p>
                  <w:pPr>
                    <w:pStyle w:val="16"/>
                    <w:bidi w:val="0"/>
                    <w:jc w:val="center"/>
                    <w:rPr>
                      <w:rFonts w:hint="default"/>
                      <w:color w:val="auto"/>
                      <w:vertAlign w:val="baseline"/>
                      <w:lang w:val="en-US" w:eastAsia="zh-CN"/>
                    </w:rPr>
                  </w:pP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BOD</w:t>
                  </w:r>
                  <w:r>
                    <w:rPr>
                      <w:rFonts w:hint="eastAsia"/>
                      <w:color w:val="auto"/>
                      <w:vertAlign w:val="subscript"/>
                      <w:lang w:val="en-US" w:eastAsia="zh-CN"/>
                    </w:rPr>
                    <w:t>5</w:t>
                  </w: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220</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0.034</w:t>
                  </w:r>
                  <w:r>
                    <w:rPr>
                      <w:rFonts w:hint="default"/>
                      <w:color w:val="auto"/>
                      <w:vertAlign w:val="baseli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continue"/>
                  <w:vAlign w:val="center"/>
                </w:tcPr>
                <w:p>
                  <w:pPr>
                    <w:pStyle w:val="16"/>
                    <w:bidi w:val="0"/>
                    <w:jc w:val="center"/>
                    <w:rPr>
                      <w:rFonts w:hint="default"/>
                      <w:color w:val="auto"/>
                      <w:vertAlign w:val="baseline"/>
                      <w:lang w:val="en-US" w:eastAsia="zh-CN"/>
                    </w:rPr>
                  </w:pP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SS</w:t>
                  </w: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200</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0.031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continue"/>
                  <w:vAlign w:val="center"/>
                </w:tcPr>
                <w:p>
                  <w:pPr>
                    <w:pStyle w:val="16"/>
                    <w:bidi w:val="0"/>
                    <w:jc w:val="center"/>
                    <w:rPr>
                      <w:rFonts w:hint="default"/>
                      <w:color w:val="auto"/>
                      <w:vertAlign w:val="baseline"/>
                      <w:lang w:val="en-US" w:eastAsia="zh-CN"/>
                    </w:rPr>
                  </w:pP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NH</w:t>
                  </w:r>
                  <w:r>
                    <w:rPr>
                      <w:rFonts w:hint="eastAsia"/>
                      <w:color w:val="auto"/>
                      <w:vertAlign w:val="subscript"/>
                      <w:lang w:val="en-US" w:eastAsia="zh-CN"/>
                    </w:rPr>
                    <w:t>3</w:t>
                  </w:r>
                  <w:r>
                    <w:rPr>
                      <w:rFonts w:hint="eastAsia"/>
                      <w:color w:val="auto"/>
                      <w:vertAlign w:val="baseline"/>
                      <w:lang w:val="en-US" w:eastAsia="zh-CN"/>
                    </w:rPr>
                    <w:t>-N</w:t>
                  </w: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40</w:t>
                  </w:r>
                </w:p>
              </w:tc>
              <w:tc>
                <w:tcPr>
                  <w:tcW w:w="2010" w:type="dxa"/>
                  <w:vAlign w:val="center"/>
                </w:tcPr>
                <w:p>
                  <w:pPr>
                    <w:pStyle w:val="16"/>
                    <w:bidi w:val="0"/>
                    <w:jc w:val="center"/>
                    <w:rPr>
                      <w:rFonts w:hint="default"/>
                      <w:color w:val="auto"/>
                      <w:vertAlign w:val="baseline"/>
                      <w:lang w:val="en-US" w:eastAsia="zh-CN"/>
                    </w:rPr>
                  </w:pPr>
                  <w:r>
                    <w:rPr>
                      <w:rFonts w:hint="default"/>
                      <w:color w:val="auto"/>
                      <w:vertAlign w:val="baseline"/>
                      <w:lang w:val="en-US" w:eastAsia="zh-CN"/>
                    </w:rPr>
                    <w:t>0.006t/a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continue"/>
                  <w:vAlign w:val="center"/>
                </w:tcPr>
                <w:p>
                  <w:pPr>
                    <w:pStyle w:val="16"/>
                    <w:bidi w:val="0"/>
                    <w:jc w:val="center"/>
                    <w:rPr>
                      <w:rFonts w:hint="default"/>
                      <w:color w:val="auto"/>
                      <w:vertAlign w:val="baseline"/>
                      <w:lang w:val="en-US" w:eastAsia="zh-CN"/>
                    </w:rPr>
                  </w:pP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动植物油</w:t>
                  </w: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100</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执法艇生活污水</w:t>
                  </w:r>
                </w:p>
              </w:tc>
              <w:tc>
                <w:tcPr>
                  <w:tcW w:w="2009" w:type="dxa"/>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废水</w:t>
                  </w:r>
                </w:p>
              </w:tc>
              <w:tc>
                <w:tcPr>
                  <w:tcW w:w="2009" w:type="dxa"/>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230.4m</w:t>
                  </w:r>
                  <w:r>
                    <w:rPr>
                      <w:rFonts w:hint="eastAsia"/>
                      <w:color w:val="auto"/>
                      <w:vertAlign w:val="superscript"/>
                      <w:lang w:val="en-US" w:eastAsia="zh-CN"/>
                    </w:rPr>
                    <w:t>3</w:t>
                  </w:r>
                  <w:r>
                    <w:rPr>
                      <w:rFonts w:hint="eastAsia"/>
                      <w:color w:val="auto"/>
                      <w:vertAlign w:val="baseline"/>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continue"/>
                  <w:vAlign w:val="center"/>
                </w:tcPr>
                <w:p>
                  <w:pPr>
                    <w:pStyle w:val="16"/>
                    <w:bidi w:val="0"/>
                    <w:jc w:val="center"/>
                    <w:rPr>
                      <w:rFonts w:hint="eastAsia"/>
                      <w:color w:val="auto"/>
                      <w:vertAlign w:val="baseline"/>
                      <w:lang w:val="en-US" w:eastAsia="zh-CN"/>
                    </w:rPr>
                  </w:pPr>
                </w:p>
              </w:tc>
              <w:tc>
                <w:tcPr>
                  <w:tcW w:w="2009" w:type="dxa"/>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COD</w:t>
                  </w:r>
                  <w:r>
                    <w:rPr>
                      <w:rFonts w:hint="eastAsia"/>
                      <w:color w:val="auto"/>
                      <w:vertAlign w:val="subscript"/>
                      <w:lang w:val="en-US" w:eastAsia="zh-CN"/>
                    </w:rPr>
                    <w:t>Cr</w:t>
                  </w:r>
                </w:p>
              </w:tc>
              <w:tc>
                <w:tcPr>
                  <w:tcW w:w="2009" w:type="dxa"/>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400</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0.092</w:t>
                  </w:r>
                  <w:r>
                    <w:rPr>
                      <w:rFonts w:hint="default"/>
                      <w:color w:val="auto"/>
                      <w:vertAlign w:val="baseli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continue"/>
                  <w:vAlign w:val="center"/>
                </w:tcPr>
                <w:p>
                  <w:pPr>
                    <w:pStyle w:val="16"/>
                    <w:bidi w:val="0"/>
                    <w:jc w:val="center"/>
                    <w:rPr>
                      <w:rFonts w:hint="eastAsia"/>
                      <w:color w:val="auto"/>
                      <w:vertAlign w:val="baseline"/>
                      <w:lang w:val="en-US" w:eastAsia="zh-CN"/>
                    </w:rPr>
                  </w:pPr>
                </w:p>
              </w:tc>
              <w:tc>
                <w:tcPr>
                  <w:tcW w:w="2009" w:type="dxa"/>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BOD</w:t>
                  </w:r>
                  <w:r>
                    <w:rPr>
                      <w:rFonts w:hint="eastAsia"/>
                      <w:color w:val="auto"/>
                      <w:vertAlign w:val="subscript"/>
                      <w:lang w:val="en-US" w:eastAsia="zh-CN"/>
                    </w:rPr>
                    <w:t>5</w:t>
                  </w:r>
                </w:p>
              </w:tc>
              <w:tc>
                <w:tcPr>
                  <w:tcW w:w="2009" w:type="dxa"/>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220</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0.051</w:t>
                  </w:r>
                  <w:r>
                    <w:rPr>
                      <w:rFonts w:hint="default"/>
                      <w:color w:val="auto"/>
                      <w:vertAlign w:val="baseli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continue"/>
                  <w:vAlign w:val="center"/>
                </w:tcPr>
                <w:p>
                  <w:pPr>
                    <w:pStyle w:val="16"/>
                    <w:bidi w:val="0"/>
                    <w:jc w:val="center"/>
                    <w:rPr>
                      <w:rFonts w:hint="eastAsia"/>
                      <w:color w:val="auto"/>
                      <w:vertAlign w:val="baseline"/>
                      <w:lang w:val="en-US" w:eastAsia="zh-CN"/>
                    </w:rPr>
                  </w:pPr>
                </w:p>
              </w:tc>
              <w:tc>
                <w:tcPr>
                  <w:tcW w:w="2009" w:type="dxa"/>
                  <w:vAlign w:val="center"/>
                </w:tcPr>
                <w:p>
                  <w:pPr>
                    <w:pStyle w:val="16"/>
                    <w:bidi w:val="0"/>
                    <w:ind w:firstLine="0" w:firstLineChars="0"/>
                    <w:jc w:val="center"/>
                    <w:rPr>
                      <w:rFonts w:hint="eastAsia"/>
                      <w:color w:val="auto"/>
                      <w:vertAlign w:val="baseline"/>
                      <w:lang w:val="en-US" w:eastAsia="zh-CN"/>
                    </w:rPr>
                  </w:pPr>
                  <w:r>
                    <w:rPr>
                      <w:rFonts w:hint="eastAsia"/>
                      <w:color w:val="auto"/>
                      <w:vertAlign w:val="baseline"/>
                      <w:lang w:val="en-US" w:eastAsia="zh-CN"/>
                    </w:rPr>
                    <w:t>SS</w:t>
                  </w:r>
                </w:p>
              </w:tc>
              <w:tc>
                <w:tcPr>
                  <w:tcW w:w="2009" w:type="dxa"/>
                  <w:vAlign w:val="center"/>
                </w:tcPr>
                <w:p>
                  <w:pPr>
                    <w:pStyle w:val="16"/>
                    <w:bidi w:val="0"/>
                    <w:ind w:firstLine="0" w:firstLineChars="0"/>
                    <w:jc w:val="center"/>
                    <w:rPr>
                      <w:rFonts w:hint="eastAsia"/>
                      <w:color w:val="auto"/>
                      <w:vertAlign w:val="baseline"/>
                      <w:lang w:val="en-US" w:eastAsia="zh-CN"/>
                    </w:rPr>
                  </w:pPr>
                  <w:r>
                    <w:rPr>
                      <w:rFonts w:hint="eastAsia"/>
                      <w:color w:val="auto"/>
                      <w:vertAlign w:val="baseline"/>
                      <w:lang w:val="en-US" w:eastAsia="zh-CN"/>
                    </w:rPr>
                    <w:t>200</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0.046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continue"/>
                  <w:vAlign w:val="center"/>
                </w:tcPr>
                <w:p>
                  <w:pPr>
                    <w:pStyle w:val="16"/>
                    <w:bidi w:val="0"/>
                    <w:jc w:val="center"/>
                    <w:rPr>
                      <w:rFonts w:hint="eastAsia"/>
                      <w:color w:val="auto"/>
                      <w:vertAlign w:val="baseline"/>
                      <w:lang w:val="en-US" w:eastAsia="zh-CN"/>
                    </w:rPr>
                  </w:pPr>
                </w:p>
              </w:tc>
              <w:tc>
                <w:tcPr>
                  <w:tcW w:w="2009" w:type="dxa"/>
                  <w:vAlign w:val="center"/>
                </w:tcPr>
                <w:p>
                  <w:pPr>
                    <w:pStyle w:val="16"/>
                    <w:bidi w:val="0"/>
                    <w:ind w:firstLine="0" w:firstLineChars="0"/>
                    <w:jc w:val="center"/>
                    <w:rPr>
                      <w:rFonts w:hint="eastAsia"/>
                      <w:color w:val="auto"/>
                      <w:vertAlign w:val="baseline"/>
                      <w:lang w:val="en-US" w:eastAsia="zh-CN"/>
                    </w:rPr>
                  </w:pPr>
                  <w:r>
                    <w:rPr>
                      <w:rFonts w:hint="eastAsia"/>
                      <w:color w:val="auto"/>
                      <w:vertAlign w:val="baseline"/>
                      <w:lang w:val="en-US" w:eastAsia="zh-CN"/>
                    </w:rPr>
                    <w:t>NH</w:t>
                  </w:r>
                  <w:r>
                    <w:rPr>
                      <w:rFonts w:hint="eastAsia"/>
                      <w:color w:val="auto"/>
                      <w:vertAlign w:val="subscript"/>
                      <w:lang w:val="en-US" w:eastAsia="zh-CN"/>
                    </w:rPr>
                    <w:t>3</w:t>
                  </w:r>
                  <w:r>
                    <w:rPr>
                      <w:rFonts w:hint="eastAsia"/>
                      <w:color w:val="auto"/>
                      <w:vertAlign w:val="baseline"/>
                      <w:lang w:val="en-US" w:eastAsia="zh-CN"/>
                    </w:rPr>
                    <w:t>-N</w:t>
                  </w:r>
                </w:p>
              </w:tc>
              <w:tc>
                <w:tcPr>
                  <w:tcW w:w="2009" w:type="dxa"/>
                  <w:vAlign w:val="center"/>
                </w:tcPr>
                <w:p>
                  <w:pPr>
                    <w:pStyle w:val="16"/>
                    <w:bidi w:val="0"/>
                    <w:ind w:firstLine="0" w:firstLineChars="0"/>
                    <w:jc w:val="center"/>
                    <w:rPr>
                      <w:rFonts w:hint="eastAsia"/>
                      <w:color w:val="auto"/>
                      <w:vertAlign w:val="baseline"/>
                      <w:lang w:val="en-US" w:eastAsia="zh-CN"/>
                    </w:rPr>
                  </w:pPr>
                  <w:r>
                    <w:rPr>
                      <w:rFonts w:hint="eastAsia"/>
                      <w:color w:val="auto"/>
                      <w:vertAlign w:val="baseline"/>
                      <w:lang w:val="en-US" w:eastAsia="zh-CN"/>
                    </w:rPr>
                    <w:t>40</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continue"/>
                  <w:vAlign w:val="center"/>
                </w:tcPr>
                <w:p>
                  <w:pPr>
                    <w:pStyle w:val="16"/>
                    <w:bidi w:val="0"/>
                    <w:jc w:val="center"/>
                    <w:rPr>
                      <w:rFonts w:hint="eastAsia"/>
                      <w:color w:val="auto"/>
                      <w:vertAlign w:val="baseline"/>
                      <w:lang w:val="en-US" w:eastAsia="zh-CN"/>
                    </w:rPr>
                  </w:pPr>
                </w:p>
              </w:tc>
              <w:tc>
                <w:tcPr>
                  <w:tcW w:w="2009" w:type="dxa"/>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动植物油</w:t>
                  </w:r>
                </w:p>
              </w:tc>
              <w:tc>
                <w:tcPr>
                  <w:tcW w:w="2009" w:type="dxa"/>
                  <w:vAlign w:val="center"/>
                </w:tcPr>
                <w:p>
                  <w:pPr>
                    <w:pStyle w:val="16"/>
                    <w:bidi w:val="0"/>
                    <w:ind w:firstLine="0" w:firstLineChars="0"/>
                    <w:jc w:val="center"/>
                    <w:rPr>
                      <w:rFonts w:hint="default"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100</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restar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趸船含油废水</w:t>
                  </w: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废水</w:t>
                  </w: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42m</w:t>
                  </w:r>
                  <w:r>
                    <w:rPr>
                      <w:rFonts w:hint="eastAsia"/>
                      <w:color w:val="auto"/>
                      <w:vertAlign w:val="superscript"/>
                      <w:lang w:val="en-US" w:eastAsia="zh-CN"/>
                    </w:rPr>
                    <w:t>3</w:t>
                  </w:r>
                  <w:r>
                    <w:rPr>
                      <w:rFonts w:hint="eastAsia"/>
                      <w:color w:val="auto"/>
                      <w:vertAlign w:val="baseline"/>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09" w:type="dxa"/>
                  <w:vMerge w:val="continue"/>
                  <w:vAlign w:val="center"/>
                </w:tcPr>
                <w:p>
                  <w:pPr>
                    <w:pStyle w:val="16"/>
                    <w:bidi w:val="0"/>
                    <w:jc w:val="center"/>
                    <w:rPr>
                      <w:rFonts w:hint="eastAsia"/>
                      <w:color w:val="auto"/>
                      <w:vertAlign w:val="baseline"/>
                      <w:lang w:val="en-US" w:eastAsia="zh-CN"/>
                    </w:rPr>
                  </w:pP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石油类</w:t>
                  </w:r>
                </w:p>
              </w:tc>
              <w:tc>
                <w:tcPr>
                  <w:tcW w:w="2009"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2000mg/L</w:t>
                  </w:r>
                </w:p>
              </w:tc>
              <w:tc>
                <w:tcPr>
                  <w:tcW w:w="2010" w:type="dxa"/>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0.084t/a</w:t>
                  </w:r>
                </w:p>
              </w:tc>
            </w:tr>
          </w:tbl>
          <w:p>
            <w:pPr>
              <w:pStyle w:val="4"/>
              <w:bidi w:val="0"/>
              <w:rPr>
                <w:rFonts w:hint="default"/>
                <w:color w:val="auto"/>
                <w:lang w:val="en-US" w:eastAsia="zh-CN"/>
              </w:rPr>
            </w:pPr>
            <w:bookmarkStart w:id="447" w:name="_Toc14011"/>
            <w:bookmarkStart w:id="448" w:name="_Toc15046"/>
            <w:bookmarkStart w:id="449" w:name="_Toc31158"/>
            <w:bookmarkStart w:id="450" w:name="_Toc30356"/>
            <w:bookmarkStart w:id="451" w:name="_Toc23565"/>
            <w:r>
              <w:rPr>
                <w:rFonts w:hint="eastAsia"/>
                <w:color w:val="auto"/>
                <w:lang w:val="en-US" w:eastAsia="zh-CN"/>
              </w:rPr>
              <w:t>2.3 固废污染源强</w:t>
            </w:r>
            <w:bookmarkEnd w:id="447"/>
            <w:bookmarkEnd w:id="448"/>
            <w:bookmarkEnd w:id="449"/>
            <w:bookmarkEnd w:id="450"/>
            <w:bookmarkEnd w:id="451"/>
          </w:p>
          <w:p>
            <w:pPr>
              <w:rPr>
                <w:rFonts w:hint="eastAsia"/>
                <w:color w:val="auto"/>
                <w:lang w:val="en-US" w:eastAsia="zh-CN"/>
              </w:rPr>
            </w:pPr>
            <w:r>
              <w:rPr>
                <w:rFonts w:hint="eastAsia"/>
                <w:color w:val="auto"/>
                <w:lang w:val="en-US" w:eastAsia="zh-CN"/>
              </w:rPr>
              <w:t>（1）值班人员生活垃圾</w:t>
            </w:r>
          </w:p>
          <w:p>
            <w:pPr>
              <w:rPr>
                <w:rFonts w:hint="default" w:ascii="Times New Roman" w:hAnsi="Times New Roman" w:cs="Times New Roman"/>
                <w:color w:val="auto"/>
                <w:sz w:val="24"/>
                <w:szCs w:val="24"/>
              </w:rPr>
            </w:pPr>
            <w:r>
              <w:rPr>
                <w:rFonts w:hint="default" w:ascii="Times New Roman" w:hAnsi="Times New Roman" w:cs="Times New Roman"/>
                <w:color w:val="auto"/>
                <w:sz w:val="24"/>
              </w:rPr>
              <w:t>项目实行2班制生产，每天</w:t>
            </w:r>
            <w:r>
              <w:rPr>
                <w:rFonts w:hint="eastAsia" w:cs="Times New Roman"/>
                <w:color w:val="auto"/>
                <w:sz w:val="24"/>
                <w:lang w:val="en-US" w:eastAsia="zh-CN"/>
              </w:rPr>
              <w:t>4</w:t>
            </w:r>
            <w:r>
              <w:rPr>
                <w:rFonts w:hint="default" w:ascii="Times New Roman" w:hAnsi="Times New Roman" w:cs="Times New Roman"/>
                <w:color w:val="auto"/>
                <w:sz w:val="24"/>
              </w:rPr>
              <w:t>人，年工作日3</w:t>
            </w:r>
            <w:r>
              <w:rPr>
                <w:rFonts w:hint="eastAsia" w:cs="Times New Roman"/>
                <w:color w:val="auto"/>
                <w:sz w:val="24"/>
                <w:lang w:val="en-US" w:eastAsia="zh-CN"/>
              </w:rPr>
              <w:t>0</w:t>
            </w:r>
            <w:r>
              <w:rPr>
                <w:rFonts w:hint="default" w:ascii="Times New Roman" w:hAnsi="Times New Roman" w:cs="Times New Roman"/>
                <w:color w:val="auto"/>
                <w:sz w:val="24"/>
              </w:rPr>
              <w:t>0天</w:t>
            </w:r>
            <w:r>
              <w:rPr>
                <w:rFonts w:hint="default" w:ascii="Times New Roman" w:hAnsi="Times New Roman" w:cs="Times New Roman"/>
                <w:color w:val="auto"/>
                <w:sz w:val="24"/>
                <w:lang w:eastAsia="zh-CN"/>
              </w:rPr>
              <w:t>，没有住宿，没有食堂</w:t>
            </w:r>
            <w:r>
              <w:rPr>
                <w:rFonts w:hint="default" w:ascii="Times New Roman" w:hAnsi="Times New Roman" w:cs="Times New Roman"/>
                <w:bCs/>
                <w:color w:val="auto"/>
                <w:sz w:val="24"/>
                <w:szCs w:val="24"/>
              </w:rPr>
              <w:t>。</w:t>
            </w:r>
            <w:r>
              <w:rPr>
                <w:rFonts w:hint="default" w:ascii="Times New Roman" w:hAnsi="Times New Roman" w:cs="Times New Roman"/>
                <w:color w:val="auto"/>
                <w:sz w:val="24"/>
                <w:szCs w:val="24"/>
              </w:rPr>
              <w:t>生活垃圾的产生量按1kg/</w:t>
            </w:r>
            <w:r>
              <w:rPr>
                <w:rFonts w:hint="eastAsia" w:cs="Times New Roman"/>
                <w:color w:val="auto"/>
                <w:sz w:val="24"/>
                <w:szCs w:val="24"/>
                <w:lang w:eastAsia="zh-CN"/>
              </w:rPr>
              <w:t>（</w:t>
            </w:r>
            <w:r>
              <w:rPr>
                <w:rFonts w:hint="default" w:ascii="Times New Roman" w:hAnsi="Times New Roman" w:cs="Times New Roman"/>
                <w:color w:val="auto"/>
                <w:sz w:val="24"/>
                <w:szCs w:val="24"/>
              </w:rPr>
              <w:t>人·</w:t>
            </w:r>
            <w:r>
              <w:rPr>
                <w:rFonts w:hint="eastAsia" w:cs="Times New Roman"/>
                <w:color w:val="auto"/>
                <w:sz w:val="24"/>
                <w:szCs w:val="24"/>
                <w:lang w:val="en-US" w:eastAsia="zh-CN"/>
              </w:rPr>
              <w:t>d</w:t>
            </w:r>
            <w:r>
              <w:rPr>
                <w:rFonts w:hint="eastAsia" w:cs="Times New Roman"/>
                <w:color w:val="auto"/>
                <w:sz w:val="24"/>
                <w:szCs w:val="24"/>
                <w:lang w:eastAsia="zh-CN"/>
              </w:rPr>
              <w:t>）</w:t>
            </w:r>
            <w:r>
              <w:rPr>
                <w:rFonts w:hint="default" w:ascii="Times New Roman" w:hAnsi="Times New Roman" w:cs="Times New Roman"/>
                <w:color w:val="auto"/>
                <w:sz w:val="24"/>
                <w:szCs w:val="24"/>
              </w:rPr>
              <w:t>计，则生活垃圾的产生量为</w:t>
            </w:r>
            <w:r>
              <w:rPr>
                <w:rFonts w:hint="eastAsia" w:cs="Times New Roman"/>
                <w:color w:val="auto"/>
                <w:sz w:val="24"/>
                <w:szCs w:val="24"/>
                <w:lang w:val="en-US" w:eastAsia="zh-CN"/>
              </w:rPr>
              <w:t>1.2</w:t>
            </w:r>
            <w:r>
              <w:rPr>
                <w:rFonts w:hint="default" w:ascii="Times New Roman" w:hAnsi="Times New Roman" w:cs="Times New Roman"/>
                <w:color w:val="auto"/>
                <w:sz w:val="24"/>
                <w:szCs w:val="24"/>
              </w:rPr>
              <w:t>t/a。生活垃圾要求有专门的垃圾收集设施收集后由环卫部门统一处理。</w:t>
            </w:r>
          </w:p>
          <w:p>
            <w:pPr>
              <w:rPr>
                <w:rFonts w:hint="eastAsia" w:cs="Times New Roman"/>
                <w:color w:val="auto"/>
                <w:sz w:val="24"/>
                <w:szCs w:val="24"/>
                <w:lang w:val="en-US" w:eastAsia="zh-CN"/>
              </w:rPr>
            </w:pPr>
            <w:r>
              <w:rPr>
                <w:rFonts w:hint="eastAsia" w:cs="Times New Roman"/>
                <w:color w:val="auto"/>
                <w:sz w:val="24"/>
                <w:szCs w:val="24"/>
                <w:lang w:eastAsia="zh-CN"/>
              </w:rPr>
              <w:t>（</w:t>
            </w:r>
            <w:r>
              <w:rPr>
                <w:rFonts w:hint="eastAsia" w:cs="Times New Roman"/>
                <w:color w:val="auto"/>
                <w:sz w:val="24"/>
                <w:szCs w:val="24"/>
                <w:lang w:val="en-US" w:eastAsia="zh-CN"/>
              </w:rPr>
              <w:t>2</w:t>
            </w:r>
            <w:r>
              <w:rPr>
                <w:rFonts w:hint="eastAsia" w:cs="Times New Roman"/>
                <w:color w:val="auto"/>
                <w:sz w:val="24"/>
                <w:szCs w:val="24"/>
                <w:lang w:eastAsia="zh-CN"/>
              </w:rPr>
              <w:t>）</w:t>
            </w:r>
            <w:r>
              <w:rPr>
                <w:rFonts w:hint="eastAsia" w:cs="Times New Roman"/>
                <w:color w:val="auto"/>
                <w:sz w:val="24"/>
                <w:szCs w:val="24"/>
                <w:lang w:val="en-US" w:eastAsia="zh-CN"/>
              </w:rPr>
              <w:t>机修废油</w:t>
            </w:r>
          </w:p>
          <w:p>
            <w:pPr>
              <w:rPr>
                <w:rFonts w:hint="default" w:cs="Times New Roman"/>
                <w:color w:val="auto"/>
                <w:sz w:val="24"/>
                <w:szCs w:val="24"/>
                <w:lang w:val="en-US" w:eastAsia="zh-CN"/>
              </w:rPr>
            </w:pPr>
            <w:r>
              <w:rPr>
                <w:rFonts w:hint="default" w:cs="Times New Roman"/>
                <w:color w:val="auto"/>
                <w:sz w:val="24"/>
                <w:szCs w:val="24"/>
                <w:lang w:val="en-US" w:eastAsia="zh-CN"/>
              </w:rPr>
              <w:t>码头设备检修维护过程产生少量的废机油，产生量约0.</w:t>
            </w:r>
            <w:r>
              <w:rPr>
                <w:rFonts w:hint="eastAsia" w:cs="Times New Roman"/>
                <w:color w:val="auto"/>
                <w:sz w:val="24"/>
                <w:szCs w:val="24"/>
                <w:lang w:val="en-US" w:eastAsia="zh-CN"/>
              </w:rPr>
              <w:t>1</w:t>
            </w:r>
            <w:r>
              <w:rPr>
                <w:rFonts w:hint="default" w:cs="Times New Roman"/>
                <w:color w:val="auto"/>
                <w:sz w:val="24"/>
                <w:szCs w:val="24"/>
                <w:lang w:val="en-US" w:eastAsia="zh-CN"/>
              </w:rPr>
              <w:t>t/a，废机油属危险废物，危废代码为</w:t>
            </w:r>
            <w:r>
              <w:rPr>
                <w:rFonts w:hint="default" w:ascii="Times New Roman" w:hAnsi="Times New Roman" w:cs="Times New Roman"/>
                <w:color w:val="auto"/>
                <w:lang w:val="en-US" w:eastAsia="zh-CN"/>
              </w:rPr>
              <w:t>900-214-08</w:t>
            </w:r>
            <w:r>
              <w:rPr>
                <w:rFonts w:hint="default" w:cs="Times New Roman"/>
                <w:color w:val="auto"/>
                <w:sz w:val="24"/>
                <w:szCs w:val="24"/>
                <w:lang w:val="en-US" w:eastAsia="zh-CN"/>
              </w:rPr>
              <w:t>，产生的废机油用密闭容器收集后暂存危废暂存间，定期送有资质单位处置。</w:t>
            </w:r>
          </w:p>
          <w:p>
            <w:pPr>
              <w:pStyle w:val="3"/>
              <w:bidi w:val="0"/>
              <w:rPr>
                <w:rFonts w:hint="default"/>
                <w:color w:val="auto"/>
                <w:lang w:val="en-US" w:eastAsia="zh-CN"/>
              </w:rPr>
            </w:pPr>
            <w:bookmarkStart w:id="452" w:name="_Toc5852"/>
            <w:bookmarkStart w:id="453" w:name="_Toc13009"/>
            <w:bookmarkStart w:id="454" w:name="_Toc32222"/>
            <w:bookmarkStart w:id="455" w:name="_Toc15764"/>
            <w:bookmarkStart w:id="456" w:name="_Toc31280"/>
            <w:bookmarkStart w:id="457" w:name="_Toc16574"/>
            <w:r>
              <w:rPr>
                <w:rFonts w:hint="eastAsia"/>
                <w:color w:val="auto"/>
                <w:lang w:val="en-US" w:eastAsia="zh-CN"/>
              </w:rPr>
              <w:t>3、现有项目对外环境影响</w:t>
            </w:r>
            <w:bookmarkEnd w:id="436"/>
            <w:bookmarkEnd w:id="452"/>
            <w:bookmarkEnd w:id="453"/>
            <w:bookmarkEnd w:id="454"/>
            <w:bookmarkEnd w:id="455"/>
            <w:bookmarkEnd w:id="456"/>
            <w:bookmarkEnd w:id="457"/>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本项目建设选址位于衡阳市蒸湘区大立村蒸水河段，铜钱渡大桥上游200米左岸处，依托多年前大立村居民自建餐饮娱乐码头开展渔政执法工作，该码头建设</w:t>
            </w:r>
            <w:r>
              <w:rPr>
                <w:rFonts w:hint="eastAsia" w:cs="Times New Roman"/>
                <w:color w:val="auto"/>
                <w:lang w:val="en-US" w:eastAsia="zh-CN"/>
              </w:rPr>
              <w:t>时间早，未办理环评手续</w:t>
            </w:r>
            <w:r>
              <w:rPr>
                <w:rFonts w:hint="default" w:ascii="Times New Roman" w:hAnsi="Times New Roman" w:cs="Times New Roman"/>
                <w:color w:val="auto"/>
                <w:lang w:val="en-US" w:eastAsia="zh-CN"/>
              </w:rPr>
              <w:t>，属于历史遗留问题。由于该码头位于湘江衡阳段四大家鱼国家级水产种质资源保护区区划核心区，且生活污水排放量较大，对周边环境有一定的影响，早已被相关部门取缔勒令停用。衡阳市农业综合行政执法支队于2019年8月30日成立，依托</w:t>
            </w:r>
            <w:r>
              <w:rPr>
                <w:rFonts w:hint="eastAsia" w:cs="Times New Roman"/>
                <w:color w:val="auto"/>
                <w:lang w:val="en-US" w:eastAsia="zh-CN"/>
              </w:rPr>
              <w:t>现有</w:t>
            </w:r>
            <w:r>
              <w:rPr>
                <w:rFonts w:hint="default" w:ascii="Times New Roman" w:hAnsi="Times New Roman" w:cs="Times New Roman"/>
                <w:color w:val="auto"/>
                <w:lang w:val="en-US" w:eastAsia="zh-CN"/>
              </w:rPr>
              <w:t>码头修建趸船，于2020年6月19日，正式开展四个城区农业综合执法工作。该码头主要用于接受国家相关工作指导、落实湘江禁捕政策，养护湘江渔业资源、保护饮用水源、加强渔政管理等，对于周边环境起到积极的保护作用，并有助于修复原码头造成的生态破坏。</w:t>
            </w:r>
          </w:p>
          <w:p>
            <w:pPr>
              <w:bidi w:val="0"/>
              <w:rPr>
                <w:rFonts w:hint="default" w:ascii="Times New Roman" w:hAnsi="Times New Roman" w:cs="Times New Roman"/>
                <w:color w:val="auto"/>
                <w:lang w:val="en-US" w:eastAsia="zh-CN"/>
              </w:rPr>
            </w:pPr>
            <w:r>
              <w:rPr>
                <w:rFonts w:hint="eastAsia" w:cs="Times New Roman"/>
                <w:color w:val="auto"/>
                <w:lang w:val="en-US" w:eastAsia="zh-CN"/>
              </w:rPr>
              <w:t>现有</w:t>
            </w:r>
            <w:r>
              <w:rPr>
                <w:rFonts w:hint="default" w:ascii="Times New Roman" w:hAnsi="Times New Roman" w:cs="Times New Roman"/>
                <w:color w:val="auto"/>
                <w:lang w:val="en-US" w:eastAsia="zh-CN"/>
              </w:rPr>
              <w:t>项目运营期间内，趸船舱底设置储存油水罐，定期交由陆地油资质的单位收集处置。所配备的执法船均不配备厕所，废水主要来源于趸船生活污水，产生的污水暂存于相应的储存容器中，定期交由有相关资质环保部门统一处理；废气来源主要为船舶废气，本码头系泊船舶数量少、</w:t>
            </w:r>
            <w:r>
              <w:rPr>
                <w:rFonts w:hint="eastAsia" w:cs="Times New Roman"/>
                <w:color w:val="auto"/>
                <w:lang w:val="en-US" w:eastAsia="zh-CN"/>
              </w:rPr>
              <w:t>总年</w:t>
            </w:r>
            <w:r>
              <w:rPr>
                <w:rFonts w:hint="default" w:ascii="Times New Roman" w:hAnsi="Times New Roman" w:cs="Times New Roman"/>
                <w:color w:val="auto"/>
                <w:lang w:val="en-US" w:eastAsia="zh-CN"/>
              </w:rPr>
              <w:t>燃油量</w:t>
            </w:r>
            <w:r>
              <w:rPr>
                <w:rFonts w:hint="eastAsia" w:cs="Times New Roman"/>
                <w:color w:val="auto"/>
                <w:lang w:val="en-US" w:eastAsia="zh-CN"/>
              </w:rPr>
              <w:t>约8.3t</w:t>
            </w:r>
            <w:r>
              <w:rPr>
                <w:rFonts w:hint="default" w:ascii="Times New Roman" w:hAnsi="Times New Roman" w:cs="Times New Roman"/>
                <w:color w:val="auto"/>
                <w:lang w:val="en-US" w:eastAsia="zh-CN"/>
              </w:rPr>
              <w:t>，产生的船舶废气量相对较少，且江边风速大，稀释扩散速度快，尾气经大气稀释、扩散、通风等作用后，对周围环境影响小</w:t>
            </w:r>
            <w:r>
              <w:rPr>
                <w:rFonts w:hint="eastAsia" w:cs="Times New Roman"/>
                <w:color w:val="auto"/>
                <w:lang w:val="en-US" w:eastAsia="zh-CN"/>
              </w:rPr>
              <w:t>；</w:t>
            </w:r>
            <w:r>
              <w:rPr>
                <w:rFonts w:hint="default" w:ascii="Times New Roman" w:hAnsi="Times New Roman" w:cs="Times New Roman"/>
                <w:color w:val="auto"/>
                <w:lang w:val="en-US" w:eastAsia="zh-CN"/>
              </w:rPr>
              <w:t>噪声主要为执法快艇靠离泊及车辆行驶、船舶及车辆鸣笛产生的交通噪音；固体废物来源于执法人员日常产生的生活垃圾</w:t>
            </w:r>
            <w:r>
              <w:rPr>
                <w:rFonts w:hint="eastAsia" w:cs="Times New Roman"/>
                <w:color w:val="auto"/>
                <w:lang w:val="en-US" w:eastAsia="zh-CN"/>
              </w:rPr>
              <w:t>、</w:t>
            </w:r>
            <w:r>
              <w:rPr>
                <w:rFonts w:hint="default" w:ascii="Times New Roman" w:hAnsi="Times New Roman" w:cs="Times New Roman"/>
                <w:color w:val="auto"/>
                <w:lang w:val="en-US" w:eastAsia="zh-CN"/>
              </w:rPr>
              <w:t>维修保养产生的机修废油</w:t>
            </w:r>
            <w:r>
              <w:rPr>
                <w:rFonts w:hint="eastAsia" w:cs="Times New Roman"/>
                <w:color w:val="auto"/>
                <w:lang w:val="en-US" w:eastAsia="zh-CN"/>
              </w:rPr>
              <w:t>及废机油抹布，生活垃圾年产量1.2t，收集至陆上垃圾收集点交由环卫部门处理；机修废油年产量0.1t</w:t>
            </w:r>
            <w:r>
              <w:rPr>
                <w:rFonts w:hint="default" w:ascii="Times New Roman" w:hAnsi="Times New Roman" w:cs="Times New Roman"/>
                <w:color w:val="auto"/>
                <w:lang w:val="en-US" w:eastAsia="zh-CN"/>
              </w:rPr>
              <w:t>，收集至趸船定期交由有相关资质环保部门统一处理。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综上所述，</w:t>
            </w:r>
            <w:r>
              <w:rPr>
                <w:rFonts w:hint="eastAsia" w:cs="Times New Roman"/>
                <w:color w:val="auto"/>
                <w:lang w:val="en-US" w:eastAsia="zh-CN"/>
              </w:rPr>
              <w:t>现有</w:t>
            </w:r>
            <w:r>
              <w:rPr>
                <w:rFonts w:hint="default" w:ascii="Times New Roman" w:hAnsi="Times New Roman" w:cs="Times New Roman"/>
                <w:color w:val="auto"/>
                <w:lang w:val="en-US" w:eastAsia="zh-CN"/>
              </w:rPr>
              <w:t>项目对外环境影响较小。</w:t>
            </w:r>
          </w:p>
          <w:p>
            <w:pPr>
              <w:pStyle w:val="3"/>
              <w:bidi w:val="0"/>
              <w:rPr>
                <w:rFonts w:hint="eastAsia"/>
                <w:color w:val="auto"/>
                <w:lang w:val="en-US" w:eastAsia="zh-CN"/>
              </w:rPr>
            </w:pPr>
            <w:bookmarkStart w:id="458" w:name="_Toc9948"/>
            <w:bookmarkStart w:id="459" w:name="_Toc7991"/>
            <w:r>
              <w:rPr>
                <w:rFonts w:hint="eastAsia"/>
                <w:color w:val="auto"/>
                <w:lang w:val="en-US" w:eastAsia="zh-CN"/>
              </w:rPr>
              <w:t>4、现有项目对水生生物的影响</w:t>
            </w:r>
            <w:bookmarkEnd w:id="458"/>
            <w:bookmarkEnd w:id="459"/>
          </w:p>
          <w:p>
            <w:pPr>
              <w:rPr>
                <w:rFonts w:hint="eastAsia"/>
                <w:color w:val="auto"/>
                <w:lang w:val="en-US" w:eastAsia="zh-CN"/>
              </w:rPr>
            </w:pPr>
            <w:r>
              <w:rPr>
                <w:rFonts w:hint="default"/>
                <w:color w:val="auto"/>
                <w:lang w:val="en-US" w:eastAsia="zh-CN"/>
              </w:rPr>
              <w:t>工程以码头形式占用湘江衡阳段鱼类等水生生物栖息地，运行期间主要是船舶噪声、装卸噪声等对四大家鱼等水生生物有一定的影响，此外码头水域发生柴油泄露等风险事故对四大家鱼等水生生物的影响</w:t>
            </w:r>
            <w:r>
              <w:rPr>
                <w:rFonts w:hint="eastAsia"/>
                <w:color w:val="auto"/>
                <w:lang w:val="en-US" w:eastAsia="zh-CN"/>
              </w:rPr>
              <w:t>，详见表3.6。</w:t>
            </w:r>
          </w:p>
          <w:p>
            <w:pPr>
              <w:pStyle w:val="17"/>
              <w:bidi w:val="0"/>
              <w:rPr>
                <w:rFonts w:hint="eastAsia"/>
                <w:color w:val="auto"/>
                <w:lang w:val="en-US" w:eastAsia="zh-CN"/>
              </w:rPr>
            </w:pPr>
            <w:r>
              <w:rPr>
                <w:rFonts w:hint="eastAsia"/>
                <w:color w:val="auto"/>
                <w:lang w:val="en-US" w:eastAsia="zh-CN"/>
              </w:rPr>
              <w:t>表3.6 现有项目主要环境影响因素识别</w:t>
            </w:r>
          </w:p>
          <w:tbl>
            <w:tblPr>
              <w:tblStyle w:val="12"/>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225"/>
              <w:gridCol w:w="1263"/>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pStyle w:val="17"/>
                    <w:bidi w:val="0"/>
                    <w:jc w:val="center"/>
                    <w:rPr>
                      <w:rFonts w:hint="default"/>
                      <w:color w:val="auto"/>
                      <w:vertAlign w:val="baseline"/>
                      <w:lang w:val="en-US" w:eastAsia="zh-CN"/>
                    </w:rPr>
                  </w:pPr>
                  <w:r>
                    <w:rPr>
                      <w:rFonts w:hint="eastAsia"/>
                      <w:color w:val="auto"/>
                      <w:vertAlign w:val="baseline"/>
                      <w:lang w:val="en-US" w:eastAsia="zh-CN"/>
                    </w:rPr>
                    <w:t>环境因素</w:t>
                  </w:r>
                </w:p>
              </w:tc>
              <w:tc>
                <w:tcPr>
                  <w:tcW w:w="1225" w:type="dxa"/>
                  <w:vAlign w:val="center"/>
                </w:tcPr>
                <w:p>
                  <w:pPr>
                    <w:pStyle w:val="17"/>
                    <w:bidi w:val="0"/>
                    <w:jc w:val="center"/>
                    <w:rPr>
                      <w:rFonts w:hint="default"/>
                      <w:color w:val="auto"/>
                      <w:vertAlign w:val="baseline"/>
                      <w:lang w:val="en-US" w:eastAsia="zh-CN"/>
                    </w:rPr>
                  </w:pPr>
                  <w:r>
                    <w:rPr>
                      <w:rFonts w:hint="eastAsia"/>
                      <w:color w:val="auto"/>
                      <w:vertAlign w:val="baseline"/>
                      <w:lang w:val="en-US" w:eastAsia="zh-CN"/>
                    </w:rPr>
                    <w:t>影响因素</w:t>
                  </w:r>
                </w:p>
              </w:tc>
              <w:tc>
                <w:tcPr>
                  <w:tcW w:w="1263" w:type="dxa"/>
                  <w:vAlign w:val="center"/>
                </w:tcPr>
                <w:p>
                  <w:pPr>
                    <w:pStyle w:val="17"/>
                    <w:bidi w:val="0"/>
                    <w:jc w:val="center"/>
                    <w:rPr>
                      <w:rFonts w:hint="default"/>
                      <w:color w:val="auto"/>
                      <w:vertAlign w:val="baseline"/>
                      <w:lang w:val="en-US" w:eastAsia="zh-CN"/>
                    </w:rPr>
                  </w:pPr>
                  <w:r>
                    <w:rPr>
                      <w:rFonts w:hint="eastAsia"/>
                      <w:color w:val="auto"/>
                      <w:vertAlign w:val="baseline"/>
                      <w:lang w:val="en-US" w:eastAsia="zh-CN"/>
                    </w:rPr>
                    <w:t>影响性质</w:t>
                  </w:r>
                </w:p>
              </w:tc>
              <w:tc>
                <w:tcPr>
                  <w:tcW w:w="4486" w:type="dxa"/>
                  <w:vAlign w:val="center"/>
                </w:tcPr>
                <w:p>
                  <w:pPr>
                    <w:pStyle w:val="17"/>
                    <w:bidi w:val="0"/>
                    <w:jc w:val="center"/>
                    <w:rPr>
                      <w:rFonts w:hint="default"/>
                      <w:color w:val="auto"/>
                      <w:vertAlign w:val="baseline"/>
                      <w:lang w:val="en-US" w:eastAsia="zh-CN"/>
                    </w:rPr>
                  </w:pPr>
                  <w:r>
                    <w:rPr>
                      <w:rFonts w:hint="eastAsia"/>
                      <w:color w:val="auto"/>
                      <w:vertAlign w:val="baseline"/>
                      <w:lang w:val="en-US" w:eastAsia="zh-CN"/>
                    </w:rPr>
                    <w:t>影响简析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pStyle w:val="16"/>
                    <w:bidi w:val="0"/>
                    <w:jc w:val="center"/>
                    <w:rPr>
                      <w:rFonts w:hint="default"/>
                      <w:color w:val="auto"/>
                      <w:lang w:val="en-US" w:eastAsia="zh-CN"/>
                    </w:rPr>
                  </w:pPr>
                  <w:r>
                    <w:rPr>
                      <w:rFonts w:hint="eastAsia"/>
                      <w:color w:val="auto"/>
                      <w:lang w:val="en-US" w:eastAsia="zh-CN"/>
                    </w:rPr>
                    <w:t>水生生态</w:t>
                  </w:r>
                </w:p>
              </w:tc>
              <w:tc>
                <w:tcPr>
                  <w:tcW w:w="1225" w:type="dxa"/>
                  <w:vAlign w:val="center"/>
                </w:tcPr>
                <w:p>
                  <w:pPr>
                    <w:pStyle w:val="16"/>
                    <w:bidi w:val="0"/>
                    <w:jc w:val="center"/>
                    <w:rPr>
                      <w:rFonts w:hint="default"/>
                      <w:color w:val="auto"/>
                      <w:lang w:val="en-US" w:eastAsia="zh-CN"/>
                    </w:rPr>
                  </w:pPr>
                  <w:r>
                    <w:rPr>
                      <w:rFonts w:hint="eastAsia"/>
                      <w:color w:val="auto"/>
                      <w:lang w:val="en-US" w:eastAsia="zh-CN"/>
                    </w:rPr>
                    <w:t>船舶运输、废水排放</w:t>
                  </w:r>
                </w:p>
              </w:tc>
              <w:tc>
                <w:tcPr>
                  <w:tcW w:w="1263" w:type="dxa"/>
                  <w:vAlign w:val="center"/>
                </w:tcPr>
                <w:p>
                  <w:pPr>
                    <w:pStyle w:val="16"/>
                    <w:bidi w:val="0"/>
                    <w:jc w:val="center"/>
                    <w:rPr>
                      <w:rFonts w:hint="default"/>
                      <w:color w:val="auto"/>
                      <w:lang w:val="en-US" w:eastAsia="zh-CN"/>
                    </w:rPr>
                  </w:pPr>
                  <w:r>
                    <w:rPr>
                      <w:rFonts w:hint="eastAsia"/>
                      <w:color w:val="auto"/>
                      <w:lang w:val="en-US" w:eastAsia="zh-CN"/>
                    </w:rPr>
                    <w:t>长期、不利、不可逆</w:t>
                  </w:r>
                </w:p>
              </w:tc>
              <w:tc>
                <w:tcPr>
                  <w:tcW w:w="4486" w:type="dxa"/>
                  <w:vAlign w:val="center"/>
                </w:tcPr>
                <w:p>
                  <w:pPr>
                    <w:pStyle w:val="16"/>
                    <w:bidi w:val="0"/>
                    <w:jc w:val="both"/>
                    <w:rPr>
                      <w:rFonts w:hint="eastAsia"/>
                      <w:color w:val="auto"/>
                      <w:lang w:val="en-US" w:eastAsia="zh-CN"/>
                    </w:rPr>
                  </w:pPr>
                  <w:r>
                    <w:rPr>
                      <w:rFonts w:hint="eastAsia"/>
                      <w:color w:val="auto"/>
                      <w:lang w:val="en-US" w:eastAsia="zh-CN"/>
                    </w:rPr>
                    <w:t>（1）鱼类被机械损伤的几率将增加；</w:t>
                  </w:r>
                </w:p>
                <w:p>
                  <w:pPr>
                    <w:pStyle w:val="16"/>
                    <w:bidi w:val="0"/>
                    <w:jc w:val="both"/>
                    <w:rPr>
                      <w:rFonts w:hint="eastAsia"/>
                      <w:color w:val="auto"/>
                      <w:lang w:val="en-US" w:eastAsia="zh-CN"/>
                    </w:rPr>
                  </w:pPr>
                  <w:r>
                    <w:rPr>
                      <w:rFonts w:hint="eastAsia"/>
                      <w:color w:val="auto"/>
                      <w:lang w:val="en-US" w:eastAsia="zh-CN"/>
                    </w:rPr>
                    <w:t>（2）船舶废水、趸船甲板面冲洗水、生活垃圾等排放的影响；</w:t>
                  </w:r>
                </w:p>
                <w:p>
                  <w:pPr>
                    <w:pStyle w:val="16"/>
                    <w:bidi w:val="0"/>
                    <w:jc w:val="both"/>
                    <w:rPr>
                      <w:rFonts w:hint="default"/>
                      <w:color w:val="auto"/>
                      <w:lang w:val="en-US" w:eastAsia="zh-CN"/>
                    </w:rPr>
                  </w:pPr>
                  <w:r>
                    <w:rPr>
                      <w:rFonts w:hint="eastAsia"/>
                      <w:color w:val="auto"/>
                      <w:lang w:val="en-US" w:eastAsia="zh-CN"/>
                    </w:rPr>
                    <w:t>（3）事故对保护区内水生生物的影响。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pStyle w:val="16"/>
                    <w:bidi w:val="0"/>
                    <w:jc w:val="center"/>
                    <w:rPr>
                      <w:rFonts w:hint="default"/>
                      <w:color w:val="auto"/>
                      <w:lang w:val="en-US" w:eastAsia="zh-CN"/>
                    </w:rPr>
                  </w:pPr>
                  <w:r>
                    <w:rPr>
                      <w:rFonts w:hint="eastAsia"/>
                      <w:color w:val="auto"/>
                      <w:lang w:val="en-US" w:eastAsia="zh-CN"/>
                    </w:rPr>
                    <w:t>声环境</w:t>
                  </w:r>
                </w:p>
              </w:tc>
              <w:tc>
                <w:tcPr>
                  <w:tcW w:w="1225" w:type="dxa"/>
                  <w:vAlign w:val="center"/>
                </w:tcPr>
                <w:p>
                  <w:pPr>
                    <w:pStyle w:val="16"/>
                    <w:bidi w:val="0"/>
                    <w:jc w:val="center"/>
                    <w:rPr>
                      <w:rFonts w:hint="default"/>
                      <w:color w:val="auto"/>
                      <w:lang w:val="en-US" w:eastAsia="zh-CN"/>
                    </w:rPr>
                  </w:pPr>
                  <w:r>
                    <w:rPr>
                      <w:rFonts w:hint="eastAsia"/>
                      <w:color w:val="auto"/>
                      <w:lang w:val="en-US" w:eastAsia="zh-CN"/>
                    </w:rPr>
                    <w:t>船舶噪声</w:t>
                  </w:r>
                </w:p>
              </w:tc>
              <w:tc>
                <w:tcPr>
                  <w:tcW w:w="1263" w:type="dxa"/>
                  <w:vAlign w:val="center"/>
                </w:tcPr>
                <w:p>
                  <w:pPr>
                    <w:pStyle w:val="16"/>
                    <w:bidi w:val="0"/>
                    <w:jc w:val="center"/>
                    <w:rPr>
                      <w:rFonts w:hint="default"/>
                      <w:color w:val="auto"/>
                      <w:lang w:val="en-US" w:eastAsia="zh-CN"/>
                    </w:rPr>
                  </w:pPr>
                  <w:r>
                    <w:rPr>
                      <w:rFonts w:hint="eastAsia"/>
                      <w:color w:val="auto"/>
                      <w:lang w:val="en-US" w:eastAsia="zh-CN"/>
                    </w:rPr>
                    <w:t>长期、不利、可逆</w:t>
                  </w:r>
                </w:p>
              </w:tc>
              <w:tc>
                <w:tcPr>
                  <w:tcW w:w="4486" w:type="dxa"/>
                  <w:vAlign w:val="center"/>
                </w:tcPr>
                <w:p>
                  <w:pPr>
                    <w:pStyle w:val="16"/>
                    <w:bidi w:val="0"/>
                    <w:jc w:val="both"/>
                    <w:rPr>
                      <w:rFonts w:hint="default"/>
                      <w:color w:val="auto"/>
                      <w:lang w:val="en-US" w:eastAsia="zh-CN"/>
                    </w:rPr>
                  </w:pPr>
                  <w:r>
                    <w:rPr>
                      <w:rFonts w:hint="eastAsia"/>
                      <w:color w:val="auto"/>
                      <w:lang w:val="en-US" w:eastAsia="zh-CN"/>
                    </w:rPr>
                    <w:t>船舶噪声对水生生物造成一定影响。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vAlign w:val="center"/>
                </w:tcPr>
                <w:p>
                  <w:pPr>
                    <w:pStyle w:val="16"/>
                    <w:bidi w:val="0"/>
                    <w:jc w:val="center"/>
                    <w:rPr>
                      <w:rFonts w:hint="default"/>
                      <w:color w:val="auto"/>
                      <w:lang w:val="en-US" w:eastAsia="zh-CN"/>
                    </w:rPr>
                  </w:pPr>
                  <w:r>
                    <w:rPr>
                      <w:rFonts w:hint="eastAsia"/>
                      <w:color w:val="auto"/>
                      <w:lang w:val="en-US" w:eastAsia="zh-CN"/>
                    </w:rPr>
                    <w:t>水环境</w:t>
                  </w:r>
                </w:p>
              </w:tc>
              <w:tc>
                <w:tcPr>
                  <w:tcW w:w="1225" w:type="dxa"/>
                  <w:vAlign w:val="center"/>
                </w:tcPr>
                <w:p>
                  <w:pPr>
                    <w:pStyle w:val="16"/>
                    <w:bidi w:val="0"/>
                    <w:jc w:val="center"/>
                    <w:rPr>
                      <w:rFonts w:hint="default"/>
                      <w:color w:val="auto"/>
                      <w:lang w:val="en-US" w:eastAsia="zh-CN"/>
                    </w:rPr>
                  </w:pPr>
                  <w:r>
                    <w:rPr>
                      <w:rFonts w:hint="eastAsia"/>
                      <w:color w:val="auto"/>
                      <w:lang w:val="en-US" w:eastAsia="zh-CN"/>
                    </w:rPr>
                    <w:t>船舶废水、生活污水</w:t>
                  </w:r>
                </w:p>
              </w:tc>
              <w:tc>
                <w:tcPr>
                  <w:tcW w:w="1263" w:type="dxa"/>
                  <w:vAlign w:val="center"/>
                </w:tcPr>
                <w:p>
                  <w:pPr>
                    <w:pStyle w:val="16"/>
                    <w:bidi w:val="0"/>
                    <w:jc w:val="center"/>
                    <w:rPr>
                      <w:rFonts w:hint="default"/>
                      <w:color w:val="auto"/>
                      <w:lang w:val="en-US" w:eastAsia="zh-CN"/>
                    </w:rPr>
                  </w:pPr>
                  <w:r>
                    <w:rPr>
                      <w:rFonts w:hint="eastAsia"/>
                      <w:color w:val="auto"/>
                      <w:lang w:val="en-US" w:eastAsia="zh-CN"/>
                    </w:rPr>
                    <w:t>长期、不利、可逆</w:t>
                  </w:r>
                </w:p>
              </w:tc>
              <w:tc>
                <w:tcPr>
                  <w:tcW w:w="4486" w:type="dxa"/>
                  <w:vAlign w:val="center"/>
                </w:tcPr>
                <w:p>
                  <w:pPr>
                    <w:pStyle w:val="16"/>
                    <w:bidi w:val="0"/>
                    <w:jc w:val="both"/>
                    <w:rPr>
                      <w:rFonts w:hint="eastAsia"/>
                      <w:color w:val="auto"/>
                      <w:lang w:val="en-US" w:eastAsia="zh-CN"/>
                    </w:rPr>
                  </w:pPr>
                  <w:r>
                    <w:rPr>
                      <w:rFonts w:hint="eastAsia"/>
                      <w:color w:val="auto"/>
                      <w:lang w:val="en-US" w:eastAsia="zh-CN"/>
                    </w:rPr>
                    <w:t>（1）船舶搁浅、碰撞等突发性事故而导致的漏油污染水体；</w:t>
                  </w:r>
                </w:p>
                <w:p>
                  <w:pPr>
                    <w:pStyle w:val="16"/>
                    <w:bidi w:val="0"/>
                    <w:jc w:val="both"/>
                    <w:rPr>
                      <w:rFonts w:hint="default"/>
                      <w:color w:val="auto"/>
                      <w:lang w:val="en-US" w:eastAsia="zh-CN"/>
                    </w:rPr>
                  </w:pPr>
                  <w:r>
                    <w:rPr>
                      <w:rFonts w:hint="eastAsia"/>
                      <w:color w:val="auto"/>
                      <w:lang w:val="en-US" w:eastAsia="zh-CN"/>
                    </w:rPr>
                    <w:t>（2）油污泄漏对水环境的影响。</w:t>
                  </w:r>
                </w:p>
              </w:tc>
            </w:tr>
          </w:tbl>
          <w:p>
            <w:pPr>
              <w:pStyle w:val="17"/>
              <w:bidi w:val="0"/>
              <w:rPr>
                <w:rFonts w:hint="default"/>
                <w:color w:va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04" w:type="dxa"/>
            <w:noWrap w:val="0"/>
            <w:vAlign w:val="center"/>
          </w:tcPr>
          <w:p>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生态环境保护目标</w:t>
            </w:r>
          </w:p>
        </w:tc>
        <w:tc>
          <w:tcPr>
            <w:tcW w:w="8253" w:type="dxa"/>
            <w:noWrap w:val="0"/>
            <w:vAlign w:val="center"/>
          </w:tcPr>
          <w:p>
            <w:pPr>
              <w:bidi w:val="0"/>
              <w:rPr>
                <w:rFonts w:hint="default" w:ascii="Times New Roman" w:hAnsi="Times New Roman" w:cs="Times New Roman"/>
                <w:color w:val="auto"/>
                <w:lang w:val="en-US" w:eastAsia="zh-CN"/>
              </w:rPr>
            </w:pPr>
            <w:r>
              <w:rPr>
                <w:rFonts w:hint="default" w:ascii="Times New Roman" w:hAnsi="Times New Roman" w:cs="Times New Roman"/>
                <w:color w:val="auto"/>
              </w:rPr>
              <w:t>根据工程所在区域的环境现状、环境功能要求和环境敏感点分布情况以及工程施工、运行特点</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影响范围内敏感目标主要是周边居民区，不涉及自然保护区、风景名胜区等特殊环境敏感区。</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1、水环境保护目标：本项目地表水环境保护目标为蒸水英陂拦河坝至湘江入河口河段，按《地表水环境质量标准》（GB3838-2002）中的Ⅳ类标准进行保护。</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2、空气环境保护目标：周边区域大气环境按《环境空气质量标准》（GB3095-2012）修改单中的二级标准进行保护，主要保护目标为周边居民点。</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3、声环境保护目标：本项目东北侧为蒸水</w:t>
            </w:r>
            <w:r>
              <w:rPr>
                <w:rFonts w:hint="eastAsia" w:cs="Times New Roman"/>
                <w:color w:val="auto"/>
                <w:lang w:val="en-US" w:eastAsia="zh-CN"/>
              </w:rPr>
              <w:t>；</w:t>
            </w:r>
            <w:r>
              <w:rPr>
                <w:rFonts w:hint="default" w:ascii="Times New Roman" w:hAnsi="Times New Roman" w:cs="Times New Roman"/>
                <w:color w:val="auto"/>
                <w:lang w:val="en-US" w:eastAsia="zh-CN"/>
              </w:rPr>
              <w:t>西南侧</w:t>
            </w:r>
            <w:r>
              <w:rPr>
                <w:rFonts w:hint="eastAsia" w:cs="Times New Roman"/>
                <w:color w:val="auto"/>
                <w:lang w:val="en-US" w:eastAsia="zh-CN"/>
              </w:rPr>
              <w:t>为</w:t>
            </w:r>
            <w:r>
              <w:rPr>
                <w:rFonts w:hint="default" w:ascii="Times New Roman" w:hAnsi="Times New Roman" w:cs="Times New Roman"/>
                <w:color w:val="auto"/>
                <w:lang w:val="en-US" w:eastAsia="zh-CN"/>
              </w:rPr>
              <w:t>蒸水南路</w:t>
            </w:r>
            <w:r>
              <w:rPr>
                <w:rFonts w:hint="eastAsia" w:cs="Times New Roman"/>
                <w:color w:val="auto"/>
                <w:lang w:val="en-US" w:eastAsia="zh-CN"/>
              </w:rPr>
              <w:t>，根据《声环境功能区划分技术规范》（GB/T 15190-2014）8.3.1“相邻区域为2类声环境功能区，距离为35m</w:t>
            </w:r>
            <w:r>
              <w:rPr>
                <w:rFonts w:hint="default" w:ascii="Times New Roman" w:hAnsi="Times New Roman" w:cs="Times New Roman"/>
                <w:color w:val="auto"/>
                <w:lang w:val="en-US" w:eastAsia="zh-CN"/>
              </w:rPr>
              <w:t>±</w:t>
            </w:r>
            <w:r>
              <w:rPr>
                <w:rFonts w:hint="eastAsia" w:cs="Times New Roman"/>
                <w:color w:val="auto"/>
                <w:lang w:val="en-US" w:eastAsia="zh-CN"/>
              </w:rPr>
              <w:t>5m”，蒸水南路边界线外35m</w:t>
            </w:r>
            <w:r>
              <w:rPr>
                <w:rFonts w:hint="default" w:ascii="Times New Roman" w:hAnsi="Times New Roman" w:cs="Times New Roman"/>
                <w:color w:val="auto"/>
                <w:lang w:val="en-US" w:eastAsia="zh-CN"/>
              </w:rPr>
              <w:t>±</w:t>
            </w:r>
            <w:r>
              <w:rPr>
                <w:rFonts w:hint="eastAsia" w:cs="Times New Roman"/>
                <w:color w:val="auto"/>
                <w:lang w:val="en-US" w:eastAsia="zh-CN"/>
              </w:rPr>
              <w:t>5m执行4a类标准</w:t>
            </w:r>
            <w:r>
              <w:rPr>
                <w:rFonts w:hint="default" w:ascii="Times New Roman" w:hAnsi="Times New Roman" w:cs="Times New Roman"/>
                <w:color w:val="auto"/>
                <w:lang w:val="en-US" w:eastAsia="zh-CN"/>
              </w:rPr>
              <w:t>；本项目西南侧</w:t>
            </w:r>
            <w:r>
              <w:rPr>
                <w:rFonts w:hint="eastAsia" w:ascii="Times New Roman" w:hAnsi="Times New Roman" w:cs="Times New Roman"/>
                <w:color w:val="auto"/>
                <w:lang w:val="en-US" w:eastAsia="zh-CN"/>
              </w:rPr>
              <w:t>75</w:t>
            </w:r>
            <w:r>
              <w:rPr>
                <w:rFonts w:hint="default" w:ascii="Times New Roman" w:hAnsi="Times New Roman" w:cs="Times New Roman"/>
                <w:color w:val="auto"/>
                <w:lang w:val="en-US" w:eastAsia="zh-CN"/>
              </w:rPr>
              <w:t>m处有集中居住区，按《声环境质量标准》（GB3096-2008）中的2类标准进行保护。</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本项目主要环境保护目标见表3.</w:t>
            </w:r>
            <w:r>
              <w:rPr>
                <w:rFonts w:hint="eastAsia" w:cs="Times New Roman"/>
                <w:color w:val="auto"/>
                <w:lang w:val="en-US" w:eastAsia="zh-CN"/>
              </w:rPr>
              <w:t>7</w:t>
            </w:r>
            <w:r>
              <w:rPr>
                <w:rFonts w:hint="default" w:ascii="Times New Roman" w:hAnsi="Times New Roman" w:cs="Times New Roman"/>
                <w:color w:val="auto"/>
                <w:lang w:val="en-US" w:eastAsia="zh-CN"/>
              </w:rPr>
              <w:t>和附图</w:t>
            </w:r>
            <w:r>
              <w:rPr>
                <w:rFonts w:hint="eastAsia" w:cs="Times New Roman"/>
                <w:color w:val="auto"/>
                <w:lang w:val="en-US" w:eastAsia="zh-CN"/>
              </w:rPr>
              <w:t>7</w:t>
            </w:r>
            <w:r>
              <w:rPr>
                <w:rFonts w:hint="eastAsia" w:ascii="Times New Roman" w:hAnsi="Times New Roman" w:cs="Times New Roman"/>
                <w:color w:val="auto"/>
                <w:lang w:val="en-US" w:eastAsia="zh-CN"/>
              </w:rPr>
              <w:t>、附图</w:t>
            </w:r>
            <w:r>
              <w:rPr>
                <w:rFonts w:hint="eastAsia" w:cs="Times New Roman"/>
                <w:color w:val="auto"/>
                <w:lang w:val="en-US" w:eastAsia="zh-CN"/>
              </w:rPr>
              <w:t>8</w:t>
            </w:r>
            <w:r>
              <w:rPr>
                <w:rFonts w:hint="eastAsia" w:ascii="Times New Roman" w:hAnsi="Times New Roman" w:cs="Times New Roman"/>
                <w:color w:val="auto"/>
                <w:lang w:val="en-US" w:eastAsia="zh-CN"/>
              </w:rPr>
              <w:t>。</w:t>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w:t>
            </w:r>
            <w:r>
              <w:rPr>
                <w:rFonts w:hint="eastAsia" w:cs="Times New Roman"/>
                <w:color w:val="auto"/>
                <w:lang w:val="en-US" w:eastAsia="zh-CN"/>
              </w:rPr>
              <w:t>7</w:t>
            </w:r>
            <w:r>
              <w:rPr>
                <w:rFonts w:hint="default" w:ascii="Times New Roman" w:hAnsi="Times New Roman" w:cs="Times New Roman"/>
                <w:color w:val="auto"/>
                <w:lang w:val="en-US" w:eastAsia="zh-CN"/>
              </w:rPr>
              <w:t xml:space="preserve"> 环境保护目标表</w:t>
            </w:r>
          </w:p>
          <w:tbl>
            <w:tblPr>
              <w:tblStyle w:val="12"/>
              <w:tblW w:w="80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
              <w:gridCol w:w="1082"/>
              <w:gridCol w:w="3"/>
              <w:gridCol w:w="965"/>
              <w:gridCol w:w="968"/>
              <w:gridCol w:w="5"/>
              <w:gridCol w:w="731"/>
              <w:gridCol w:w="6"/>
              <w:gridCol w:w="1217"/>
              <w:gridCol w:w="2"/>
              <w:gridCol w:w="6"/>
              <w:gridCol w:w="891"/>
              <w:gridCol w:w="2"/>
              <w:gridCol w:w="7"/>
              <w:gridCol w:w="683"/>
              <w:gridCol w:w="2"/>
              <w:gridCol w:w="8"/>
              <w:gridCol w:w="1110"/>
              <w:gridCol w:w="2"/>
              <w:gridCol w:w="7"/>
              <w:gridCol w:w="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1" w:type="pct"/>
                  <w:gridSpan w:val="2"/>
                  <w:vMerge w:val="restar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敏感要素</w:t>
                  </w:r>
                </w:p>
              </w:tc>
              <w:tc>
                <w:tcPr>
                  <w:tcW w:w="671" w:type="pct"/>
                  <w:gridSpan w:val="2"/>
                  <w:vMerge w:val="restar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名称</w:t>
                  </w:r>
                </w:p>
              </w:tc>
              <w:tc>
                <w:tcPr>
                  <w:tcW w:w="1200"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距</w:t>
                  </w:r>
                  <w:r>
                    <w:rPr>
                      <w:rFonts w:hint="eastAsia" w:ascii="Times New Roman" w:hAnsi="Times New Roman" w:cs="Times New Roman"/>
                      <w:b/>
                      <w:bCs/>
                      <w:color w:val="auto"/>
                      <w:lang w:val="en-US" w:eastAsia="zh-CN"/>
                    </w:rPr>
                    <w:t>场</w:t>
                  </w:r>
                  <w:r>
                    <w:rPr>
                      <w:rFonts w:hint="default" w:ascii="Times New Roman" w:hAnsi="Times New Roman" w:cs="Times New Roman"/>
                      <w:b/>
                      <w:bCs/>
                      <w:color w:val="auto"/>
                      <w:lang w:val="en-US" w:eastAsia="zh-CN"/>
                    </w:rPr>
                    <w:t>界最近点坐标</w:t>
                  </w:r>
                </w:p>
              </w:tc>
              <w:tc>
                <w:tcPr>
                  <w:tcW w:w="456" w:type="pct"/>
                  <w:gridSpan w:val="2"/>
                  <w:vMerge w:val="restar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保护对象</w:t>
                  </w:r>
                </w:p>
              </w:tc>
              <w:tc>
                <w:tcPr>
                  <w:tcW w:w="758" w:type="pct"/>
                  <w:gridSpan w:val="3"/>
                  <w:vMerge w:val="restar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保护内容</w:t>
                  </w:r>
                </w:p>
              </w:tc>
              <w:tc>
                <w:tcPr>
                  <w:tcW w:w="557" w:type="pct"/>
                  <w:gridSpan w:val="3"/>
                  <w:vMerge w:val="restar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环境功能区</w:t>
                  </w:r>
                </w:p>
              </w:tc>
              <w:tc>
                <w:tcPr>
                  <w:tcW w:w="429" w:type="pct"/>
                  <w:gridSpan w:val="3"/>
                  <w:vMerge w:val="restar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相对</w:t>
                  </w:r>
                  <w:r>
                    <w:rPr>
                      <w:rFonts w:hint="eastAsia" w:ascii="Times New Roman" w:hAnsi="Times New Roman" w:cs="Times New Roman"/>
                      <w:b/>
                      <w:bCs/>
                      <w:color w:val="auto"/>
                      <w:lang w:val="en-US" w:eastAsia="zh-CN"/>
                    </w:rPr>
                    <w:t>场</w:t>
                  </w:r>
                  <w:r>
                    <w:rPr>
                      <w:rFonts w:hint="default" w:ascii="Times New Roman" w:hAnsi="Times New Roman" w:cs="Times New Roman"/>
                      <w:b/>
                      <w:bCs/>
                      <w:color w:val="auto"/>
                      <w:lang w:val="en-US" w:eastAsia="zh-CN"/>
                    </w:rPr>
                    <w:t>址方位</w:t>
                  </w:r>
                </w:p>
              </w:tc>
              <w:tc>
                <w:tcPr>
                  <w:tcW w:w="694" w:type="pct"/>
                  <w:gridSpan w:val="4"/>
                  <w:vMerge w:val="restar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相对</w:t>
                  </w:r>
                  <w:r>
                    <w:rPr>
                      <w:rFonts w:hint="eastAsia" w:ascii="Times New Roman" w:hAnsi="Times New Roman" w:cs="Times New Roman"/>
                      <w:b/>
                      <w:bCs/>
                      <w:color w:val="auto"/>
                      <w:lang w:val="en-US" w:eastAsia="zh-CN"/>
                    </w:rPr>
                    <w:t>场</w:t>
                  </w:r>
                  <w:r>
                    <w:rPr>
                      <w:rFonts w:hint="default" w:ascii="Times New Roman" w:hAnsi="Times New Roman" w:cs="Times New Roman"/>
                      <w:b/>
                      <w:bCs/>
                      <w:color w:val="auto"/>
                      <w:lang w:val="en-US" w:eastAsia="zh-CN"/>
                    </w:rPr>
                    <w:t>界距离范围（m）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3"/>
                <w:wAfter w:w="0" w:type="pct"/>
                <w:trHeight w:val="307" w:hRule="atLeast"/>
              </w:trPr>
              <w:tc>
                <w:tcPr>
                  <w:tcW w:w="231" w:type="pct"/>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rPr>
                  </w:pPr>
                </w:p>
              </w:tc>
              <w:tc>
                <w:tcPr>
                  <w:tcW w:w="671" w:type="pct"/>
                  <w:gridSpan w:val="2"/>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rPr>
                  </w:pPr>
                </w:p>
              </w:tc>
              <w:tc>
                <w:tcPr>
                  <w:tcW w:w="600"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东经</w:t>
                  </w:r>
                </w:p>
              </w:tc>
              <w:tc>
                <w:tcPr>
                  <w:tcW w:w="600"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北纬</w:t>
                  </w:r>
                </w:p>
              </w:tc>
              <w:tc>
                <w:tcPr>
                  <w:tcW w:w="456" w:type="pct"/>
                  <w:gridSpan w:val="2"/>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758" w:type="pct"/>
                  <w:gridSpan w:val="2"/>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557" w:type="pct"/>
                  <w:gridSpan w:val="3"/>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429" w:type="pct"/>
                  <w:gridSpan w:val="3"/>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694" w:type="pct"/>
                  <w:gridSpan w:val="3"/>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3"/>
                <w:wAfter w:w="0" w:type="pct"/>
              </w:trPr>
              <w:tc>
                <w:tcPr>
                  <w:tcW w:w="231" w:type="pct"/>
                  <w:vMerge w:val="restar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大气环境</w:t>
                  </w:r>
                </w:p>
              </w:tc>
              <w:tc>
                <w:tcPr>
                  <w:tcW w:w="671"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大立小区居民点1#</w:t>
                  </w:r>
                </w:p>
              </w:tc>
              <w:tc>
                <w:tcPr>
                  <w:tcW w:w="600"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112°34′26.576″</w:t>
                  </w:r>
                </w:p>
              </w:tc>
              <w:tc>
                <w:tcPr>
                  <w:tcW w:w="600"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26°55′10.400″</w:t>
                  </w:r>
                </w:p>
              </w:tc>
              <w:tc>
                <w:tcPr>
                  <w:tcW w:w="456" w:type="pct"/>
                  <w:gridSpan w:val="2"/>
                  <w:vMerge w:val="restar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居民</w:t>
                  </w:r>
                </w:p>
              </w:tc>
              <w:tc>
                <w:tcPr>
                  <w:tcW w:w="758"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约</w:t>
                  </w:r>
                  <w:r>
                    <w:rPr>
                      <w:rFonts w:hint="eastAsia" w:cs="Times New Roman"/>
                      <w:color w:val="auto"/>
                      <w:lang w:val="en-US" w:eastAsia="zh-CN"/>
                    </w:rPr>
                    <w:t>4000</w:t>
                  </w:r>
                  <w:r>
                    <w:rPr>
                      <w:rFonts w:hint="default" w:ascii="Times New Roman" w:hAnsi="Times New Roman" w:cs="Times New Roman"/>
                      <w:color w:val="auto"/>
                      <w:lang w:val="en-US" w:eastAsia="zh-CN"/>
                    </w:rPr>
                    <w:t>人</w:t>
                  </w:r>
                </w:p>
              </w:tc>
              <w:tc>
                <w:tcPr>
                  <w:tcW w:w="557" w:type="pct"/>
                  <w:gridSpan w:val="3"/>
                  <w:vMerge w:val="restar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环境空气质量二级标准</w:t>
                  </w:r>
                </w:p>
              </w:tc>
              <w:tc>
                <w:tcPr>
                  <w:tcW w:w="429"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南</w:t>
                  </w:r>
                </w:p>
              </w:tc>
              <w:tc>
                <w:tcPr>
                  <w:tcW w:w="694"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75~485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3"/>
                <w:wAfter w:w="0" w:type="pct"/>
              </w:trPr>
              <w:tc>
                <w:tcPr>
                  <w:tcW w:w="231" w:type="pct"/>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671"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融冠康城居民点1#</w:t>
                  </w:r>
                </w:p>
              </w:tc>
              <w:tc>
                <w:tcPr>
                  <w:tcW w:w="600"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112°34′36.473″</w:t>
                  </w:r>
                </w:p>
              </w:tc>
              <w:tc>
                <w:tcPr>
                  <w:tcW w:w="600"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26°55′8.102″</w:t>
                  </w:r>
                </w:p>
              </w:tc>
              <w:tc>
                <w:tcPr>
                  <w:tcW w:w="456" w:type="pct"/>
                  <w:gridSpan w:val="2"/>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758"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约</w:t>
                  </w:r>
                  <w:r>
                    <w:rPr>
                      <w:rFonts w:hint="eastAsia" w:cs="Times New Roman"/>
                      <w:color w:val="auto"/>
                      <w:lang w:val="en-US" w:eastAsia="zh-CN"/>
                    </w:rPr>
                    <w:t>800</w:t>
                  </w:r>
                  <w:r>
                    <w:rPr>
                      <w:rFonts w:hint="default" w:ascii="Times New Roman" w:hAnsi="Times New Roman" w:cs="Times New Roman"/>
                      <w:color w:val="auto"/>
                      <w:lang w:val="en-US" w:eastAsia="zh-CN"/>
                    </w:rPr>
                    <w:t>人</w:t>
                  </w:r>
                </w:p>
              </w:tc>
              <w:tc>
                <w:tcPr>
                  <w:tcW w:w="557" w:type="pct"/>
                  <w:gridSpan w:val="3"/>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429"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东南</w:t>
                  </w:r>
                </w:p>
              </w:tc>
              <w:tc>
                <w:tcPr>
                  <w:tcW w:w="694"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265~370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3"/>
                <w:wAfter w:w="0" w:type="pct"/>
              </w:trPr>
              <w:tc>
                <w:tcPr>
                  <w:tcW w:w="231" w:type="pct"/>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671"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蒸湘世纪城居民点1#</w:t>
                  </w:r>
                </w:p>
              </w:tc>
              <w:tc>
                <w:tcPr>
                  <w:tcW w:w="600"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112°34′42.586″</w:t>
                  </w:r>
                </w:p>
              </w:tc>
              <w:tc>
                <w:tcPr>
                  <w:tcW w:w="600"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26°55′5.765″</w:t>
                  </w:r>
                </w:p>
              </w:tc>
              <w:tc>
                <w:tcPr>
                  <w:tcW w:w="456" w:type="pct"/>
                  <w:gridSpan w:val="2"/>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758"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约</w:t>
                  </w:r>
                  <w:r>
                    <w:rPr>
                      <w:rFonts w:hint="eastAsia" w:cs="Times New Roman"/>
                      <w:color w:val="auto"/>
                      <w:lang w:val="en-US" w:eastAsia="zh-CN"/>
                    </w:rPr>
                    <w:t>400</w:t>
                  </w:r>
                  <w:r>
                    <w:rPr>
                      <w:rFonts w:hint="default" w:ascii="Times New Roman" w:hAnsi="Times New Roman" w:cs="Times New Roman"/>
                      <w:color w:val="auto"/>
                      <w:lang w:val="en-US" w:eastAsia="zh-CN"/>
                    </w:rPr>
                    <w:t>人</w:t>
                  </w:r>
                </w:p>
              </w:tc>
              <w:tc>
                <w:tcPr>
                  <w:tcW w:w="557" w:type="pct"/>
                  <w:gridSpan w:val="3"/>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429"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东南</w:t>
                  </w:r>
                </w:p>
              </w:tc>
              <w:tc>
                <w:tcPr>
                  <w:tcW w:w="694"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420~500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3"/>
                <w:wAfter w:w="0" w:type="pct"/>
              </w:trPr>
              <w:tc>
                <w:tcPr>
                  <w:tcW w:w="231" w:type="pct"/>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671"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金域豪庭居民点1#</w:t>
                  </w:r>
                </w:p>
              </w:tc>
              <w:tc>
                <w:tcPr>
                  <w:tcW w:w="600"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112°34′20.319″</w:t>
                  </w:r>
                </w:p>
              </w:tc>
              <w:tc>
                <w:tcPr>
                  <w:tcW w:w="600"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26°55′3.139″</w:t>
                  </w:r>
                </w:p>
              </w:tc>
              <w:tc>
                <w:tcPr>
                  <w:tcW w:w="456" w:type="pct"/>
                  <w:gridSpan w:val="2"/>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758"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约</w:t>
                  </w:r>
                  <w:r>
                    <w:rPr>
                      <w:rFonts w:hint="eastAsia" w:cs="Times New Roman"/>
                      <w:color w:val="auto"/>
                      <w:lang w:val="en-US" w:eastAsia="zh-CN"/>
                    </w:rPr>
                    <w:t>100</w:t>
                  </w:r>
                  <w:r>
                    <w:rPr>
                      <w:rFonts w:hint="default" w:ascii="Times New Roman" w:hAnsi="Times New Roman" w:cs="Times New Roman"/>
                      <w:color w:val="auto"/>
                      <w:lang w:val="en-US" w:eastAsia="zh-CN"/>
                    </w:rPr>
                    <w:t>人</w:t>
                  </w:r>
                </w:p>
              </w:tc>
              <w:tc>
                <w:tcPr>
                  <w:tcW w:w="557" w:type="pct"/>
                  <w:gridSpan w:val="3"/>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429"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西南</w:t>
                  </w:r>
                </w:p>
              </w:tc>
              <w:tc>
                <w:tcPr>
                  <w:tcW w:w="694"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460~500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3"/>
                <w:wAfter w:w="0" w:type="pct"/>
              </w:trPr>
              <w:tc>
                <w:tcPr>
                  <w:tcW w:w="231" w:type="pct"/>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671"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冠都现代城居民点1#</w:t>
                  </w:r>
                </w:p>
              </w:tc>
              <w:tc>
                <w:tcPr>
                  <w:tcW w:w="600"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112°34′27.368″</w:t>
                  </w:r>
                </w:p>
              </w:tc>
              <w:tc>
                <w:tcPr>
                  <w:tcW w:w="600"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26°55′0.744″</w:t>
                  </w:r>
                </w:p>
              </w:tc>
              <w:tc>
                <w:tcPr>
                  <w:tcW w:w="456" w:type="pct"/>
                  <w:gridSpan w:val="2"/>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758"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约</w:t>
                  </w:r>
                  <w:r>
                    <w:rPr>
                      <w:rFonts w:hint="eastAsia" w:cs="Times New Roman"/>
                      <w:color w:val="auto"/>
                      <w:lang w:val="en-US" w:eastAsia="zh-CN"/>
                    </w:rPr>
                    <w:t>100</w:t>
                  </w:r>
                  <w:r>
                    <w:rPr>
                      <w:rFonts w:hint="default" w:ascii="Times New Roman" w:hAnsi="Times New Roman" w:cs="Times New Roman"/>
                      <w:color w:val="auto"/>
                      <w:lang w:val="en-US" w:eastAsia="zh-CN"/>
                    </w:rPr>
                    <w:t>人</w:t>
                  </w:r>
                </w:p>
              </w:tc>
              <w:tc>
                <w:tcPr>
                  <w:tcW w:w="557" w:type="pct"/>
                  <w:gridSpan w:val="3"/>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429"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南</w:t>
                  </w:r>
                </w:p>
              </w:tc>
              <w:tc>
                <w:tcPr>
                  <w:tcW w:w="694"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460~500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3"/>
                <w:wAfter w:w="0" w:type="pct"/>
              </w:trPr>
              <w:tc>
                <w:tcPr>
                  <w:tcW w:w="231" w:type="pct"/>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671"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华耀碧桂园十里江湾1#</w:t>
                  </w:r>
                </w:p>
              </w:tc>
              <w:tc>
                <w:tcPr>
                  <w:tcW w:w="600"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112°34′39.071″</w:t>
                  </w:r>
                </w:p>
              </w:tc>
              <w:tc>
                <w:tcPr>
                  <w:tcW w:w="600"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26°55′28.804″</w:t>
                  </w:r>
                </w:p>
              </w:tc>
              <w:tc>
                <w:tcPr>
                  <w:tcW w:w="456" w:type="pct"/>
                  <w:gridSpan w:val="2"/>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758"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约</w:t>
                  </w:r>
                  <w:r>
                    <w:rPr>
                      <w:rFonts w:hint="eastAsia" w:cs="Times New Roman"/>
                      <w:color w:val="auto"/>
                      <w:lang w:val="en-US" w:eastAsia="zh-CN"/>
                    </w:rPr>
                    <w:t>1500</w:t>
                  </w:r>
                  <w:r>
                    <w:rPr>
                      <w:rFonts w:hint="default" w:ascii="Times New Roman" w:hAnsi="Times New Roman" w:cs="Times New Roman"/>
                      <w:color w:val="auto"/>
                      <w:lang w:val="en-US" w:eastAsia="zh-CN"/>
                    </w:rPr>
                    <w:t>人</w:t>
                  </w:r>
                </w:p>
              </w:tc>
              <w:tc>
                <w:tcPr>
                  <w:tcW w:w="557" w:type="pct"/>
                  <w:gridSpan w:val="3"/>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429"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东北</w:t>
                  </w:r>
                </w:p>
              </w:tc>
              <w:tc>
                <w:tcPr>
                  <w:tcW w:w="694"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335~500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3"/>
                <w:wAfter w:w="0" w:type="pct"/>
              </w:trPr>
              <w:tc>
                <w:tcPr>
                  <w:tcW w:w="231" w:type="pct"/>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671"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华耀碧桂园十里江湾2#</w:t>
                  </w:r>
                </w:p>
              </w:tc>
              <w:tc>
                <w:tcPr>
                  <w:tcW w:w="600"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112°34′31.037″</w:t>
                  </w:r>
                </w:p>
              </w:tc>
              <w:tc>
                <w:tcPr>
                  <w:tcW w:w="600"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26°55′32.802″</w:t>
                  </w:r>
                </w:p>
              </w:tc>
              <w:tc>
                <w:tcPr>
                  <w:tcW w:w="456" w:type="pct"/>
                  <w:gridSpan w:val="2"/>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758"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约</w:t>
                  </w:r>
                  <w:r>
                    <w:rPr>
                      <w:rFonts w:hint="eastAsia" w:cs="Times New Roman"/>
                      <w:color w:val="auto"/>
                      <w:lang w:val="en-US" w:eastAsia="zh-CN"/>
                    </w:rPr>
                    <w:t>1200</w:t>
                  </w:r>
                  <w:r>
                    <w:rPr>
                      <w:rFonts w:hint="default" w:ascii="Times New Roman" w:hAnsi="Times New Roman" w:cs="Times New Roman"/>
                      <w:color w:val="auto"/>
                      <w:lang w:val="en-US" w:eastAsia="zh-CN"/>
                    </w:rPr>
                    <w:t>人</w:t>
                  </w:r>
                </w:p>
              </w:tc>
              <w:tc>
                <w:tcPr>
                  <w:tcW w:w="557" w:type="pct"/>
                  <w:gridSpan w:val="3"/>
                  <w:vMerge w:val="continue"/>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p>
              </w:tc>
              <w:tc>
                <w:tcPr>
                  <w:tcW w:w="429"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北</w:t>
                  </w:r>
                </w:p>
              </w:tc>
              <w:tc>
                <w:tcPr>
                  <w:tcW w:w="694"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340~500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3"/>
                <w:wAfter w:w="0" w:type="pct"/>
              </w:trPr>
              <w:tc>
                <w:tcPr>
                  <w:tcW w:w="231"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声环境</w:t>
                  </w:r>
                </w:p>
              </w:tc>
              <w:tc>
                <w:tcPr>
                  <w:tcW w:w="671"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大立小区居民点1#</w:t>
                  </w:r>
                </w:p>
              </w:tc>
              <w:tc>
                <w:tcPr>
                  <w:tcW w:w="600"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112°34′28.759″</w:t>
                  </w:r>
                </w:p>
              </w:tc>
              <w:tc>
                <w:tcPr>
                  <w:tcW w:w="600"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26°55′14.561″</w:t>
                  </w:r>
                </w:p>
              </w:tc>
              <w:tc>
                <w:tcPr>
                  <w:tcW w:w="456"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居民</w:t>
                  </w:r>
                </w:p>
              </w:tc>
              <w:tc>
                <w:tcPr>
                  <w:tcW w:w="758"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约</w:t>
                  </w:r>
                  <w:r>
                    <w:rPr>
                      <w:rFonts w:hint="eastAsia" w:cs="Times New Roman"/>
                      <w:color w:val="auto"/>
                      <w:lang w:val="en-US" w:eastAsia="zh-CN"/>
                    </w:rPr>
                    <w:t>900</w:t>
                  </w:r>
                  <w:r>
                    <w:rPr>
                      <w:rFonts w:hint="default" w:ascii="Times New Roman" w:hAnsi="Times New Roman" w:cs="Times New Roman"/>
                      <w:color w:val="auto"/>
                      <w:lang w:val="en-US" w:eastAsia="zh-CN"/>
                    </w:rPr>
                    <w:t>人</w:t>
                  </w:r>
                </w:p>
              </w:tc>
              <w:tc>
                <w:tcPr>
                  <w:tcW w:w="557"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声环境2类</w:t>
                  </w:r>
                </w:p>
              </w:tc>
              <w:tc>
                <w:tcPr>
                  <w:tcW w:w="429"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西南</w:t>
                  </w:r>
                </w:p>
              </w:tc>
              <w:tc>
                <w:tcPr>
                  <w:tcW w:w="694"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75~200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2"/>
                <w:wAfter w:w="0" w:type="pct"/>
              </w:trPr>
              <w:tc>
                <w:tcPr>
                  <w:tcW w:w="231"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地表水环境</w:t>
                  </w:r>
                </w:p>
              </w:tc>
              <w:tc>
                <w:tcPr>
                  <w:tcW w:w="671"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color w:val="auto"/>
                      <w:lang w:val="en-US" w:eastAsia="zh-CN"/>
                    </w:rPr>
                  </w:pPr>
                  <w:r>
                    <w:rPr>
                      <w:rFonts w:hint="default" w:ascii="Times New Roman" w:hAnsi="Times New Roman" w:cs="Times New Roman"/>
                      <w:color w:val="auto"/>
                      <w:lang w:val="en-US" w:eastAsia="zh-CN"/>
                    </w:rPr>
                    <w:t>蒸水英陂拦河坝至湘江入河口水域</w:t>
                  </w:r>
                </w:p>
              </w:tc>
              <w:tc>
                <w:tcPr>
                  <w:tcW w:w="600" w:type="pct"/>
                  <w:gridSpan w:val="2"/>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600"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215" w:type="pct"/>
                  <w:gridSpan w:val="5"/>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蒸水英陂拦河坝至湘江入河口水域</w:t>
                  </w:r>
                </w:p>
              </w:tc>
              <w:tc>
                <w:tcPr>
                  <w:tcW w:w="557"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地表水环境质量Ⅳ类</w:t>
                  </w:r>
                </w:p>
              </w:tc>
              <w:tc>
                <w:tcPr>
                  <w:tcW w:w="429"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东北</w:t>
                  </w:r>
                </w:p>
              </w:tc>
              <w:tc>
                <w:tcPr>
                  <w:tcW w:w="694" w:type="pct"/>
                  <w:gridSpan w:val="3"/>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临近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0" w:type="pct"/>
              </w:trPr>
              <w:tc>
                <w:tcPr>
                  <w:tcW w:w="231"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地下水环境</w:t>
                  </w:r>
                </w:p>
              </w:tc>
              <w:tc>
                <w:tcPr>
                  <w:tcW w:w="4768" w:type="pct"/>
                  <w:gridSpan w:val="20"/>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项目厂界外500米范围内无地下集中式饮用水水源和热水、矿泉水、温泉等特殊地下水资源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0" w:type="pct"/>
                <w:trHeight w:val="1367" w:hRule="atLeast"/>
              </w:trPr>
              <w:tc>
                <w:tcPr>
                  <w:tcW w:w="231" w:type="pct"/>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生态环境</w:t>
                  </w:r>
                </w:p>
              </w:tc>
              <w:tc>
                <w:tcPr>
                  <w:tcW w:w="4768" w:type="pct"/>
                  <w:gridSpan w:val="20"/>
                  <w:vAlign w:val="center"/>
                </w:tcPr>
                <w:p>
                  <w:pPr>
                    <w:pStyle w:val="16"/>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项目选址区域以及外围</w:t>
                  </w:r>
                  <w:r>
                    <w:rPr>
                      <w:rFonts w:hint="eastAsia" w:cs="Times New Roman"/>
                      <w:color w:val="auto"/>
                      <w:lang w:val="en-US" w:eastAsia="zh-CN"/>
                    </w:rPr>
                    <w:t>300</w:t>
                  </w:r>
                  <w:r>
                    <w:rPr>
                      <w:rFonts w:hint="default" w:ascii="Times New Roman" w:hAnsi="Times New Roman" w:cs="Times New Roman"/>
                      <w:color w:val="auto"/>
                      <w:lang w:val="en-US" w:eastAsia="zh-CN"/>
                    </w:rPr>
                    <w:t>m范围内植被和土壤</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4" w:type="dxa"/>
            <w:noWrap w:val="0"/>
            <w:vAlign w:val="center"/>
          </w:tcPr>
          <w:p>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评价</w:t>
            </w:r>
          </w:p>
          <w:p>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标准</w:t>
            </w:r>
          </w:p>
        </w:tc>
        <w:tc>
          <w:tcPr>
            <w:tcW w:w="8253" w:type="dxa"/>
            <w:noWrap w:val="0"/>
            <w:vAlign w:val="center"/>
          </w:tcPr>
          <w:p>
            <w:pPr>
              <w:pStyle w:val="3"/>
              <w:bidi w:val="0"/>
              <w:rPr>
                <w:rFonts w:hint="default" w:ascii="Times New Roman" w:hAnsi="Times New Roman" w:cs="Times New Roman"/>
                <w:color w:val="auto"/>
                <w:lang w:val="en-US" w:eastAsia="zh-CN"/>
              </w:rPr>
            </w:pPr>
            <w:bookmarkStart w:id="460" w:name="_Toc4059"/>
            <w:bookmarkStart w:id="461" w:name="_Toc24028"/>
            <w:bookmarkStart w:id="462" w:name="_Toc21230"/>
            <w:bookmarkStart w:id="463" w:name="_Toc20252"/>
            <w:bookmarkStart w:id="464" w:name="_Toc17462"/>
            <w:bookmarkStart w:id="465" w:name="_Toc28873"/>
            <w:bookmarkStart w:id="466" w:name="_Toc5469"/>
            <w:bookmarkStart w:id="467" w:name="_Toc14222"/>
            <w:bookmarkStart w:id="468" w:name="_Toc23297"/>
            <w:bookmarkStart w:id="469" w:name="_Toc18429"/>
            <w:r>
              <w:rPr>
                <w:rFonts w:hint="default" w:ascii="Times New Roman" w:hAnsi="Times New Roman" w:cs="Times New Roman"/>
                <w:color w:val="auto"/>
                <w:lang w:val="en-US" w:eastAsia="zh-CN"/>
              </w:rPr>
              <w:t>1、环境质量标准</w:t>
            </w:r>
            <w:bookmarkEnd w:id="460"/>
            <w:bookmarkEnd w:id="461"/>
            <w:bookmarkEnd w:id="462"/>
            <w:bookmarkEnd w:id="463"/>
            <w:bookmarkEnd w:id="464"/>
            <w:bookmarkEnd w:id="465"/>
            <w:bookmarkEnd w:id="466"/>
            <w:bookmarkEnd w:id="467"/>
            <w:bookmarkEnd w:id="468"/>
            <w:bookmarkEnd w:id="469"/>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（1）环境空气质量标准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根据当地环境空气功能区划，项目所在地环境空气为二类功能区，空气质量标准执行《环境空气质量标准》（GB3095-2012）二级标准及2018年修改单中的二级标准。</w:t>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w:t>
            </w:r>
            <w:r>
              <w:rPr>
                <w:rFonts w:hint="eastAsia" w:cs="Times New Roman"/>
                <w:color w:val="auto"/>
                <w:lang w:val="en-US" w:eastAsia="zh-CN"/>
              </w:rPr>
              <w:t>8</w:t>
            </w:r>
            <w:r>
              <w:rPr>
                <w:rFonts w:hint="default" w:ascii="Times New Roman" w:hAnsi="Times New Roman" w:cs="Times New Roman"/>
                <w:color w:val="auto"/>
                <w:lang w:val="en-US" w:eastAsia="zh-CN"/>
              </w:rPr>
              <w:t xml:space="preserve"> 环境空气质量标准</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73"/>
              <w:gridCol w:w="1977"/>
              <w:gridCol w:w="1526"/>
              <w:gridCol w:w="1287"/>
              <w:gridCol w:w="225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tcBorders>
                    <w:tl2br w:val="nil"/>
                    <w:tr2bl w:val="nil"/>
                  </w:tcBorders>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评价因子</w:t>
                  </w:r>
                </w:p>
              </w:tc>
              <w:tc>
                <w:tcPr>
                  <w:tcW w:w="1977" w:type="dxa"/>
                  <w:tcBorders>
                    <w:tl2br w:val="nil"/>
                    <w:tr2bl w:val="nil"/>
                  </w:tcBorders>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平均时段</w:t>
                  </w:r>
                </w:p>
              </w:tc>
              <w:tc>
                <w:tcPr>
                  <w:tcW w:w="1526" w:type="dxa"/>
                  <w:tcBorders>
                    <w:tl2br w:val="nil"/>
                    <w:tr2bl w:val="nil"/>
                  </w:tcBorders>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标准值</w:t>
                  </w:r>
                </w:p>
              </w:tc>
              <w:tc>
                <w:tcPr>
                  <w:tcW w:w="1287" w:type="dxa"/>
                  <w:tcBorders>
                    <w:tl2br w:val="nil"/>
                    <w:tr2bl w:val="nil"/>
                  </w:tcBorders>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单位</w:t>
                  </w:r>
                </w:p>
              </w:tc>
              <w:tc>
                <w:tcPr>
                  <w:tcW w:w="2259" w:type="dxa"/>
                  <w:tcBorders>
                    <w:tl2br w:val="nil"/>
                    <w:tr2bl w:val="nil"/>
                  </w:tcBorders>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标准来源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40" w:hRule="atLeast"/>
                <w:jc w:val="center"/>
              </w:trPr>
              <w:tc>
                <w:tcPr>
                  <w:tcW w:w="1173"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SO</w:t>
                  </w:r>
                  <w:r>
                    <w:rPr>
                      <w:rFonts w:hint="default" w:ascii="Times New Roman" w:hAnsi="Times New Roman" w:cs="Times New Roman"/>
                      <w:color w:val="auto"/>
                      <w:vertAlign w:val="subscript"/>
                    </w:rPr>
                    <w:t>2</w:t>
                  </w: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年平均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60</w:t>
                  </w:r>
                </w:p>
              </w:tc>
              <w:tc>
                <w:tcPr>
                  <w:tcW w:w="1287"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μg/m</w:t>
                  </w:r>
                  <w:r>
                    <w:rPr>
                      <w:rFonts w:hint="default" w:ascii="Times New Roman" w:hAnsi="Times New Roman" w:cs="Times New Roman"/>
                      <w:color w:val="auto"/>
                      <w:vertAlign w:val="superscript"/>
                    </w:rPr>
                    <w:t>3</w:t>
                  </w:r>
                </w:p>
              </w:tc>
              <w:tc>
                <w:tcPr>
                  <w:tcW w:w="2259"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《环境空气质量标准》</w:t>
                  </w:r>
                  <w:r>
                    <w:rPr>
                      <w:rFonts w:hint="default" w:ascii="Times New Roman" w:hAnsi="Times New Roman" w:cs="Times New Roman"/>
                      <w:color w:val="auto"/>
                      <w:lang w:eastAsia="zh-CN"/>
                    </w:rPr>
                    <w:t>（</w:t>
                  </w:r>
                  <w:r>
                    <w:rPr>
                      <w:rFonts w:hint="default" w:ascii="Times New Roman" w:hAnsi="Times New Roman" w:cs="Times New Roman"/>
                      <w:color w:val="auto"/>
                    </w:rPr>
                    <w:t>GB3095-2012</w:t>
                  </w:r>
                  <w:r>
                    <w:rPr>
                      <w:rFonts w:hint="default" w:ascii="Times New Roman" w:hAnsi="Times New Roman" w:cs="Times New Roman"/>
                      <w:color w:val="auto"/>
                      <w:lang w:eastAsia="zh-CN"/>
                    </w:rPr>
                    <w:t>）</w:t>
                  </w:r>
                  <w:r>
                    <w:rPr>
                      <w:rFonts w:hint="default" w:ascii="Times New Roman" w:hAnsi="Times New Roman" w:cs="Times New Roman"/>
                      <w:color w:val="auto"/>
                    </w:rPr>
                    <w:t>二级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40" w:hRule="atLeast"/>
                <w:jc w:val="center"/>
              </w:trPr>
              <w:tc>
                <w:tcPr>
                  <w:tcW w:w="1173"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24小时平均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150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500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NO</w:t>
                  </w:r>
                  <w:r>
                    <w:rPr>
                      <w:rFonts w:hint="default" w:ascii="Times New Roman" w:hAnsi="Times New Roman" w:cs="Times New Roman"/>
                      <w:color w:val="auto"/>
                      <w:vertAlign w:val="subscript"/>
                    </w:rPr>
                    <w:t>2</w:t>
                  </w: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年平均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50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40" w:hRule="atLeast"/>
                <w:jc w:val="center"/>
              </w:trPr>
              <w:tc>
                <w:tcPr>
                  <w:tcW w:w="1173"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24小时平均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100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250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40" w:hRule="atLeast"/>
                <w:jc w:val="center"/>
              </w:trPr>
              <w:tc>
                <w:tcPr>
                  <w:tcW w:w="1173"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PM</w:t>
                  </w:r>
                  <w:r>
                    <w:rPr>
                      <w:rFonts w:hint="default" w:ascii="Times New Roman" w:hAnsi="Times New Roman" w:cs="Times New Roman"/>
                      <w:color w:val="auto"/>
                      <w:vertAlign w:val="subscript"/>
                    </w:rPr>
                    <w:t>2.5</w:t>
                  </w: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年平均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35</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24小时平均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75</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40" w:hRule="atLeast"/>
                <w:jc w:val="center"/>
              </w:trPr>
              <w:tc>
                <w:tcPr>
                  <w:tcW w:w="1173"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PM</w:t>
                  </w:r>
                  <w:r>
                    <w:rPr>
                      <w:rFonts w:hint="default" w:ascii="Times New Roman" w:hAnsi="Times New Roman" w:cs="Times New Roman"/>
                      <w:color w:val="auto"/>
                      <w:vertAlign w:val="subscript"/>
                    </w:rPr>
                    <w:t>10</w:t>
                  </w: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年平均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70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24小时平均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150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CO</w:t>
                  </w: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24小时平均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4.0</w:t>
                  </w:r>
                </w:p>
              </w:tc>
              <w:tc>
                <w:tcPr>
                  <w:tcW w:w="1287"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mg/m</w:t>
                  </w:r>
                  <w:r>
                    <w:rPr>
                      <w:rFonts w:hint="default" w:ascii="Times New Roman" w:hAnsi="Times New Roman" w:cs="Times New Roman"/>
                      <w:color w:val="auto"/>
                      <w:vertAlign w:val="superscript"/>
                    </w:rPr>
                    <w:t>3</w:t>
                  </w: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10.0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40" w:hRule="atLeast"/>
                <w:jc w:val="center"/>
              </w:trPr>
              <w:tc>
                <w:tcPr>
                  <w:tcW w:w="1173"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O</w:t>
                  </w:r>
                  <w:r>
                    <w:rPr>
                      <w:rFonts w:hint="default" w:ascii="Times New Roman" w:hAnsi="Times New Roman" w:cs="Times New Roman"/>
                      <w:color w:val="auto"/>
                      <w:vertAlign w:val="subscript"/>
                    </w:rPr>
                    <w:t>3</w:t>
                  </w: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日最大8小时平均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160</w:t>
                  </w:r>
                </w:p>
              </w:tc>
              <w:tc>
                <w:tcPr>
                  <w:tcW w:w="1287"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μg/m</w:t>
                  </w:r>
                  <w:r>
                    <w:rPr>
                      <w:rFonts w:hint="default" w:ascii="Times New Roman" w:hAnsi="Times New Roman" w:cs="Times New Roman"/>
                      <w:color w:val="auto"/>
                      <w:vertAlign w:val="superscript"/>
                    </w:rPr>
                    <w:t>3</w:t>
                  </w: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200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restart"/>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TSP</w:t>
                  </w: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年平均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200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24小时平均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300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73"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1977"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1小时平均*</w:t>
                  </w:r>
                </w:p>
              </w:tc>
              <w:tc>
                <w:tcPr>
                  <w:tcW w:w="1526" w:type="dxa"/>
                  <w:tcBorders>
                    <w:tl2br w:val="nil"/>
                    <w:tr2bl w:val="nil"/>
                  </w:tcBorders>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900</w:t>
                  </w:r>
                </w:p>
              </w:tc>
              <w:tc>
                <w:tcPr>
                  <w:tcW w:w="1287"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c>
                <w:tcPr>
                  <w:tcW w:w="2259" w:type="dxa"/>
                  <w:vMerge w:val="continue"/>
                  <w:tcBorders>
                    <w:tl2br w:val="nil"/>
                    <w:tr2bl w:val="nil"/>
                  </w:tcBorders>
                  <w:noWrap w:val="0"/>
                  <w:vAlign w:val="center"/>
                </w:tcPr>
                <w:p>
                  <w:pPr>
                    <w:pStyle w:val="16"/>
                    <w:bidi w:val="0"/>
                    <w:rPr>
                      <w:rFonts w:hint="default" w:ascii="Times New Roman" w:hAnsi="Times New Roman" w:cs="Times New Roman"/>
                      <w:color w:val="auto"/>
                    </w:rPr>
                  </w:pPr>
                </w:p>
              </w:tc>
            </w:tr>
          </w:tbl>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rPr>
              <w:t>*注：根据《环境影响评价技术导则大气环境》</w:t>
            </w:r>
            <w:r>
              <w:rPr>
                <w:rFonts w:hint="default" w:ascii="Times New Roman" w:hAnsi="Times New Roman" w:cs="Times New Roman"/>
                <w:color w:val="auto"/>
                <w:lang w:eastAsia="zh-CN"/>
              </w:rPr>
              <w:t>（</w:t>
            </w:r>
            <w:r>
              <w:rPr>
                <w:rFonts w:hint="default" w:ascii="Times New Roman" w:hAnsi="Times New Roman" w:cs="Times New Roman"/>
                <w:color w:val="auto"/>
              </w:rPr>
              <w:t>HJ2.2-2018</w:t>
            </w:r>
            <w:r>
              <w:rPr>
                <w:rFonts w:hint="default" w:ascii="Times New Roman" w:hAnsi="Times New Roman" w:cs="Times New Roman"/>
                <w:color w:val="auto"/>
                <w:lang w:eastAsia="zh-CN"/>
              </w:rPr>
              <w:t>）</w:t>
            </w:r>
            <w:r>
              <w:rPr>
                <w:rFonts w:hint="default" w:ascii="Times New Roman" w:hAnsi="Times New Roman" w:cs="Times New Roman"/>
                <w:color w:val="auto"/>
              </w:rPr>
              <w:t>中</w:t>
            </w:r>
            <w:r>
              <w:rPr>
                <w:rFonts w:hint="default" w:ascii="Times New Roman" w:hAnsi="Times New Roman" w:cs="Times New Roman"/>
                <w:color w:val="auto"/>
                <w:lang w:eastAsia="zh-CN"/>
              </w:rPr>
              <w:t>“</w:t>
            </w:r>
            <w:r>
              <w:rPr>
                <w:rFonts w:hint="default" w:ascii="Times New Roman" w:hAnsi="Times New Roman" w:cs="Times New Roman"/>
                <w:color w:val="auto"/>
              </w:rPr>
              <w:t>对仅有8小时平均浓度限值、日平均浓度限值或年平均浓度限值的，可分别按2倍、3倍、6倍折算为1h平均质量浓度限值</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地表水环境质量标准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本项目所在区域</w:t>
            </w:r>
            <w:r>
              <w:rPr>
                <w:rFonts w:hint="eastAsia" w:cs="Times New Roman"/>
                <w:color w:val="auto"/>
                <w:lang w:val="en-US" w:eastAsia="zh-CN"/>
              </w:rPr>
              <w:t>主要地表水体为蒸水英陂拦河坝至湘江入河口水域，</w:t>
            </w:r>
            <w:r>
              <w:rPr>
                <w:rFonts w:hint="default" w:ascii="Times New Roman" w:hAnsi="Times New Roman" w:cs="Times New Roman"/>
                <w:color w:val="auto"/>
                <w:lang w:val="en-US" w:eastAsia="zh-CN"/>
              </w:rPr>
              <w:t>地表水环境质量执行《地表水环境质量标准》（GB3838-2002）中Ⅳ类标准。</w:t>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w:t>
            </w:r>
            <w:r>
              <w:rPr>
                <w:rFonts w:hint="eastAsia" w:cs="Times New Roman"/>
                <w:color w:val="auto"/>
                <w:lang w:val="en-US" w:eastAsia="zh-CN"/>
              </w:rPr>
              <w:t>9</w:t>
            </w:r>
            <w:r>
              <w:rPr>
                <w:rFonts w:hint="default" w:ascii="Times New Roman" w:hAnsi="Times New Roman" w:cs="Times New Roman"/>
                <w:color w:val="auto"/>
                <w:lang w:val="en-US" w:eastAsia="zh-CN"/>
              </w:rPr>
              <w:t xml:space="preserve"> 环境空气质量标准</w:t>
            </w:r>
          </w:p>
          <w:tbl>
            <w:tblPr>
              <w:tblStyle w:val="12"/>
              <w:tblW w:w="803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384"/>
              <w:gridCol w:w="912"/>
              <w:gridCol w:w="4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污染物名称</w:t>
                  </w:r>
                </w:p>
              </w:tc>
              <w:tc>
                <w:tcPr>
                  <w:tcW w:w="1384" w:type="dxa"/>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标准值</w:t>
                  </w:r>
                </w:p>
              </w:tc>
              <w:tc>
                <w:tcPr>
                  <w:tcW w:w="912" w:type="dxa"/>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单位</w:t>
                  </w:r>
                </w:p>
              </w:tc>
              <w:tc>
                <w:tcPr>
                  <w:tcW w:w="4210" w:type="dxa"/>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标准来源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1"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pH</w:t>
                  </w:r>
                </w:p>
              </w:tc>
              <w:tc>
                <w:tcPr>
                  <w:tcW w:w="1384"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6-9</w:t>
                  </w:r>
                </w:p>
              </w:tc>
              <w:tc>
                <w:tcPr>
                  <w:tcW w:w="912"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无量纲</w:t>
                  </w:r>
                </w:p>
              </w:tc>
              <w:tc>
                <w:tcPr>
                  <w:tcW w:w="4210" w:type="dxa"/>
                  <w:vMerge w:val="restar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《地表水环境质量标准》（GB3838-2002）中Ⅳ类标准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DO</w:t>
                  </w:r>
                </w:p>
              </w:tc>
              <w:tc>
                <w:tcPr>
                  <w:tcW w:w="1384"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p>
              </w:tc>
              <w:tc>
                <w:tcPr>
                  <w:tcW w:w="912" w:type="dxa"/>
                  <w:vMerge w:val="restar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mg/L</w:t>
                  </w:r>
                </w:p>
              </w:tc>
              <w:tc>
                <w:tcPr>
                  <w:tcW w:w="4210" w:type="dxa"/>
                  <w:vMerge w:val="continue"/>
                  <w:vAlign w:val="center"/>
                </w:tcPr>
                <w:p>
                  <w:pPr>
                    <w:pStyle w:val="16"/>
                    <w:bidi w:val="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COD</w:t>
                  </w:r>
                  <w:r>
                    <w:rPr>
                      <w:rFonts w:hint="default" w:ascii="Times New Roman" w:hAnsi="Times New Roman" w:cs="Times New Roman"/>
                      <w:color w:val="auto"/>
                      <w:vertAlign w:val="subscript"/>
                      <w:lang w:val="en-US" w:eastAsia="zh-CN"/>
                    </w:rPr>
                    <w:t>Cr</w:t>
                  </w:r>
                </w:p>
              </w:tc>
              <w:tc>
                <w:tcPr>
                  <w:tcW w:w="1384"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30</w:t>
                  </w:r>
                </w:p>
              </w:tc>
              <w:tc>
                <w:tcPr>
                  <w:tcW w:w="912" w:type="dxa"/>
                  <w:vMerge w:val="continue"/>
                  <w:vAlign w:val="center"/>
                </w:tcPr>
                <w:p>
                  <w:pPr>
                    <w:pStyle w:val="16"/>
                    <w:bidi w:val="0"/>
                    <w:rPr>
                      <w:rFonts w:hint="default" w:ascii="Times New Roman" w:hAnsi="Times New Roman" w:cs="Times New Roman"/>
                      <w:color w:val="auto"/>
                      <w:lang w:val="en-US" w:eastAsia="zh-CN"/>
                    </w:rPr>
                  </w:pPr>
                </w:p>
              </w:tc>
              <w:tc>
                <w:tcPr>
                  <w:tcW w:w="4210" w:type="dxa"/>
                  <w:vMerge w:val="continue"/>
                  <w:vAlign w:val="center"/>
                </w:tcPr>
                <w:p>
                  <w:pPr>
                    <w:pStyle w:val="16"/>
                    <w:bidi w:val="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BOD</w:t>
                  </w:r>
                  <w:r>
                    <w:rPr>
                      <w:rFonts w:hint="default" w:ascii="Times New Roman" w:hAnsi="Times New Roman" w:cs="Times New Roman"/>
                      <w:color w:val="auto"/>
                      <w:vertAlign w:val="subscript"/>
                      <w:lang w:val="en-US" w:eastAsia="zh-CN"/>
                    </w:rPr>
                    <w:t>5</w:t>
                  </w:r>
                </w:p>
              </w:tc>
              <w:tc>
                <w:tcPr>
                  <w:tcW w:w="1384"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w:t>
                  </w:r>
                </w:p>
              </w:tc>
              <w:tc>
                <w:tcPr>
                  <w:tcW w:w="912" w:type="dxa"/>
                  <w:vMerge w:val="continue"/>
                  <w:vAlign w:val="center"/>
                </w:tcPr>
                <w:p>
                  <w:pPr>
                    <w:pStyle w:val="16"/>
                    <w:bidi w:val="0"/>
                    <w:rPr>
                      <w:rFonts w:hint="default" w:ascii="Times New Roman" w:hAnsi="Times New Roman" w:cs="Times New Roman"/>
                      <w:color w:val="auto"/>
                      <w:lang w:val="en-US" w:eastAsia="zh-CN"/>
                    </w:rPr>
                  </w:pPr>
                </w:p>
              </w:tc>
              <w:tc>
                <w:tcPr>
                  <w:tcW w:w="4210" w:type="dxa"/>
                  <w:vMerge w:val="continue"/>
                  <w:vAlign w:val="center"/>
                </w:tcPr>
                <w:p>
                  <w:pPr>
                    <w:pStyle w:val="16"/>
                    <w:bidi w:val="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NH</w:t>
                  </w:r>
                  <w:r>
                    <w:rPr>
                      <w:rFonts w:hint="default" w:ascii="Times New Roman" w:hAnsi="Times New Roman" w:cs="Times New Roman"/>
                      <w:color w:val="auto"/>
                      <w:vertAlign w:val="subscript"/>
                      <w:lang w:val="en-US" w:eastAsia="zh-CN"/>
                    </w:rPr>
                    <w:t>3</w:t>
                  </w:r>
                  <w:r>
                    <w:rPr>
                      <w:rFonts w:hint="default" w:ascii="Times New Roman" w:hAnsi="Times New Roman" w:cs="Times New Roman"/>
                      <w:color w:val="auto"/>
                      <w:lang w:val="en-US" w:eastAsia="zh-CN"/>
                    </w:rPr>
                    <w:t>-N</w:t>
                  </w:r>
                </w:p>
              </w:tc>
              <w:tc>
                <w:tcPr>
                  <w:tcW w:w="1384"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w:t>
                  </w:r>
                </w:p>
              </w:tc>
              <w:tc>
                <w:tcPr>
                  <w:tcW w:w="912" w:type="dxa"/>
                  <w:vMerge w:val="continue"/>
                  <w:vAlign w:val="center"/>
                </w:tcPr>
                <w:p>
                  <w:pPr>
                    <w:pStyle w:val="16"/>
                    <w:bidi w:val="0"/>
                    <w:rPr>
                      <w:rFonts w:hint="default" w:ascii="Times New Roman" w:hAnsi="Times New Roman" w:cs="Times New Roman"/>
                      <w:color w:val="auto"/>
                      <w:lang w:val="en-US" w:eastAsia="zh-CN"/>
                    </w:rPr>
                  </w:pPr>
                </w:p>
              </w:tc>
              <w:tc>
                <w:tcPr>
                  <w:tcW w:w="4210" w:type="dxa"/>
                  <w:vMerge w:val="continue"/>
                  <w:vAlign w:val="center"/>
                </w:tcPr>
                <w:p>
                  <w:pPr>
                    <w:pStyle w:val="16"/>
                    <w:bidi w:val="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总氮</w:t>
                  </w:r>
                </w:p>
              </w:tc>
              <w:tc>
                <w:tcPr>
                  <w:tcW w:w="1384"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w:t>
                  </w:r>
                </w:p>
              </w:tc>
              <w:tc>
                <w:tcPr>
                  <w:tcW w:w="912" w:type="dxa"/>
                  <w:vMerge w:val="continue"/>
                  <w:vAlign w:val="center"/>
                </w:tcPr>
                <w:p>
                  <w:pPr>
                    <w:pStyle w:val="16"/>
                    <w:bidi w:val="0"/>
                    <w:rPr>
                      <w:rFonts w:hint="default" w:ascii="Times New Roman" w:hAnsi="Times New Roman" w:cs="Times New Roman"/>
                      <w:color w:val="auto"/>
                      <w:lang w:val="en-US" w:eastAsia="zh-CN"/>
                    </w:rPr>
                  </w:pPr>
                </w:p>
              </w:tc>
              <w:tc>
                <w:tcPr>
                  <w:tcW w:w="4210" w:type="dxa"/>
                  <w:vMerge w:val="continue"/>
                  <w:vAlign w:val="center"/>
                </w:tcPr>
                <w:p>
                  <w:pPr>
                    <w:pStyle w:val="16"/>
                    <w:bidi w:val="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总磷</w:t>
                  </w:r>
                </w:p>
              </w:tc>
              <w:tc>
                <w:tcPr>
                  <w:tcW w:w="1384"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0.3</w:t>
                  </w:r>
                </w:p>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（湖、库0.1）</w:t>
                  </w:r>
                </w:p>
              </w:tc>
              <w:tc>
                <w:tcPr>
                  <w:tcW w:w="912" w:type="dxa"/>
                  <w:vMerge w:val="continue"/>
                  <w:vAlign w:val="center"/>
                </w:tcPr>
                <w:p>
                  <w:pPr>
                    <w:pStyle w:val="16"/>
                    <w:bidi w:val="0"/>
                    <w:rPr>
                      <w:rFonts w:hint="default" w:ascii="Times New Roman" w:hAnsi="Times New Roman" w:cs="Times New Roman"/>
                      <w:color w:val="auto"/>
                      <w:lang w:val="en-US" w:eastAsia="zh-CN"/>
                    </w:rPr>
                  </w:pPr>
                </w:p>
              </w:tc>
              <w:tc>
                <w:tcPr>
                  <w:tcW w:w="4210" w:type="dxa"/>
                  <w:vMerge w:val="continue"/>
                  <w:vAlign w:val="center"/>
                </w:tcPr>
                <w:p>
                  <w:pPr>
                    <w:pStyle w:val="16"/>
                    <w:bidi w:val="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高锰酸盐指数</w:t>
                  </w:r>
                </w:p>
              </w:tc>
              <w:tc>
                <w:tcPr>
                  <w:tcW w:w="1384"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912" w:type="dxa"/>
                  <w:vMerge w:val="continue"/>
                  <w:vAlign w:val="center"/>
                </w:tcPr>
                <w:p>
                  <w:pPr>
                    <w:pStyle w:val="16"/>
                    <w:bidi w:val="0"/>
                    <w:rPr>
                      <w:rFonts w:hint="default" w:ascii="Times New Roman" w:hAnsi="Times New Roman" w:cs="Times New Roman"/>
                      <w:color w:val="auto"/>
                      <w:lang w:val="en-US" w:eastAsia="zh-CN"/>
                    </w:rPr>
                  </w:pPr>
                </w:p>
              </w:tc>
              <w:tc>
                <w:tcPr>
                  <w:tcW w:w="4210" w:type="dxa"/>
                  <w:vMerge w:val="continue"/>
                  <w:vAlign w:val="center"/>
                </w:tcPr>
                <w:p>
                  <w:pPr>
                    <w:pStyle w:val="16"/>
                    <w:bidi w:val="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石油类</w:t>
                  </w:r>
                </w:p>
              </w:tc>
              <w:tc>
                <w:tcPr>
                  <w:tcW w:w="1384"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w:t>
                  </w:r>
                </w:p>
              </w:tc>
              <w:tc>
                <w:tcPr>
                  <w:tcW w:w="912" w:type="dxa"/>
                  <w:vMerge w:val="continue"/>
                  <w:vAlign w:val="center"/>
                </w:tcPr>
                <w:p>
                  <w:pPr>
                    <w:pStyle w:val="16"/>
                    <w:bidi w:val="0"/>
                    <w:rPr>
                      <w:rFonts w:hint="default" w:ascii="Times New Roman" w:hAnsi="Times New Roman" w:cs="Times New Roman"/>
                      <w:color w:val="auto"/>
                      <w:lang w:val="en-US" w:eastAsia="zh-CN"/>
                    </w:rPr>
                  </w:pPr>
                </w:p>
              </w:tc>
              <w:tc>
                <w:tcPr>
                  <w:tcW w:w="4210" w:type="dxa"/>
                  <w:vMerge w:val="continue"/>
                  <w:vAlign w:val="center"/>
                </w:tcPr>
                <w:p>
                  <w:pPr>
                    <w:pStyle w:val="16"/>
                    <w:bidi w:val="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31"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LAS</w:t>
                  </w:r>
                </w:p>
              </w:tc>
              <w:tc>
                <w:tcPr>
                  <w:tcW w:w="1384"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0.3</w:t>
                  </w:r>
                </w:p>
              </w:tc>
              <w:tc>
                <w:tcPr>
                  <w:tcW w:w="912" w:type="dxa"/>
                  <w:vMerge w:val="continue"/>
                  <w:vAlign w:val="center"/>
                </w:tcPr>
                <w:p>
                  <w:pPr>
                    <w:pStyle w:val="16"/>
                    <w:bidi w:val="0"/>
                    <w:rPr>
                      <w:rFonts w:hint="default" w:ascii="Times New Roman" w:hAnsi="Times New Roman" w:cs="Times New Roman"/>
                      <w:color w:val="auto"/>
                      <w:lang w:val="en-US" w:eastAsia="zh-CN"/>
                    </w:rPr>
                  </w:pPr>
                </w:p>
              </w:tc>
              <w:tc>
                <w:tcPr>
                  <w:tcW w:w="4210" w:type="dxa"/>
                  <w:vMerge w:val="continue"/>
                  <w:vAlign w:val="center"/>
                </w:tcPr>
                <w:p>
                  <w:pPr>
                    <w:pStyle w:val="16"/>
                    <w:bidi w:val="0"/>
                    <w:rPr>
                      <w:rFonts w:hint="default" w:ascii="Times New Roman" w:hAnsi="Times New Roman" w:cs="Times New Roman"/>
                      <w:color w:val="auto"/>
                      <w:lang w:val="en-US" w:eastAsia="zh-CN"/>
                    </w:rPr>
                  </w:pPr>
                </w:p>
              </w:tc>
            </w:tr>
          </w:tbl>
          <w:p>
            <w:pPr>
              <w:bidi w:val="0"/>
              <w:rPr>
                <w:rFonts w:hint="default" w:ascii="Times New Roman" w:hAnsi="Times New Roman" w:cs="Times New Roman"/>
                <w:color w:val="auto"/>
                <w:lang w:val="en-US" w:eastAsia="zh-CN"/>
              </w:rPr>
            </w:pPr>
            <w:r>
              <w:rPr>
                <w:rFonts w:hint="default" w:ascii="Times New Roman" w:hAnsi="Times New Roman" w:cs="Times New Roman"/>
                <w:color w:val="auto"/>
                <w:kern w:val="0"/>
                <w:szCs w:val="21"/>
                <w:lang w:val="en-US" w:eastAsia="zh-CN"/>
              </w:rPr>
              <w:t>（3）声环境</w:t>
            </w:r>
            <w:r>
              <w:rPr>
                <w:rFonts w:hint="default" w:ascii="Times New Roman" w:hAnsi="Times New Roman" w:cs="Times New Roman"/>
                <w:color w:val="auto"/>
                <w:lang w:val="en-US" w:eastAsia="zh-CN"/>
              </w:rPr>
              <w:t>质量标准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本项目所在区域声环境质量执行《声环境质量标准》（GB3096-2008）中的2类</w:t>
            </w:r>
            <w:r>
              <w:rPr>
                <w:rFonts w:hint="eastAsia" w:cs="Times New Roman"/>
                <w:color w:val="auto"/>
                <w:lang w:val="en-US" w:eastAsia="zh-CN"/>
              </w:rPr>
              <w:t>和4a</w:t>
            </w:r>
            <w:r>
              <w:rPr>
                <w:rFonts w:hint="default" w:ascii="Times New Roman" w:hAnsi="Times New Roman" w:cs="Times New Roman"/>
                <w:color w:val="auto"/>
                <w:lang w:val="en-US" w:eastAsia="zh-CN"/>
              </w:rPr>
              <w:t>标准，具体标准值见下表。</w:t>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w:t>
            </w:r>
            <w:r>
              <w:rPr>
                <w:rFonts w:hint="eastAsia" w:cs="Times New Roman"/>
                <w:color w:val="auto"/>
                <w:lang w:val="en-US" w:eastAsia="zh-CN"/>
              </w:rPr>
              <w:t>10</w:t>
            </w:r>
            <w:r>
              <w:rPr>
                <w:rFonts w:hint="default" w:ascii="Times New Roman" w:hAnsi="Times New Roman" w:cs="Times New Roman"/>
                <w:color w:val="auto"/>
                <w:lang w:val="en-US" w:eastAsia="zh-CN"/>
              </w:rPr>
              <w:t xml:space="preserve"> 声环境质量标准（单位：dB(A)）</w:t>
            </w:r>
          </w:p>
          <w:tbl>
            <w:tblPr>
              <w:tblStyle w:val="12"/>
              <w:tblW w:w="803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593"/>
              <w:gridCol w:w="1627"/>
              <w:gridCol w:w="3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0" w:type="dxa"/>
                  <w:vMerge w:val="restart"/>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功能类别</w:t>
                  </w:r>
                </w:p>
              </w:tc>
              <w:tc>
                <w:tcPr>
                  <w:tcW w:w="3220" w:type="dxa"/>
                  <w:gridSpan w:val="2"/>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标准值</w:t>
                  </w:r>
                </w:p>
              </w:tc>
              <w:tc>
                <w:tcPr>
                  <w:tcW w:w="3487" w:type="dxa"/>
                  <w:vMerge w:val="restart"/>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0" w:type="dxa"/>
                  <w:vMerge w:val="continue"/>
                  <w:vAlign w:val="center"/>
                </w:tcPr>
                <w:p>
                  <w:pPr>
                    <w:pStyle w:val="16"/>
                    <w:bidi w:val="0"/>
                    <w:rPr>
                      <w:rFonts w:hint="default" w:ascii="Times New Roman" w:hAnsi="Times New Roman" w:cs="Times New Roman"/>
                      <w:color w:val="auto"/>
                      <w:lang w:val="en-US" w:eastAsia="zh-CN"/>
                    </w:rPr>
                  </w:pPr>
                </w:p>
              </w:tc>
              <w:tc>
                <w:tcPr>
                  <w:tcW w:w="1593" w:type="dxa"/>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昼间</w:t>
                  </w:r>
                </w:p>
              </w:tc>
              <w:tc>
                <w:tcPr>
                  <w:tcW w:w="1627" w:type="dxa"/>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夜间</w:t>
                  </w:r>
                </w:p>
              </w:tc>
              <w:tc>
                <w:tcPr>
                  <w:tcW w:w="3487" w:type="dxa"/>
                  <w:vMerge w:val="continue"/>
                  <w:vAlign w:val="center"/>
                </w:tcPr>
                <w:p>
                  <w:pPr>
                    <w:pStyle w:val="16"/>
                    <w:bidi w:val="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2类</w:t>
                  </w:r>
                </w:p>
              </w:tc>
              <w:tc>
                <w:tcPr>
                  <w:tcW w:w="1593"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60</w:t>
                  </w:r>
                </w:p>
              </w:tc>
              <w:tc>
                <w:tcPr>
                  <w:tcW w:w="1627"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50</w:t>
                  </w:r>
                </w:p>
              </w:tc>
              <w:tc>
                <w:tcPr>
                  <w:tcW w:w="3487"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《声环境质量标准》（GB3096-2008）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pStyle w:val="16"/>
                    <w:bidi w:val="0"/>
                    <w:rPr>
                      <w:rFonts w:hint="default" w:ascii="Times New Roman" w:hAnsi="Times New Roman" w:cs="Times New Roman"/>
                      <w:color w:val="auto"/>
                      <w:lang w:val="en-US" w:eastAsia="zh-CN"/>
                    </w:rPr>
                  </w:pPr>
                  <w:bookmarkStart w:id="470" w:name="_Toc20863"/>
                  <w:bookmarkStart w:id="471" w:name="_Toc20006"/>
                  <w:bookmarkStart w:id="472" w:name="_Toc5276"/>
                  <w:bookmarkStart w:id="473" w:name="_Toc5443"/>
                  <w:bookmarkStart w:id="474" w:name="_Toc10373"/>
                  <w:bookmarkStart w:id="475" w:name="_Toc17866"/>
                  <w:bookmarkStart w:id="476" w:name="_Toc27675"/>
                  <w:bookmarkStart w:id="477" w:name="_Toc19186"/>
                  <w:bookmarkStart w:id="478" w:name="_Toc21286"/>
                  <w:r>
                    <w:rPr>
                      <w:rFonts w:hint="eastAsia" w:cs="Times New Roman"/>
                      <w:color w:val="auto"/>
                      <w:lang w:val="en-US" w:eastAsia="zh-CN"/>
                    </w:rPr>
                    <w:t>4a类</w:t>
                  </w:r>
                </w:p>
              </w:tc>
              <w:tc>
                <w:tcPr>
                  <w:tcW w:w="1593" w:type="dxa"/>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70</w:t>
                  </w:r>
                </w:p>
              </w:tc>
              <w:tc>
                <w:tcPr>
                  <w:tcW w:w="1627" w:type="dxa"/>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55</w:t>
                  </w:r>
                </w:p>
              </w:tc>
              <w:tc>
                <w:tcPr>
                  <w:tcW w:w="3487" w:type="dxa"/>
                  <w:vAlign w:val="center"/>
                </w:tcPr>
                <w:p>
                  <w:pPr>
                    <w:pStyle w:val="16"/>
                    <w:bidi w:val="0"/>
                    <w:rPr>
                      <w:rFonts w:hint="default" w:ascii="Times New Roman" w:hAnsi="Times New Roman" w:cs="Times New Roman"/>
                      <w:color w:val="auto"/>
                      <w:lang w:val="en-US" w:eastAsia="zh-CN"/>
                    </w:rPr>
                  </w:pPr>
                </w:p>
              </w:tc>
            </w:tr>
          </w:tbl>
          <w:p>
            <w:pPr>
              <w:pStyle w:val="3"/>
              <w:bidi w:val="0"/>
              <w:rPr>
                <w:rFonts w:hint="default" w:ascii="Times New Roman" w:hAnsi="Times New Roman" w:cs="Times New Roman"/>
                <w:color w:val="auto"/>
                <w:lang w:val="en-US" w:eastAsia="zh-CN"/>
              </w:rPr>
            </w:pPr>
            <w:bookmarkStart w:id="479" w:name="_Toc17522"/>
            <w:r>
              <w:rPr>
                <w:rFonts w:hint="default" w:ascii="Times New Roman" w:hAnsi="Times New Roman" w:cs="Times New Roman"/>
                <w:color w:val="auto"/>
                <w:lang w:val="en-US" w:eastAsia="zh-CN"/>
              </w:rPr>
              <w:t>2、污染物排放标准</w:t>
            </w:r>
            <w:bookmarkEnd w:id="470"/>
            <w:bookmarkEnd w:id="471"/>
            <w:bookmarkEnd w:id="472"/>
            <w:bookmarkEnd w:id="473"/>
            <w:bookmarkEnd w:id="474"/>
            <w:bookmarkEnd w:id="475"/>
            <w:bookmarkEnd w:id="476"/>
            <w:bookmarkEnd w:id="477"/>
            <w:bookmarkEnd w:id="478"/>
            <w:bookmarkEnd w:id="479"/>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（1）废气</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本项目施工期大气污染物排放执行《大气污染物综合排放标准》（GB16297-1996）表2中无组织排放监控浓度限值。</w:t>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w:t>
            </w:r>
            <w:r>
              <w:rPr>
                <w:rFonts w:hint="eastAsia" w:cs="Times New Roman"/>
                <w:color w:val="auto"/>
                <w:lang w:val="en-US" w:eastAsia="zh-CN"/>
              </w:rPr>
              <w:t>11</w:t>
            </w:r>
            <w:r>
              <w:rPr>
                <w:rFonts w:hint="default" w:ascii="Times New Roman" w:hAnsi="Times New Roman" w:cs="Times New Roman"/>
                <w:color w:val="auto"/>
                <w:lang w:val="en-US" w:eastAsia="zh-CN"/>
              </w:rPr>
              <w:t xml:space="preserve"> 大气污染物综合排放标准</w:t>
            </w:r>
          </w:p>
          <w:tbl>
            <w:tblPr>
              <w:tblStyle w:val="12"/>
              <w:tblW w:w="4999"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2668"/>
              <w:gridCol w:w="26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66" w:type="pct"/>
                  <w:vMerge w:val="restart"/>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污染物名称</w:t>
                  </w:r>
                </w:p>
              </w:tc>
              <w:tc>
                <w:tcPr>
                  <w:tcW w:w="3333" w:type="pct"/>
                  <w:gridSpan w:val="2"/>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66" w:type="pct"/>
                  <w:vMerge w:val="continue"/>
                  <w:vAlign w:val="center"/>
                </w:tcPr>
                <w:p>
                  <w:pPr>
                    <w:pStyle w:val="16"/>
                    <w:bidi w:val="0"/>
                    <w:rPr>
                      <w:rFonts w:hint="default" w:ascii="Times New Roman" w:hAnsi="Times New Roman" w:cs="Times New Roman"/>
                      <w:b/>
                      <w:bCs/>
                      <w:color w:val="auto"/>
                    </w:rPr>
                  </w:pPr>
                </w:p>
              </w:tc>
              <w:tc>
                <w:tcPr>
                  <w:tcW w:w="1666" w:type="pct"/>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监控点</w:t>
                  </w:r>
                </w:p>
              </w:tc>
              <w:tc>
                <w:tcPr>
                  <w:tcW w:w="1667" w:type="pct"/>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浓度（mg/m</w:t>
                  </w:r>
                  <w:r>
                    <w:rPr>
                      <w:rFonts w:hint="default" w:ascii="Times New Roman" w:hAnsi="Times New Roman" w:cs="Times New Roman"/>
                      <w:b/>
                      <w:bCs/>
                      <w:color w:val="auto"/>
                      <w:vertAlign w:val="superscript"/>
                      <w:lang w:val="en-US" w:eastAsia="zh-CN"/>
                    </w:rPr>
                    <w:t>3</w:t>
                  </w:r>
                  <w:r>
                    <w:rPr>
                      <w:rFonts w:hint="default" w:ascii="Times New Roman" w:hAnsi="Times New Roman" w:cs="Times New Roman"/>
                      <w:b/>
                      <w:bCs/>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颗粒物</w:t>
                  </w:r>
                </w:p>
              </w:tc>
              <w:tc>
                <w:tcPr>
                  <w:tcW w:w="1666" w:type="pct"/>
                  <w:vMerge w:val="restar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周界外浓度最高点</w:t>
                  </w:r>
                </w:p>
              </w:tc>
              <w:tc>
                <w:tcPr>
                  <w:tcW w:w="1667" w:type="pc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氮氧化物</w:t>
                  </w:r>
                </w:p>
              </w:tc>
              <w:tc>
                <w:tcPr>
                  <w:tcW w:w="1666" w:type="pct"/>
                  <w:vMerge w:val="continue"/>
                  <w:vAlign w:val="center"/>
                </w:tcPr>
                <w:p>
                  <w:pPr>
                    <w:pStyle w:val="16"/>
                    <w:bidi w:val="0"/>
                    <w:rPr>
                      <w:rFonts w:hint="default" w:ascii="Times New Roman" w:hAnsi="Times New Roman" w:cs="Times New Roman"/>
                      <w:color w:val="auto"/>
                      <w:lang w:val="en-US" w:eastAsia="zh-CN"/>
                    </w:rPr>
                  </w:pPr>
                </w:p>
              </w:tc>
              <w:tc>
                <w:tcPr>
                  <w:tcW w:w="1667" w:type="pc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二氧化硫</w:t>
                  </w:r>
                </w:p>
              </w:tc>
              <w:tc>
                <w:tcPr>
                  <w:tcW w:w="1666" w:type="pct"/>
                  <w:vMerge w:val="continue"/>
                  <w:vAlign w:val="center"/>
                </w:tcPr>
                <w:p>
                  <w:pPr>
                    <w:pStyle w:val="16"/>
                    <w:bidi w:val="0"/>
                    <w:rPr>
                      <w:rFonts w:hint="default" w:ascii="Times New Roman" w:hAnsi="Times New Roman" w:cs="Times New Roman"/>
                      <w:color w:val="auto"/>
                      <w:lang w:val="en-US" w:eastAsia="zh-CN"/>
                    </w:rPr>
                  </w:pPr>
                </w:p>
              </w:tc>
              <w:tc>
                <w:tcPr>
                  <w:tcW w:w="1667" w:type="pc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0.40</w:t>
                  </w:r>
                </w:p>
              </w:tc>
            </w:tr>
          </w:tbl>
          <w:p>
            <w:pPr>
              <w:bidi w:val="0"/>
              <w:rPr>
                <w:rFonts w:hint="default" w:ascii="Times New Roman" w:hAnsi="Times New Roman" w:cs="Times New Roman"/>
                <w:color w:val="auto"/>
                <w:lang w:val="en-US" w:eastAsia="zh-CN"/>
              </w:rPr>
            </w:pPr>
            <w:r>
              <w:rPr>
                <w:rFonts w:hint="default" w:ascii="Times New Roman" w:hAnsi="Times New Roman" w:cs="Times New Roman"/>
                <w:color w:val="auto"/>
                <w:kern w:val="0"/>
                <w:szCs w:val="21"/>
                <w:lang w:val="en-US" w:eastAsia="zh-CN"/>
              </w:rPr>
              <w:t>（2）</w:t>
            </w:r>
            <w:r>
              <w:rPr>
                <w:rFonts w:hint="default" w:ascii="Times New Roman" w:hAnsi="Times New Roman" w:cs="Times New Roman"/>
                <w:color w:val="auto"/>
                <w:lang w:val="en-US" w:eastAsia="zh-CN"/>
              </w:rPr>
              <w:t>废水</w:t>
            </w:r>
          </w:p>
          <w:p>
            <w:pPr>
              <w:bidi w:val="0"/>
              <w:rPr>
                <w:rFonts w:hint="default" w:ascii="Times New Roman" w:hAnsi="Times New Roman" w:cs="Times New Roman"/>
                <w:color w:val="auto"/>
                <w:kern w:val="0"/>
                <w:szCs w:val="21"/>
                <w:vertAlign w:val="baseline"/>
                <w:lang w:val="en-US" w:eastAsia="zh-CN"/>
              </w:rPr>
            </w:pPr>
            <w:r>
              <w:rPr>
                <w:rFonts w:hint="default" w:ascii="Times New Roman" w:hAnsi="Times New Roman" w:cs="Times New Roman"/>
                <w:color w:val="auto"/>
                <w:lang w:val="en-US" w:eastAsia="zh-CN"/>
              </w:rPr>
              <w:t>本工程不设施工预制场，无水中桩基作业施工，施工期废水主要有生活污水，包括施工人员的清洗水和厕所冲刷水，生活污水在趸船上经化粪预处理后，在容量为5m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污水收集箱中暂存，每周由具备生活污水处理资质的单位接受，不在项目所在水域排放。施工废水包括斜坡基础结构开挖产生的泥浆水、机械设备运转的冷却水和洗涤水、混凝土搅拌车及输送系统冲洗废水、车辆清洗水、施工船舶舱底油污水等，施工废水经沉</w:t>
            </w:r>
            <w:r>
              <w:rPr>
                <w:rFonts w:hint="default" w:ascii="Times New Roman" w:hAnsi="Times New Roman" w:cs="Times New Roman"/>
                <w:color w:val="auto"/>
                <w:kern w:val="0"/>
                <w:szCs w:val="21"/>
                <w:vertAlign w:val="baseline"/>
                <w:lang w:val="en-US" w:eastAsia="zh-CN"/>
              </w:rPr>
              <w:t>淀池沉淀处理后回用，施工冲刷雨水经沉淀池沉淀处理后外排</w:t>
            </w:r>
            <w:r>
              <w:rPr>
                <w:rFonts w:hint="eastAsia" w:cs="Times New Roman"/>
                <w:color w:val="auto"/>
                <w:kern w:val="0"/>
                <w:szCs w:val="21"/>
                <w:vertAlign w:val="baseline"/>
                <w:lang w:val="en-US" w:eastAsia="zh-CN"/>
              </w:rPr>
              <w:t>。</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（3）噪声</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施工期场界噪声执行《建筑施工场界环境噪声排放标准》（</w:t>
            </w:r>
            <w:r>
              <w:rPr>
                <w:rFonts w:hint="eastAsia" w:cs="Times New Roman"/>
                <w:color w:val="auto"/>
                <w:lang w:val="en-US" w:eastAsia="zh-CN"/>
              </w:rPr>
              <w:t>GB</w:t>
            </w:r>
            <w:r>
              <w:rPr>
                <w:rFonts w:hint="default" w:ascii="Times New Roman" w:hAnsi="Times New Roman" w:cs="Times New Roman"/>
                <w:color w:val="auto"/>
                <w:lang w:val="en-US" w:eastAsia="zh-CN"/>
              </w:rPr>
              <w:t>12523-2011）中的排放限值。</w:t>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w:t>
            </w:r>
            <w:r>
              <w:rPr>
                <w:rFonts w:hint="eastAsia" w:cs="Times New Roman"/>
                <w:color w:val="auto"/>
                <w:lang w:val="en-US" w:eastAsia="zh-CN"/>
              </w:rPr>
              <w:t>12</w:t>
            </w:r>
            <w:r>
              <w:rPr>
                <w:rFonts w:hint="default" w:ascii="Times New Roman" w:hAnsi="Times New Roman" w:cs="Times New Roman"/>
                <w:color w:val="auto"/>
                <w:lang w:val="en-US" w:eastAsia="zh-CN"/>
              </w:rPr>
              <w:t xml:space="preserve"> 建筑施工厂界环境噪声排放标准</w:t>
            </w:r>
          </w:p>
          <w:tbl>
            <w:tblPr>
              <w:tblStyle w:val="12"/>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56"/>
              <w:gridCol w:w="1559"/>
              <w:gridCol w:w="1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32" w:type="pct"/>
                  <w:vMerge w:val="restart"/>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标准</w:t>
                  </w:r>
                </w:p>
              </w:tc>
              <w:tc>
                <w:tcPr>
                  <w:tcW w:w="1967" w:type="pct"/>
                  <w:gridSpan w:val="2"/>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标准限值dB（A）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32" w:type="pct"/>
                  <w:vMerge w:val="continue"/>
                  <w:vAlign w:val="center"/>
                </w:tcPr>
                <w:p>
                  <w:pPr>
                    <w:pStyle w:val="16"/>
                    <w:bidi w:val="0"/>
                    <w:rPr>
                      <w:rFonts w:hint="default" w:ascii="Times New Roman" w:hAnsi="Times New Roman" w:cs="Times New Roman"/>
                      <w:b/>
                      <w:bCs/>
                      <w:color w:val="auto"/>
                      <w:lang w:val="en-US" w:eastAsia="zh-CN"/>
                    </w:rPr>
                  </w:pPr>
                </w:p>
              </w:tc>
              <w:tc>
                <w:tcPr>
                  <w:tcW w:w="973" w:type="pct"/>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昼间</w:t>
                  </w:r>
                </w:p>
              </w:tc>
              <w:tc>
                <w:tcPr>
                  <w:tcW w:w="994" w:type="pct"/>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32" w:type="pc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《建筑施工场界环境噪声排放标准》（GB12523-2011）</w:t>
                  </w:r>
                </w:p>
              </w:tc>
              <w:tc>
                <w:tcPr>
                  <w:tcW w:w="973" w:type="pc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70</w:t>
                  </w:r>
                </w:p>
              </w:tc>
              <w:tc>
                <w:tcPr>
                  <w:tcW w:w="994" w:type="pct"/>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55</w:t>
                  </w:r>
                </w:p>
              </w:tc>
            </w:tr>
          </w:tbl>
          <w:p>
            <w:pPr>
              <w:bidi w:val="0"/>
              <w:rPr>
                <w:rFonts w:hint="default" w:ascii="Times New Roman" w:hAnsi="Times New Roman" w:cs="Times New Roman"/>
                <w:color w:val="auto"/>
                <w:lang w:val="en-US" w:eastAsia="zh-CN"/>
              </w:rPr>
            </w:pPr>
            <w:r>
              <w:rPr>
                <w:rFonts w:hint="default" w:ascii="Times New Roman" w:hAnsi="Times New Roman" w:cs="Times New Roman"/>
                <w:color w:val="auto"/>
                <w:kern w:val="0"/>
                <w:szCs w:val="21"/>
                <w:vertAlign w:val="baseline"/>
                <w:lang w:val="en-US" w:eastAsia="zh-CN"/>
              </w:rPr>
              <w:t>（4）</w:t>
            </w:r>
            <w:r>
              <w:rPr>
                <w:rFonts w:hint="default" w:ascii="Times New Roman" w:hAnsi="Times New Roman" w:cs="Times New Roman"/>
                <w:color w:val="auto"/>
                <w:lang w:val="en-US" w:eastAsia="zh-CN"/>
              </w:rPr>
              <w:t>固体废物</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生活垃圾执行《生活垃圾填埋污染控制标准》（GB16889-2008）；一般工业固体废物执行《一般工业固体废物贮存和填埋污染控制标准》（GB18599-2020）</w:t>
            </w:r>
            <w:r>
              <w:rPr>
                <w:rFonts w:hint="eastAsia" w:cs="Times New Roman"/>
                <w:color w:val="auto"/>
                <w:lang w:val="en-US" w:eastAsia="zh-CN"/>
              </w:rPr>
              <w:t>危险废物执行《危险废物贮存污染控制标准》（GB18597-2023）</w:t>
            </w:r>
            <w:r>
              <w:rPr>
                <w:rFonts w:hint="default" w:ascii="Times New Roman" w:hAnsi="Times New Roman" w:cs="Times New Roman"/>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4" w:type="dxa"/>
            <w:noWrap w:val="0"/>
            <w:vAlign w:val="center"/>
          </w:tcPr>
          <w:p>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其他</w:t>
            </w:r>
          </w:p>
        </w:tc>
        <w:tc>
          <w:tcPr>
            <w:tcW w:w="8253" w:type="dxa"/>
            <w:noWrap w:val="0"/>
            <w:vAlign w:val="center"/>
          </w:tcPr>
          <w:p>
            <w:pPr>
              <w:bidi w:val="0"/>
              <w:rPr>
                <w:rFonts w:hint="default" w:ascii="Times New Roman" w:hAnsi="Times New Roman" w:cs="Times New Roman"/>
                <w:color w:val="auto"/>
              </w:rPr>
            </w:pPr>
            <w:r>
              <w:rPr>
                <w:rFonts w:hint="default" w:ascii="Times New Roman" w:hAnsi="Times New Roman" w:cs="Times New Roman"/>
                <w:color w:val="auto"/>
                <w:kern w:val="0"/>
                <w:szCs w:val="21"/>
              </w:rPr>
              <w:t>评</w:t>
            </w:r>
            <w:r>
              <w:rPr>
                <w:rFonts w:hint="default" w:ascii="Times New Roman" w:hAnsi="Times New Roman" w:cs="Times New Roman"/>
                <w:color w:val="auto"/>
              </w:rPr>
              <w:t>价按照国家级地方环保部门总量控制的要求，提出项目完成后污染物总量控制建议指标，作为地方环境管理的依据。</w:t>
            </w:r>
          </w:p>
          <w:p>
            <w:pPr>
              <w:bidi w:val="0"/>
              <w:rPr>
                <w:rFonts w:hint="default" w:ascii="Times New Roman" w:hAnsi="Times New Roman" w:cs="Times New Roman"/>
                <w:color w:val="auto"/>
                <w:kern w:val="0"/>
                <w:szCs w:val="21"/>
              </w:rPr>
            </w:pPr>
            <w:r>
              <w:rPr>
                <w:rFonts w:hint="default" w:ascii="Times New Roman" w:hAnsi="Times New Roman" w:cs="Times New Roman"/>
                <w:color w:val="auto"/>
              </w:rPr>
              <w:t>生活污水依托经化粪池处理后由专业环保公司定期安排车辆抽运至指定位置集中处理；不涉及二氧化硫、氮氧化物等主要污染物的废气排放；无需申请总量。</w:t>
            </w:r>
          </w:p>
        </w:tc>
      </w:tr>
    </w:tbl>
    <w:p>
      <w:pPr>
        <w:pStyle w:val="2"/>
        <w:bidi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kern w:val="2"/>
          <w:sz w:val="36"/>
          <w:szCs w:val="36"/>
        </w:rPr>
        <w:br w:type="page"/>
      </w:r>
      <w:bookmarkStart w:id="480" w:name="_Toc11956"/>
      <w:bookmarkStart w:id="481" w:name="_Toc6014"/>
      <w:r>
        <w:rPr>
          <w:rFonts w:hint="default" w:ascii="Times New Roman" w:hAnsi="Times New Roman" w:eastAsia="黑体" w:cs="Times New Roman"/>
          <w:snapToGrid w:val="0"/>
          <w:color w:val="auto"/>
          <w:sz w:val="30"/>
          <w:szCs w:val="30"/>
        </w:rPr>
        <w:t>四、生态环境影响分析</w:t>
      </w:r>
      <w:bookmarkEnd w:id="480"/>
      <w:bookmarkEnd w:id="481"/>
    </w:p>
    <w:tbl>
      <w:tblPr>
        <w:tblStyle w:val="11"/>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06" w:hRule="atLeast"/>
          <w:jc w:val="center"/>
        </w:trPr>
        <w:tc>
          <w:tcPr>
            <w:tcW w:w="879" w:type="dxa"/>
            <w:noWrap w:val="0"/>
            <w:tcMar>
              <w:left w:w="28" w:type="dxa"/>
              <w:right w:w="28"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bCs/>
                <w:color w:val="auto"/>
                <w:kern w:val="2"/>
                <w:sz w:val="21"/>
                <w:szCs w:val="21"/>
              </w:rPr>
            </w:pPr>
            <w:bookmarkStart w:id="482" w:name="_Hlk49796138"/>
            <w:r>
              <w:rPr>
                <w:rFonts w:hint="default" w:ascii="Times New Roman" w:hAnsi="Times New Roman" w:cs="Times New Roman"/>
                <w:bCs/>
                <w:color w:val="auto"/>
                <w:spacing w:val="10"/>
                <w:kern w:val="2"/>
                <w:sz w:val="21"/>
                <w:szCs w:val="21"/>
              </w:rPr>
              <w:t>施工期生态环境影响分析</w:t>
            </w:r>
            <w:bookmarkEnd w:id="482"/>
          </w:p>
        </w:tc>
        <w:tc>
          <w:tcPr>
            <w:tcW w:w="8363" w:type="dxa"/>
            <w:noWrap w:val="0"/>
            <w:vAlign w:val="center"/>
          </w:tcPr>
          <w:p>
            <w:pPr>
              <w:pStyle w:val="3"/>
              <w:bidi w:val="0"/>
              <w:rPr>
                <w:rFonts w:hint="default" w:ascii="Times New Roman" w:hAnsi="Times New Roman" w:cs="Times New Roman"/>
                <w:color w:val="auto"/>
                <w:lang w:val="en-US" w:eastAsia="zh-CN"/>
              </w:rPr>
            </w:pPr>
            <w:bookmarkStart w:id="483" w:name="_Toc29666"/>
            <w:bookmarkStart w:id="484" w:name="_Toc5011"/>
            <w:bookmarkStart w:id="485" w:name="_Toc32482"/>
            <w:bookmarkStart w:id="486" w:name="_Toc27144"/>
            <w:bookmarkStart w:id="487" w:name="_Toc11374"/>
            <w:bookmarkStart w:id="488" w:name="_Toc24304"/>
            <w:bookmarkStart w:id="489" w:name="_Toc2628"/>
            <w:bookmarkStart w:id="490" w:name="_Toc22210"/>
            <w:bookmarkStart w:id="491" w:name="_Toc4164"/>
            <w:bookmarkStart w:id="492" w:name="_Toc15775"/>
            <w:r>
              <w:rPr>
                <w:rFonts w:hint="default" w:ascii="Times New Roman" w:hAnsi="Times New Roman" w:cs="Times New Roman"/>
                <w:color w:val="auto"/>
                <w:lang w:val="en-US" w:eastAsia="zh-CN"/>
              </w:rPr>
              <w:t>1、水环境影响分析</w:t>
            </w:r>
            <w:bookmarkEnd w:id="483"/>
            <w:bookmarkEnd w:id="484"/>
            <w:bookmarkEnd w:id="485"/>
            <w:bookmarkEnd w:id="486"/>
            <w:bookmarkEnd w:id="487"/>
            <w:bookmarkEnd w:id="488"/>
            <w:bookmarkEnd w:id="489"/>
            <w:bookmarkEnd w:id="490"/>
            <w:bookmarkEnd w:id="491"/>
            <w:bookmarkEnd w:id="492"/>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项目在施工期间，平均每日施工人员</w:t>
            </w:r>
            <w:r>
              <w:rPr>
                <w:rFonts w:hint="eastAsia" w:cs="Times New Roman"/>
                <w:color w:val="auto"/>
                <w:lang w:val="en-US" w:eastAsia="zh-CN"/>
              </w:rPr>
              <w:t>4</w:t>
            </w:r>
            <w:r>
              <w:rPr>
                <w:rFonts w:hint="default" w:ascii="Times New Roman" w:hAnsi="Times New Roman" w:cs="Times New Roman"/>
                <w:color w:val="auto"/>
                <w:lang w:val="en-US" w:eastAsia="zh-CN"/>
              </w:rPr>
              <w:t>人，本项目在施工期间工程施工现场不设施工人员生活区，临时住房租用附近民房加以解决。随着施工期的结束，施工期施工人员污水、施工生产废水对环境的影响也随即消失。根据现场勘察，施工人员依托码头内</w:t>
            </w:r>
            <w:r>
              <w:rPr>
                <w:rFonts w:hint="eastAsia" w:cs="Times New Roman"/>
                <w:color w:val="auto"/>
                <w:lang w:val="en-US" w:eastAsia="zh-CN"/>
              </w:rPr>
              <w:t>现有</w:t>
            </w:r>
            <w:r>
              <w:rPr>
                <w:rFonts w:hint="default" w:ascii="Times New Roman" w:hAnsi="Times New Roman" w:cs="Times New Roman"/>
                <w:color w:val="auto"/>
                <w:lang w:val="en-US" w:eastAsia="zh-CN"/>
              </w:rPr>
              <w:t>的生活设施。根据湖南省地方标准《用水定额》（DB43/T388-2020），住宿员工用水定额取按160L/(人·</w:t>
            </w:r>
            <w:r>
              <w:rPr>
                <w:rFonts w:hint="eastAsia" w:cs="Times New Roman"/>
                <w:color w:val="auto"/>
                <w:lang w:val="en-US" w:eastAsia="zh-CN"/>
              </w:rPr>
              <w:t>d</w:t>
            </w:r>
            <w:r>
              <w:rPr>
                <w:rFonts w:hint="default" w:ascii="Times New Roman" w:hAnsi="Times New Roman" w:cs="Times New Roman"/>
                <w:color w:val="auto"/>
                <w:lang w:val="en-US" w:eastAsia="zh-CN"/>
              </w:rPr>
              <w:t>)，排污系数按80%算，则施工期生活污水排放量为</w:t>
            </w:r>
            <w:r>
              <w:rPr>
                <w:rFonts w:hint="eastAsia" w:cs="Times New Roman"/>
                <w:color w:val="auto"/>
                <w:lang w:val="en-US" w:eastAsia="zh-CN"/>
              </w:rPr>
              <w:t>512L/d</w:t>
            </w:r>
            <w:r>
              <w:rPr>
                <w:rFonts w:hint="default" w:ascii="Times New Roman" w:hAnsi="Times New Roman" w:cs="Times New Roman"/>
                <w:color w:val="auto"/>
                <w:lang w:val="en-US" w:eastAsia="zh-CN"/>
              </w:rPr>
              <w:t>。本项目施工期生活污水经趸船化粪池处理后由具备生活污水处理资质的单位接受，不在项目所在水域排放。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工程不设施工预制场，无水中桩基作业施工，施工期生产废水主要包括斜坡基础结构开挖产生的泥浆水、机械设备运转的冷却水和洗涤水、混凝土搅拌车及输送系统冲洗废水、车辆清洗水、施工船舶舱底油污水等，以及材料堆放场、挖方、填方对水体产生影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（1）泥浆水</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经预过滤后将泥浆水通过沉淀池将泥砂分离出来，上清液回用，沉淀经过压滤脱水后交由陆上环卫部门处理。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（2）冷却水、洗涤水、冲洗废水、车辆清洗水</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经施工场地内设置的沉淀池沉淀处理后用作为场地降尘或绿化，不会对水环境造成影响。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3</w:t>
            </w:r>
            <w:r>
              <w:rPr>
                <w:rFonts w:hint="default" w:ascii="Times New Roman" w:hAnsi="Times New Roman" w:cs="Times New Roman"/>
                <w:color w:val="auto"/>
                <w:lang w:val="en-US" w:eastAsia="zh-CN"/>
              </w:rPr>
              <w:t>）材料堆放场、挖方、填方对水体产生影响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材料堆放场、挖方、填方四周应挖截留沟，截流沟废水汇入沉淀池，上清液回用，尽可能减少对水体产生影响的风险。</w:t>
            </w:r>
          </w:p>
          <w:p>
            <w:pPr>
              <w:pStyle w:val="3"/>
              <w:bidi w:val="0"/>
              <w:rPr>
                <w:rFonts w:hint="default" w:ascii="Times New Roman" w:hAnsi="Times New Roman" w:cs="Times New Roman"/>
                <w:color w:val="auto"/>
                <w:lang w:val="en-US" w:eastAsia="zh-CN"/>
              </w:rPr>
            </w:pPr>
            <w:bookmarkStart w:id="493" w:name="_Toc32266"/>
            <w:bookmarkStart w:id="494" w:name="_Toc23219"/>
            <w:bookmarkStart w:id="495" w:name="_Toc11272"/>
            <w:bookmarkStart w:id="496" w:name="_Toc16453"/>
            <w:bookmarkStart w:id="497" w:name="_Toc32122"/>
            <w:bookmarkStart w:id="498" w:name="_Toc32488"/>
            <w:bookmarkStart w:id="499" w:name="_Toc16474"/>
            <w:bookmarkStart w:id="500" w:name="_Toc14892"/>
            <w:bookmarkStart w:id="501" w:name="_Toc30101"/>
            <w:bookmarkStart w:id="502" w:name="_Toc22249"/>
            <w:r>
              <w:rPr>
                <w:rFonts w:hint="default" w:ascii="Times New Roman" w:hAnsi="Times New Roman" w:cs="Times New Roman"/>
                <w:color w:val="auto"/>
                <w:lang w:val="en-US" w:eastAsia="zh-CN"/>
              </w:rPr>
              <w:t>2、大气环境影响分析</w:t>
            </w:r>
            <w:bookmarkEnd w:id="493"/>
            <w:bookmarkEnd w:id="494"/>
            <w:bookmarkEnd w:id="495"/>
            <w:bookmarkEnd w:id="496"/>
            <w:bookmarkEnd w:id="497"/>
            <w:bookmarkEnd w:id="498"/>
            <w:bookmarkEnd w:id="499"/>
            <w:bookmarkEnd w:id="500"/>
            <w:bookmarkEnd w:id="501"/>
            <w:bookmarkEnd w:id="502"/>
          </w:p>
          <w:p>
            <w:pPr>
              <w:bidi w:val="0"/>
              <w:rPr>
                <w:rFonts w:hint="default" w:ascii="Times New Roman" w:hAnsi="Times New Roman" w:cs="Times New Roman"/>
                <w:color w:val="auto"/>
                <w:lang w:val="en-US" w:eastAsia="zh-CN"/>
              </w:rPr>
            </w:pPr>
            <w:r>
              <w:rPr>
                <w:rFonts w:hint="default" w:ascii="Times New Roman" w:hAnsi="Times New Roman" w:cs="Times New Roman"/>
                <w:b w:val="0"/>
                <w:bCs w:val="0"/>
                <w:color w:val="auto"/>
                <w:kern w:val="0"/>
                <w:szCs w:val="21"/>
                <w:lang w:val="en-US" w:eastAsia="zh-CN"/>
              </w:rPr>
              <w:t>本项目在施工期对</w:t>
            </w:r>
            <w:r>
              <w:rPr>
                <w:rFonts w:hint="default" w:ascii="Times New Roman" w:hAnsi="Times New Roman" w:cs="Times New Roman"/>
                <w:color w:val="auto"/>
                <w:lang w:val="en-US" w:eastAsia="zh-CN"/>
              </w:rPr>
              <w:t>大气环境的影响主要表现为施工扬尘、燃油机械设备及车辆排放的尾气等。</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（1）施工扬尘</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空气污染物主要是施工扬尘，主要是施工场地内土石方开挖、装运、卸填等施工作业过程中产生的扰动扬尘、风吹扬尘和逸散尘以及施工场地和露天堆场裸露土面产生的风吹扬尘，其主要污染物为TSP，呈无组织排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①车辆行驶扬尘</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据有关调查显示，施工作业现场扬尘主要来自于运输车辆在行驶过程中产生的扬尘，其产生量占工地扬尘总量的60%以上。车辆在行驶过程中产生的扬尘，在完全干燥的情况下，可按如下经验公式计算：</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val="0"/>
                <w:bCs w:val="0"/>
                <w:color w:val="auto"/>
                <w:kern w:val="0"/>
                <w:sz w:val="24"/>
                <w:szCs w:val="21"/>
                <w:lang w:val="en-US" w:eastAsia="zh-CN"/>
              </w:rPr>
            </w:pPr>
            <w:r>
              <w:rPr>
                <w:rFonts w:hint="default" w:ascii="Times New Roman" w:hAnsi="Times New Roman" w:cs="Times New Roman"/>
                <w:b w:val="0"/>
                <w:bCs w:val="0"/>
                <w:color w:val="auto"/>
                <w:kern w:val="0"/>
                <w:position w:val="-28"/>
                <w:sz w:val="24"/>
                <w:szCs w:val="21"/>
                <w:lang w:val="en-US" w:eastAsia="zh-CN"/>
              </w:rPr>
              <w:object>
                <v:shape id="_x0000_i1025" o:spt="75" type="#_x0000_t75" style="height:37pt;width:155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val="0"/>
                <w:i w:val="0"/>
                <w:iCs w:val="0"/>
                <w:color w:val="auto"/>
                <w:kern w:val="0"/>
                <w:sz w:val="24"/>
                <w:szCs w:val="21"/>
                <w:lang w:val="en-US" w:eastAsia="zh-CN"/>
              </w:rPr>
            </w:pPr>
            <w:r>
              <w:rPr>
                <w:rFonts w:hint="default" w:ascii="Times New Roman" w:hAnsi="Times New Roman" w:cs="Times New Roman"/>
                <w:b w:val="0"/>
                <w:bCs w:val="0"/>
                <w:color w:val="auto"/>
                <w:kern w:val="0"/>
                <w:sz w:val="24"/>
                <w:szCs w:val="21"/>
                <w:lang w:val="en-US" w:eastAsia="zh-CN"/>
              </w:rPr>
              <w:t>式中：</w:t>
            </w:r>
            <w:r>
              <w:rPr>
                <w:rFonts w:hint="default" w:ascii="Times New Roman" w:hAnsi="Times New Roman" w:cs="Times New Roman"/>
                <w:b w:val="0"/>
                <w:bCs w:val="0"/>
                <w:i/>
                <w:iCs/>
                <w:color w:val="auto"/>
                <w:kern w:val="0"/>
                <w:sz w:val="24"/>
                <w:szCs w:val="21"/>
                <w:lang w:val="en-US" w:eastAsia="zh-CN"/>
              </w:rPr>
              <w:t>Q</w:t>
            </w:r>
            <w:r>
              <w:rPr>
                <w:rFonts w:hint="default" w:ascii="Times New Roman" w:hAnsi="Times New Roman" w:cs="Times New Roman"/>
                <w:b w:val="0"/>
                <w:bCs w:val="0"/>
                <w:i w:val="0"/>
                <w:iCs w:val="0"/>
                <w:color w:val="auto"/>
                <w:kern w:val="0"/>
                <w:sz w:val="24"/>
                <w:szCs w:val="21"/>
                <w:lang w:val="en-US" w:eastAsia="zh-CN"/>
              </w:rPr>
              <w:t>——汽车行驶的扬尘，kg/(km·辆)；</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lang w:val="en-US" w:eastAsia="zh-CN"/>
              </w:rPr>
            </w:pPr>
            <w:r>
              <w:rPr>
                <w:rFonts w:hint="default" w:ascii="Times New Roman" w:hAnsi="Times New Roman" w:cs="Times New Roman"/>
                <w:b w:val="0"/>
                <w:bCs w:val="0"/>
                <w:i/>
                <w:iCs/>
                <w:color w:val="auto"/>
                <w:kern w:val="0"/>
                <w:sz w:val="24"/>
                <w:szCs w:val="21"/>
                <w:lang w:val="en-US" w:eastAsia="zh-CN"/>
              </w:rPr>
              <w:t>V</w:t>
            </w:r>
            <w:r>
              <w:rPr>
                <w:rFonts w:hint="default" w:ascii="Times New Roman" w:hAnsi="Times New Roman" w:cs="Times New Roman"/>
                <w:b w:val="0"/>
                <w:bCs w:val="0"/>
                <w:i w:val="0"/>
                <w:iCs w:val="0"/>
                <w:color w:val="auto"/>
                <w:kern w:val="0"/>
                <w:sz w:val="24"/>
                <w:szCs w:val="21"/>
                <w:lang w:val="en-US" w:eastAsia="zh-CN"/>
              </w:rPr>
              <w:t>——汽车速度，km/h；</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lang w:val="en-US" w:eastAsia="zh-CN"/>
              </w:rPr>
            </w:pPr>
            <w:r>
              <w:rPr>
                <w:rFonts w:hint="default" w:ascii="Times New Roman" w:hAnsi="Times New Roman" w:cs="Times New Roman"/>
                <w:b w:val="0"/>
                <w:bCs w:val="0"/>
                <w:i/>
                <w:iCs/>
                <w:color w:val="auto"/>
                <w:kern w:val="0"/>
                <w:sz w:val="24"/>
                <w:szCs w:val="21"/>
                <w:lang w:val="en-US" w:eastAsia="zh-CN"/>
              </w:rPr>
              <w:t>W</w:t>
            </w:r>
            <w:r>
              <w:rPr>
                <w:rFonts w:hint="default" w:ascii="Times New Roman" w:hAnsi="Times New Roman" w:cs="Times New Roman"/>
                <w:b w:val="0"/>
                <w:bCs w:val="0"/>
                <w:i w:val="0"/>
                <w:iCs w:val="0"/>
                <w:color w:val="auto"/>
                <w:kern w:val="0"/>
                <w:sz w:val="24"/>
                <w:szCs w:val="21"/>
                <w:lang w:val="en-US" w:eastAsia="zh-CN"/>
              </w:rPr>
              <w:t>——汽车载重量，t；</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iCs/>
                <w:color w:val="auto"/>
                <w:kern w:val="0"/>
                <w:sz w:val="24"/>
                <w:szCs w:val="21"/>
                <w:lang w:val="en-US" w:eastAsia="zh-CN"/>
              </w:rPr>
              <w:t>P</w:t>
            </w:r>
            <w:r>
              <w:rPr>
                <w:rFonts w:hint="default" w:ascii="Times New Roman" w:hAnsi="Times New Roman" w:cs="Times New Roman"/>
                <w:b w:val="0"/>
                <w:bCs w:val="0"/>
                <w:i w:val="0"/>
                <w:iCs w:val="0"/>
                <w:color w:val="auto"/>
                <w:kern w:val="0"/>
                <w:sz w:val="24"/>
                <w:szCs w:val="21"/>
                <w:lang w:val="en-US" w:eastAsia="zh-CN"/>
              </w:rPr>
              <w:t>——道路表面粉尘量，kg/m</w:t>
            </w:r>
            <w:r>
              <w:rPr>
                <w:rFonts w:hint="default" w:ascii="Times New Roman" w:hAnsi="Times New Roman" w:cs="Times New Roman"/>
                <w:b w:val="0"/>
                <w:bCs w:val="0"/>
                <w:i w:val="0"/>
                <w:iCs w:val="0"/>
                <w:color w:val="auto"/>
                <w:kern w:val="0"/>
                <w:sz w:val="24"/>
                <w:szCs w:val="21"/>
                <w:vertAlign w:val="superscript"/>
                <w:lang w:val="en-US" w:eastAsia="zh-CN"/>
              </w:rPr>
              <w:t>2</w:t>
            </w:r>
            <w:r>
              <w:rPr>
                <w:rFonts w:hint="default" w:ascii="Times New Roman" w:hAnsi="Times New Roman" w:cs="Times New Roman"/>
                <w:b w:val="0"/>
                <w:bCs w:val="0"/>
                <w:i w:val="0"/>
                <w:iCs w:val="0"/>
                <w:color w:val="auto"/>
                <w:kern w:val="0"/>
                <w:sz w:val="24"/>
                <w:szCs w:val="21"/>
                <w:vertAlign w:val="baseline"/>
                <w:lang w:val="en-US" w:eastAsia="zh-CN"/>
              </w:rPr>
              <w:t>。</w:t>
            </w:r>
          </w:p>
          <w:p>
            <w:pPr>
              <w:bidi w:val="0"/>
              <w:rPr>
                <w:rFonts w:hint="default" w:ascii="Times New Roman" w:hAnsi="Times New Roman" w:cs="Times New Roman"/>
                <w:color w:val="auto"/>
                <w:lang w:val="en-US" w:eastAsia="zh-CN"/>
              </w:rPr>
            </w:pPr>
            <w:r>
              <w:rPr>
                <w:rFonts w:hint="default" w:ascii="Times New Roman" w:hAnsi="Times New Roman" w:cs="Times New Roman"/>
                <w:b w:val="0"/>
                <w:bCs w:val="0"/>
                <w:i w:val="0"/>
                <w:iCs w:val="0"/>
                <w:color w:val="auto"/>
                <w:kern w:val="0"/>
                <w:szCs w:val="21"/>
                <w:vertAlign w:val="baseline"/>
                <w:lang w:val="en-US" w:eastAsia="zh-CN"/>
              </w:rPr>
              <w:t>从</w:t>
            </w:r>
            <w:r>
              <w:rPr>
                <w:rFonts w:hint="default" w:ascii="Times New Roman" w:hAnsi="Times New Roman" w:cs="Times New Roman"/>
                <w:color w:val="auto"/>
                <w:lang w:val="en-US" w:eastAsia="zh-CN"/>
              </w:rPr>
              <w:t>上述公式中可知，在相同的路面条件下，车速越快，扬尘量越大；在相同的车速条件下，路面越脏，扬尘量越大。因此，限制车辆行驶速度以及保持路面的清洁是减少汽车扬尘的有效手段。</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本项目施工进场道路利用附近已有道路，进出施工场地道路的汽车运输的物料主要为不易散落的物质如砂砾石、钢材、木材等，因而路面扬尘较轻。</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如表4.1施工现场洒水抑尘的实验结果所示，在施工期间对车辆行驶的路面实施洒水抑尘，每天洒水4~5次，可使扬尘减少70%左右，可见，每天洒水4~5次进行抑尘，可有效地控制施工扬尘，将TSP的污染缩小到20~50m范围。</w:t>
            </w:r>
          </w:p>
          <w:p>
            <w:pPr>
              <w:pStyle w:val="17"/>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 xml:space="preserve">4.1 </w:t>
            </w:r>
            <w:r>
              <w:rPr>
                <w:rFonts w:hint="default" w:ascii="Times New Roman" w:hAnsi="Times New Roman" w:cs="Times New Roman"/>
                <w:color w:val="auto"/>
              </w:rPr>
              <w:t>施工场地洒水抑尘试验结果表（单位：m</w:t>
            </w:r>
            <w:r>
              <w:rPr>
                <w:rFonts w:hint="default" w:ascii="Times New Roman" w:hAnsi="Times New Roman" w:cs="Times New Roman"/>
                <w:i w:val="0"/>
                <w:iCs w:val="0"/>
                <w:color w:val="auto"/>
              </w:rPr>
              <w:t>g</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1848"/>
              <w:gridCol w:w="1095"/>
              <w:gridCol w:w="1291"/>
              <w:gridCol w:w="1293"/>
              <w:gridCol w:w="1295"/>
              <w:gridCol w:w="1295"/>
            </w:tblGrid>
            <w:tr>
              <w:tblPrEx>
                <w:tblCellMar>
                  <w:top w:w="0" w:type="dxa"/>
                  <w:left w:w="0" w:type="dxa"/>
                  <w:bottom w:w="0" w:type="dxa"/>
                  <w:right w:w="0" w:type="dxa"/>
                </w:tblCellMar>
              </w:tblPrEx>
              <w:trPr>
                <w:trHeight w:val="340" w:hRule="atLeast"/>
                <w:jc w:val="center"/>
              </w:trPr>
              <w:tc>
                <w:tcPr>
                  <w:tcW w:w="1812" w:type="pct"/>
                  <w:gridSpan w:val="2"/>
                  <w:noWrap w:val="0"/>
                  <w:vAlign w:val="center"/>
                </w:tcPr>
                <w:p>
                  <w:pPr>
                    <w:pStyle w:val="16"/>
                    <w:bidi w:val="0"/>
                    <w:rPr>
                      <w:rFonts w:hint="default" w:ascii="Times New Roman" w:hAnsi="Times New Roman" w:cs="Times New Roman"/>
                      <w:b/>
                      <w:bCs/>
                      <w:color w:val="auto"/>
                      <w:lang w:eastAsia="en-US"/>
                    </w:rPr>
                  </w:pPr>
                  <w:r>
                    <w:rPr>
                      <w:rFonts w:hint="default" w:ascii="Times New Roman" w:hAnsi="Times New Roman" w:cs="Times New Roman"/>
                      <w:b/>
                      <w:bCs/>
                      <w:color w:val="auto"/>
                      <w:lang w:eastAsia="en-US"/>
                    </w:rPr>
                    <w:t>距离</w:t>
                  </w:r>
                </w:p>
              </w:tc>
              <w:tc>
                <w:tcPr>
                  <w:tcW w:w="795" w:type="pct"/>
                  <w:noWrap w:val="0"/>
                  <w:vAlign w:val="center"/>
                </w:tcPr>
                <w:p>
                  <w:pPr>
                    <w:pStyle w:val="16"/>
                    <w:bidi w:val="0"/>
                    <w:rPr>
                      <w:rFonts w:hint="default" w:ascii="Times New Roman" w:hAnsi="Times New Roman" w:cs="Times New Roman"/>
                      <w:b/>
                      <w:bCs/>
                      <w:color w:val="auto"/>
                      <w:lang w:eastAsia="en-US"/>
                    </w:rPr>
                  </w:pPr>
                  <w:r>
                    <w:rPr>
                      <w:rFonts w:hint="default" w:ascii="Times New Roman" w:hAnsi="Times New Roman" w:cs="Times New Roman"/>
                      <w:b/>
                      <w:bCs/>
                      <w:color w:val="auto"/>
                      <w:lang w:eastAsia="en-US"/>
                    </w:rPr>
                    <w:t>5</w:t>
                  </w:r>
                </w:p>
              </w:tc>
              <w:tc>
                <w:tcPr>
                  <w:tcW w:w="796" w:type="pct"/>
                  <w:noWrap w:val="0"/>
                  <w:vAlign w:val="center"/>
                </w:tcPr>
                <w:p>
                  <w:pPr>
                    <w:pStyle w:val="16"/>
                    <w:bidi w:val="0"/>
                    <w:rPr>
                      <w:rFonts w:hint="default" w:ascii="Times New Roman" w:hAnsi="Times New Roman" w:cs="Times New Roman"/>
                      <w:b/>
                      <w:bCs/>
                      <w:color w:val="auto"/>
                      <w:lang w:eastAsia="en-US"/>
                    </w:rPr>
                  </w:pPr>
                  <w:r>
                    <w:rPr>
                      <w:rFonts w:hint="default" w:ascii="Times New Roman" w:hAnsi="Times New Roman" w:cs="Times New Roman"/>
                      <w:b/>
                      <w:bCs/>
                      <w:color w:val="auto"/>
                      <w:lang w:eastAsia="en-US"/>
                    </w:rPr>
                    <w:t>20</w:t>
                  </w:r>
                </w:p>
              </w:tc>
              <w:tc>
                <w:tcPr>
                  <w:tcW w:w="797" w:type="pct"/>
                  <w:noWrap w:val="0"/>
                  <w:vAlign w:val="center"/>
                </w:tcPr>
                <w:p>
                  <w:pPr>
                    <w:pStyle w:val="16"/>
                    <w:bidi w:val="0"/>
                    <w:rPr>
                      <w:rFonts w:hint="default" w:ascii="Times New Roman" w:hAnsi="Times New Roman" w:cs="Times New Roman"/>
                      <w:b/>
                      <w:bCs/>
                      <w:color w:val="auto"/>
                      <w:lang w:eastAsia="en-US"/>
                    </w:rPr>
                  </w:pPr>
                  <w:r>
                    <w:rPr>
                      <w:rFonts w:hint="default" w:ascii="Times New Roman" w:hAnsi="Times New Roman" w:cs="Times New Roman"/>
                      <w:b/>
                      <w:bCs/>
                      <w:color w:val="auto"/>
                      <w:lang w:eastAsia="en-US"/>
                    </w:rPr>
                    <w:t>50</w:t>
                  </w:r>
                </w:p>
              </w:tc>
              <w:tc>
                <w:tcPr>
                  <w:tcW w:w="797" w:type="pct"/>
                  <w:noWrap w:val="0"/>
                  <w:vAlign w:val="center"/>
                </w:tcPr>
                <w:p>
                  <w:pPr>
                    <w:pStyle w:val="16"/>
                    <w:bidi w:val="0"/>
                    <w:rPr>
                      <w:rFonts w:hint="default" w:ascii="Times New Roman" w:hAnsi="Times New Roman" w:cs="Times New Roman"/>
                      <w:b/>
                      <w:bCs/>
                      <w:color w:val="auto"/>
                      <w:lang w:eastAsia="en-US"/>
                    </w:rPr>
                  </w:pPr>
                  <w:r>
                    <w:rPr>
                      <w:rFonts w:hint="default" w:ascii="Times New Roman" w:hAnsi="Times New Roman" w:cs="Times New Roman"/>
                      <w:b/>
                      <w:bCs/>
                      <w:color w:val="auto"/>
                      <w:lang w:eastAsia="en-US"/>
                    </w:rPr>
                    <w:t>100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8" w:type="pct"/>
                  <w:vMerge w:val="restar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TSP小时平均浓度</w:t>
                  </w:r>
                </w:p>
              </w:tc>
              <w:tc>
                <w:tcPr>
                  <w:tcW w:w="673" w:type="pc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不洒水</w:t>
                  </w:r>
                </w:p>
              </w:tc>
              <w:tc>
                <w:tcPr>
                  <w:tcW w:w="795" w:type="pc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10.14</w:t>
                  </w:r>
                </w:p>
              </w:tc>
              <w:tc>
                <w:tcPr>
                  <w:tcW w:w="796" w:type="pc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2.89</w:t>
                  </w:r>
                </w:p>
              </w:tc>
              <w:tc>
                <w:tcPr>
                  <w:tcW w:w="797" w:type="pc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1.15</w:t>
                  </w:r>
                </w:p>
              </w:tc>
              <w:tc>
                <w:tcPr>
                  <w:tcW w:w="797" w:type="pc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0.86</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8" w:type="pct"/>
                  <w:vMerge w:val="continue"/>
                  <w:noWrap w:val="0"/>
                  <w:vAlign w:val="center"/>
                </w:tcPr>
                <w:p>
                  <w:pPr>
                    <w:pStyle w:val="16"/>
                    <w:bidi w:val="0"/>
                    <w:rPr>
                      <w:rFonts w:hint="default" w:ascii="Times New Roman" w:hAnsi="Times New Roman" w:cs="Times New Roman"/>
                      <w:color w:val="auto"/>
                      <w:lang w:eastAsia="en-US"/>
                    </w:rPr>
                  </w:pPr>
                </w:p>
              </w:tc>
              <w:tc>
                <w:tcPr>
                  <w:tcW w:w="673" w:type="pc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洒水</w:t>
                  </w:r>
                </w:p>
              </w:tc>
              <w:tc>
                <w:tcPr>
                  <w:tcW w:w="795" w:type="pc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2.01</w:t>
                  </w:r>
                </w:p>
              </w:tc>
              <w:tc>
                <w:tcPr>
                  <w:tcW w:w="796" w:type="pc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1.40</w:t>
                  </w:r>
                </w:p>
              </w:tc>
              <w:tc>
                <w:tcPr>
                  <w:tcW w:w="797" w:type="pc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0.67</w:t>
                  </w:r>
                </w:p>
              </w:tc>
              <w:tc>
                <w:tcPr>
                  <w:tcW w:w="797" w:type="pct"/>
                  <w:noWrap w:val="0"/>
                  <w:vAlign w:val="center"/>
                </w:tcPr>
                <w:p>
                  <w:pPr>
                    <w:pStyle w:val="16"/>
                    <w:bidi w:val="0"/>
                    <w:rPr>
                      <w:rFonts w:hint="default" w:ascii="Times New Roman" w:hAnsi="Times New Roman" w:cs="Times New Roman"/>
                      <w:color w:val="auto"/>
                      <w:lang w:eastAsia="en-US"/>
                    </w:rPr>
                  </w:pPr>
                  <w:r>
                    <w:rPr>
                      <w:rFonts w:hint="default" w:ascii="Times New Roman" w:hAnsi="Times New Roman" w:cs="Times New Roman"/>
                      <w:color w:val="auto"/>
                      <w:lang w:eastAsia="en-US"/>
                    </w:rPr>
                    <w:t>0.60</w:t>
                  </w:r>
                </w:p>
              </w:tc>
            </w:tr>
          </w:tbl>
          <w:p>
            <w:pPr>
              <w:bidi w:val="0"/>
              <w:rPr>
                <w:rFonts w:hint="default" w:ascii="Times New Roman" w:hAnsi="Times New Roman" w:cs="Times New Roman"/>
                <w:color w:val="auto"/>
                <w:lang w:val="en-US" w:eastAsia="zh-CN"/>
              </w:rPr>
            </w:pPr>
            <w:r>
              <w:rPr>
                <w:rFonts w:hint="default" w:ascii="Times New Roman" w:hAnsi="Times New Roman" w:cs="Times New Roman"/>
                <w:b w:val="0"/>
                <w:bCs w:val="0"/>
                <w:i w:val="0"/>
                <w:iCs w:val="0"/>
                <w:color w:val="auto"/>
                <w:kern w:val="0"/>
                <w:szCs w:val="21"/>
                <w:vertAlign w:val="baseline"/>
                <w:lang w:val="en-US" w:eastAsia="zh-CN"/>
              </w:rPr>
              <w:t>同时，工地运输</w:t>
            </w:r>
            <w:r>
              <w:rPr>
                <w:rFonts w:hint="default" w:ascii="Times New Roman" w:hAnsi="Times New Roman" w:cs="Times New Roman"/>
                <w:color w:val="auto"/>
                <w:lang w:val="en-US" w:eastAsia="zh-CN"/>
              </w:rPr>
              <w:t>渣土、建筑材料车辆必须密闭化、严禁跑冒滴漏，装卸时严禁凌空抛撒。</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②堆场扬尘</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道路施工阶段扬尘的另一个主要来源是露天堆场和裸露场地的风力扬尘。由于施工需要，一些建筑材料需要露天堆放，一些施工作业点的表层土壤在经过人工开挖后，临时露天堆放在气候干燥且有风的情况下会产生大量扬尘，其扬尘量可按堆放场起尘的经验公式计算：</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val="0"/>
                <w:iCs w:val="0"/>
                <w:color w:val="auto"/>
                <w:kern w:val="0"/>
                <w:position w:val="-12"/>
                <w:sz w:val="24"/>
                <w:szCs w:val="21"/>
                <w:vertAlign w:val="baseline"/>
                <w:lang w:val="en-US" w:eastAsia="zh-CN"/>
              </w:rPr>
              <w:object>
                <v:shape id="_x0000_i1026" o:spt="75" type="#_x0000_t75" style="height:20pt;width:119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val="0"/>
                <w:iCs w:val="0"/>
                <w:color w:val="auto"/>
                <w:kern w:val="0"/>
                <w:sz w:val="24"/>
                <w:szCs w:val="21"/>
                <w:vertAlign w:val="baseline"/>
                <w:lang w:val="en-US" w:eastAsia="zh-CN"/>
              </w:rPr>
              <w:t>式中：</w:t>
            </w:r>
            <w:r>
              <w:rPr>
                <w:rFonts w:hint="default" w:ascii="Times New Roman" w:hAnsi="Times New Roman" w:cs="Times New Roman"/>
                <w:b w:val="0"/>
                <w:bCs w:val="0"/>
                <w:i/>
                <w:iCs/>
                <w:color w:val="auto"/>
                <w:kern w:val="0"/>
                <w:sz w:val="24"/>
                <w:szCs w:val="21"/>
                <w:vertAlign w:val="baseline"/>
                <w:lang w:val="en-US" w:eastAsia="zh-CN"/>
              </w:rPr>
              <w:t>Q</w:t>
            </w:r>
            <w:r>
              <w:rPr>
                <w:rFonts w:hint="default" w:ascii="Times New Roman" w:hAnsi="Times New Roman" w:cs="Times New Roman"/>
                <w:b w:val="0"/>
                <w:bCs w:val="0"/>
                <w:i w:val="0"/>
                <w:iCs w:val="0"/>
                <w:color w:val="auto"/>
                <w:kern w:val="0"/>
                <w:sz w:val="24"/>
                <w:szCs w:val="21"/>
                <w:vertAlign w:val="baseline"/>
                <w:lang w:val="en-US" w:eastAsia="zh-CN"/>
              </w:rPr>
              <w:t>——起尘量，kg/a；</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iCs/>
                <w:color w:val="auto"/>
                <w:kern w:val="0"/>
                <w:sz w:val="24"/>
                <w:szCs w:val="21"/>
                <w:vertAlign w:val="baseline"/>
                <w:lang w:val="en-US" w:eastAsia="zh-CN"/>
              </w:rPr>
              <w:t>V</w:t>
            </w:r>
            <w:r>
              <w:rPr>
                <w:rFonts w:hint="default" w:ascii="Times New Roman" w:hAnsi="Times New Roman" w:cs="Times New Roman"/>
                <w:b w:val="0"/>
                <w:bCs w:val="0"/>
                <w:i w:val="0"/>
                <w:iCs w:val="0"/>
                <w:color w:val="auto"/>
                <w:kern w:val="0"/>
                <w:sz w:val="24"/>
                <w:szCs w:val="21"/>
                <w:vertAlign w:val="subscript"/>
                <w:lang w:val="en-US" w:eastAsia="zh-CN"/>
              </w:rPr>
              <w:t>50</w:t>
            </w:r>
            <w:r>
              <w:rPr>
                <w:rFonts w:hint="default" w:ascii="Times New Roman" w:hAnsi="Times New Roman" w:cs="Times New Roman"/>
                <w:b w:val="0"/>
                <w:bCs w:val="0"/>
                <w:i w:val="0"/>
                <w:iCs w:val="0"/>
                <w:color w:val="auto"/>
                <w:kern w:val="0"/>
                <w:sz w:val="24"/>
                <w:szCs w:val="21"/>
                <w:vertAlign w:val="baseline"/>
                <w:lang w:val="en-US" w:eastAsia="zh-CN"/>
              </w:rPr>
              <w:t>——距地面50m处的风速，m/s；</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iCs/>
                <w:color w:val="auto"/>
                <w:kern w:val="0"/>
                <w:sz w:val="24"/>
                <w:szCs w:val="21"/>
                <w:vertAlign w:val="baseline"/>
                <w:lang w:val="en-US" w:eastAsia="zh-CN"/>
              </w:rPr>
              <w:t>V</w:t>
            </w:r>
            <w:r>
              <w:rPr>
                <w:rFonts w:hint="default" w:ascii="Times New Roman" w:hAnsi="Times New Roman" w:cs="Times New Roman"/>
                <w:b w:val="0"/>
                <w:bCs w:val="0"/>
                <w:i w:val="0"/>
                <w:iCs w:val="0"/>
                <w:color w:val="auto"/>
                <w:kern w:val="0"/>
                <w:sz w:val="24"/>
                <w:szCs w:val="21"/>
                <w:vertAlign w:val="subscript"/>
                <w:lang w:val="en-US" w:eastAsia="zh-CN"/>
              </w:rPr>
              <w:t>0</w:t>
            </w:r>
            <w:r>
              <w:rPr>
                <w:rFonts w:hint="default" w:ascii="Times New Roman" w:hAnsi="Times New Roman" w:cs="Times New Roman"/>
                <w:b w:val="0"/>
                <w:bCs w:val="0"/>
                <w:i w:val="0"/>
                <w:iCs w:val="0"/>
                <w:color w:val="auto"/>
                <w:kern w:val="0"/>
                <w:sz w:val="24"/>
                <w:szCs w:val="21"/>
                <w:vertAlign w:val="baseline"/>
                <w:lang w:val="en-US" w:eastAsia="zh-CN"/>
              </w:rPr>
              <w:t>——起尘风速，m/s；</w:t>
            </w:r>
          </w:p>
          <w:p>
            <w:pPr>
              <w:keepNext w:val="0"/>
              <w:keepLines w:val="0"/>
              <w:pageBreakBefore w:val="0"/>
              <w:widowControl w:val="0"/>
              <w:kinsoku/>
              <w:wordWrap/>
              <w:overflowPunct/>
              <w:topLinePunct w:val="0"/>
              <w:autoSpaceDE/>
              <w:autoSpaceDN/>
              <w:bidi w:val="0"/>
              <w:adjustRightInd w:val="0"/>
              <w:snapToGrid w:val="0"/>
              <w:spacing w:line="360" w:lineRule="auto"/>
              <w:ind w:firstLine="1200" w:firstLineChars="5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val="0"/>
                <w:iCs w:val="0"/>
                <w:color w:val="auto"/>
                <w:kern w:val="0"/>
                <w:sz w:val="24"/>
                <w:szCs w:val="21"/>
                <w:vertAlign w:val="baseline"/>
                <w:lang w:val="en-US" w:eastAsia="zh-CN"/>
              </w:rPr>
              <w:t>W——尘粒的含水量，%。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val="0"/>
                <w:i w:val="0"/>
                <w:iCs w:val="0"/>
                <w:color w:val="auto"/>
                <w:kern w:val="0"/>
                <w:sz w:val="24"/>
                <w:szCs w:val="21"/>
                <w:vertAlign w:val="baseline"/>
                <w:lang w:val="en-US" w:eastAsia="zh-CN"/>
              </w:rPr>
            </w:pPr>
            <w:r>
              <w:rPr>
                <w:rFonts w:hint="default" w:ascii="Times New Roman" w:hAnsi="Times New Roman" w:cs="Times New Roman"/>
                <w:b w:val="0"/>
                <w:bCs w:val="0"/>
                <w:i w:val="0"/>
                <w:iCs w:val="0"/>
                <w:color w:val="auto"/>
                <w:kern w:val="0"/>
                <w:sz w:val="24"/>
                <w:szCs w:val="21"/>
                <w:vertAlign w:val="baseline"/>
                <w:lang w:val="en-US" w:eastAsia="zh-CN"/>
              </w:rPr>
              <w:t>起尘风速与尘粒和含水量有关，因此，减少露天堆放和保证一定的含水量及减少裸露地面是减少风力起尘的有效手段。粉尘在空气中的扩散稀释与风速等气象条件有关，也与粉尘本身的沉降速度有关。不同粒径粉尘的沉降速度见表4.2。</w:t>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rPr>
              <w:t>表</w:t>
            </w:r>
            <w:r>
              <w:rPr>
                <w:rFonts w:hint="default" w:ascii="Times New Roman" w:hAnsi="Times New Roman" w:cs="Times New Roman"/>
                <w:color w:val="auto"/>
                <w:lang w:val="en-US" w:eastAsia="zh-CN"/>
              </w:rPr>
              <w:t>4.2 不同尘粒的沉降速度</w:t>
            </w:r>
          </w:p>
          <w:tbl>
            <w:tblPr>
              <w:tblStyle w:val="11"/>
              <w:tblW w:w="4998" w:type="pct"/>
              <w:tblInd w:w="-1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1502"/>
              <w:gridCol w:w="914"/>
              <w:gridCol w:w="1007"/>
              <w:gridCol w:w="944"/>
              <w:gridCol w:w="1007"/>
              <w:gridCol w:w="960"/>
              <w:gridCol w:w="994"/>
              <w:gridCol w:w="786"/>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25" w:type="pct"/>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粒径（</w:t>
                  </w:r>
                  <w:r>
                    <w:rPr>
                      <w:rFonts w:hint="default" w:ascii="Times New Roman" w:hAnsi="Times New Roman" w:cs="Times New Roman"/>
                      <w:b/>
                      <w:bCs/>
                      <w:i w:val="0"/>
                      <w:iCs w:val="0"/>
                      <w:color w:val="auto"/>
                      <w:lang w:val="en-US" w:eastAsia="zh-CN"/>
                    </w:rPr>
                    <w:t>μ</w:t>
                  </w:r>
                  <w:r>
                    <w:rPr>
                      <w:rFonts w:hint="default" w:ascii="Times New Roman" w:hAnsi="Times New Roman" w:cs="Times New Roman"/>
                      <w:b/>
                      <w:bCs/>
                      <w:color w:val="auto"/>
                    </w:rPr>
                    <w:t>m）</w:t>
                  </w:r>
                </w:p>
              </w:tc>
              <w:tc>
                <w:tcPr>
                  <w:tcW w:w="563"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10</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20</w:t>
                  </w:r>
                </w:p>
              </w:tc>
              <w:tc>
                <w:tcPr>
                  <w:tcW w:w="58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30</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40</w:t>
                  </w:r>
                </w:p>
              </w:tc>
              <w:tc>
                <w:tcPr>
                  <w:tcW w:w="59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50</w:t>
                  </w:r>
                </w:p>
              </w:tc>
              <w:tc>
                <w:tcPr>
                  <w:tcW w:w="612"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60</w:t>
                  </w:r>
                </w:p>
              </w:tc>
              <w:tc>
                <w:tcPr>
                  <w:tcW w:w="484"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70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5" w:type="pct"/>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沉降速度(m/s)</w:t>
                  </w:r>
                </w:p>
              </w:tc>
              <w:tc>
                <w:tcPr>
                  <w:tcW w:w="563"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0.03</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0.012</w:t>
                  </w:r>
                </w:p>
              </w:tc>
              <w:tc>
                <w:tcPr>
                  <w:tcW w:w="58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0.027</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0.048</w:t>
                  </w:r>
                </w:p>
              </w:tc>
              <w:tc>
                <w:tcPr>
                  <w:tcW w:w="59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0.075</w:t>
                  </w:r>
                </w:p>
              </w:tc>
              <w:tc>
                <w:tcPr>
                  <w:tcW w:w="612"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0.108</w:t>
                  </w:r>
                </w:p>
              </w:tc>
              <w:tc>
                <w:tcPr>
                  <w:tcW w:w="484"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0.997</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25" w:type="pct"/>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粒径（</w:t>
                  </w:r>
                  <w:r>
                    <w:rPr>
                      <w:rFonts w:hint="default" w:ascii="Times New Roman" w:hAnsi="Times New Roman" w:cs="Times New Roman"/>
                      <w:b/>
                      <w:bCs/>
                      <w:color w:val="auto"/>
                      <w:lang w:val="en-US" w:eastAsia="zh-CN"/>
                    </w:rPr>
                    <w:t>μ</w:t>
                  </w:r>
                  <w:r>
                    <w:rPr>
                      <w:rFonts w:hint="default" w:ascii="Times New Roman" w:hAnsi="Times New Roman" w:cs="Times New Roman"/>
                      <w:b/>
                      <w:bCs/>
                      <w:color w:val="auto"/>
                    </w:rPr>
                    <w:t>m）</w:t>
                  </w:r>
                </w:p>
              </w:tc>
              <w:tc>
                <w:tcPr>
                  <w:tcW w:w="563"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80</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90</w:t>
                  </w:r>
                </w:p>
              </w:tc>
              <w:tc>
                <w:tcPr>
                  <w:tcW w:w="58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100</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150</w:t>
                  </w:r>
                </w:p>
              </w:tc>
              <w:tc>
                <w:tcPr>
                  <w:tcW w:w="59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200</w:t>
                  </w:r>
                </w:p>
              </w:tc>
              <w:tc>
                <w:tcPr>
                  <w:tcW w:w="612"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250</w:t>
                  </w:r>
                </w:p>
              </w:tc>
              <w:tc>
                <w:tcPr>
                  <w:tcW w:w="484"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300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25" w:type="pct"/>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沉降速度(m/s)</w:t>
                  </w:r>
                </w:p>
              </w:tc>
              <w:tc>
                <w:tcPr>
                  <w:tcW w:w="563"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0.158</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0.170</w:t>
                  </w:r>
                </w:p>
              </w:tc>
              <w:tc>
                <w:tcPr>
                  <w:tcW w:w="58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0.182</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0.239</w:t>
                  </w:r>
                </w:p>
              </w:tc>
              <w:tc>
                <w:tcPr>
                  <w:tcW w:w="59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0.804</w:t>
                  </w:r>
                </w:p>
              </w:tc>
              <w:tc>
                <w:tcPr>
                  <w:tcW w:w="612"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1.005</w:t>
                  </w:r>
                </w:p>
              </w:tc>
              <w:tc>
                <w:tcPr>
                  <w:tcW w:w="484"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1.829</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25" w:type="pct"/>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粒径（</w:t>
                  </w:r>
                  <w:r>
                    <w:rPr>
                      <w:rFonts w:hint="default" w:ascii="Times New Roman" w:hAnsi="Times New Roman" w:cs="Times New Roman"/>
                      <w:b/>
                      <w:bCs/>
                      <w:color w:val="auto"/>
                      <w:lang w:val="en-US" w:eastAsia="zh-CN"/>
                    </w:rPr>
                    <w:t>μ</w:t>
                  </w:r>
                  <w:r>
                    <w:rPr>
                      <w:rFonts w:hint="default" w:ascii="Times New Roman" w:hAnsi="Times New Roman" w:cs="Times New Roman"/>
                      <w:b/>
                      <w:bCs/>
                      <w:color w:val="auto"/>
                    </w:rPr>
                    <w:t>m）</w:t>
                  </w:r>
                </w:p>
              </w:tc>
              <w:tc>
                <w:tcPr>
                  <w:tcW w:w="563"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450</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550</w:t>
                  </w:r>
                </w:p>
              </w:tc>
              <w:tc>
                <w:tcPr>
                  <w:tcW w:w="58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650</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750</w:t>
                  </w:r>
                </w:p>
              </w:tc>
              <w:tc>
                <w:tcPr>
                  <w:tcW w:w="59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850</w:t>
                  </w:r>
                </w:p>
              </w:tc>
              <w:tc>
                <w:tcPr>
                  <w:tcW w:w="612"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950</w:t>
                  </w:r>
                </w:p>
              </w:tc>
              <w:tc>
                <w:tcPr>
                  <w:tcW w:w="484"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1051</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25" w:type="pct"/>
                  <w:noWrap w:val="0"/>
                  <w:vAlign w:val="center"/>
                </w:tcPr>
                <w:p>
                  <w:pPr>
                    <w:pStyle w:val="16"/>
                    <w:bidi w:val="0"/>
                    <w:rPr>
                      <w:rFonts w:hint="default" w:ascii="Times New Roman" w:hAnsi="Times New Roman" w:cs="Times New Roman"/>
                      <w:b/>
                      <w:bCs/>
                      <w:color w:val="auto"/>
                    </w:rPr>
                  </w:pPr>
                  <w:r>
                    <w:rPr>
                      <w:rFonts w:hint="default" w:ascii="Times New Roman" w:hAnsi="Times New Roman" w:cs="Times New Roman"/>
                      <w:b/>
                      <w:bCs/>
                      <w:color w:val="auto"/>
                    </w:rPr>
                    <w:t>沉降速度(m/s)</w:t>
                  </w:r>
                </w:p>
              </w:tc>
              <w:tc>
                <w:tcPr>
                  <w:tcW w:w="563"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2.211</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2.614</w:t>
                  </w:r>
                </w:p>
              </w:tc>
              <w:tc>
                <w:tcPr>
                  <w:tcW w:w="58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3.016</w:t>
                  </w:r>
                </w:p>
              </w:tc>
              <w:tc>
                <w:tcPr>
                  <w:tcW w:w="620"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3.418</w:t>
                  </w:r>
                </w:p>
              </w:tc>
              <w:tc>
                <w:tcPr>
                  <w:tcW w:w="591"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3.820</w:t>
                  </w:r>
                </w:p>
              </w:tc>
              <w:tc>
                <w:tcPr>
                  <w:tcW w:w="612"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4.222</w:t>
                  </w:r>
                </w:p>
              </w:tc>
              <w:tc>
                <w:tcPr>
                  <w:tcW w:w="484"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4.624</w:t>
                  </w:r>
                </w:p>
              </w:tc>
            </w:tr>
          </w:tbl>
          <w:p>
            <w:pPr>
              <w:bidi w:val="0"/>
              <w:rPr>
                <w:rFonts w:hint="default" w:ascii="Times New Roman" w:hAnsi="Times New Roman" w:cs="Times New Roman"/>
                <w:color w:val="auto"/>
                <w:lang w:val="en-US" w:eastAsia="zh-CN"/>
              </w:rPr>
            </w:pPr>
            <w:r>
              <w:rPr>
                <w:rFonts w:hint="default" w:ascii="Times New Roman" w:hAnsi="Times New Roman" w:cs="Times New Roman"/>
                <w:b w:val="0"/>
                <w:bCs w:val="0"/>
                <w:i w:val="0"/>
                <w:iCs w:val="0"/>
                <w:color w:val="auto"/>
                <w:kern w:val="0"/>
                <w:szCs w:val="21"/>
                <w:vertAlign w:val="baseline"/>
                <w:lang w:val="en-US" w:eastAsia="zh-CN"/>
              </w:rPr>
              <w:t>如上表</w:t>
            </w:r>
            <w:r>
              <w:rPr>
                <w:rFonts w:hint="default" w:ascii="Times New Roman" w:hAnsi="Times New Roman" w:cs="Times New Roman"/>
                <w:color w:val="auto"/>
                <w:lang w:val="en-US" w:eastAsia="zh-CN"/>
              </w:rPr>
              <w:t>所示，尘粒的沉降速度随粒径的增大而迅速增大。当粒径为250μm时，主要影响范围在扬尘点下风向近距离范围内，而真正对外环境产生影响的是一些微小尘粒。根据施工作业现场气候的不同情况，扬尘影响范围也有所不同。施工期间施工单位若不采取措施，该部分扬尘势必对该区域环境产生一定影响。尤其是在雨水偏少时期，扬尘现象较为严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因此，在选择建材堆放、转运的场地时，首先应避开人群流动较为集中的场地；对易产生扬尘的物资，不要在开阔地或露天堆放，遇到大风天气应避免作业，运输时尽量避免敞开式运输。如不得不敞开堆放时，则应对其进行洒水提高表面含水率，以起到抑尘效果。此类影响范围是局部的，且影响时间短暂，采取洒水抑尘等降尘措施后，其影响是轻微的。</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（2）燃油机械设备及车辆排放的尾气</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项目施工机械包括挖掘机、推土机、起重机等施工车辆，在施工过程中燃烧汽柴油将产生CO、NO</w:t>
            </w:r>
            <w:r>
              <w:rPr>
                <w:rFonts w:hint="default" w:ascii="Times New Roman" w:hAnsi="Times New Roman" w:cs="Times New Roman"/>
                <w:color w:val="auto"/>
                <w:vertAlign w:val="subscript"/>
                <w:lang w:val="en-US" w:eastAsia="zh-CN"/>
              </w:rPr>
              <w:t>x</w:t>
            </w:r>
            <w:r>
              <w:rPr>
                <w:rFonts w:hint="default" w:ascii="Times New Roman" w:hAnsi="Times New Roman" w:cs="Times New Roman"/>
                <w:color w:val="auto"/>
                <w:lang w:val="en-US" w:eastAsia="zh-CN"/>
              </w:rPr>
              <w:t>、SO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和烃类等污染因子，其产生量与施工机械数量及密度、耗油量、燃料品质及机械设备状况有关。这些污染因子排放量小，且为间断排放。施工场地相对宽阔，施工机械、车辆燃油尾气能得到较好的稀释，对外环境影响较小。施工单位必须使用污染因子排放符合国家标准的运输车辆和施工设备，加强设备、车辆的维护保养，使机械、车辆处于良好工作状态，严禁使用报废车辆和淘汰设备，以减少施工机械废气对周围环境的影响。</w:t>
            </w:r>
          </w:p>
          <w:p>
            <w:pPr>
              <w:pStyle w:val="3"/>
              <w:bidi w:val="0"/>
              <w:rPr>
                <w:rFonts w:hint="default" w:ascii="Times New Roman" w:hAnsi="Times New Roman" w:cs="Times New Roman"/>
                <w:color w:val="auto"/>
                <w:lang w:val="en-US" w:eastAsia="zh-CN"/>
              </w:rPr>
            </w:pPr>
            <w:bookmarkStart w:id="503" w:name="_Toc7107"/>
            <w:bookmarkStart w:id="504" w:name="_Toc32702"/>
            <w:bookmarkStart w:id="505" w:name="_Toc12899"/>
            <w:bookmarkStart w:id="506" w:name="_Toc3646"/>
            <w:bookmarkStart w:id="507" w:name="_Toc21882"/>
            <w:bookmarkStart w:id="508" w:name="_Toc8818"/>
            <w:bookmarkStart w:id="509" w:name="_Toc2668"/>
            <w:bookmarkStart w:id="510" w:name="_Toc20513"/>
            <w:bookmarkStart w:id="511" w:name="_Toc5612"/>
            <w:bookmarkStart w:id="512" w:name="_Toc9927"/>
            <w:r>
              <w:rPr>
                <w:rFonts w:hint="default" w:ascii="Times New Roman" w:hAnsi="Times New Roman" w:cs="Times New Roman"/>
                <w:color w:val="auto"/>
                <w:lang w:val="en-US" w:eastAsia="zh-CN"/>
              </w:rPr>
              <w:t>3、声环境影响分析</w:t>
            </w:r>
            <w:bookmarkEnd w:id="503"/>
            <w:bookmarkEnd w:id="504"/>
            <w:bookmarkEnd w:id="505"/>
            <w:bookmarkEnd w:id="506"/>
            <w:bookmarkEnd w:id="507"/>
            <w:bookmarkEnd w:id="508"/>
            <w:bookmarkEnd w:id="509"/>
            <w:bookmarkEnd w:id="510"/>
            <w:bookmarkEnd w:id="511"/>
            <w:bookmarkEnd w:id="5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本项目建设过程中使用机械设备，种类繁多，一般主要有：搅拌机、起重机、推土机、挖掘机、自卸车等。施工期主要噪声源为</w:t>
            </w:r>
            <w:r>
              <w:rPr>
                <w:rFonts w:hint="eastAsia" w:cs="Times New Roman"/>
                <w:color w:val="auto"/>
                <w:lang w:val="en-US" w:eastAsia="zh-CN"/>
              </w:rPr>
              <w:t>现有</w:t>
            </w:r>
            <w:r>
              <w:rPr>
                <w:rFonts w:hint="default" w:ascii="Times New Roman" w:hAnsi="Times New Roman" w:cs="Times New Roman"/>
                <w:color w:val="auto"/>
                <w:lang w:val="en-US" w:eastAsia="zh-CN"/>
              </w:rPr>
              <w:t>道路拆除作业、道路加固施工、运输车辆、钻孔等产生的噪声。施工期声环境评价标准执行《建筑施工场界环境噪声排放标准》（GB12523-2011）中的相关要求。各种施工机械设备在作业期间所产生的噪声值详见下表。</w:t>
            </w:r>
          </w:p>
          <w:p>
            <w:pPr>
              <w:pStyle w:val="17"/>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w:t>
            </w:r>
            <w:r>
              <w:rPr>
                <w:rFonts w:hint="eastAsia" w:cs="Times New Roman"/>
                <w:color w:val="auto"/>
                <w:lang w:val="en-US" w:eastAsia="zh-CN"/>
              </w:rPr>
              <w:t>4.3</w:t>
            </w:r>
            <w:r>
              <w:rPr>
                <w:rFonts w:hint="default" w:ascii="Times New Roman" w:hAnsi="Times New Roman" w:cs="Times New Roman"/>
                <w:color w:val="auto"/>
                <w:lang w:val="en-US" w:eastAsia="zh-CN"/>
              </w:rPr>
              <w:t xml:space="preserve"> 主要工程施工机械噪声值</w:t>
            </w:r>
          </w:p>
          <w:tbl>
            <w:tblPr>
              <w:tblStyle w:val="12"/>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30"/>
              <w:gridCol w:w="2643"/>
              <w:gridCol w:w="2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序号</w:t>
                  </w:r>
                </w:p>
              </w:tc>
              <w:tc>
                <w:tcPr>
                  <w:tcW w:w="2030" w:type="dxa"/>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机械设备名称</w:t>
                  </w:r>
                </w:p>
              </w:tc>
              <w:tc>
                <w:tcPr>
                  <w:tcW w:w="2643" w:type="dxa"/>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测点距施工机械距离（m）</w:t>
                  </w:r>
                </w:p>
              </w:tc>
              <w:tc>
                <w:tcPr>
                  <w:tcW w:w="2629" w:type="dxa"/>
                  <w:vAlign w:val="center"/>
                </w:tcPr>
                <w:p>
                  <w:pPr>
                    <w:pStyle w:val="16"/>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最高噪声源强L</w:t>
                  </w:r>
                  <w:r>
                    <w:rPr>
                      <w:rFonts w:hint="default" w:ascii="Times New Roman" w:hAnsi="Times New Roman" w:cs="Times New Roman"/>
                      <w:b/>
                      <w:bCs/>
                      <w:color w:val="auto"/>
                      <w:vertAlign w:val="subscript"/>
                      <w:lang w:val="en-US" w:eastAsia="zh-CN"/>
                    </w:rPr>
                    <w:t>eq</w:t>
                  </w:r>
                  <w:r>
                    <w:rPr>
                      <w:rFonts w:hint="eastAsia" w:cs="Times New Roman"/>
                      <w:b/>
                      <w:bCs/>
                      <w:color w:val="auto"/>
                      <w:lang w:val="en-US" w:eastAsia="zh-CN"/>
                    </w:rPr>
                    <w:t>（</w:t>
                  </w:r>
                  <w:r>
                    <w:rPr>
                      <w:rFonts w:hint="default" w:ascii="Times New Roman" w:hAnsi="Times New Roman" w:cs="Times New Roman"/>
                      <w:b/>
                      <w:bCs/>
                      <w:color w:val="auto"/>
                      <w:lang w:val="en-US" w:eastAsia="zh-CN"/>
                    </w:rPr>
                    <w:t>dB（A）</w:t>
                  </w:r>
                  <w:r>
                    <w:rPr>
                      <w:rFonts w:hint="eastAsia" w:cs="Times New Roman"/>
                      <w:b/>
                      <w:bCs/>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15"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2030"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推土机</w:t>
                  </w:r>
                </w:p>
              </w:tc>
              <w:tc>
                <w:tcPr>
                  <w:tcW w:w="2643"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2629"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p>
              </w:tc>
              <w:tc>
                <w:tcPr>
                  <w:tcW w:w="2030"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挖掘机</w:t>
                  </w:r>
                </w:p>
              </w:tc>
              <w:tc>
                <w:tcPr>
                  <w:tcW w:w="2643"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2629"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w:t>
                  </w:r>
                </w:p>
              </w:tc>
              <w:tc>
                <w:tcPr>
                  <w:tcW w:w="2030"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自卸汽车</w:t>
                  </w:r>
                </w:p>
              </w:tc>
              <w:tc>
                <w:tcPr>
                  <w:tcW w:w="2643"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2629"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w:t>
                  </w:r>
                </w:p>
              </w:tc>
              <w:tc>
                <w:tcPr>
                  <w:tcW w:w="2030"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卷扬机</w:t>
                  </w:r>
                </w:p>
              </w:tc>
              <w:tc>
                <w:tcPr>
                  <w:tcW w:w="2643"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2629"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2030"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起重机</w:t>
                  </w:r>
                </w:p>
              </w:tc>
              <w:tc>
                <w:tcPr>
                  <w:tcW w:w="2643"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p>
              </w:tc>
              <w:tc>
                <w:tcPr>
                  <w:tcW w:w="2629"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w:t>
                  </w:r>
                </w:p>
              </w:tc>
              <w:tc>
                <w:tcPr>
                  <w:tcW w:w="2030"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钢筋切断机、弯曲机</w:t>
                  </w:r>
                </w:p>
              </w:tc>
              <w:tc>
                <w:tcPr>
                  <w:tcW w:w="2643"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2629"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w:t>
                  </w:r>
                </w:p>
              </w:tc>
              <w:tc>
                <w:tcPr>
                  <w:tcW w:w="2030"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水泵</w:t>
                  </w:r>
                </w:p>
              </w:tc>
              <w:tc>
                <w:tcPr>
                  <w:tcW w:w="2643"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2629" w:type="dxa"/>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85</w:t>
                  </w:r>
                </w:p>
              </w:tc>
            </w:tr>
          </w:tbl>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所有施工设备同时施工产生的噪声对周边环境影响较大。本项目西南</w:t>
            </w:r>
            <w:r>
              <w:rPr>
                <w:rFonts w:hint="eastAsia" w:ascii="Times New Roman" w:hAnsi="Times New Roman" w:cs="Times New Roman"/>
                <w:color w:val="auto"/>
                <w:lang w:val="en-US" w:eastAsia="zh-CN"/>
              </w:rPr>
              <w:t>75</w:t>
            </w:r>
            <w:r>
              <w:rPr>
                <w:rFonts w:hint="default" w:ascii="Times New Roman" w:hAnsi="Times New Roman" w:cs="Times New Roman"/>
                <w:color w:val="auto"/>
                <w:lang w:val="en-US" w:eastAsia="zh-CN"/>
              </w:rPr>
              <w:t>m范围内有一处大立村居民点，可能会受到一定的噪声影响。因此本项目在施工时，应注意通过合理布置施工区域，将噪声大的机械设备安排在远离敏感点</w:t>
            </w:r>
            <w:r>
              <w:rPr>
                <w:rFonts w:hint="eastAsia" w:cs="Times New Roman"/>
                <w:color w:val="auto"/>
                <w:lang w:val="en-US" w:eastAsia="zh-CN"/>
              </w:rPr>
              <w:t>大立小区</w:t>
            </w:r>
            <w:r>
              <w:rPr>
                <w:rFonts w:hint="default" w:ascii="Times New Roman" w:hAnsi="Times New Roman" w:cs="Times New Roman"/>
                <w:color w:val="auto"/>
                <w:lang w:val="en-US" w:eastAsia="zh-CN"/>
              </w:rPr>
              <w:t>的位置，合理安排施工工序，夜间禁止进行运行噪声大的机械设备，加强施工管理，以减轻施工噪声对敏感点的影响。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总体来说，施工机械噪声对施工区及工程区周边的敏感目标短期内可能会产生短暂的影响，但由于施工过程是临时性的，施工期噪声对敏感点的影响也是短暂的，施工结束后即可恢复；施工期严格采取各类噪声防护措施的情况下可有效控制施工噪声对各敏感点的影响。</w:t>
            </w:r>
          </w:p>
          <w:p>
            <w:pPr>
              <w:pStyle w:val="3"/>
              <w:bidi w:val="0"/>
              <w:rPr>
                <w:rFonts w:hint="default" w:ascii="Times New Roman" w:hAnsi="Times New Roman" w:cs="Times New Roman"/>
                <w:color w:val="auto"/>
                <w:lang w:val="en-US" w:eastAsia="zh-CN"/>
              </w:rPr>
            </w:pPr>
            <w:bookmarkStart w:id="513" w:name="_Toc597"/>
            <w:bookmarkStart w:id="514" w:name="_Toc26222"/>
            <w:bookmarkStart w:id="515" w:name="_Toc22677"/>
            <w:bookmarkStart w:id="516" w:name="_Toc32630"/>
            <w:bookmarkStart w:id="517" w:name="_Toc21235"/>
            <w:bookmarkStart w:id="518" w:name="_Toc24888"/>
            <w:bookmarkStart w:id="519" w:name="_Toc16697"/>
            <w:bookmarkStart w:id="520" w:name="_Toc674"/>
            <w:bookmarkStart w:id="521" w:name="_Toc21570"/>
            <w:bookmarkStart w:id="522" w:name="_Toc18630"/>
            <w:r>
              <w:rPr>
                <w:rFonts w:hint="default" w:ascii="Times New Roman" w:hAnsi="Times New Roman" w:cs="Times New Roman"/>
                <w:color w:val="auto"/>
                <w:lang w:val="en-US" w:eastAsia="zh-CN"/>
              </w:rPr>
              <w:t>4、固体废物环境影响分析</w:t>
            </w:r>
            <w:bookmarkEnd w:id="513"/>
            <w:bookmarkEnd w:id="514"/>
            <w:bookmarkEnd w:id="515"/>
            <w:bookmarkEnd w:id="516"/>
            <w:bookmarkEnd w:id="517"/>
            <w:bookmarkEnd w:id="518"/>
            <w:bookmarkEnd w:id="519"/>
            <w:bookmarkEnd w:id="520"/>
            <w:bookmarkEnd w:id="521"/>
            <w:bookmarkEnd w:id="522"/>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本项目施工期产生的固体废物主要包括：维修废机油、</w:t>
            </w:r>
            <w:r>
              <w:rPr>
                <w:rFonts w:hint="eastAsia" w:cs="Times New Roman"/>
                <w:color w:val="auto"/>
                <w:lang w:val="en-US" w:eastAsia="zh-CN"/>
              </w:rPr>
              <w:t>建筑垃圾</w:t>
            </w:r>
            <w:r>
              <w:rPr>
                <w:rFonts w:hint="default" w:ascii="Times New Roman" w:hAnsi="Times New Roman" w:cs="Times New Roman"/>
                <w:color w:val="auto"/>
                <w:lang w:val="en-US" w:eastAsia="zh-CN"/>
              </w:rPr>
              <w:t>以及施工人员的生活垃圾。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（1）维修废机油</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项目建设中会产生一定量用于保养、维修施工机械设备的废机油，总产生量约为</w:t>
            </w:r>
            <w:r>
              <w:rPr>
                <w:rFonts w:hint="eastAsia" w:cs="Times New Roman"/>
                <w:color w:val="auto"/>
                <w:lang w:val="en-US" w:eastAsia="zh-CN"/>
              </w:rPr>
              <w:t>0.1t/a</w:t>
            </w:r>
            <w:r>
              <w:rPr>
                <w:rFonts w:hint="default" w:ascii="Times New Roman" w:hAnsi="Times New Roman" w:cs="Times New Roman"/>
                <w:color w:val="auto"/>
                <w:lang w:val="en-US" w:eastAsia="zh-CN"/>
              </w:rPr>
              <w:t>。根据《国家危险废物名录（2021年版）》，该废机油属于HW08废矿物油与含矿物油废物类别下</w:t>
            </w:r>
            <w:r>
              <w:rPr>
                <w:rFonts w:hint="eastAsia" w:ascii="宋体" w:hAnsi="宋体" w:eastAsia="宋体" w:cs="宋体"/>
                <w:color w:val="auto"/>
                <w:lang w:val="en-US" w:eastAsia="zh-CN"/>
              </w:rPr>
              <w:t>“</w:t>
            </w:r>
            <w:r>
              <w:rPr>
                <w:rFonts w:hint="eastAsia" w:ascii="宋体" w:hAnsi="宋体" w:eastAsia="宋体" w:cs="宋体"/>
                <w:color w:val="auto"/>
              </w:rPr>
              <w:t>车辆、轮船及其它机械维修过程中产生的废发动机油、制动器油、自动变速器油、齿轮油等废润滑油</w:t>
            </w:r>
            <w:r>
              <w:rPr>
                <w:rFonts w:hint="eastAsia" w:ascii="宋体" w:hAnsi="宋体" w:eastAsia="宋体" w:cs="宋体"/>
                <w:color w:val="auto"/>
                <w:lang w:val="en-US" w:eastAsia="zh-CN"/>
              </w:rPr>
              <w:t>”，废</w:t>
            </w:r>
            <w:r>
              <w:rPr>
                <w:rFonts w:hint="default" w:ascii="Times New Roman" w:hAnsi="Times New Roman" w:cs="Times New Roman"/>
                <w:color w:val="auto"/>
                <w:lang w:val="en-US" w:eastAsia="zh-CN"/>
              </w:rPr>
              <w:t>物代码为900-214-08，产生的废机油委托有危废处理资质单位收集处理。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r>
              <w:rPr>
                <w:rFonts w:hint="eastAsia" w:cs="Times New Roman"/>
                <w:color w:val="auto"/>
                <w:lang w:val="en-US" w:eastAsia="zh-CN"/>
              </w:rPr>
              <w:t>建筑垃圾</w:t>
            </w:r>
          </w:p>
          <w:p>
            <w:pPr>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项目建设中会产生</w:t>
            </w:r>
            <w:r>
              <w:rPr>
                <w:rFonts w:hint="eastAsia" w:cs="Times New Roman"/>
                <w:color w:val="auto"/>
                <w:lang w:val="en-US" w:eastAsia="zh-CN"/>
              </w:rPr>
              <w:t>一定量的建筑垃圾，主要来源于岸基加固过程中基面处理以及通码头公路扩宽加固、沿河栈道加固过程中现有道路拆除，预计共产生3300m</w:t>
            </w:r>
            <w:r>
              <w:rPr>
                <w:rFonts w:hint="eastAsia" w:cs="Times New Roman"/>
                <w:color w:val="auto"/>
                <w:vertAlign w:val="superscript"/>
                <w:lang w:val="en-US" w:eastAsia="zh-CN"/>
              </w:rPr>
              <w:t>3</w:t>
            </w:r>
            <w:r>
              <w:rPr>
                <w:rFonts w:hint="eastAsia" w:cs="Times New Roman"/>
                <w:color w:val="auto"/>
                <w:lang w:val="en-US" w:eastAsia="zh-CN"/>
              </w:rPr>
              <w:t>建筑垃圾。建筑垃圾暂存于施工场地内建筑垃圾临时堆放场，用于土石方回填；建筑垃圾临时堆放场周围挖截流沟，截流沟将水流引至沉淀池，经沉淀处理后上清液回用，沉淀经压滤脱水后交由环卫部门处理；施工场地周围设置围挡与喷淋降尘，防止碎石、弃土以及废气进入水体对水体产生影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（3）生活垃圾</w:t>
            </w:r>
          </w:p>
          <w:p>
            <w:pPr>
              <w:bidi w:val="0"/>
              <w:rPr>
                <w:rFonts w:hint="default" w:ascii="Times New Roman" w:hAnsi="Times New Roman" w:cs="Times New Roman"/>
                <w:color w:val="auto"/>
                <w:kern w:val="0"/>
                <w:szCs w:val="21"/>
                <w:lang w:val="en-US" w:eastAsia="zh-CN"/>
              </w:rPr>
            </w:pPr>
            <w:r>
              <w:rPr>
                <w:rFonts w:hint="default" w:ascii="Times New Roman" w:hAnsi="Times New Roman" w:cs="Times New Roman"/>
                <w:color w:val="auto"/>
                <w:lang w:val="en-US" w:eastAsia="zh-CN"/>
              </w:rPr>
              <w:t>本项目施工现场不另设施工营地，施工人员临时住房租用附近民房加以解决。项目施工人员每日平均</w:t>
            </w:r>
            <w:r>
              <w:rPr>
                <w:rFonts w:hint="eastAsia" w:cs="Times New Roman"/>
                <w:color w:val="auto"/>
                <w:lang w:val="en-US" w:eastAsia="zh-CN"/>
              </w:rPr>
              <w:t>4</w:t>
            </w:r>
            <w:r>
              <w:rPr>
                <w:rFonts w:hint="default" w:ascii="Times New Roman" w:hAnsi="Times New Roman" w:cs="Times New Roman"/>
                <w:color w:val="auto"/>
                <w:lang w:val="en-US" w:eastAsia="zh-CN"/>
              </w:rPr>
              <w:t>人，生活垃圾按</w:t>
            </w:r>
            <w:r>
              <w:rPr>
                <w:rFonts w:hint="eastAsia" w:cs="Times New Roman"/>
                <w:color w:val="auto"/>
                <w:lang w:val="en-US" w:eastAsia="zh-CN"/>
              </w:rPr>
              <w:t>1</w:t>
            </w:r>
            <w:r>
              <w:rPr>
                <w:rFonts w:hint="default" w:ascii="Times New Roman" w:hAnsi="Times New Roman" w:cs="Times New Roman"/>
                <w:color w:val="auto"/>
                <w:lang w:val="en-US" w:eastAsia="zh-CN"/>
              </w:rPr>
              <w:t>kg/（人·d）计，生活垃圾产生量约</w:t>
            </w:r>
            <w:r>
              <w:rPr>
                <w:rFonts w:hint="eastAsia" w:cs="Times New Roman"/>
                <w:color w:val="auto"/>
                <w:lang w:val="en-US" w:eastAsia="zh-CN"/>
              </w:rPr>
              <w:t>1.2t</w:t>
            </w:r>
            <w:r>
              <w:rPr>
                <w:rFonts w:hint="default" w:ascii="Times New Roman" w:hAnsi="Times New Roman" w:cs="Times New Roman"/>
                <w:color w:val="auto"/>
                <w:lang w:val="en-US" w:eastAsia="zh-CN"/>
              </w:rPr>
              <w:t>/</w:t>
            </w:r>
            <w:r>
              <w:rPr>
                <w:rFonts w:hint="eastAsia" w:cs="Times New Roman"/>
                <w:color w:val="auto"/>
                <w:lang w:val="en-US" w:eastAsia="zh-CN"/>
              </w:rPr>
              <w:t>a</w:t>
            </w:r>
            <w:r>
              <w:rPr>
                <w:rFonts w:hint="default" w:ascii="Times New Roman" w:hAnsi="Times New Roman" w:cs="Times New Roman"/>
                <w:color w:val="auto"/>
                <w:lang w:val="en-US" w:eastAsia="zh-CN"/>
              </w:rPr>
              <w:t>，交由环卫部门统一清运</w:t>
            </w:r>
            <w:r>
              <w:rPr>
                <w:rFonts w:hint="default" w:ascii="Times New Roman" w:hAnsi="Times New Roman" w:cs="Times New Roman"/>
                <w:color w:val="auto"/>
                <w:kern w:val="0"/>
                <w:szCs w:val="21"/>
                <w:lang w:val="en-US" w:eastAsia="zh-CN"/>
              </w:rPr>
              <w:t>。</w:t>
            </w:r>
          </w:p>
          <w:p>
            <w:pPr>
              <w:pStyle w:val="3"/>
              <w:bidi w:val="0"/>
              <w:rPr>
                <w:rFonts w:hint="default" w:ascii="Times New Roman" w:hAnsi="Times New Roman" w:cs="Times New Roman"/>
                <w:color w:val="auto"/>
                <w:lang w:val="en-US" w:eastAsia="zh-CN"/>
              </w:rPr>
            </w:pPr>
            <w:bookmarkStart w:id="523" w:name="_Toc26161"/>
            <w:bookmarkStart w:id="524" w:name="_Toc21873"/>
            <w:bookmarkStart w:id="525" w:name="_Toc25644"/>
            <w:bookmarkStart w:id="526" w:name="_Toc26617"/>
            <w:bookmarkStart w:id="527" w:name="_Toc15129"/>
            <w:bookmarkStart w:id="528" w:name="_Toc16587"/>
            <w:bookmarkStart w:id="529" w:name="_Toc12917"/>
            <w:bookmarkStart w:id="530" w:name="_Toc13020"/>
            <w:bookmarkStart w:id="531" w:name="_Toc29469"/>
            <w:bookmarkStart w:id="532" w:name="_Toc26911"/>
            <w:r>
              <w:rPr>
                <w:rFonts w:hint="default" w:ascii="Times New Roman" w:hAnsi="Times New Roman" w:cs="Times New Roman"/>
                <w:color w:val="auto"/>
                <w:lang w:val="en-US" w:eastAsia="zh-CN"/>
              </w:rPr>
              <w:t>5、生态环境影响分析</w:t>
            </w:r>
            <w:bookmarkEnd w:id="523"/>
            <w:bookmarkEnd w:id="524"/>
            <w:bookmarkEnd w:id="525"/>
            <w:bookmarkEnd w:id="526"/>
            <w:bookmarkEnd w:id="527"/>
            <w:bookmarkEnd w:id="528"/>
            <w:bookmarkEnd w:id="529"/>
            <w:bookmarkEnd w:id="530"/>
            <w:bookmarkEnd w:id="531"/>
            <w:bookmarkEnd w:id="532"/>
          </w:p>
          <w:p>
            <w:pPr>
              <w:bidi w:val="0"/>
              <w:rPr>
                <w:rFonts w:hint="default" w:ascii="Times New Roman" w:hAnsi="Times New Roman" w:cs="Times New Roman"/>
                <w:color w:val="auto"/>
                <w:lang w:val="en-US" w:eastAsia="zh-CN"/>
              </w:rPr>
            </w:pPr>
            <w:r>
              <w:rPr>
                <w:rFonts w:hint="default" w:ascii="Times New Roman" w:hAnsi="Times New Roman" w:cs="Times New Roman"/>
                <w:color w:val="auto"/>
                <w:kern w:val="0"/>
                <w:szCs w:val="21"/>
                <w:lang w:val="en-US" w:eastAsia="zh-CN"/>
              </w:rPr>
              <w:t>（1）对陆</w:t>
            </w:r>
            <w:r>
              <w:rPr>
                <w:rFonts w:hint="default" w:ascii="Times New Roman" w:hAnsi="Times New Roman" w:cs="Times New Roman"/>
                <w:color w:val="auto"/>
                <w:lang w:val="en-US" w:eastAsia="zh-CN"/>
              </w:rPr>
              <w:t>生植物影响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工程施工期对植被的影响主要来自于工程施工临时占地和施工扰动原永久占地。在施工过程中，场地平整、土石方开挖等施工活动将会使施工占地范围内的一些植被类型和数量受到破坏，原有的植被类型的结构和分布将发生变化，占地范围内地表植被的破坏，在一定程度上降低工程区域内的植被覆盖率，加重工程区域内的水土流失。</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工程临时占地包括临时道路、施工临建设施、</w:t>
            </w:r>
            <w:r>
              <w:rPr>
                <w:rFonts w:hint="eastAsia" w:cs="Times New Roman"/>
                <w:color w:val="auto"/>
                <w:lang w:val="en-US" w:eastAsia="zh-CN"/>
              </w:rPr>
              <w:t>建筑垃圾临时堆放场</w:t>
            </w:r>
            <w:r>
              <w:rPr>
                <w:rFonts w:hint="default" w:ascii="Times New Roman" w:hAnsi="Times New Roman" w:cs="Times New Roman"/>
                <w:color w:val="auto"/>
                <w:lang w:val="en-US" w:eastAsia="zh-CN"/>
              </w:rPr>
              <w:t>等，临时占地面积</w:t>
            </w:r>
            <w:r>
              <w:rPr>
                <w:rFonts w:hint="eastAsia" w:ascii="Times New Roman" w:hAnsi="Times New Roman" w:cs="Times New Roman"/>
                <w:color w:val="auto"/>
                <w:lang w:val="en-US" w:eastAsia="zh-CN"/>
              </w:rPr>
              <w:t>600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。经现场实地调查，本次</w:t>
            </w:r>
            <w:r>
              <w:rPr>
                <w:rFonts w:hint="eastAsia" w:ascii="Times New Roman" w:hAnsi="Times New Roman" w:cs="Times New Roman"/>
                <w:color w:val="auto"/>
                <w:lang w:val="en-US" w:eastAsia="zh-CN"/>
              </w:rPr>
              <w:t>建设</w:t>
            </w:r>
            <w:r>
              <w:rPr>
                <w:rFonts w:hint="default" w:ascii="Times New Roman" w:hAnsi="Times New Roman" w:cs="Times New Roman"/>
                <w:color w:val="auto"/>
                <w:lang w:val="en-US" w:eastAsia="zh-CN"/>
              </w:rPr>
              <w:t>工程评价区临时占地区植被主要</w:t>
            </w:r>
            <w:r>
              <w:rPr>
                <w:rFonts w:hint="eastAsia" w:ascii="Times New Roman" w:hAnsi="Times New Roman" w:cs="Times New Roman"/>
                <w:color w:val="auto"/>
                <w:lang w:val="en-US" w:eastAsia="zh-CN"/>
              </w:rPr>
              <w:t>为栽培植被</w:t>
            </w:r>
            <w:r>
              <w:rPr>
                <w:rFonts w:hint="default" w:ascii="Times New Roman" w:hAnsi="Times New Roman" w:cs="Times New Roman"/>
                <w:color w:val="auto"/>
                <w:lang w:val="en-US" w:eastAsia="zh-CN"/>
              </w:rPr>
              <w:t>。工程建设会使部分植物物种数量减少，植被类型的面积减小，植物生物量减少。施工完毕后，随着本工程生态恢复及水土保持方案的实施，及时平整恢复原地貌，这些植被扰动基本可以得到恢复。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（2）对陆生动物影响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工程占地将导致动物生境丧失，缩小野生动物的栖息空间，限制部分陆生动物的活动区域、觅食范围等，从而对陆生动物的生存产生一定的影响。由于两栖类和爬行类动物迁徙能力较弱，对水源依赖性较强，工程占地对其的不利影响较鸟类和兽类明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工程影响区内不涉及重点保护动物，施工对陆生动物的影响主要为：</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机械及人员活动产生的噪声会对动物会造成惊吓，在繁殖季节，噪声可影响鸟类的孵化率，重者可造成鸟类弃巢，但工程占地面积相对于评价区总面积较小，且周围相似生境较多，施工过程中的噪声在施工结束后停止，临时占地区域进行植被恢复等措施，因此，占地及噪声对鸟类的影响也较小；</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爬行类动物多为灌丛石隙型和林栖傍水型种类，施工期其部分生境会被占用，个体也会被噪声驱赶，在工程评价区受影响以外的区域寻找相似生境。</w:t>
            </w:r>
            <w:r>
              <w:rPr>
                <w:rFonts w:hint="eastAsia" w:cs="Times New Roman"/>
                <w:color w:val="auto"/>
                <w:lang w:val="en-US" w:eastAsia="zh-CN"/>
              </w:rPr>
              <w:t>码头</w:t>
            </w:r>
            <w:r>
              <w:rPr>
                <w:rFonts w:hint="default" w:ascii="Times New Roman" w:hAnsi="Times New Roman" w:cs="Times New Roman"/>
                <w:color w:val="auto"/>
                <w:lang w:val="en-US" w:eastAsia="zh-CN"/>
              </w:rPr>
              <w:t>工程评价区周围相似生境丰富，因此，生境破坏及噪声驱赶对其影响较小。</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频繁的施工交通作业，增加了两栖爬行类动物被碾压的几率，但工程所在区域还存在大片相似生境，该影响有限，施工活动结束后，两栖类动物的生存环境将会逐步得到恢复。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（3）对水生生物影响</w:t>
            </w:r>
          </w:p>
          <w:p>
            <w:pPr>
              <w:bidi w:val="0"/>
              <w:rPr>
                <w:rFonts w:hint="default" w:ascii="Times New Roman" w:hAnsi="Times New Roman" w:cs="Times New Roman"/>
                <w:color w:val="auto"/>
                <w:lang w:val="en-US" w:eastAsia="zh-CN"/>
              </w:rPr>
            </w:pPr>
            <w:r>
              <w:rPr>
                <w:rFonts w:hint="eastAsia" w:cs="Times New Roman"/>
                <w:color w:val="auto"/>
                <w:lang w:val="en-US" w:eastAsia="zh-CN"/>
              </w:rPr>
              <w:t>本项目施工地点临近蒸水，施工期现有道路拆除</w:t>
            </w:r>
            <w:r>
              <w:rPr>
                <w:rFonts w:hint="default" w:ascii="Times New Roman" w:hAnsi="Times New Roman" w:cs="Times New Roman"/>
                <w:color w:val="auto"/>
                <w:lang w:val="en-US" w:eastAsia="zh-CN"/>
              </w:rPr>
              <w:t>、</w:t>
            </w:r>
            <w:r>
              <w:rPr>
                <w:rFonts w:hint="eastAsia" w:cs="Times New Roman"/>
                <w:color w:val="auto"/>
                <w:lang w:val="en-US" w:eastAsia="zh-CN"/>
              </w:rPr>
              <w:t>沥青路面铺筑</w:t>
            </w:r>
            <w:r>
              <w:rPr>
                <w:rFonts w:hint="default" w:ascii="Times New Roman" w:hAnsi="Times New Roman" w:cs="Times New Roman"/>
                <w:color w:val="auto"/>
                <w:lang w:val="en-US" w:eastAsia="zh-CN"/>
              </w:rPr>
              <w:t>等施工方式会造成一定程度的</w:t>
            </w:r>
            <w:r>
              <w:rPr>
                <w:rFonts w:hint="eastAsia" w:cs="Times New Roman"/>
                <w:color w:val="auto"/>
                <w:lang w:val="en-US" w:eastAsia="zh-CN"/>
              </w:rPr>
              <w:t>噪声与扬尘</w:t>
            </w:r>
            <w:r>
              <w:rPr>
                <w:rFonts w:hint="default" w:ascii="Times New Roman" w:hAnsi="Times New Roman" w:cs="Times New Roman"/>
                <w:color w:val="auto"/>
                <w:lang w:val="en-US" w:eastAsia="zh-CN"/>
              </w:rPr>
              <w:t>，将对鱼类、浮游生物、底栖生物等产生一定影响，但这些影响都是暂时的，随着施工结束而逐渐恢复。本工程主要为码头</w:t>
            </w:r>
            <w:r>
              <w:rPr>
                <w:rFonts w:hint="eastAsia" w:cs="Times New Roman"/>
                <w:color w:val="auto"/>
                <w:lang w:val="en-US" w:eastAsia="zh-CN"/>
              </w:rPr>
              <w:t>岸基加固、通码头公路扩宽加固、沿河栈道加固</w:t>
            </w:r>
            <w:r>
              <w:rPr>
                <w:rFonts w:hint="default" w:ascii="Times New Roman" w:hAnsi="Times New Roman" w:cs="Times New Roman"/>
                <w:color w:val="auto"/>
                <w:lang w:val="en-US" w:eastAsia="zh-CN"/>
              </w:rPr>
              <w:t>，不改变码头水生原生生态，码头仍维持原有形态，因此，本工程对水生生态影响较小。</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浮游植物：施工期间对浮游植物的影响主要表现为由于工作人员的增加，项目实施区周边人口增加，环境压力增大，一些垃圾和污水也将增多。施工过程中对水体的扰动使水体透明度下降，增加河流的营养水平，导致局部水体高营养水平和藻类增加，硅藻门和绿藻门等喜洁净水体的种类密度和数量将下降，而蓝藻门种类密度和数量将有一定程度增加。</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浮游动物：施工期间，施工</w:t>
            </w:r>
            <w:r>
              <w:rPr>
                <w:rFonts w:hint="eastAsia" w:cs="Times New Roman"/>
                <w:color w:val="auto"/>
                <w:lang w:val="en-US" w:eastAsia="zh-CN"/>
              </w:rPr>
              <w:t>扬尘会</w:t>
            </w:r>
            <w:r>
              <w:rPr>
                <w:rFonts w:hint="default" w:ascii="Times New Roman" w:hAnsi="Times New Roman" w:cs="Times New Roman"/>
                <w:color w:val="auto"/>
                <w:lang w:val="en-US" w:eastAsia="zh-CN"/>
              </w:rPr>
              <w:t>使施工河段及其下游水体透明度降低及溶解氧下降，短期内可造成施工河段部分水体和下游部分水体水质变差，适应性强、耐污性及耐低氧浮游动物种类增加，但整体浮游动物的密度和生物量下降。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底栖动物：</w:t>
            </w:r>
            <w:r>
              <w:rPr>
                <w:rFonts w:hint="eastAsia" w:cs="Times New Roman"/>
                <w:color w:val="auto"/>
                <w:lang w:val="en-US" w:eastAsia="zh-CN"/>
              </w:rPr>
              <w:t>施工期间不涉及水下工程，对底栖动物影响较小。</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鱼类：施工</w:t>
            </w:r>
            <w:r>
              <w:rPr>
                <w:rFonts w:hint="eastAsia" w:cs="Times New Roman"/>
                <w:color w:val="auto"/>
                <w:lang w:val="en-US" w:eastAsia="zh-CN"/>
              </w:rPr>
              <w:t>期对鱼类产生的影响主要是噪声。噪声</w:t>
            </w:r>
            <w:r>
              <w:rPr>
                <w:rFonts w:hint="default" w:ascii="Times New Roman" w:hAnsi="Times New Roman" w:cs="Times New Roman"/>
                <w:color w:val="auto"/>
                <w:lang w:val="en-US" w:eastAsia="zh-CN"/>
              </w:rPr>
              <w:t>较低时基本不会对鱼类产生影响，当施工</w:t>
            </w:r>
            <w:r>
              <w:rPr>
                <w:rFonts w:hint="eastAsia" w:cs="Times New Roman"/>
                <w:color w:val="auto"/>
                <w:lang w:val="en-US" w:eastAsia="zh-CN"/>
              </w:rPr>
              <w:t>噪声</w:t>
            </w:r>
            <w:r>
              <w:rPr>
                <w:rFonts w:hint="default" w:ascii="Times New Roman" w:hAnsi="Times New Roman" w:cs="Times New Roman"/>
                <w:color w:val="auto"/>
                <w:lang w:val="en-US" w:eastAsia="zh-CN"/>
              </w:rPr>
              <w:t>超过一定的阈值时就会对鱼类产生较为明显的影响，主要表现为行为紊乱。其次，施工产生的</w:t>
            </w:r>
            <w:r>
              <w:rPr>
                <w:rFonts w:hint="eastAsia" w:cs="Times New Roman"/>
                <w:color w:val="auto"/>
                <w:lang w:val="en-US" w:eastAsia="zh-CN"/>
              </w:rPr>
              <w:t>扬尘沉降至水体后</w:t>
            </w:r>
            <w:r>
              <w:rPr>
                <w:rFonts w:hint="default" w:ascii="Times New Roman" w:hAnsi="Times New Roman" w:cs="Times New Roman"/>
                <w:color w:val="auto"/>
                <w:lang w:val="en-US" w:eastAsia="zh-CN"/>
              </w:rPr>
              <w:t>会对鱼卵、仔稚鱼和幼体会造成伤害，主要表现为影响胚胎发育、堵塞腮部造成窒息死亡，悬浮物沉积造成水体缺氧，影响鱼苗的正常生长发育等。但施工期的影响在建设结束后就会消失，对鱼类的种群稳定和种群规模总体上影响不大。</w:t>
            </w:r>
          </w:p>
          <w:p>
            <w:pPr>
              <w:pStyle w:val="3"/>
              <w:bidi w:val="0"/>
              <w:rPr>
                <w:rFonts w:hint="eastAsia"/>
                <w:color w:val="auto"/>
                <w:lang w:val="en-US" w:eastAsia="zh-CN"/>
              </w:rPr>
            </w:pPr>
            <w:bookmarkStart w:id="533" w:name="_Toc288"/>
            <w:r>
              <w:rPr>
                <w:rFonts w:hint="eastAsia"/>
                <w:color w:val="auto"/>
                <w:lang w:val="en-US" w:eastAsia="zh-CN"/>
              </w:rPr>
              <w:t>6、土石方平衡</w:t>
            </w:r>
            <w:bookmarkEnd w:id="533"/>
          </w:p>
          <w:p>
            <w:pPr>
              <w:rPr>
                <w:rFonts w:hint="default"/>
                <w:color w:val="auto"/>
                <w:lang w:val="en-US" w:eastAsia="zh-CN"/>
              </w:rPr>
            </w:pPr>
            <w:r>
              <w:rPr>
                <w:rFonts w:hint="default"/>
                <w:color w:val="auto"/>
                <w:lang w:val="en-US" w:eastAsia="zh-CN"/>
              </w:rPr>
              <w:t>本项目土石方总体情况如下：开挖总量</w:t>
            </w:r>
            <w:r>
              <w:rPr>
                <w:rFonts w:hint="eastAsia"/>
                <w:color w:val="auto"/>
                <w:lang w:val="en-US" w:eastAsia="zh-CN"/>
              </w:rPr>
              <w:t>3300</w:t>
            </w:r>
            <w:r>
              <w:rPr>
                <w:rFonts w:hint="default"/>
                <w:color w:val="auto"/>
                <w:lang w:val="en-US" w:eastAsia="zh-CN"/>
              </w:rPr>
              <w:t>m</w:t>
            </w:r>
            <w:r>
              <w:rPr>
                <w:rFonts w:hint="eastAsia"/>
                <w:color w:val="auto"/>
                <w:vertAlign w:val="superscript"/>
                <w:lang w:val="en-US" w:eastAsia="zh-CN"/>
              </w:rPr>
              <w:t>3</w:t>
            </w:r>
            <w:r>
              <w:rPr>
                <w:rFonts w:hint="default"/>
                <w:color w:val="auto"/>
                <w:lang w:val="en-US" w:eastAsia="zh-CN"/>
              </w:rPr>
              <w:t>，回填总量</w:t>
            </w:r>
            <w:r>
              <w:rPr>
                <w:rFonts w:hint="eastAsia"/>
                <w:color w:val="auto"/>
                <w:lang w:val="en-US" w:eastAsia="zh-CN"/>
              </w:rPr>
              <w:t>3300</w:t>
            </w:r>
            <w:r>
              <w:rPr>
                <w:rFonts w:hint="default"/>
                <w:color w:val="auto"/>
                <w:lang w:val="en-US" w:eastAsia="zh-CN"/>
              </w:rPr>
              <w:t>m</w:t>
            </w:r>
            <w:r>
              <w:rPr>
                <w:rFonts w:hint="eastAsia"/>
                <w:color w:val="auto"/>
                <w:vertAlign w:val="superscript"/>
                <w:lang w:val="en-US" w:eastAsia="zh-CN"/>
              </w:rPr>
              <w:t>3</w:t>
            </w:r>
            <w:r>
              <w:rPr>
                <w:rFonts w:hint="default"/>
                <w:color w:val="auto"/>
                <w:lang w:val="en-US" w:eastAsia="zh-CN"/>
              </w:rPr>
              <w:t>，</w:t>
            </w:r>
            <w:r>
              <w:rPr>
                <w:rFonts w:hint="eastAsia"/>
                <w:color w:val="auto"/>
                <w:lang w:val="en-US" w:eastAsia="zh-CN"/>
              </w:rPr>
              <w:t>挖方、填方基本平衡，无</w:t>
            </w:r>
            <w:r>
              <w:rPr>
                <w:rFonts w:hint="default"/>
                <w:color w:val="auto"/>
                <w:lang w:val="en-US" w:eastAsia="zh-CN"/>
              </w:rPr>
              <w:t>需借土。</w:t>
            </w:r>
          </w:p>
          <w:p>
            <w:pPr>
              <w:rPr>
                <w:rFonts w:hint="default"/>
                <w:color w:val="auto"/>
                <w:lang w:val="en-US" w:eastAsia="zh-CN"/>
              </w:rPr>
            </w:pPr>
            <w:r>
              <w:rPr>
                <w:rFonts w:hint="default"/>
                <w:color w:val="auto"/>
                <w:lang w:val="en-US" w:eastAsia="zh-CN"/>
              </w:rPr>
              <w:t>本项目土石方平衡式：开挖总量</w:t>
            </w:r>
            <w:r>
              <w:rPr>
                <w:rFonts w:hint="eastAsia"/>
                <w:color w:val="auto"/>
                <w:lang w:val="en-US" w:eastAsia="zh-CN"/>
              </w:rPr>
              <w:t>3300</w:t>
            </w:r>
            <w:r>
              <w:rPr>
                <w:rFonts w:hint="default"/>
                <w:color w:val="auto"/>
                <w:lang w:val="en-US" w:eastAsia="zh-CN"/>
              </w:rPr>
              <w:t>m</w:t>
            </w:r>
            <w:r>
              <w:rPr>
                <w:rFonts w:hint="eastAsia"/>
                <w:color w:val="auto"/>
                <w:vertAlign w:val="superscript"/>
                <w:lang w:val="en-US" w:eastAsia="zh-CN"/>
              </w:rPr>
              <w:t>3</w:t>
            </w:r>
            <w:r>
              <w:rPr>
                <w:rFonts w:hint="default"/>
                <w:color w:val="auto"/>
                <w:lang w:val="en-US" w:eastAsia="zh-CN"/>
              </w:rPr>
              <w:t>+借入</w:t>
            </w:r>
            <w:r>
              <w:rPr>
                <w:rFonts w:hint="eastAsia"/>
                <w:color w:val="auto"/>
                <w:lang w:val="en-US" w:eastAsia="zh-CN"/>
              </w:rPr>
              <w:t>0</w:t>
            </w:r>
            <w:r>
              <w:rPr>
                <w:rFonts w:hint="default"/>
                <w:color w:val="auto"/>
                <w:lang w:val="en-US" w:eastAsia="zh-CN"/>
              </w:rPr>
              <w:t>m</w:t>
            </w:r>
            <w:r>
              <w:rPr>
                <w:rFonts w:hint="eastAsia"/>
                <w:color w:val="auto"/>
                <w:vertAlign w:val="superscript"/>
                <w:lang w:val="en-US" w:eastAsia="zh-CN"/>
              </w:rPr>
              <w:t>3</w:t>
            </w:r>
            <w:r>
              <w:rPr>
                <w:rFonts w:hint="default"/>
                <w:color w:val="auto"/>
                <w:lang w:val="en-US" w:eastAsia="zh-CN"/>
              </w:rPr>
              <w:t>=填方总量</w:t>
            </w:r>
            <w:r>
              <w:rPr>
                <w:rFonts w:hint="eastAsia"/>
                <w:color w:val="auto"/>
                <w:lang w:val="en-US" w:eastAsia="zh-CN"/>
              </w:rPr>
              <w:t>3300</w:t>
            </w:r>
            <w:r>
              <w:rPr>
                <w:rFonts w:hint="default"/>
                <w:color w:val="auto"/>
                <w:lang w:val="en-US" w:eastAsia="zh-CN"/>
              </w:rPr>
              <w:t>m</w:t>
            </w:r>
            <w:r>
              <w:rPr>
                <w:rFonts w:hint="eastAsia"/>
                <w:color w:val="auto"/>
                <w:vertAlign w:val="superscript"/>
                <w:lang w:val="en-US" w:eastAsia="zh-CN"/>
              </w:rPr>
              <w:t>3</w:t>
            </w:r>
            <w:r>
              <w:rPr>
                <w:rFonts w:hint="default"/>
                <w:color w:val="auto"/>
                <w:lang w:val="en-US" w:eastAsia="zh-CN"/>
              </w:rPr>
              <w:t>。</w:t>
            </w:r>
          </w:p>
          <w:p>
            <w:pPr>
              <w:rPr>
                <w:rFonts w:hint="default"/>
                <w:color w:val="auto"/>
                <w:lang w:val="en-US" w:eastAsia="zh-CN"/>
              </w:rPr>
            </w:pPr>
            <w:r>
              <w:rPr>
                <w:rFonts w:hint="default"/>
                <w:color w:val="auto"/>
                <w:lang w:val="en-US" w:eastAsia="zh-CN"/>
              </w:rPr>
              <w:t>水土保持措施总体布设概况：工程措施</w:t>
            </w:r>
            <w:r>
              <w:rPr>
                <w:rFonts w:hint="eastAsia"/>
                <w:color w:val="auto"/>
                <w:lang w:val="en-US" w:eastAsia="zh-CN"/>
              </w:rPr>
              <w:t>大部分</w:t>
            </w:r>
            <w:r>
              <w:rPr>
                <w:rFonts w:hint="default"/>
                <w:color w:val="auto"/>
                <w:lang w:val="en-US" w:eastAsia="zh-CN"/>
              </w:rPr>
              <w:t>是布设在道路区；植物措施全部布设在绿化区；临时措施中临时挡土板全场布设，洗车池布设在施工道路的入口，临时覆盖与临时拦挡一般布设在临时堆土场；临时排水临时沉砂池布设在施工道路与堆土场边上。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879" w:type="dxa"/>
            <w:noWrap w:val="0"/>
            <w:tcMar>
              <w:left w:w="28" w:type="dxa"/>
              <w:right w:w="28" w:type="dxa"/>
            </w:tcMar>
            <w:vAlign w:val="center"/>
          </w:tcPr>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bCs/>
                <w:color w:val="auto"/>
                <w:kern w:val="2"/>
                <w:sz w:val="21"/>
                <w:szCs w:val="21"/>
              </w:rPr>
            </w:pPr>
            <w:r>
              <w:rPr>
                <w:rFonts w:hint="default" w:ascii="Times New Roman" w:hAnsi="Times New Roman" w:cs="Times New Roman"/>
                <w:bCs/>
                <w:color w:val="auto"/>
                <w:spacing w:val="10"/>
                <w:kern w:val="2"/>
                <w:sz w:val="21"/>
                <w:szCs w:val="21"/>
              </w:rPr>
              <w:t>运营期生态环境影响分析</w:t>
            </w:r>
          </w:p>
        </w:tc>
        <w:tc>
          <w:tcPr>
            <w:tcW w:w="8363" w:type="dxa"/>
            <w:noWrap w:val="0"/>
            <w:vAlign w:val="center"/>
          </w:tcPr>
          <w:p>
            <w:pPr>
              <w:bidi w:val="0"/>
              <w:rPr>
                <w:rFonts w:hint="eastAsia" w:cs="Times New Roman"/>
                <w:color w:val="auto"/>
                <w:lang w:eastAsia="zh-CN"/>
              </w:rPr>
            </w:pPr>
            <w:r>
              <w:rPr>
                <w:rFonts w:hint="default" w:ascii="Times New Roman" w:hAnsi="Times New Roman" w:cs="Times New Roman"/>
                <w:color w:val="auto"/>
              </w:rPr>
              <w:t>本项目为</w:t>
            </w:r>
            <w:r>
              <w:rPr>
                <w:rFonts w:hint="default" w:ascii="Times New Roman" w:hAnsi="Times New Roman" w:cs="Times New Roman"/>
                <w:color w:val="auto"/>
                <w:lang w:val="en-US" w:eastAsia="zh-CN"/>
              </w:rPr>
              <w:t>码头岸基</w:t>
            </w:r>
            <w:r>
              <w:rPr>
                <w:rFonts w:hint="default" w:ascii="Times New Roman" w:hAnsi="Times New Roman" w:cs="Times New Roman"/>
                <w:color w:val="auto"/>
              </w:rPr>
              <w:t>加固</w:t>
            </w:r>
            <w:r>
              <w:rPr>
                <w:rFonts w:hint="default" w:ascii="Times New Roman" w:hAnsi="Times New Roman" w:cs="Times New Roman"/>
                <w:color w:val="auto"/>
                <w:lang w:eastAsia="zh-CN"/>
              </w:rPr>
              <w:t>、</w:t>
            </w:r>
            <w:r>
              <w:rPr>
                <w:rFonts w:hint="eastAsia" w:cs="Times New Roman"/>
                <w:color w:val="auto"/>
                <w:lang w:val="en-US" w:eastAsia="zh-CN"/>
              </w:rPr>
              <w:t>通码头公路</w:t>
            </w:r>
            <w:r>
              <w:rPr>
                <w:rFonts w:hint="default" w:ascii="Times New Roman" w:hAnsi="Times New Roman" w:cs="Times New Roman"/>
                <w:color w:val="auto"/>
                <w:lang w:val="en-US" w:eastAsia="zh-CN"/>
              </w:rPr>
              <w:t>扩宽加固</w:t>
            </w:r>
            <w:r>
              <w:rPr>
                <w:rFonts w:hint="eastAsia" w:cs="Times New Roman"/>
                <w:color w:val="auto"/>
                <w:lang w:val="en-US" w:eastAsia="zh-CN"/>
              </w:rPr>
              <w:t>、沿河栈道加固</w:t>
            </w:r>
            <w:r>
              <w:rPr>
                <w:rFonts w:hint="default" w:ascii="Times New Roman" w:hAnsi="Times New Roman" w:cs="Times New Roman"/>
                <w:color w:val="auto"/>
              </w:rPr>
              <w:t>工程，工程结束后对生态环境影响</w:t>
            </w:r>
            <w:r>
              <w:rPr>
                <w:rFonts w:hint="eastAsia" w:cs="Times New Roman"/>
                <w:color w:val="auto"/>
                <w:lang w:val="en-US" w:eastAsia="zh-CN"/>
              </w:rPr>
              <w:t>迅速降低</w:t>
            </w:r>
            <w:r>
              <w:rPr>
                <w:rFonts w:hint="default" w:ascii="Times New Roman" w:hAnsi="Times New Roman" w:cs="Times New Roman"/>
                <w:color w:val="auto"/>
              </w:rPr>
              <w:t>，维护管理由</w:t>
            </w:r>
            <w:r>
              <w:rPr>
                <w:rFonts w:hint="default" w:ascii="Times New Roman" w:hAnsi="Times New Roman" w:cs="Times New Roman"/>
                <w:color w:val="auto"/>
                <w:lang w:val="en-US" w:eastAsia="zh-CN"/>
              </w:rPr>
              <w:t>码头</w:t>
            </w:r>
            <w:r>
              <w:rPr>
                <w:rFonts w:hint="eastAsia" w:cs="Times New Roman"/>
                <w:color w:val="auto"/>
                <w:lang w:eastAsia="zh-CN"/>
              </w:rPr>
              <w:t>现有</w:t>
            </w:r>
            <w:r>
              <w:rPr>
                <w:rFonts w:hint="default" w:ascii="Times New Roman" w:hAnsi="Times New Roman" w:cs="Times New Roman"/>
                <w:color w:val="auto"/>
              </w:rPr>
              <w:t>管理人员负责</w:t>
            </w:r>
            <w:r>
              <w:rPr>
                <w:rFonts w:hint="eastAsia" w:cs="Times New Roman"/>
                <w:color w:val="auto"/>
                <w:lang w:eastAsia="zh-CN"/>
              </w:rPr>
              <w:t>。</w:t>
            </w:r>
          </w:p>
          <w:p>
            <w:pPr>
              <w:bidi w:val="0"/>
              <w:rPr>
                <w:rFonts w:hint="eastAsia" w:cs="Times New Roman"/>
                <w:color w:val="auto"/>
                <w:lang w:val="en-US" w:eastAsia="zh-CN"/>
              </w:rPr>
            </w:pPr>
            <w:r>
              <w:rPr>
                <w:rFonts w:hint="eastAsia" w:cs="Times New Roman"/>
                <w:color w:val="auto"/>
                <w:lang w:val="en-US" w:eastAsia="zh-CN"/>
              </w:rPr>
              <w:t>码头执法人员需要加强运营期对码头及道路的管理工作，具体如下：</w:t>
            </w:r>
          </w:p>
          <w:p>
            <w:pPr>
              <w:bidi w:val="0"/>
              <w:rPr>
                <w:rFonts w:hint="eastAsia" w:cs="Times New Roman"/>
                <w:color w:val="auto"/>
                <w:lang w:val="en-US" w:eastAsia="zh-CN"/>
              </w:rPr>
            </w:pPr>
            <w:r>
              <w:rPr>
                <w:rFonts w:hint="eastAsia" w:cs="Times New Roman"/>
                <w:color w:val="auto"/>
                <w:lang w:val="en-US" w:eastAsia="zh-CN"/>
              </w:rPr>
              <w:t>（1）严禁向蒸水河内倾倒生活垃圾；</w:t>
            </w:r>
          </w:p>
          <w:p>
            <w:pPr>
              <w:bidi w:val="0"/>
              <w:rPr>
                <w:rFonts w:hint="eastAsia" w:cs="Times New Roman"/>
                <w:color w:val="auto"/>
                <w:lang w:val="en-US" w:eastAsia="zh-CN"/>
              </w:rPr>
            </w:pPr>
            <w:r>
              <w:rPr>
                <w:rFonts w:hint="eastAsia" w:cs="Times New Roman"/>
                <w:color w:val="auto"/>
                <w:lang w:val="en-US" w:eastAsia="zh-CN"/>
              </w:rPr>
              <w:t>（2）严禁危化运输车辆进入场界道路；</w:t>
            </w:r>
          </w:p>
          <w:p>
            <w:pPr>
              <w:bidi w:val="0"/>
              <w:rPr>
                <w:rFonts w:hint="eastAsia" w:cs="Times New Roman"/>
                <w:color w:val="auto"/>
                <w:lang w:val="en-US" w:eastAsia="zh-CN"/>
              </w:rPr>
            </w:pPr>
            <w:r>
              <w:rPr>
                <w:rFonts w:hint="eastAsia" w:cs="Times New Roman"/>
                <w:color w:val="auto"/>
                <w:lang w:val="en-US" w:eastAsia="zh-CN"/>
              </w:rPr>
              <w:t>（3）设置“减速”“禁止鸣笛”等标识牌；</w:t>
            </w:r>
          </w:p>
          <w:p>
            <w:pPr>
              <w:bidi w:val="0"/>
              <w:rPr>
                <w:rFonts w:hint="default" w:cs="Times New Roman"/>
                <w:color w:val="auto"/>
                <w:lang w:val="en-US" w:eastAsia="zh-CN"/>
              </w:rPr>
            </w:pPr>
            <w:r>
              <w:rPr>
                <w:rFonts w:hint="eastAsia" w:cs="Times New Roman"/>
                <w:color w:val="auto"/>
                <w:lang w:val="en-US" w:eastAsia="zh-CN"/>
              </w:rPr>
              <w:t>（4）定期对码头及道路进行清洁；</w:t>
            </w:r>
          </w:p>
          <w:p>
            <w:pPr>
              <w:bidi w:val="0"/>
              <w:rPr>
                <w:rFonts w:hint="default" w:cs="Times New Roman"/>
                <w:color w:val="auto"/>
                <w:lang w:val="en-US" w:eastAsia="zh-CN"/>
              </w:rPr>
            </w:pPr>
            <w:r>
              <w:rPr>
                <w:rFonts w:hint="eastAsia" w:cs="Times New Roman"/>
                <w:color w:val="auto"/>
                <w:lang w:val="en-US" w:eastAsia="zh-CN"/>
              </w:rPr>
              <w:t>（5）定期开展水环境、生态环境监测工作。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879" w:type="dxa"/>
            <w:noWrap w:val="0"/>
            <w:vAlign w:val="center"/>
          </w:tcPr>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bCs/>
                <w:color w:val="auto"/>
                <w:kern w:val="2"/>
                <w:sz w:val="21"/>
                <w:szCs w:val="21"/>
              </w:rPr>
            </w:pPr>
            <w:r>
              <w:rPr>
                <w:rFonts w:hint="default" w:ascii="Times New Roman" w:hAnsi="Times New Roman" w:cs="Times New Roman"/>
                <w:bCs/>
                <w:color w:val="auto"/>
                <w:kern w:val="2"/>
                <w:sz w:val="21"/>
                <w:szCs w:val="21"/>
              </w:rPr>
              <w:t>选址选线环境合理性分析</w:t>
            </w:r>
          </w:p>
        </w:tc>
        <w:tc>
          <w:tcPr>
            <w:tcW w:w="8363" w:type="dxa"/>
            <w:noWrap w:val="0"/>
            <w:vAlign w:val="center"/>
          </w:tcPr>
          <w:p>
            <w:pPr>
              <w:pStyle w:val="3"/>
              <w:bidi w:val="0"/>
              <w:rPr>
                <w:rFonts w:hint="default" w:ascii="Times New Roman" w:hAnsi="Times New Roman" w:cs="Times New Roman"/>
                <w:color w:val="auto"/>
                <w:lang w:val="en-US" w:eastAsia="zh-CN"/>
              </w:rPr>
            </w:pPr>
            <w:bookmarkStart w:id="534" w:name="_Toc8681"/>
            <w:bookmarkStart w:id="535" w:name="_Toc7721"/>
            <w:bookmarkStart w:id="536" w:name="_Toc7281"/>
            <w:bookmarkStart w:id="537" w:name="_Toc17493"/>
            <w:bookmarkStart w:id="538" w:name="_Toc7558"/>
            <w:bookmarkStart w:id="539" w:name="_Toc28513"/>
            <w:bookmarkStart w:id="540" w:name="_Toc6230"/>
            <w:bookmarkStart w:id="541" w:name="_Toc3684"/>
            <w:bookmarkStart w:id="542" w:name="_Toc12112"/>
            <w:bookmarkStart w:id="543" w:name="_Toc27011"/>
            <w:r>
              <w:rPr>
                <w:rFonts w:hint="default" w:ascii="Times New Roman" w:hAnsi="Times New Roman" w:cs="Times New Roman"/>
                <w:color w:val="auto"/>
                <w:lang w:val="en-US" w:eastAsia="zh-CN"/>
              </w:rPr>
              <w:t>1、码头选址的环境合理性分析</w:t>
            </w:r>
            <w:bookmarkEnd w:id="534"/>
            <w:bookmarkEnd w:id="535"/>
            <w:bookmarkEnd w:id="536"/>
            <w:bookmarkEnd w:id="537"/>
            <w:bookmarkEnd w:id="538"/>
            <w:bookmarkEnd w:id="539"/>
            <w:bookmarkEnd w:id="540"/>
            <w:bookmarkEnd w:id="541"/>
            <w:bookmarkEnd w:id="542"/>
            <w:bookmarkEnd w:id="543"/>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本工程</w:t>
            </w:r>
            <w:r>
              <w:rPr>
                <w:rFonts w:hint="eastAsia" w:cs="Times New Roman"/>
                <w:color w:val="auto"/>
                <w:lang w:val="en-US" w:eastAsia="zh-CN"/>
              </w:rPr>
              <w:t>包括</w:t>
            </w:r>
            <w:r>
              <w:rPr>
                <w:rFonts w:hint="default" w:ascii="Times New Roman" w:hAnsi="Times New Roman" w:cs="Times New Roman"/>
                <w:color w:val="auto"/>
                <w:lang w:val="en-US" w:eastAsia="zh-CN"/>
              </w:rPr>
              <w:t>衡阳市</w:t>
            </w:r>
            <w:r>
              <w:rPr>
                <w:rFonts w:hint="eastAsia" w:cs="Times New Roman"/>
                <w:color w:val="auto"/>
                <w:lang w:val="en-US" w:eastAsia="zh-CN"/>
              </w:rPr>
              <w:t>级</w:t>
            </w:r>
            <w:r>
              <w:rPr>
                <w:rFonts w:hint="default" w:ascii="Times New Roman" w:hAnsi="Times New Roman" w:cs="Times New Roman"/>
                <w:color w:val="auto"/>
                <w:lang w:val="en-US" w:eastAsia="zh-CN"/>
              </w:rPr>
              <w:t>渔政执法码头进行岸基加固</w:t>
            </w:r>
            <w:r>
              <w:rPr>
                <w:rFonts w:hint="eastAsia" w:cs="Times New Roman"/>
                <w:color w:val="auto"/>
                <w:lang w:val="en-US" w:eastAsia="zh-CN"/>
              </w:rPr>
              <w:t>、通码头公路</w:t>
            </w:r>
            <w:r>
              <w:rPr>
                <w:rFonts w:hint="default" w:ascii="Times New Roman" w:hAnsi="Times New Roman" w:cs="Times New Roman"/>
                <w:color w:val="auto"/>
                <w:lang w:val="en-US" w:eastAsia="zh-CN"/>
              </w:rPr>
              <w:t>扩宽加固、</w:t>
            </w:r>
            <w:r>
              <w:rPr>
                <w:rFonts w:hint="eastAsia" w:cs="Times New Roman"/>
                <w:color w:val="auto"/>
                <w:lang w:val="en-US" w:eastAsia="zh-CN"/>
              </w:rPr>
              <w:t>沿河栈道加固</w:t>
            </w:r>
            <w:r>
              <w:rPr>
                <w:rFonts w:hint="default" w:ascii="Times New Roman" w:hAnsi="Times New Roman" w:cs="Times New Roman"/>
                <w:color w:val="auto"/>
                <w:lang w:val="en-US" w:eastAsia="zh-CN"/>
              </w:rPr>
              <w:t>，不进行其他工程，无涉水工程，不增加额外基础设施永久占地面积，不会改变渔政执法码头的主体功能，不会对蒸水水质造成破坏性的影响。因此，本工程选址布置环境合理。</w:t>
            </w:r>
          </w:p>
          <w:p>
            <w:pPr>
              <w:pStyle w:val="3"/>
              <w:bidi w:val="0"/>
              <w:rPr>
                <w:rFonts w:hint="default" w:ascii="Times New Roman" w:hAnsi="Times New Roman" w:cs="Times New Roman"/>
                <w:color w:val="auto"/>
                <w:lang w:val="en-US" w:eastAsia="zh-CN"/>
              </w:rPr>
            </w:pPr>
            <w:bookmarkStart w:id="544" w:name="_Toc1183"/>
            <w:bookmarkStart w:id="545" w:name="_Toc29356"/>
            <w:bookmarkStart w:id="546" w:name="_Toc12950"/>
            <w:bookmarkStart w:id="547" w:name="_Toc23172"/>
            <w:bookmarkStart w:id="548" w:name="_Toc2630"/>
            <w:bookmarkStart w:id="549" w:name="_Toc15801"/>
            <w:bookmarkStart w:id="550" w:name="_Toc16921"/>
            <w:bookmarkStart w:id="551" w:name="_Toc30229"/>
            <w:bookmarkStart w:id="552" w:name="_Toc852"/>
            <w:bookmarkStart w:id="553" w:name="_Toc3728"/>
            <w:r>
              <w:rPr>
                <w:rFonts w:hint="default" w:ascii="Times New Roman" w:hAnsi="Times New Roman" w:cs="Times New Roman"/>
                <w:color w:val="auto"/>
                <w:lang w:val="en-US" w:eastAsia="zh-CN"/>
              </w:rPr>
              <w:t>2、施工布置选址合理性分析</w:t>
            </w:r>
            <w:bookmarkEnd w:id="544"/>
            <w:bookmarkEnd w:id="545"/>
            <w:bookmarkEnd w:id="546"/>
            <w:bookmarkEnd w:id="547"/>
            <w:bookmarkEnd w:id="548"/>
            <w:bookmarkEnd w:id="549"/>
            <w:bookmarkEnd w:id="550"/>
            <w:bookmarkEnd w:id="551"/>
            <w:bookmarkEnd w:id="552"/>
            <w:bookmarkEnd w:id="553"/>
          </w:p>
          <w:p>
            <w:pPr>
              <w:bidi w:val="0"/>
              <w:rPr>
                <w:rFonts w:hint="eastAsia" w:ascii="Times New Roman" w:hAnsi="Times New Roman" w:cs="Times New Roman"/>
                <w:color w:val="auto"/>
                <w:lang w:val="en-US" w:eastAsia="zh-CN"/>
              </w:rPr>
            </w:pPr>
            <w:r>
              <w:rPr>
                <w:rFonts w:hint="default" w:ascii="Times New Roman" w:hAnsi="Times New Roman" w:cs="Times New Roman"/>
                <w:color w:val="auto"/>
                <w:lang w:val="en-US" w:eastAsia="zh-CN"/>
              </w:rPr>
              <w:t>本</w:t>
            </w:r>
            <w:r>
              <w:rPr>
                <w:rFonts w:hint="eastAsia" w:ascii="Times New Roman" w:hAnsi="Times New Roman" w:cs="Times New Roman"/>
                <w:color w:val="auto"/>
                <w:lang w:val="en-US" w:eastAsia="zh-CN"/>
              </w:rPr>
              <w:t>项目</w:t>
            </w:r>
            <w:r>
              <w:rPr>
                <w:rFonts w:hint="default" w:ascii="Times New Roman" w:hAnsi="Times New Roman" w:cs="Times New Roman"/>
                <w:color w:val="auto"/>
                <w:lang w:val="en-US" w:eastAsia="zh-CN"/>
              </w:rPr>
              <w:t>不设施工预制场，无水中桩基作业施工</w:t>
            </w:r>
            <w:r>
              <w:rPr>
                <w:rFonts w:hint="eastAsia" w:ascii="Times New Roman" w:hAnsi="Times New Roman" w:cs="Times New Roman"/>
                <w:color w:val="auto"/>
                <w:lang w:val="en-US" w:eastAsia="zh-CN"/>
              </w:rPr>
              <w:t>，施工临时用地包括临时道路、</w:t>
            </w:r>
            <w:r>
              <w:rPr>
                <w:rFonts w:hint="eastAsia" w:cs="Times New Roman"/>
                <w:color w:val="auto"/>
                <w:lang w:val="en-US" w:eastAsia="zh-CN"/>
              </w:rPr>
              <w:t>建筑垃圾临时堆放场</w:t>
            </w:r>
            <w:r>
              <w:rPr>
                <w:rFonts w:hint="eastAsia" w:ascii="Times New Roman" w:hAnsi="Times New Roman" w:cs="Times New Roman"/>
                <w:color w:val="auto"/>
                <w:lang w:val="en-US" w:eastAsia="zh-CN"/>
              </w:rPr>
              <w:t>，具体如下：</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①临时道路选址合理性分析</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工程施工主要利用</w:t>
            </w:r>
            <w:r>
              <w:rPr>
                <w:rFonts w:hint="eastAsia" w:cs="Times New Roman"/>
                <w:color w:val="auto"/>
                <w:lang w:val="en-US" w:eastAsia="zh-CN"/>
              </w:rPr>
              <w:t>渔政执法码头现</w:t>
            </w:r>
            <w:r>
              <w:rPr>
                <w:rFonts w:hint="eastAsia" w:ascii="Times New Roman" w:hAnsi="Times New Roman" w:cs="Times New Roman"/>
                <w:color w:val="auto"/>
                <w:lang w:val="en-US" w:eastAsia="zh-CN"/>
              </w:rPr>
              <w:t>有道路进行交通运输，减少新建道路的修建，有效减少工程扰动地表和损坏水保设施面积，减少生态破坏，场内临时道路沿线不涉及居民敏感点及环境敏感点。因此施工道路环境合理。</w:t>
            </w:r>
          </w:p>
          <w:p>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②</w:t>
            </w:r>
            <w:r>
              <w:rPr>
                <w:rFonts w:hint="eastAsia" w:cs="Times New Roman"/>
                <w:color w:val="auto"/>
                <w:lang w:val="en-US" w:eastAsia="zh-CN"/>
              </w:rPr>
              <w:t>建筑垃圾临时堆放场</w:t>
            </w:r>
            <w:r>
              <w:rPr>
                <w:rFonts w:hint="eastAsia" w:ascii="Times New Roman" w:hAnsi="Times New Roman" w:cs="Times New Roman"/>
                <w:color w:val="auto"/>
                <w:lang w:val="en-US" w:eastAsia="zh-CN"/>
              </w:rPr>
              <w:t>选址合理性分析</w:t>
            </w:r>
          </w:p>
          <w:p>
            <w:pPr>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工程共设置1处</w:t>
            </w:r>
            <w:r>
              <w:rPr>
                <w:rFonts w:hint="eastAsia" w:cs="Times New Roman"/>
                <w:color w:val="auto"/>
                <w:lang w:val="en-US" w:eastAsia="zh-CN"/>
              </w:rPr>
              <w:t>建筑垃圾临时堆放场</w:t>
            </w:r>
            <w:r>
              <w:rPr>
                <w:rFonts w:hint="eastAsia" w:ascii="Times New Roman" w:hAnsi="Times New Roman" w:cs="Times New Roman"/>
                <w:color w:val="auto"/>
                <w:lang w:val="en-US" w:eastAsia="zh-CN"/>
              </w:rPr>
              <w:t>，位于码头场界西北界，</w:t>
            </w:r>
            <w:r>
              <w:rPr>
                <w:rFonts w:hint="eastAsia" w:cs="Times New Roman"/>
                <w:color w:val="auto"/>
                <w:lang w:val="en-US" w:eastAsia="zh-CN"/>
              </w:rPr>
              <w:t>现有</w:t>
            </w:r>
            <w:r>
              <w:rPr>
                <w:rFonts w:hint="eastAsia" w:ascii="Times New Roman" w:hAnsi="Times New Roman" w:cs="Times New Roman"/>
                <w:color w:val="auto"/>
                <w:lang w:val="en-US" w:eastAsia="zh-CN"/>
              </w:rPr>
              <w:t>码头道路急转弯处内侧的平地，产生的径流不会进入蒸水。</w:t>
            </w:r>
            <w:r>
              <w:rPr>
                <w:rFonts w:hint="eastAsia" w:cs="Times New Roman"/>
                <w:color w:val="auto"/>
                <w:lang w:val="en-US" w:eastAsia="zh-CN"/>
              </w:rPr>
              <w:t>建筑垃圾临时堆放场</w:t>
            </w:r>
            <w:r>
              <w:rPr>
                <w:rFonts w:hint="eastAsia" w:ascii="Times New Roman" w:hAnsi="Times New Roman" w:cs="Times New Roman"/>
                <w:color w:val="auto"/>
                <w:lang w:val="en-US" w:eastAsia="zh-CN"/>
              </w:rPr>
              <w:t>占地面积约200m</w:t>
            </w:r>
            <w:r>
              <w:rPr>
                <w:rFonts w:hint="eastAsia" w:ascii="Times New Roman" w:hAnsi="Times New Roman" w:cs="Times New Roman"/>
                <w:color w:val="auto"/>
                <w:vertAlign w:val="superscript"/>
                <w:lang w:val="en-US" w:eastAsia="zh-CN"/>
              </w:rPr>
              <w:t>2</w:t>
            </w:r>
            <w:r>
              <w:rPr>
                <w:rFonts w:hint="eastAsia" w:ascii="Times New Roman" w:hAnsi="Times New Roman" w:cs="Times New Roman"/>
                <w:color w:val="auto"/>
                <w:lang w:val="en-US" w:eastAsia="zh-CN"/>
              </w:rPr>
              <w:t>，占地类型为《城市绿地分类标准》（CJJ/T85-2017）中的附属绿地，其上主要为栽培植被。</w:t>
            </w:r>
            <w:r>
              <w:rPr>
                <w:rFonts w:hint="eastAsia" w:cs="Times New Roman"/>
                <w:color w:val="auto"/>
                <w:lang w:val="en-US" w:eastAsia="zh-CN"/>
              </w:rPr>
              <w:t>施工完成</w:t>
            </w:r>
            <w:r>
              <w:rPr>
                <w:rFonts w:hint="eastAsia" w:ascii="Times New Roman" w:hAnsi="Times New Roman" w:cs="Times New Roman"/>
                <w:color w:val="auto"/>
                <w:lang w:val="en-US" w:eastAsia="zh-CN"/>
              </w:rPr>
              <w:t>后，对</w:t>
            </w:r>
            <w:r>
              <w:rPr>
                <w:rFonts w:hint="eastAsia" w:cs="Times New Roman"/>
                <w:color w:val="auto"/>
                <w:lang w:val="en-US" w:eastAsia="zh-CN"/>
              </w:rPr>
              <w:t>建筑垃圾临时堆放场</w:t>
            </w:r>
            <w:r>
              <w:rPr>
                <w:rFonts w:hint="eastAsia" w:ascii="Times New Roman" w:hAnsi="Times New Roman" w:cs="Times New Roman"/>
                <w:color w:val="auto"/>
                <w:lang w:val="en-US" w:eastAsia="zh-CN"/>
              </w:rPr>
              <w:t>进行复垦，</w:t>
            </w:r>
            <w:r>
              <w:rPr>
                <w:rFonts w:hint="eastAsia" w:cs="Times New Roman"/>
                <w:color w:val="auto"/>
                <w:lang w:val="en-US" w:eastAsia="zh-CN"/>
              </w:rPr>
              <w:t>植被恢复道路</w:t>
            </w:r>
            <w:r>
              <w:rPr>
                <w:rFonts w:hint="eastAsia" w:ascii="Times New Roman" w:hAnsi="Times New Roman" w:cs="Times New Roman"/>
                <w:color w:val="auto"/>
                <w:lang w:val="en-US" w:eastAsia="zh-CN"/>
              </w:rPr>
              <w:t>绿化。</w:t>
            </w:r>
            <w:r>
              <w:rPr>
                <w:rFonts w:hint="eastAsia" w:cs="Times New Roman"/>
                <w:color w:val="auto"/>
                <w:lang w:val="en-US" w:eastAsia="zh-CN"/>
              </w:rPr>
              <w:t>建筑垃圾临时堆放场</w:t>
            </w:r>
            <w:r>
              <w:rPr>
                <w:rFonts w:hint="eastAsia" w:ascii="Times New Roman" w:hAnsi="Times New Roman" w:cs="Times New Roman"/>
                <w:color w:val="auto"/>
                <w:lang w:val="en-US" w:eastAsia="zh-CN"/>
              </w:rPr>
              <w:t>范围及影响区内不涉及自然保护区、基本农田、风景名胜区、饮用水源保护区、自然遗产地等生态环境敏感目标。</w:t>
            </w:r>
            <w:r>
              <w:rPr>
                <w:rFonts w:hint="eastAsia" w:cs="Times New Roman"/>
                <w:color w:val="auto"/>
                <w:lang w:val="en-US" w:eastAsia="zh-CN"/>
              </w:rPr>
              <w:t>建筑垃圾临时堆放场</w:t>
            </w:r>
            <w:r>
              <w:rPr>
                <w:rFonts w:hint="eastAsia" w:ascii="Times New Roman" w:hAnsi="Times New Roman" w:cs="Times New Roman"/>
                <w:color w:val="auto"/>
                <w:lang w:val="en-US" w:eastAsia="zh-CN"/>
              </w:rPr>
              <w:t>南侧140m处分布有</w:t>
            </w:r>
            <w:r>
              <w:rPr>
                <w:rFonts w:hint="eastAsia" w:cs="Times New Roman"/>
                <w:color w:val="auto"/>
                <w:lang w:val="en-US" w:eastAsia="zh-CN"/>
              </w:rPr>
              <w:t>大立小区</w:t>
            </w:r>
            <w:r>
              <w:rPr>
                <w:rFonts w:hint="eastAsia" w:ascii="Times New Roman" w:hAnsi="Times New Roman" w:cs="Times New Roman"/>
                <w:color w:val="auto"/>
                <w:lang w:val="en-US" w:eastAsia="zh-CN"/>
              </w:rPr>
              <w:t>居民点，施工中注意对居民敏感点的防护，无重大环境制约因素；</w:t>
            </w:r>
            <w:r>
              <w:rPr>
                <w:rFonts w:hint="eastAsia" w:cs="Times New Roman"/>
                <w:color w:val="auto"/>
                <w:lang w:val="en-US" w:eastAsia="zh-CN"/>
              </w:rPr>
              <w:t>建筑垃圾临时堆放场</w:t>
            </w:r>
            <w:r>
              <w:rPr>
                <w:rFonts w:hint="eastAsia" w:ascii="Times New Roman" w:hAnsi="Times New Roman" w:cs="Times New Roman"/>
                <w:color w:val="auto"/>
                <w:lang w:val="en-US" w:eastAsia="zh-CN"/>
              </w:rPr>
              <w:t>选址已避开不良地质条件区。从环境角度分析，拟选的</w:t>
            </w:r>
            <w:r>
              <w:rPr>
                <w:rFonts w:hint="eastAsia" w:cs="Times New Roman"/>
                <w:color w:val="auto"/>
                <w:lang w:val="en-US" w:eastAsia="zh-CN"/>
              </w:rPr>
              <w:t>建筑垃圾临时堆放场选址</w:t>
            </w:r>
            <w:r>
              <w:rPr>
                <w:rFonts w:hint="eastAsia" w:ascii="Times New Roman" w:hAnsi="Times New Roman" w:cs="Times New Roman"/>
                <w:color w:val="auto"/>
                <w:lang w:val="en-US" w:eastAsia="zh-CN"/>
              </w:rPr>
              <w:t>合理。</w:t>
            </w:r>
          </w:p>
        </w:tc>
      </w:tr>
    </w:tbl>
    <w:p>
      <w:pPr>
        <w:pStyle w:val="10"/>
        <w:jc w:val="center"/>
        <w:rPr>
          <w:rFonts w:hint="default" w:ascii="Times New Roman" w:hAnsi="Times New Roman" w:eastAsia="黑体" w:cs="Times New Roman"/>
          <w:snapToGrid w:val="0"/>
          <w:color w:val="auto"/>
          <w:sz w:val="36"/>
          <w:szCs w:val="36"/>
        </w:rPr>
        <w:sectPr>
          <w:pgSz w:w="11906" w:h="16838"/>
          <w:pgMar w:top="1440" w:right="1800" w:bottom="1440" w:left="1800" w:header="851" w:footer="1077" w:gutter="0"/>
          <w:cols w:space="720" w:num="1"/>
          <w:docGrid w:linePitch="312" w:charSpace="0"/>
        </w:sectPr>
      </w:pPr>
    </w:p>
    <w:p>
      <w:pPr>
        <w:pStyle w:val="2"/>
        <w:bidi w:val="0"/>
        <w:rPr>
          <w:rFonts w:hint="default"/>
          <w:color w:val="auto"/>
        </w:rPr>
      </w:pPr>
      <w:bookmarkStart w:id="554" w:name="_Toc2106"/>
      <w:bookmarkStart w:id="555" w:name="_Toc2389"/>
      <w:r>
        <w:rPr>
          <w:rFonts w:hint="default"/>
          <w:color w:val="auto"/>
        </w:rPr>
        <w:t>五、主要生态环境保护措施</w:t>
      </w:r>
      <w:bookmarkEnd w:id="554"/>
      <w:bookmarkEnd w:id="555"/>
    </w:p>
    <w:tbl>
      <w:tblPr>
        <w:tblStyle w:val="11"/>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753" w:type="dxa"/>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pacing w:val="10"/>
                <w:szCs w:val="21"/>
              </w:rPr>
              <w:t>施工期生态环境保护措施</w:t>
            </w:r>
          </w:p>
        </w:tc>
        <w:tc>
          <w:tcPr>
            <w:tcW w:w="8457" w:type="dxa"/>
            <w:noWrap w:val="0"/>
            <w:vAlign w:val="center"/>
          </w:tcPr>
          <w:p>
            <w:pPr>
              <w:pStyle w:val="3"/>
              <w:bidi w:val="0"/>
              <w:rPr>
                <w:rFonts w:hint="default" w:ascii="Times New Roman" w:hAnsi="Times New Roman" w:cs="Times New Roman"/>
                <w:color w:val="auto"/>
                <w:lang w:val="en-US" w:eastAsia="zh-CN"/>
              </w:rPr>
            </w:pPr>
            <w:bookmarkStart w:id="556" w:name="_Toc18406"/>
            <w:bookmarkStart w:id="557" w:name="_Toc17575"/>
            <w:bookmarkStart w:id="558" w:name="_Toc28762"/>
            <w:bookmarkStart w:id="559" w:name="_Toc25168"/>
            <w:bookmarkStart w:id="560" w:name="_Toc14031"/>
            <w:bookmarkStart w:id="561" w:name="_Toc17274"/>
            <w:bookmarkStart w:id="562" w:name="_Toc29888"/>
            <w:bookmarkStart w:id="563" w:name="_Toc16193"/>
            <w:bookmarkStart w:id="564" w:name="_Toc17562"/>
            <w:bookmarkStart w:id="565" w:name="_Toc31837"/>
            <w:r>
              <w:rPr>
                <w:rFonts w:hint="default" w:ascii="Times New Roman" w:hAnsi="Times New Roman" w:cs="Times New Roman"/>
                <w:color w:val="auto"/>
                <w:lang w:val="en-US" w:eastAsia="zh-CN"/>
              </w:rPr>
              <w:t>1、水环境保护措施</w:t>
            </w:r>
            <w:bookmarkEnd w:id="556"/>
            <w:bookmarkEnd w:id="557"/>
            <w:bookmarkEnd w:id="558"/>
            <w:bookmarkEnd w:id="559"/>
            <w:bookmarkEnd w:id="560"/>
            <w:bookmarkEnd w:id="561"/>
            <w:bookmarkEnd w:id="562"/>
            <w:bookmarkEnd w:id="563"/>
            <w:bookmarkEnd w:id="564"/>
            <w:bookmarkEnd w:id="565"/>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生活污水</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随着施工期的结束，施工期施工人员生活污水、施工生产废水对环境的影响也随即消失。根据现场踏勘，工程施工现场不设施工人员生活区，施工人员临时住房租用附近民房加以解决，生活污水依托</w:t>
            </w:r>
            <w:r>
              <w:rPr>
                <w:rFonts w:hint="eastAsia" w:cs="Times New Roman"/>
                <w:color w:val="auto"/>
                <w:lang w:val="en-US" w:eastAsia="zh-CN"/>
              </w:rPr>
              <w:t>民房下水管道收集至</w:t>
            </w:r>
            <w:r>
              <w:rPr>
                <w:rFonts w:hint="default" w:ascii="Times New Roman" w:hAnsi="Times New Roman" w:cs="Times New Roman"/>
                <w:color w:val="auto"/>
                <w:lang w:val="en-US" w:eastAsia="zh-CN"/>
              </w:rPr>
              <w:t>化粪池处理后定期由环卫部门抽走，不向外排放</w:t>
            </w:r>
            <w:r>
              <w:rPr>
                <w:rFonts w:hint="eastAsia" w:cs="Times New Roman"/>
                <w:color w:val="auto"/>
                <w:lang w:val="en-US" w:eastAsia="zh-CN"/>
              </w:rPr>
              <w:t>；施工生产废水经沉淀池沉淀处理后，上清液回用，不向外排放。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（2）泥浆水</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经预过滤后将泥浆水通过沉淀池将泥砂分离出来，上清液回用，沉淀经过压滤脱水后交由陆上环卫部门处理。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（3）冷却水、洗涤水、冲洗废水、车辆清洗水</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经施工场地内设置的沉淀池沉淀处理后用作为场地降尘或绿化，不会对水环境造成影响。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（4）油污水</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经趸船油污水分离器处理后储存在趸船舱底油水油水罐，定期交由陆地有资质的单位收集处置。</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（5）材料堆放场、挖方、填方对水体产生影响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材料堆放场、挖方、填方四周应挖截留沟，截流沟废水汇入沉淀池，上清液回用，尽可能减少对水体产生影响的风险</w:t>
            </w:r>
            <w:r>
              <w:rPr>
                <w:rFonts w:hint="eastAsia" w:cs="Times New Roman"/>
                <w:color w:val="auto"/>
                <w:lang w:val="en-US" w:eastAsia="zh-CN"/>
              </w:rPr>
              <w:t>；施工场地周围设置围挡与喷淋降尘，防止碎石、弃土以及废气进入水体对水体产生影响</w:t>
            </w:r>
            <w:r>
              <w:rPr>
                <w:rFonts w:hint="default" w:ascii="Times New Roman" w:hAnsi="Times New Roman" w:cs="Times New Roman"/>
                <w:color w:val="auto"/>
                <w:lang w:val="en-US" w:eastAsia="zh-CN"/>
              </w:rPr>
              <w:t>。</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（6）初期雨水</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根据类似工程的实施经验，初期雨水采用混凝沉淀法进行处理可取得较好的去除效果。</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需控制水土流失场地四周布置B×H=0.5×0.5m的矩形砖砌集水沟，底面与两侧均用水泥砂浆抹面，两侧上边缘高于地面0.1m。地表径流经集水沟收集后先经过格栅，截除较大垃圾、树叶等，进入沉砂池，将粒径为0.2mm以上的砂砾去除，再进入沉淀池，并在沉淀池中投加凝聚剂，去除废水中粒径较小的砂石。</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沉砂池水力停留时间0.5h，沉淀池水力停留时间3.0h，结构均为砖混。格栅采用人工清污，沉砂池、沉淀池人工定期清除泥渣。泥渣统一运至</w:t>
            </w:r>
            <w:r>
              <w:rPr>
                <w:rFonts w:hint="eastAsia" w:cs="Times New Roman"/>
                <w:color w:val="auto"/>
                <w:lang w:val="en-US" w:eastAsia="zh-CN"/>
              </w:rPr>
              <w:t>建筑垃圾临时堆放场</w:t>
            </w:r>
            <w:r>
              <w:rPr>
                <w:rFonts w:hint="default" w:ascii="Times New Roman" w:hAnsi="Times New Roman" w:cs="Times New Roman"/>
                <w:color w:val="auto"/>
                <w:lang w:val="en-US" w:eastAsia="zh-CN"/>
              </w:rPr>
              <w:t>处理，不得在处理构筑物附近随意堆弃。</w:t>
            </w:r>
          </w:p>
          <w:p>
            <w:pPr>
              <w:bidi w:val="0"/>
              <w:rPr>
                <w:rFonts w:hint="default" w:ascii="Times New Roman" w:hAnsi="Times New Roman" w:cs="Times New Roman"/>
                <w:bCs/>
                <w:color w:val="auto"/>
                <w:spacing w:val="10"/>
                <w:szCs w:val="21"/>
                <w:lang w:val="en-US" w:eastAsia="zh-CN"/>
              </w:rPr>
            </w:pPr>
            <w:r>
              <w:rPr>
                <w:rFonts w:hint="default" w:ascii="Times New Roman" w:hAnsi="Times New Roman" w:cs="Times New Roman"/>
                <w:color w:val="auto"/>
                <w:lang w:val="en-US" w:eastAsia="zh-CN"/>
              </w:rPr>
              <w:t>综上所述，本项目不直接向周边水体排放废水，对水环境影响较小</w:t>
            </w:r>
            <w:r>
              <w:rPr>
                <w:rFonts w:hint="default" w:ascii="Times New Roman" w:hAnsi="Times New Roman" w:cs="Times New Roman"/>
                <w:bCs/>
                <w:color w:val="auto"/>
                <w:spacing w:val="10"/>
                <w:szCs w:val="21"/>
                <w:lang w:val="en-US" w:eastAsia="zh-CN"/>
              </w:rPr>
              <w:t>。</w:t>
            </w:r>
          </w:p>
          <w:p>
            <w:pPr>
              <w:pStyle w:val="3"/>
              <w:bidi w:val="0"/>
              <w:rPr>
                <w:rFonts w:hint="default" w:ascii="Times New Roman" w:hAnsi="Times New Roman" w:cs="Times New Roman"/>
                <w:b/>
                <w:bCs/>
                <w:color w:val="auto"/>
                <w:kern w:val="0"/>
                <w:sz w:val="28"/>
                <w:szCs w:val="22"/>
                <w:lang w:val="en-US" w:eastAsia="zh-CN"/>
              </w:rPr>
            </w:pPr>
            <w:bookmarkStart w:id="566" w:name="_Toc26038"/>
            <w:bookmarkStart w:id="567" w:name="_Toc24788"/>
            <w:bookmarkStart w:id="568" w:name="_Toc12762"/>
            <w:bookmarkStart w:id="569" w:name="_Toc14971"/>
            <w:bookmarkStart w:id="570" w:name="_Toc18566"/>
            <w:bookmarkStart w:id="571" w:name="_Toc14254"/>
            <w:bookmarkStart w:id="572" w:name="_Toc17123"/>
            <w:bookmarkStart w:id="573" w:name="_Toc25289"/>
            <w:bookmarkStart w:id="574" w:name="_Toc30649"/>
            <w:bookmarkStart w:id="575" w:name="_Toc11381"/>
            <w:r>
              <w:rPr>
                <w:rFonts w:hint="default" w:ascii="Times New Roman" w:hAnsi="Times New Roman" w:cs="Times New Roman"/>
                <w:b/>
                <w:bCs/>
                <w:color w:val="auto"/>
                <w:kern w:val="0"/>
                <w:sz w:val="28"/>
                <w:szCs w:val="22"/>
                <w:lang w:val="en-US" w:eastAsia="zh-CN"/>
              </w:rPr>
              <w:t>2、大气环境保护措施</w:t>
            </w:r>
            <w:bookmarkEnd w:id="566"/>
            <w:bookmarkEnd w:id="567"/>
            <w:bookmarkEnd w:id="568"/>
            <w:bookmarkEnd w:id="569"/>
            <w:bookmarkEnd w:id="570"/>
            <w:bookmarkEnd w:id="571"/>
            <w:bookmarkEnd w:id="572"/>
            <w:bookmarkEnd w:id="573"/>
            <w:bookmarkEnd w:id="574"/>
            <w:bookmarkEnd w:id="575"/>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（1）防尘措施</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多尘物料运输过程中的除尘：土料和水泥运输过程中应注意防止空气污染。在晴朗多风天气，装载土料时，应适当加湿或用帆布覆盖；运送散装水泥车辆的储罐应保持良好的密封状态，运用袋装水泥必须覆盖封闭。车辆在施工布置区和居民区行驶时，车速不得超过15km/h；施工区应配备洒水车，在无雨天每日对施工运输经过的环境敏感地段进行洒水4-6次，同时道路应及时清扫。</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②物料堆积时的防尘：土料堆积过程中，堆积边坡的角度不宜过大，及时夯实；散装水泥应尽可能避免露天堆放。晴朗多风天气应对露天堆放的临时堆放的料适当加湿，防止被风吹散。</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（2）燃油废气控制措施</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机械及运输车辆应定期检修与保养，及时清洗，确保施工机械及运输车辆始终处于良好的工作状态。加强大型施工机械和车辆的管理，执行定期检查维护制定（I/M制度）；承包商所有燃油机械和车辆尾气排放应执行《汽车大气污染物排放标准》（GB14761.1～14761.7～93），若其尾气不能达标排放，必须配置消烟除尘设备；施工机械使用无铅汽油等优质燃料；严格执行《汽车报废标准》，推行强制更新报废制度，特别是对发动机耗油多、效率低、排放尾气严重超标的老旧车辆，应予以及时更新。</w:t>
            </w:r>
          </w:p>
          <w:p>
            <w:pPr>
              <w:pStyle w:val="3"/>
              <w:bidi w:val="0"/>
              <w:rPr>
                <w:rFonts w:hint="default" w:ascii="Times New Roman" w:hAnsi="Times New Roman" w:cs="Times New Roman"/>
                <w:b/>
                <w:bCs/>
                <w:color w:val="auto"/>
                <w:kern w:val="0"/>
                <w:sz w:val="28"/>
                <w:szCs w:val="22"/>
                <w:lang w:val="en-US" w:eastAsia="zh-CN"/>
              </w:rPr>
            </w:pPr>
            <w:bookmarkStart w:id="576" w:name="_Toc25480"/>
            <w:bookmarkStart w:id="577" w:name="_Toc10845"/>
            <w:bookmarkStart w:id="578" w:name="_Toc29191"/>
            <w:bookmarkStart w:id="579" w:name="_Toc22097"/>
            <w:bookmarkStart w:id="580" w:name="_Toc14469"/>
            <w:bookmarkStart w:id="581" w:name="_Toc16969"/>
            <w:bookmarkStart w:id="582" w:name="_Toc8367"/>
            <w:bookmarkStart w:id="583" w:name="_Toc26590"/>
            <w:bookmarkStart w:id="584" w:name="_Toc19986"/>
            <w:bookmarkStart w:id="585" w:name="_Toc19153"/>
            <w:r>
              <w:rPr>
                <w:rFonts w:hint="default" w:ascii="Times New Roman" w:hAnsi="Times New Roman" w:cs="Times New Roman"/>
                <w:b/>
                <w:bCs/>
                <w:color w:val="auto"/>
                <w:kern w:val="0"/>
                <w:sz w:val="28"/>
                <w:szCs w:val="22"/>
                <w:lang w:val="en-US" w:eastAsia="zh-CN"/>
              </w:rPr>
              <w:t>3、声环境保护措施</w:t>
            </w:r>
            <w:bookmarkEnd w:id="576"/>
            <w:bookmarkEnd w:id="577"/>
            <w:bookmarkEnd w:id="578"/>
            <w:bookmarkEnd w:id="579"/>
            <w:bookmarkEnd w:id="580"/>
            <w:bookmarkEnd w:id="581"/>
            <w:bookmarkEnd w:id="582"/>
            <w:bookmarkEnd w:id="583"/>
            <w:bookmarkEnd w:id="584"/>
            <w:bookmarkEnd w:id="585"/>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（1）噪声源控制</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改进施工技术，尽量选用低噪声的设备和工艺；机动车辆的喇叭选用指向性强的低噪声喇叭；加强机械设备的维修和保养，减少运行噪声；车辆穿行居民区、学校时，应减速行驶，禁止高音鸣笛。合理</w:t>
            </w:r>
            <w:r>
              <w:rPr>
                <w:rFonts w:hint="eastAsia" w:ascii="宋体" w:hAnsi="宋体" w:eastAsia="宋体" w:cs="宋体"/>
                <w:color w:val="auto"/>
                <w:lang w:val="en-US" w:eastAsia="zh-CN"/>
              </w:rPr>
              <w:t>制定“三材”及土</w:t>
            </w:r>
            <w:r>
              <w:rPr>
                <w:rFonts w:hint="default" w:ascii="Times New Roman" w:hAnsi="Times New Roman" w:cs="Times New Roman"/>
                <w:color w:val="auto"/>
                <w:lang w:val="en-US" w:eastAsia="zh-CN"/>
              </w:rPr>
              <w:t>料运输线路，尽可能绕过集镇街区、居民区及学校等敏感区域。</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（2）合理安排施工时段</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由于该码头离大立小区</w:t>
            </w:r>
            <w:r>
              <w:rPr>
                <w:rFonts w:hint="eastAsia" w:cs="Times New Roman"/>
                <w:color w:val="auto"/>
                <w:lang w:val="en-US" w:eastAsia="zh-CN"/>
              </w:rPr>
              <w:t>居民集中点</w:t>
            </w:r>
            <w:r>
              <w:rPr>
                <w:rFonts w:hint="default" w:ascii="Times New Roman" w:hAnsi="Times New Roman" w:cs="Times New Roman"/>
                <w:color w:val="auto"/>
                <w:lang w:val="en-US" w:eastAsia="zh-CN"/>
              </w:rPr>
              <w:t>较近，因此施工噪声会对居民产生影响。因此在晚上10:00至凌晨6:00严禁施工，且施工物料运输车辆经过小区时车速不得超过15km/h，并严禁鸣笛。</w:t>
            </w:r>
          </w:p>
          <w:p>
            <w:pPr>
              <w:pStyle w:val="3"/>
              <w:bidi w:val="0"/>
              <w:rPr>
                <w:rFonts w:hint="default" w:ascii="Times New Roman" w:hAnsi="Times New Roman" w:cs="Times New Roman"/>
                <w:color w:val="auto"/>
                <w:lang w:val="en-US" w:eastAsia="zh-CN"/>
              </w:rPr>
            </w:pPr>
            <w:bookmarkStart w:id="586" w:name="_Toc22498"/>
            <w:bookmarkStart w:id="587" w:name="_Toc10931"/>
            <w:bookmarkStart w:id="588" w:name="_Toc8253"/>
            <w:bookmarkStart w:id="589" w:name="_Toc7252"/>
            <w:bookmarkStart w:id="590" w:name="_Toc3290"/>
            <w:bookmarkStart w:id="591" w:name="_Toc31510"/>
            <w:bookmarkStart w:id="592" w:name="_Toc27712"/>
            <w:bookmarkStart w:id="593" w:name="_Toc11056"/>
            <w:bookmarkStart w:id="594" w:name="_Toc17792"/>
            <w:bookmarkStart w:id="595" w:name="_Toc24832"/>
            <w:r>
              <w:rPr>
                <w:rFonts w:hint="default" w:ascii="Times New Roman" w:hAnsi="Times New Roman" w:cs="Times New Roman"/>
                <w:color w:val="auto"/>
                <w:lang w:val="en-US" w:eastAsia="zh-CN"/>
              </w:rPr>
              <w:t>4、固体废物环境保护措施</w:t>
            </w:r>
            <w:bookmarkEnd w:id="586"/>
            <w:bookmarkEnd w:id="587"/>
            <w:bookmarkEnd w:id="588"/>
            <w:bookmarkEnd w:id="589"/>
            <w:bookmarkEnd w:id="590"/>
            <w:bookmarkEnd w:id="591"/>
            <w:bookmarkEnd w:id="592"/>
            <w:bookmarkEnd w:id="593"/>
            <w:bookmarkEnd w:id="594"/>
            <w:bookmarkEnd w:id="595"/>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（1）保养维修废机油</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项目建设中会产生一定量用于保养、维修施工机械设备的废机油，总产生量约为</w:t>
            </w:r>
            <w:r>
              <w:rPr>
                <w:rFonts w:hint="eastAsia" w:cs="Times New Roman"/>
                <w:color w:val="auto"/>
                <w:lang w:val="en-US" w:eastAsia="zh-CN"/>
              </w:rPr>
              <w:t>0.1t</w:t>
            </w:r>
            <w:r>
              <w:rPr>
                <w:rFonts w:hint="default" w:ascii="Times New Roman" w:hAnsi="Times New Roman" w:cs="Times New Roman"/>
                <w:color w:val="auto"/>
                <w:lang w:val="en-US" w:eastAsia="zh-CN"/>
              </w:rPr>
              <w:t>/a。根据《国家危险废物名录（2021年版）》，该废机油属于HW08废矿物油与含矿物油废物</w:t>
            </w:r>
            <w:r>
              <w:rPr>
                <w:rFonts w:hint="eastAsia" w:ascii="宋体" w:hAnsi="宋体" w:eastAsia="宋体" w:cs="宋体"/>
                <w:color w:val="auto"/>
                <w:lang w:val="en-US" w:eastAsia="zh-CN"/>
              </w:rPr>
              <w:t>类别下“车辆、轮船及其它机械维修过程中产生的废发动机油、制动器油、自动变速器油、齿轮油等废润滑油”，废物</w:t>
            </w:r>
            <w:r>
              <w:rPr>
                <w:rFonts w:hint="default" w:ascii="Times New Roman" w:hAnsi="Times New Roman" w:cs="Times New Roman"/>
                <w:color w:val="auto"/>
                <w:lang w:val="en-US" w:eastAsia="zh-CN"/>
              </w:rPr>
              <w:t>代码为900-214-08，产生的废机油委托有危废处理资质单位收集处理。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r>
              <w:rPr>
                <w:rFonts w:hint="eastAsia" w:cs="Times New Roman"/>
                <w:color w:val="auto"/>
                <w:lang w:val="en-US" w:eastAsia="zh-CN"/>
              </w:rPr>
              <w:t>建筑垃圾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在岸基加固</w:t>
            </w:r>
            <w:r>
              <w:rPr>
                <w:rFonts w:hint="eastAsia" w:cs="Times New Roman"/>
                <w:color w:val="auto"/>
                <w:lang w:val="en-US" w:eastAsia="zh-CN"/>
              </w:rPr>
              <w:t>、通码头公路</w:t>
            </w:r>
            <w:r>
              <w:rPr>
                <w:rFonts w:hint="default" w:ascii="Times New Roman" w:hAnsi="Times New Roman" w:cs="Times New Roman"/>
                <w:color w:val="auto"/>
                <w:lang w:val="en-US" w:eastAsia="zh-CN"/>
              </w:rPr>
              <w:t>扩宽加固</w:t>
            </w:r>
            <w:r>
              <w:rPr>
                <w:rFonts w:hint="eastAsia" w:cs="Times New Roman"/>
                <w:color w:val="auto"/>
                <w:lang w:val="en-US" w:eastAsia="zh-CN"/>
              </w:rPr>
              <w:t>、沿河栈道加固</w:t>
            </w:r>
            <w:r>
              <w:rPr>
                <w:rFonts w:hint="default" w:ascii="Times New Roman" w:hAnsi="Times New Roman" w:cs="Times New Roman"/>
                <w:color w:val="auto"/>
                <w:lang w:val="en-US" w:eastAsia="zh-CN"/>
              </w:rPr>
              <w:t>过程中会产生一定量的</w:t>
            </w:r>
            <w:r>
              <w:rPr>
                <w:rFonts w:hint="eastAsia" w:cs="Times New Roman"/>
                <w:color w:val="auto"/>
                <w:lang w:val="en-US" w:eastAsia="zh-CN"/>
              </w:rPr>
              <w:t>建筑垃圾</w:t>
            </w:r>
            <w:r>
              <w:rPr>
                <w:rFonts w:hint="default" w:ascii="Times New Roman" w:hAnsi="Times New Roman" w:cs="Times New Roman"/>
                <w:color w:val="auto"/>
                <w:lang w:val="en-US" w:eastAsia="zh-CN"/>
              </w:rPr>
              <w:t>，总计约</w:t>
            </w:r>
            <w:r>
              <w:rPr>
                <w:rFonts w:hint="eastAsia" w:cs="Times New Roman"/>
                <w:color w:val="auto"/>
                <w:lang w:val="en-US" w:eastAsia="zh-CN"/>
              </w:rPr>
              <w:t>3300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，统一收集至</w:t>
            </w:r>
            <w:r>
              <w:rPr>
                <w:rFonts w:hint="eastAsia" w:cs="Times New Roman"/>
                <w:color w:val="auto"/>
                <w:lang w:val="en-US" w:eastAsia="zh-CN"/>
              </w:rPr>
              <w:t>建筑垃圾临时堆放场，用于回填</w:t>
            </w:r>
            <w:r>
              <w:rPr>
                <w:rFonts w:hint="default" w:ascii="Times New Roman" w:hAnsi="Times New Roman" w:cs="Times New Roman"/>
                <w:color w:val="auto"/>
                <w:lang w:val="en-US" w:eastAsia="zh-CN"/>
              </w:rPr>
              <w:t>。</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（3）生活垃圾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根据类似工程实施经验，施工期间产生的固体废物主要是施工人员聚集产生的生活垃圾。本项目平均每日劳动力人数</w:t>
            </w:r>
            <w:r>
              <w:rPr>
                <w:rFonts w:hint="eastAsia" w:cs="Times New Roman"/>
                <w:color w:val="auto"/>
                <w:lang w:val="en-US" w:eastAsia="zh-CN"/>
              </w:rPr>
              <w:t>4</w:t>
            </w:r>
            <w:r>
              <w:rPr>
                <w:rFonts w:hint="default" w:ascii="Times New Roman" w:hAnsi="Times New Roman" w:cs="Times New Roman"/>
                <w:color w:val="auto"/>
                <w:lang w:val="en-US" w:eastAsia="zh-CN"/>
              </w:rPr>
              <w:t>人，人均日产生活垃圾</w:t>
            </w:r>
            <w:r>
              <w:rPr>
                <w:rFonts w:hint="eastAsia" w:cs="Times New Roman"/>
                <w:color w:val="auto"/>
                <w:lang w:val="en-US" w:eastAsia="zh-CN"/>
              </w:rPr>
              <w:t>1</w:t>
            </w:r>
            <w:r>
              <w:rPr>
                <w:rFonts w:hint="default" w:ascii="Times New Roman" w:hAnsi="Times New Roman" w:cs="Times New Roman"/>
                <w:color w:val="auto"/>
                <w:lang w:val="en-US" w:eastAsia="zh-CN"/>
              </w:rPr>
              <w:t>kg，平均日产生垃圾</w:t>
            </w:r>
            <w:r>
              <w:rPr>
                <w:rFonts w:hint="eastAsia" w:cs="Times New Roman"/>
                <w:color w:val="auto"/>
                <w:lang w:val="en-US" w:eastAsia="zh-CN"/>
              </w:rPr>
              <w:t>4kg</w:t>
            </w:r>
            <w:r>
              <w:rPr>
                <w:rFonts w:hint="default" w:ascii="Times New Roman" w:hAnsi="Times New Roman" w:cs="Times New Roman"/>
                <w:color w:val="auto"/>
                <w:lang w:val="en-US" w:eastAsia="zh-CN"/>
              </w:rPr>
              <w:t>。生活垃圾不得随意堆放、丢弃，不得占用附近农田及其他土地资源，不得入河，产生的各类生活垃圾均应集中收集至定点的垃圾桶内，由工程建设管理部门委托当地环卫部门统一清运、处理，每天清运1次，夏季每周对垃圾桶进行消毒处理，防止苍蝇蚊虫等害虫孳生。</w:t>
            </w:r>
          </w:p>
          <w:p>
            <w:pPr>
              <w:pStyle w:val="3"/>
              <w:bidi w:val="0"/>
              <w:rPr>
                <w:rFonts w:hint="default" w:ascii="Times New Roman" w:hAnsi="Times New Roman" w:cs="Times New Roman"/>
                <w:b/>
                <w:bCs/>
                <w:color w:val="auto"/>
                <w:kern w:val="0"/>
                <w:sz w:val="28"/>
                <w:szCs w:val="22"/>
                <w:lang w:val="en-US" w:eastAsia="zh-CN"/>
              </w:rPr>
            </w:pPr>
            <w:bookmarkStart w:id="596" w:name="_Toc24955"/>
            <w:bookmarkStart w:id="597" w:name="_Toc20148"/>
            <w:bookmarkStart w:id="598" w:name="_Toc7200"/>
            <w:bookmarkStart w:id="599" w:name="_Toc19890"/>
            <w:bookmarkStart w:id="600" w:name="_Toc27770"/>
            <w:bookmarkStart w:id="601" w:name="_Toc31561"/>
            <w:bookmarkStart w:id="602" w:name="_Toc940"/>
            <w:bookmarkStart w:id="603" w:name="_Toc8224"/>
            <w:bookmarkStart w:id="604" w:name="_Toc15245"/>
            <w:bookmarkStart w:id="605" w:name="_Toc12553"/>
            <w:r>
              <w:rPr>
                <w:rFonts w:hint="default" w:ascii="Times New Roman" w:hAnsi="Times New Roman" w:cs="Times New Roman"/>
                <w:b/>
                <w:bCs/>
                <w:color w:val="auto"/>
                <w:kern w:val="0"/>
                <w:sz w:val="28"/>
                <w:szCs w:val="22"/>
                <w:lang w:val="en-US" w:eastAsia="zh-CN"/>
              </w:rPr>
              <w:t>5、生态保护措施</w:t>
            </w:r>
            <w:bookmarkEnd w:id="596"/>
            <w:bookmarkEnd w:id="597"/>
            <w:bookmarkEnd w:id="598"/>
            <w:bookmarkEnd w:id="599"/>
            <w:bookmarkEnd w:id="600"/>
            <w:bookmarkEnd w:id="601"/>
            <w:bookmarkEnd w:id="602"/>
            <w:bookmarkEnd w:id="603"/>
            <w:bookmarkEnd w:id="604"/>
            <w:bookmarkEnd w:id="605"/>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本码头建设项目主要为岸基加固</w:t>
            </w:r>
            <w:r>
              <w:rPr>
                <w:rFonts w:hint="eastAsia" w:cs="Times New Roman"/>
                <w:color w:val="auto"/>
                <w:lang w:val="en-US" w:eastAsia="zh-CN"/>
              </w:rPr>
              <w:t>、通码头公路</w:t>
            </w:r>
            <w:r>
              <w:rPr>
                <w:rFonts w:hint="default" w:ascii="Times New Roman" w:hAnsi="Times New Roman" w:cs="Times New Roman"/>
                <w:color w:val="auto"/>
                <w:lang w:val="en-US" w:eastAsia="zh-CN"/>
              </w:rPr>
              <w:t>扩宽加固</w:t>
            </w:r>
            <w:r>
              <w:rPr>
                <w:rFonts w:hint="eastAsia" w:cs="Times New Roman"/>
                <w:color w:val="auto"/>
                <w:lang w:val="en-US" w:eastAsia="zh-CN"/>
              </w:rPr>
              <w:t>、沿河栈道加固</w:t>
            </w:r>
            <w:r>
              <w:rPr>
                <w:rFonts w:hint="default" w:ascii="Times New Roman" w:hAnsi="Times New Roman" w:cs="Times New Roman"/>
                <w:color w:val="auto"/>
                <w:lang w:val="en-US" w:eastAsia="zh-CN"/>
              </w:rPr>
              <w:t>施工，无涉水工程，主要对陆域生态环境产生影响，对水域生态环境影响较小。由于施工区域距离水域很近，建设单位与施工人员应避免向水域排放生活污水、含油污水等；做好陆-水域隔离措施，</w:t>
            </w:r>
            <w:r>
              <w:rPr>
                <w:rFonts w:hint="eastAsia" w:cs="Times New Roman"/>
                <w:color w:val="auto"/>
                <w:lang w:val="en-US" w:eastAsia="zh-CN"/>
              </w:rPr>
              <w:t>建筑垃圾</w:t>
            </w:r>
            <w:r>
              <w:rPr>
                <w:rFonts w:hint="default" w:ascii="Times New Roman" w:hAnsi="Times New Roman" w:cs="Times New Roman"/>
                <w:color w:val="auto"/>
                <w:lang w:val="en-US" w:eastAsia="zh-CN"/>
              </w:rPr>
              <w:t>、生活垃圾等固体废物不应堆放于靠近水域方向。同时，还应针对码头采取以下保护措施：</w:t>
            </w:r>
          </w:p>
          <w:p>
            <w:pPr>
              <w:bidi w:val="0"/>
              <w:rPr>
                <w:rFonts w:hint="default" w:ascii="Times New Roman" w:hAnsi="Times New Roman" w:cs="Times New Roman"/>
                <w:color w:val="auto"/>
              </w:rPr>
            </w:pPr>
            <w:r>
              <w:rPr>
                <w:rFonts w:hint="default" w:ascii="Times New Roman" w:hAnsi="Times New Roman" w:cs="Times New Roman"/>
                <w:color w:val="auto"/>
                <w:lang w:val="en-US" w:eastAsia="zh-CN"/>
              </w:rPr>
              <w:t>①加强</w:t>
            </w:r>
            <w:r>
              <w:rPr>
                <w:rFonts w:hint="default" w:ascii="Times New Roman" w:hAnsi="Times New Roman" w:cs="Times New Roman"/>
                <w:color w:val="auto"/>
              </w:rPr>
              <w:t>教育，增强员工环保意识，注意项目所在水体生态环境的保护，不向水体中排放垃圾。</w:t>
            </w:r>
          </w:p>
          <w:p>
            <w:pPr>
              <w:bidi w:val="0"/>
              <w:rPr>
                <w:rFonts w:hint="default" w:ascii="Times New Roman" w:hAnsi="Times New Roman" w:cs="Times New Roman"/>
                <w:color w:val="auto"/>
              </w:rPr>
            </w:pPr>
            <w:r>
              <w:rPr>
                <w:rFonts w:hint="default" w:ascii="Times New Roman" w:hAnsi="Times New Roman" w:cs="Times New Roman"/>
                <w:color w:val="auto"/>
                <w:lang w:val="en-US" w:eastAsia="zh-CN"/>
              </w:rPr>
              <w:t>②</w:t>
            </w:r>
            <w:r>
              <w:rPr>
                <w:rFonts w:hint="default" w:ascii="Times New Roman" w:hAnsi="Times New Roman" w:cs="Times New Roman"/>
                <w:color w:val="auto"/>
              </w:rPr>
              <w:t>禁止</w:t>
            </w:r>
            <w:r>
              <w:rPr>
                <w:rFonts w:hint="default" w:ascii="Times New Roman" w:hAnsi="Times New Roman" w:cs="Times New Roman"/>
                <w:color w:val="auto"/>
                <w:lang w:val="en-US" w:eastAsia="zh-CN"/>
              </w:rPr>
              <w:t>工作</w:t>
            </w:r>
            <w:r>
              <w:rPr>
                <w:rFonts w:hint="default" w:ascii="Times New Roman" w:hAnsi="Times New Roman" w:cs="Times New Roman"/>
                <w:color w:val="auto"/>
              </w:rPr>
              <w:t>船舶直接向水体排放污水和垃圾。项目不购置船只，码头设有船舶生活污水收集桶，可接收船舶生活污水；设置含油污水接收设施，可接收船舶含油污水，收集后委托具有相应资质的单位处置，因此不会对附近水体造成污染，保护了水生生物的生存环境。</w:t>
            </w:r>
          </w:p>
          <w:p>
            <w:pPr>
              <w:bidi w:val="0"/>
              <w:rPr>
                <w:rFonts w:hint="default" w:ascii="Times New Roman" w:hAnsi="Times New Roman" w:cs="Times New Roman"/>
                <w:color w:val="auto"/>
              </w:rPr>
            </w:pPr>
            <w:r>
              <w:rPr>
                <w:rFonts w:hint="default" w:ascii="Times New Roman" w:hAnsi="Times New Roman" w:cs="Times New Roman"/>
                <w:color w:val="auto"/>
              </w:rPr>
              <w:t>③本工程应对陆域部分加强空地进行绿化，包括种植树木、花卉、草坪等，绿化树种宜选择能吸收较强的植物，可降低营运期废气对环境的影响。</w:t>
            </w:r>
          </w:p>
          <w:p>
            <w:pPr>
              <w:bidi w:val="0"/>
              <w:rPr>
                <w:rFonts w:hint="default" w:ascii="Times New Roman" w:hAnsi="Times New Roman" w:cs="Times New Roman"/>
                <w:color w:val="auto"/>
              </w:rPr>
            </w:pPr>
            <w:r>
              <w:rPr>
                <w:rFonts w:hint="default" w:ascii="Times New Roman" w:hAnsi="Times New Roman" w:cs="Times New Roman"/>
                <w:color w:val="auto"/>
              </w:rPr>
              <w:t>④项目码头泊位沿河布置，不占用水域通道，对附近水域河势演变及泥沙运动影响较小，不会对鱼类生存及洄游产生不利影响。船舶航行会对周围水体产生扰动，这些扰动会对水生生物的生物量、种类及栖息环境产生一定影响。由于船舶是在水体上层航行，主要影响也集中在上层水域，水生生物除浮游生物在水体表层活动强度较大外，其他生物多在中层及底层活动，且水生生物的浮（游）动性较强，会自动规避船舶带来的扰动。因此，船舶航行不会改变水生生物的栖息环境，也不会使生物种类，数量明显减少。</w:t>
            </w:r>
          </w:p>
          <w:p>
            <w:pPr>
              <w:bidi w:val="0"/>
              <w:rPr>
                <w:rFonts w:hint="default" w:ascii="Times New Roman" w:hAnsi="Times New Roman" w:cs="Times New Roman"/>
                <w:color w:val="auto"/>
              </w:rPr>
            </w:pPr>
            <w:r>
              <w:rPr>
                <w:rFonts w:hint="default" w:ascii="Times New Roman" w:hAnsi="Times New Roman" w:cs="Times New Roman"/>
                <w:color w:val="auto"/>
              </w:rPr>
              <w:t>上述措施，均为常见的保护措施，且投资小，长期有效，因此采取的措施切实可行。项目本身的污染并不严重，引起的生态影响较小，在采取污染治理的基础上进行上述生态保护措施能符合生态保护的要求。</w:t>
            </w:r>
          </w:p>
          <w:p>
            <w:pPr>
              <w:pStyle w:val="3"/>
              <w:bidi w:val="0"/>
              <w:rPr>
                <w:rFonts w:hint="default" w:ascii="Times New Roman" w:hAnsi="Times New Roman" w:cs="Times New Roman"/>
                <w:b/>
                <w:bCs/>
                <w:color w:val="auto"/>
                <w:kern w:val="0"/>
                <w:sz w:val="28"/>
                <w:szCs w:val="22"/>
                <w:lang w:val="en-US" w:eastAsia="zh-CN"/>
              </w:rPr>
            </w:pPr>
            <w:bookmarkStart w:id="606" w:name="_Toc704"/>
            <w:bookmarkStart w:id="607" w:name="_Toc6871"/>
            <w:bookmarkStart w:id="608" w:name="_Toc1632"/>
            <w:bookmarkStart w:id="609" w:name="_Toc6193"/>
            <w:bookmarkStart w:id="610" w:name="_Toc14748"/>
            <w:bookmarkStart w:id="611" w:name="_Toc29338"/>
            <w:bookmarkStart w:id="612" w:name="_Toc12474"/>
            <w:bookmarkStart w:id="613" w:name="_Toc30370"/>
            <w:bookmarkStart w:id="614" w:name="_Toc5674"/>
            <w:bookmarkStart w:id="615" w:name="_Toc7031"/>
            <w:r>
              <w:rPr>
                <w:rFonts w:hint="default" w:ascii="Times New Roman" w:hAnsi="Times New Roman" w:cs="Times New Roman"/>
                <w:b/>
                <w:bCs/>
                <w:color w:val="auto"/>
                <w:kern w:val="0"/>
                <w:sz w:val="28"/>
                <w:szCs w:val="22"/>
                <w:lang w:val="en-US" w:eastAsia="zh-CN"/>
              </w:rPr>
              <w:t>6、环境风险防范措施</w:t>
            </w:r>
            <w:bookmarkEnd w:id="606"/>
            <w:bookmarkEnd w:id="607"/>
            <w:bookmarkEnd w:id="608"/>
            <w:bookmarkEnd w:id="609"/>
            <w:bookmarkEnd w:id="610"/>
            <w:bookmarkEnd w:id="611"/>
            <w:bookmarkEnd w:id="612"/>
            <w:bookmarkEnd w:id="613"/>
            <w:bookmarkEnd w:id="614"/>
            <w:bookmarkEnd w:id="615"/>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为避免事故的发生或减少事故后的污染影响，建议建设单位制定事故防范措施，并配备相当数量的应急设备和器材，可采取的防范措施如下：</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制定严格的船舶靠舶管理制度，码头区域船舶一律听从码头操作台指挥，做到规范靠离和有序停泊，码头调度人员应熟练和了解靠岸船舶的速度要求及相应的操作规范，从管理角度最大限度地减少船舶碰撞事故的发生和火灾事故的发生。</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②码头水域范围内设置明显的航道标识以保证过往船只和码头靠离船只的通行协调性。</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③码头须配备一定的应急设备，并建立应急救援队伍。当发生重大溢油事故或重大火灾时，本区内的应急队伍和设备不能满足应急反应需要时，应迅速请求上级部门支援。</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④一旦发生船舶碰撞溢油环境风险事故，船方与码头方应及时沟通，及时报告主管部门（海事部门、环保局、海事局、公安消防部门等）并实施溢油应急计划，同时要求建设单位、船方共同协作，及时用隔油栏、吸油毡等进行控制、防护，使事故产生的影响减至最小，最大程度减少对水环境影响。</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⑤针对运输过程发生的船舶侧翻引起的货物散落在河道中，应联合水上部门，及时清理河道，防止其妨碍河道行洪能力，保障河道行洪畅通。同时，加强船舶运输管理，保障船舶运输安全。</w:t>
            </w:r>
          </w:p>
          <w:p>
            <w:pPr>
              <w:pStyle w:val="3"/>
              <w:bidi w:val="0"/>
              <w:rPr>
                <w:rFonts w:hint="default" w:ascii="Times New Roman" w:hAnsi="Times New Roman" w:cs="Times New Roman"/>
                <w:b/>
                <w:bCs/>
                <w:color w:val="auto"/>
                <w:kern w:val="0"/>
                <w:sz w:val="28"/>
                <w:szCs w:val="22"/>
                <w:lang w:val="en-US" w:eastAsia="zh-CN"/>
              </w:rPr>
            </w:pPr>
            <w:bookmarkStart w:id="616" w:name="_Toc11662"/>
            <w:bookmarkStart w:id="617" w:name="_Toc17144"/>
            <w:bookmarkStart w:id="618" w:name="_Toc18927"/>
            <w:bookmarkStart w:id="619" w:name="_Toc22069"/>
            <w:bookmarkStart w:id="620" w:name="_Toc20066"/>
            <w:bookmarkStart w:id="621" w:name="_Toc7521"/>
            <w:bookmarkStart w:id="622" w:name="_Toc5382"/>
            <w:bookmarkStart w:id="623" w:name="_Toc26367"/>
            <w:bookmarkStart w:id="624" w:name="_Toc1644"/>
            <w:bookmarkStart w:id="625" w:name="_Toc26011"/>
            <w:r>
              <w:rPr>
                <w:rFonts w:hint="eastAsia" w:cs="Times New Roman"/>
                <w:b/>
                <w:bCs/>
                <w:color w:val="auto"/>
                <w:kern w:val="0"/>
                <w:sz w:val="28"/>
                <w:szCs w:val="22"/>
                <w:lang w:val="en-US" w:eastAsia="zh-CN"/>
              </w:rPr>
              <w:t>7</w:t>
            </w:r>
            <w:r>
              <w:rPr>
                <w:rFonts w:hint="default" w:ascii="Times New Roman" w:hAnsi="Times New Roman" w:cs="Times New Roman"/>
                <w:b/>
                <w:bCs/>
                <w:color w:val="auto"/>
                <w:kern w:val="0"/>
                <w:sz w:val="28"/>
                <w:szCs w:val="22"/>
                <w:lang w:val="en-US" w:eastAsia="zh-CN"/>
              </w:rPr>
              <w:t>、环境管理与环境监测计划</w:t>
            </w:r>
            <w:bookmarkEnd w:id="616"/>
            <w:bookmarkEnd w:id="617"/>
            <w:bookmarkEnd w:id="618"/>
            <w:bookmarkEnd w:id="619"/>
            <w:bookmarkEnd w:id="620"/>
            <w:bookmarkEnd w:id="621"/>
            <w:bookmarkEnd w:id="622"/>
            <w:bookmarkEnd w:id="623"/>
            <w:bookmarkEnd w:id="624"/>
            <w:bookmarkEnd w:id="625"/>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r>
              <w:rPr>
                <w:rFonts w:hint="eastAsia" w:cs="Times New Roman"/>
                <w:color w:val="auto"/>
                <w:lang w:val="en-US" w:eastAsia="zh-CN"/>
              </w:rPr>
              <w:t>环境管理</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渔政执法码头应安排专人负责施工中的环境管理工作，安排环境管理人员</w:t>
            </w:r>
            <w:r>
              <w:rPr>
                <w:rFonts w:hint="eastAsia" w:cs="Times New Roman"/>
                <w:color w:val="auto"/>
                <w:lang w:val="en-US" w:eastAsia="zh-CN"/>
              </w:rPr>
              <w:t>1</w:t>
            </w:r>
            <w:r>
              <w:rPr>
                <w:rFonts w:hint="default" w:ascii="Times New Roman" w:hAnsi="Times New Roman" w:cs="Times New Roman"/>
                <w:color w:val="auto"/>
                <w:lang w:val="en-US" w:eastAsia="zh-CN"/>
              </w:rPr>
              <w:t>人。参与工程建设的各单位，应配置专业环保人员配合业主做好施工中的环境保护工作。同时进行环境监测，以及时、准确、全面地了解项目环保措施的落实情况，掌握污染动态，发现潜在的不利影响，从而及时采取有效的环保措施以减轻和消除不利影响，使环保设施发挥最佳功效，把对环境的不利影响降低到最低限，使建设项目的社会效益和环境效益得到有机的统一。</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r>
              <w:rPr>
                <w:rFonts w:hint="eastAsia" w:cs="Times New Roman"/>
                <w:color w:val="auto"/>
                <w:lang w:val="en-US" w:eastAsia="zh-CN"/>
              </w:rPr>
              <w:t>环境监测计划</w:t>
            </w:r>
          </w:p>
          <w:p>
            <w:pPr>
              <w:bidi w:val="0"/>
              <w:rPr>
                <w:rFonts w:hint="default" w:ascii="Times New Roman" w:hAnsi="Times New Roman" w:cs="Times New Roman"/>
                <w:color w:val="auto"/>
                <w:lang w:val="en-US" w:eastAsia="zh-CN"/>
              </w:rPr>
            </w:pPr>
            <w:r>
              <w:rPr>
                <w:rFonts w:hint="eastAsia" w:cs="Times New Roman"/>
                <w:color w:val="auto"/>
                <w:lang w:val="en-US" w:eastAsia="zh-CN"/>
              </w:rPr>
              <w:t>①</w:t>
            </w:r>
            <w:r>
              <w:rPr>
                <w:rFonts w:hint="default" w:ascii="Times New Roman" w:hAnsi="Times New Roman" w:cs="Times New Roman"/>
                <w:color w:val="auto"/>
                <w:lang w:val="en-US" w:eastAsia="zh-CN"/>
              </w:rPr>
              <w:t>施工前期：落实生态补偿和污染防治的各项费用；部署施工过程中的环保准备工作。</w:t>
            </w:r>
          </w:p>
          <w:p>
            <w:pPr>
              <w:bidi w:val="0"/>
              <w:rPr>
                <w:rFonts w:hint="default" w:ascii="Times New Roman" w:hAnsi="Times New Roman" w:cs="Times New Roman"/>
                <w:color w:val="auto"/>
                <w:lang w:val="en-US" w:eastAsia="zh-CN"/>
              </w:rPr>
            </w:pPr>
            <w:r>
              <w:rPr>
                <w:rFonts w:hint="eastAsia" w:cs="Times New Roman"/>
                <w:color w:val="auto"/>
                <w:lang w:val="en-US" w:eastAsia="zh-CN"/>
              </w:rPr>
              <w:t>②</w:t>
            </w:r>
            <w:r>
              <w:rPr>
                <w:rFonts w:hint="default" w:ascii="Times New Roman" w:hAnsi="Times New Roman" w:cs="Times New Roman"/>
                <w:color w:val="auto"/>
                <w:lang w:val="en-US" w:eastAsia="zh-CN"/>
              </w:rPr>
              <w:t>施工期：主要是对水质、环境空气和噪声的监测；做好对施工期各种突发性污染事故的预防工作，准备好应急处理措施；组织实施施工期环境监测，定期编制施工区环境质量报告；</w:t>
            </w:r>
          </w:p>
          <w:p>
            <w:pPr>
              <w:bidi w:val="0"/>
              <w:rPr>
                <w:rFonts w:hint="default" w:ascii="Times New Roman" w:hAnsi="Times New Roman" w:cs="Times New Roman"/>
                <w:color w:val="auto"/>
                <w:lang w:val="en-US" w:eastAsia="zh-CN"/>
              </w:rPr>
            </w:pPr>
            <w:r>
              <w:rPr>
                <w:rFonts w:hint="eastAsia" w:cs="Times New Roman"/>
                <w:color w:val="auto"/>
                <w:lang w:val="en-US" w:eastAsia="zh-CN"/>
              </w:rPr>
              <w:t>③</w:t>
            </w:r>
            <w:r>
              <w:rPr>
                <w:rFonts w:hint="default" w:ascii="Times New Roman" w:hAnsi="Times New Roman" w:cs="Times New Roman"/>
                <w:color w:val="auto"/>
                <w:lang w:val="en-US" w:eastAsia="zh-CN"/>
              </w:rPr>
              <w:t>施工后期：组织好施工区生态环境恢复和改善工作，如施工基地恢复、施工区绿化等；专业人员应组成环境监理小组监督、审查和评估施工区环境保护措施的执行情况。</w:t>
            </w:r>
          </w:p>
          <w:p>
            <w:pPr>
              <w:bidi w:val="0"/>
              <w:rPr>
                <w:rFonts w:hint="default" w:ascii="Times New Roman" w:hAnsi="Times New Roman" w:cs="Times New Roman"/>
                <w:color w:val="auto"/>
                <w:lang w:val="en-US" w:eastAsia="zh-CN"/>
              </w:rPr>
            </w:pPr>
            <w:r>
              <w:rPr>
                <w:rFonts w:hint="eastAsia" w:cs="Times New Roman"/>
                <w:color w:val="auto"/>
                <w:lang w:val="en-US" w:eastAsia="zh-CN"/>
              </w:rPr>
              <w:t>④运营</w:t>
            </w:r>
            <w:r>
              <w:rPr>
                <w:rFonts w:hint="default" w:ascii="Times New Roman" w:hAnsi="Times New Roman" w:cs="Times New Roman"/>
                <w:color w:val="auto"/>
                <w:lang w:val="en-US" w:eastAsia="zh-CN"/>
              </w:rPr>
              <w:t>期：根据水源水质保护方法，加强</w:t>
            </w:r>
            <w:r>
              <w:rPr>
                <w:rFonts w:hint="eastAsia" w:cs="Times New Roman"/>
                <w:color w:val="auto"/>
                <w:lang w:val="en-US" w:eastAsia="zh-CN"/>
              </w:rPr>
              <w:t>码头</w:t>
            </w:r>
            <w:r>
              <w:rPr>
                <w:rFonts w:hint="default" w:ascii="Times New Roman" w:hAnsi="Times New Roman" w:cs="Times New Roman"/>
                <w:color w:val="auto"/>
                <w:lang w:val="en-US" w:eastAsia="zh-CN"/>
              </w:rPr>
              <w:t>环境管理；组织实施</w:t>
            </w:r>
            <w:r>
              <w:rPr>
                <w:rFonts w:hint="eastAsia" w:cs="Times New Roman"/>
                <w:color w:val="auto"/>
                <w:lang w:val="en-US" w:eastAsia="zh-CN"/>
              </w:rPr>
              <w:t>运营</w:t>
            </w:r>
            <w:r>
              <w:rPr>
                <w:rFonts w:hint="default" w:ascii="Times New Roman" w:hAnsi="Times New Roman" w:cs="Times New Roman"/>
                <w:color w:val="auto"/>
                <w:lang w:val="en-US" w:eastAsia="zh-CN"/>
              </w:rPr>
              <w:t>期的水质、水文、生物等监测工作；预防并处理水污染事故等。</w:t>
            </w:r>
          </w:p>
          <w:p>
            <w:pPr>
              <w:bidi w:val="0"/>
              <w:rPr>
                <w:rFonts w:hint="default" w:ascii="Times New Roman" w:hAnsi="Times New Roman" w:cs="Times New Roman"/>
                <w:color w:val="auto"/>
                <w:lang w:val="en-US" w:eastAsia="zh-CN"/>
              </w:rPr>
            </w:pPr>
            <w:r>
              <w:rPr>
                <w:rFonts w:hint="eastAsia" w:cs="Times New Roman"/>
                <w:color w:val="auto"/>
                <w:lang w:val="en-US" w:eastAsia="zh-CN"/>
              </w:rPr>
              <w:t>（3）竣工环保验收</w:t>
            </w:r>
          </w:p>
          <w:p>
            <w:pPr>
              <w:bidi w:val="0"/>
              <w:rPr>
                <w:rFonts w:hint="default"/>
                <w:color w:val="auto"/>
                <w:lang w:val="en-US" w:eastAsia="zh-CN"/>
              </w:rPr>
            </w:pPr>
            <w:r>
              <w:rPr>
                <w:rFonts w:hint="default" w:ascii="Times New Roman" w:hAnsi="Times New Roman" w:cs="Times New Roman"/>
                <w:color w:val="auto"/>
                <w:lang w:val="en-US" w:eastAsia="zh-CN"/>
              </w:rPr>
              <w:t>根据《建设项目竣工环境保护验收暂行办法》（国环规环评[2017]4号），项目建成后，建设单位应开展环境保护设施竣工验收。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53" w:type="dxa"/>
            <w:noWrap w:val="0"/>
            <w:tcMar>
              <w:left w:w="28" w:type="dxa"/>
              <w:right w:w="28" w:type="dxa"/>
            </w:tcMar>
            <w:vAlign w:val="center"/>
          </w:tcPr>
          <w:p>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cs="Times New Roman"/>
                <w:bCs/>
                <w:color w:val="auto"/>
                <w:spacing w:val="10"/>
                <w:szCs w:val="21"/>
              </w:rPr>
            </w:pPr>
            <w:r>
              <w:rPr>
                <w:rFonts w:hint="default" w:ascii="Times New Roman" w:hAnsi="Times New Roman" w:cs="Times New Roman"/>
                <w:bCs/>
                <w:color w:val="auto"/>
                <w:spacing w:val="10"/>
                <w:szCs w:val="21"/>
              </w:rPr>
              <w:t>运营期生态环境保护措施</w:t>
            </w:r>
          </w:p>
        </w:tc>
        <w:tc>
          <w:tcPr>
            <w:tcW w:w="8457" w:type="dxa"/>
            <w:noWrap w:val="0"/>
            <w:vAlign w:val="center"/>
          </w:tcPr>
          <w:p>
            <w:pPr>
              <w:bidi w:val="0"/>
              <w:rPr>
                <w:rFonts w:hint="default" w:ascii="Times New Roman" w:hAnsi="Times New Roman" w:eastAsia="宋体" w:cs="Times New Roman"/>
                <w:bCs/>
                <w:color w:val="auto"/>
                <w:spacing w:val="10"/>
                <w:szCs w:val="21"/>
                <w:lang w:val="en-US" w:eastAsia="zh-CN"/>
              </w:rPr>
            </w:pPr>
            <w:r>
              <w:rPr>
                <w:rFonts w:hint="default" w:ascii="Times New Roman" w:hAnsi="Times New Roman" w:cs="Times New Roman"/>
                <w:color w:val="auto"/>
              </w:rPr>
              <w:t>项目运营期，应定期清理区域范围内中各类</w:t>
            </w:r>
            <w:r>
              <w:rPr>
                <w:rFonts w:hint="default" w:ascii="Times New Roman" w:hAnsi="Times New Roman" w:cs="Times New Roman"/>
                <w:color w:val="auto"/>
                <w:lang w:val="en-US" w:eastAsia="zh-CN"/>
              </w:rPr>
              <w:t>灌木</w:t>
            </w:r>
            <w:r>
              <w:rPr>
                <w:rFonts w:hint="default" w:ascii="Times New Roman" w:hAnsi="Times New Roman" w:cs="Times New Roman"/>
                <w:color w:val="auto"/>
              </w:rPr>
              <w:t>、零星树木及残余的易漂浮物，</w:t>
            </w:r>
            <w:r>
              <w:rPr>
                <w:rFonts w:hint="eastAsia" w:cs="Times New Roman"/>
                <w:color w:val="auto"/>
                <w:lang w:val="en-US" w:eastAsia="zh-CN"/>
              </w:rPr>
              <w:t>定期对码头及道路进行清洁，</w:t>
            </w:r>
            <w:r>
              <w:rPr>
                <w:rFonts w:hint="default" w:ascii="Times New Roman" w:hAnsi="Times New Roman" w:cs="Times New Roman"/>
                <w:color w:val="auto"/>
              </w:rPr>
              <w:t>保护</w:t>
            </w:r>
            <w:r>
              <w:rPr>
                <w:rFonts w:hint="default" w:ascii="Times New Roman" w:hAnsi="Times New Roman" w:cs="Times New Roman"/>
                <w:color w:val="auto"/>
                <w:lang w:val="en-US" w:eastAsia="zh-CN"/>
              </w:rPr>
              <w:t>码头</w:t>
            </w:r>
            <w:r>
              <w:rPr>
                <w:rFonts w:hint="default" w:ascii="Times New Roman" w:hAnsi="Times New Roman" w:cs="Times New Roman"/>
                <w:color w:val="auto"/>
              </w:rPr>
              <w:t>周围的陆生生态系统。加强水污染防治工作，杜绝水污染事件的发生，保证鱼类良好的生活环境。</w:t>
            </w:r>
            <w:r>
              <w:rPr>
                <w:rFonts w:hint="eastAsia" w:cs="Times New Roman"/>
                <w:color w:val="auto"/>
                <w:lang w:val="en-US" w:eastAsia="zh-CN"/>
              </w:rPr>
              <w:t>禁止危化运输车辆进入场界道路。</w:t>
            </w:r>
            <w:r>
              <w:rPr>
                <w:rFonts w:hint="default" w:ascii="Times New Roman" w:hAnsi="Times New Roman" w:cs="Times New Roman"/>
                <w:color w:val="auto"/>
              </w:rPr>
              <w:t>做好植被恢复措施，运用绿化美化与水土流失治理相结合的原则，采用当地优势树种和草种，减少工程带来的水土流失危害并对区域生态环境起到美化作用。另外，项目运营单位应确保生态防护措施按要求运行，同时及时监测下游生态环境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753" w:type="dxa"/>
            <w:noWrap w:val="0"/>
            <w:vAlign w:val="center"/>
          </w:tcPr>
          <w:p>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cs="Times New Roman"/>
                <w:bCs/>
                <w:color w:val="auto"/>
                <w:spacing w:val="10"/>
                <w:szCs w:val="21"/>
              </w:rPr>
            </w:pPr>
            <w:r>
              <w:rPr>
                <w:rFonts w:hint="default" w:ascii="Times New Roman" w:hAnsi="Times New Roman" w:cs="Times New Roman"/>
                <w:bCs/>
                <w:color w:val="auto"/>
                <w:szCs w:val="21"/>
              </w:rPr>
              <w:t>其他</w:t>
            </w:r>
          </w:p>
        </w:tc>
        <w:tc>
          <w:tcPr>
            <w:tcW w:w="8457" w:type="dxa"/>
            <w:noWrap w:val="0"/>
            <w:vAlign w:val="center"/>
          </w:tcPr>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noWrap w:val="0"/>
            <w:vAlign w:val="center"/>
          </w:tcPr>
          <w:p>
            <w:pPr>
              <w:keepNext w:val="0"/>
              <w:keepLines w:val="0"/>
              <w:pageBreakBefore w:val="0"/>
              <w:widowControl w:val="0"/>
              <w:kinsoku/>
              <w:wordWrap/>
              <w:overflowPunct/>
              <w:topLinePunct w:val="0"/>
              <w:bidi w:val="0"/>
              <w:adjustRightInd w:val="0"/>
              <w:snapToGrid w:val="0"/>
              <w:ind w:firstLine="0" w:firstLineChars="0"/>
              <w:jc w:val="center"/>
              <w:textAlignment w:val="auto"/>
              <w:rPr>
                <w:rFonts w:hint="default" w:ascii="Times New Roman" w:hAnsi="Times New Roman" w:cs="Times New Roman"/>
                <w:bCs/>
                <w:color w:val="auto"/>
                <w:spacing w:val="10"/>
                <w:szCs w:val="21"/>
              </w:rPr>
            </w:pPr>
            <w:r>
              <w:rPr>
                <w:rFonts w:hint="default" w:ascii="Times New Roman" w:hAnsi="Times New Roman" w:cs="Times New Roman"/>
                <w:bCs/>
                <w:color w:val="auto"/>
                <w:szCs w:val="21"/>
              </w:rPr>
              <w:t>环保投资</w:t>
            </w:r>
          </w:p>
        </w:tc>
        <w:tc>
          <w:tcPr>
            <w:tcW w:w="8457" w:type="dxa"/>
            <w:noWrap w:val="0"/>
            <w:vAlign w:val="center"/>
          </w:tcPr>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本项目总投资为413.71万元，其中环保投资5万元，约占总投资的1.21%，详见表</w:t>
            </w:r>
            <w:r>
              <w:rPr>
                <w:rFonts w:hint="eastAsia" w:cs="Times New Roman"/>
                <w:color w:val="auto"/>
                <w:lang w:val="en-US" w:eastAsia="zh-CN"/>
              </w:rPr>
              <w:t>5.2</w:t>
            </w:r>
            <w:r>
              <w:rPr>
                <w:rFonts w:hint="default" w:ascii="Times New Roman" w:hAnsi="Times New Roman" w:cs="Times New Roman"/>
                <w:color w:val="auto"/>
                <w:lang w:val="en-US" w:eastAsia="zh-CN"/>
              </w:rPr>
              <w:t>。</w:t>
            </w:r>
          </w:p>
          <w:p>
            <w:pPr>
              <w:pStyle w:val="17"/>
              <w:bidi w:val="0"/>
              <w:rPr>
                <w:rFonts w:hint="eastAsia"/>
                <w:color w:val="auto"/>
                <w:lang w:val="en-US" w:eastAsia="zh-CN"/>
              </w:rPr>
            </w:pPr>
            <w:r>
              <w:rPr>
                <w:rFonts w:hint="eastAsia"/>
                <w:color w:val="auto"/>
                <w:lang w:val="en-US" w:eastAsia="zh-CN"/>
              </w:rPr>
              <w:t>表5.2 环保措施及投资一览表</w:t>
            </w:r>
          </w:p>
          <w:tbl>
            <w:tblPr>
              <w:tblStyle w:val="12"/>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2882"/>
              <w:gridCol w:w="2676"/>
              <w:gridCol w:w="11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项目</w:t>
                  </w:r>
                </w:p>
              </w:tc>
              <w:tc>
                <w:tcPr>
                  <w:tcW w:w="1755" w:type="pct"/>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处理措施</w:t>
                  </w:r>
                </w:p>
              </w:tc>
              <w:tc>
                <w:tcPr>
                  <w:tcW w:w="1630" w:type="pct"/>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规模</w:t>
                  </w:r>
                </w:p>
              </w:tc>
              <w:tc>
                <w:tcPr>
                  <w:tcW w:w="718" w:type="pct"/>
                  <w:vAlign w:val="center"/>
                </w:tcPr>
                <w:p>
                  <w:pPr>
                    <w:pStyle w:val="16"/>
                    <w:bidi w:val="0"/>
                    <w:jc w:val="center"/>
                    <w:rPr>
                      <w:rFonts w:hint="default"/>
                      <w:b/>
                      <w:bCs/>
                      <w:color w:val="auto"/>
                      <w:vertAlign w:val="baseline"/>
                      <w:lang w:val="en-US" w:eastAsia="zh-CN"/>
                    </w:rPr>
                  </w:pPr>
                  <w:r>
                    <w:rPr>
                      <w:rFonts w:hint="eastAsia"/>
                      <w:b/>
                      <w:bCs/>
                      <w:color w:val="auto"/>
                      <w:vertAlign w:val="baseline"/>
                      <w:lang w:val="en-US" w:eastAsia="zh-CN"/>
                    </w:rPr>
                    <w:t>环保投资（万元）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一</w:t>
                  </w:r>
                </w:p>
              </w:tc>
              <w:tc>
                <w:tcPr>
                  <w:tcW w:w="4103" w:type="pct"/>
                  <w:gridSpan w:val="3"/>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施工期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废水治理措施</w:t>
                  </w:r>
                </w:p>
              </w:tc>
              <w:tc>
                <w:tcPr>
                  <w:tcW w:w="1755" w:type="pct"/>
                  <w:vAlign w:val="center"/>
                </w:tcPr>
                <w:p>
                  <w:pPr>
                    <w:pStyle w:val="16"/>
                    <w:bidi w:val="0"/>
                    <w:jc w:val="both"/>
                    <w:rPr>
                      <w:rFonts w:hint="default"/>
                      <w:color w:val="auto"/>
                      <w:vertAlign w:val="baseline"/>
                      <w:lang w:val="en-US" w:eastAsia="zh-CN"/>
                    </w:rPr>
                  </w:pPr>
                  <w:r>
                    <w:rPr>
                      <w:rFonts w:hint="eastAsia"/>
                      <w:color w:val="auto"/>
                      <w:vertAlign w:val="baseline"/>
                      <w:lang w:val="en-US" w:eastAsia="zh-CN"/>
                    </w:rPr>
                    <w:t>设置施工废水沉淀池、截流沟；施工过程生产废水与生活污水经预处理后暂存于污水池，定期交由相关单位处理</w:t>
                  </w:r>
                </w:p>
              </w:tc>
              <w:tc>
                <w:tcPr>
                  <w:tcW w:w="1630"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w:t>
                  </w:r>
                </w:p>
              </w:tc>
              <w:tc>
                <w:tcPr>
                  <w:tcW w:w="71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废气治理措施</w:t>
                  </w:r>
                </w:p>
              </w:tc>
              <w:tc>
                <w:tcPr>
                  <w:tcW w:w="1755" w:type="pct"/>
                  <w:vAlign w:val="center"/>
                </w:tcPr>
                <w:p>
                  <w:pPr>
                    <w:pStyle w:val="16"/>
                    <w:bidi w:val="0"/>
                    <w:jc w:val="both"/>
                    <w:rPr>
                      <w:rFonts w:hint="default"/>
                      <w:color w:val="auto"/>
                      <w:vertAlign w:val="baseline"/>
                      <w:lang w:val="en-US" w:eastAsia="zh-CN"/>
                    </w:rPr>
                  </w:pPr>
                  <w:r>
                    <w:rPr>
                      <w:rFonts w:hint="eastAsia"/>
                      <w:color w:val="auto"/>
                      <w:vertAlign w:val="baseline"/>
                      <w:lang w:val="en-US" w:eastAsia="zh-CN"/>
                    </w:rPr>
                    <w:t>采取洒水降尘措施</w:t>
                  </w:r>
                </w:p>
              </w:tc>
              <w:tc>
                <w:tcPr>
                  <w:tcW w:w="1630"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w:t>
                  </w:r>
                </w:p>
              </w:tc>
              <w:tc>
                <w:tcPr>
                  <w:tcW w:w="71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固废治理措施</w:t>
                  </w:r>
                </w:p>
              </w:tc>
              <w:tc>
                <w:tcPr>
                  <w:tcW w:w="1755" w:type="pct"/>
                  <w:vAlign w:val="center"/>
                </w:tcPr>
                <w:p>
                  <w:pPr>
                    <w:pStyle w:val="16"/>
                    <w:bidi w:val="0"/>
                    <w:jc w:val="both"/>
                    <w:rPr>
                      <w:rFonts w:hint="default"/>
                      <w:color w:val="auto"/>
                      <w:vertAlign w:val="baseline"/>
                      <w:lang w:val="en-US" w:eastAsia="zh-CN"/>
                    </w:rPr>
                  </w:pPr>
                  <w:r>
                    <w:rPr>
                      <w:rFonts w:hint="eastAsia"/>
                      <w:color w:val="auto"/>
                      <w:vertAlign w:val="baseline"/>
                      <w:lang w:val="en-US" w:eastAsia="zh-CN"/>
                    </w:rPr>
                    <w:t>施工开挖弃土、建筑垃圾、生活垃圾分类收集后交由环卫部门妥善处置</w:t>
                  </w:r>
                </w:p>
              </w:tc>
              <w:tc>
                <w:tcPr>
                  <w:tcW w:w="1630"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4kg/d</w:t>
                  </w:r>
                </w:p>
              </w:tc>
              <w:tc>
                <w:tcPr>
                  <w:tcW w:w="71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噪声防治措施</w:t>
                  </w:r>
                </w:p>
              </w:tc>
              <w:tc>
                <w:tcPr>
                  <w:tcW w:w="1755" w:type="pct"/>
                  <w:vAlign w:val="center"/>
                </w:tcPr>
                <w:p>
                  <w:pPr>
                    <w:pStyle w:val="16"/>
                    <w:bidi w:val="0"/>
                    <w:jc w:val="both"/>
                    <w:rPr>
                      <w:rFonts w:hint="default"/>
                      <w:color w:val="auto"/>
                      <w:vertAlign w:val="baseline"/>
                      <w:lang w:val="en-US" w:eastAsia="zh-CN"/>
                    </w:rPr>
                  </w:pPr>
                  <w:r>
                    <w:rPr>
                      <w:rFonts w:hint="eastAsia"/>
                      <w:color w:val="auto"/>
                      <w:vertAlign w:val="baseline"/>
                      <w:lang w:val="en-US" w:eastAsia="zh-CN"/>
                    </w:rPr>
                    <w:t>施工设备设施减振、降噪；选用低噪声施工设备</w:t>
                  </w:r>
                </w:p>
              </w:tc>
              <w:tc>
                <w:tcPr>
                  <w:tcW w:w="1630"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w:t>
                  </w:r>
                </w:p>
              </w:tc>
              <w:tc>
                <w:tcPr>
                  <w:tcW w:w="71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二</w:t>
                  </w:r>
                </w:p>
              </w:tc>
              <w:tc>
                <w:tcPr>
                  <w:tcW w:w="4103" w:type="pct"/>
                  <w:gridSpan w:val="3"/>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运营期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废水治理措施</w:t>
                  </w:r>
                </w:p>
              </w:tc>
              <w:tc>
                <w:tcPr>
                  <w:tcW w:w="1755" w:type="pct"/>
                  <w:vAlign w:val="center"/>
                </w:tcPr>
                <w:p>
                  <w:pPr>
                    <w:pStyle w:val="16"/>
                    <w:bidi w:val="0"/>
                    <w:jc w:val="both"/>
                    <w:rPr>
                      <w:rFonts w:hint="default"/>
                      <w:color w:val="auto"/>
                      <w:vertAlign w:val="baseline"/>
                      <w:lang w:val="en-US" w:eastAsia="zh-CN"/>
                    </w:rPr>
                  </w:pPr>
                  <w:r>
                    <w:rPr>
                      <w:rFonts w:hint="eastAsia"/>
                      <w:color w:val="auto"/>
                      <w:vertAlign w:val="baseline"/>
                      <w:lang w:val="en-US" w:eastAsia="zh-CN"/>
                    </w:rPr>
                    <w:t>船舶生活污水在趸船上经化粪预处理后暂存于污水收集箱中，定期交由相关单位妥善处理</w:t>
                  </w:r>
                </w:p>
              </w:tc>
              <w:tc>
                <w:tcPr>
                  <w:tcW w:w="1630"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w:t>
                  </w:r>
                </w:p>
              </w:tc>
              <w:tc>
                <w:tcPr>
                  <w:tcW w:w="71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废气治理措施</w:t>
                  </w:r>
                </w:p>
              </w:tc>
              <w:tc>
                <w:tcPr>
                  <w:tcW w:w="1755" w:type="pct"/>
                  <w:vAlign w:val="center"/>
                </w:tcPr>
                <w:p>
                  <w:pPr>
                    <w:pStyle w:val="16"/>
                    <w:bidi w:val="0"/>
                    <w:jc w:val="both"/>
                    <w:rPr>
                      <w:rFonts w:hint="default"/>
                      <w:color w:val="auto"/>
                      <w:vertAlign w:val="baseline"/>
                      <w:lang w:val="en-US" w:eastAsia="zh-CN"/>
                    </w:rPr>
                  </w:pPr>
                  <w:r>
                    <w:rPr>
                      <w:rFonts w:hint="eastAsia"/>
                      <w:color w:val="auto"/>
                      <w:vertAlign w:val="baseline"/>
                      <w:lang w:val="en-US" w:eastAsia="zh-CN"/>
                    </w:rPr>
                    <w:t>船舶废气产生量小，对周围环境影响小</w:t>
                  </w:r>
                </w:p>
              </w:tc>
              <w:tc>
                <w:tcPr>
                  <w:tcW w:w="1630"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w:t>
                  </w:r>
                </w:p>
              </w:tc>
              <w:tc>
                <w:tcPr>
                  <w:tcW w:w="71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固废治理措施</w:t>
                  </w:r>
                </w:p>
              </w:tc>
              <w:tc>
                <w:tcPr>
                  <w:tcW w:w="1755" w:type="pct"/>
                  <w:vAlign w:val="center"/>
                </w:tcPr>
                <w:p>
                  <w:pPr>
                    <w:pStyle w:val="16"/>
                    <w:bidi w:val="0"/>
                    <w:jc w:val="both"/>
                    <w:rPr>
                      <w:rFonts w:hint="default"/>
                      <w:color w:val="auto"/>
                      <w:vertAlign w:val="baseline"/>
                      <w:lang w:val="en-US" w:eastAsia="zh-CN"/>
                    </w:rPr>
                  </w:pPr>
                  <w:r>
                    <w:rPr>
                      <w:rFonts w:hint="eastAsia"/>
                      <w:color w:val="auto"/>
                      <w:vertAlign w:val="baseline"/>
                      <w:lang w:val="en-US" w:eastAsia="zh-CN"/>
                    </w:rPr>
                    <w:t>执法船与趸船产生的生活垃圾分类收集送至岸上垃圾收集点，交由环卫部门妥善处置</w:t>
                  </w:r>
                </w:p>
              </w:tc>
              <w:tc>
                <w:tcPr>
                  <w:tcW w:w="1630"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4kg/d</w:t>
                  </w:r>
                </w:p>
              </w:tc>
              <w:tc>
                <w:tcPr>
                  <w:tcW w:w="71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6" w:type="pct"/>
                  <w:vAlign w:val="center"/>
                </w:tcPr>
                <w:p>
                  <w:pPr>
                    <w:pStyle w:val="16"/>
                    <w:bidi w:val="0"/>
                    <w:ind w:firstLine="0" w:firstLineChars="0"/>
                    <w:jc w:val="center"/>
                    <w:rPr>
                      <w:rFonts w:hint="eastAsia" w:ascii="Times New Roman" w:hAnsi="Times New Roman" w:eastAsia="宋体" w:cs="Times New Roman"/>
                      <w:color w:val="auto"/>
                      <w:kern w:val="0"/>
                      <w:sz w:val="21"/>
                      <w:szCs w:val="21"/>
                      <w:vertAlign w:val="baseline"/>
                      <w:lang w:val="en-US" w:eastAsia="zh-CN" w:bidi="ar-SA"/>
                    </w:rPr>
                  </w:pPr>
                  <w:r>
                    <w:rPr>
                      <w:rFonts w:hint="eastAsia"/>
                      <w:color w:val="auto"/>
                      <w:vertAlign w:val="baseline"/>
                      <w:lang w:val="en-US" w:eastAsia="zh-CN"/>
                    </w:rPr>
                    <w:t>噪声防治措施</w:t>
                  </w:r>
                </w:p>
              </w:tc>
              <w:tc>
                <w:tcPr>
                  <w:tcW w:w="1755" w:type="pct"/>
                  <w:vAlign w:val="center"/>
                </w:tcPr>
                <w:p>
                  <w:pPr>
                    <w:pStyle w:val="16"/>
                    <w:bidi w:val="0"/>
                    <w:jc w:val="both"/>
                    <w:rPr>
                      <w:rFonts w:hint="default"/>
                      <w:color w:val="auto"/>
                      <w:vertAlign w:val="baseline"/>
                      <w:lang w:val="en-US" w:eastAsia="zh-CN"/>
                    </w:rPr>
                  </w:pPr>
                  <w:r>
                    <w:rPr>
                      <w:rFonts w:hint="eastAsia"/>
                      <w:color w:val="auto"/>
                      <w:vertAlign w:val="baseline"/>
                      <w:lang w:val="en-US" w:eastAsia="zh-CN"/>
                    </w:rPr>
                    <w:t>执法船停靠后不鸣笛、夜间不工作；设置禁鸣牌</w:t>
                  </w:r>
                </w:p>
              </w:tc>
              <w:tc>
                <w:tcPr>
                  <w:tcW w:w="1630"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w:t>
                  </w:r>
                </w:p>
              </w:tc>
              <w:tc>
                <w:tcPr>
                  <w:tcW w:w="71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81" w:type="pct"/>
                  <w:gridSpan w:val="3"/>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合计</w:t>
                  </w:r>
                </w:p>
              </w:tc>
              <w:tc>
                <w:tcPr>
                  <w:tcW w:w="718" w:type="pct"/>
                  <w:vAlign w:val="center"/>
                </w:tcPr>
                <w:p>
                  <w:pPr>
                    <w:pStyle w:val="16"/>
                    <w:bidi w:val="0"/>
                    <w:jc w:val="center"/>
                    <w:rPr>
                      <w:rFonts w:hint="default"/>
                      <w:color w:val="auto"/>
                      <w:vertAlign w:val="baseline"/>
                      <w:lang w:val="en-US" w:eastAsia="zh-CN"/>
                    </w:rPr>
                  </w:pPr>
                  <w:r>
                    <w:rPr>
                      <w:rFonts w:hint="eastAsia"/>
                      <w:color w:val="auto"/>
                      <w:vertAlign w:val="baseline"/>
                      <w:lang w:val="en-US" w:eastAsia="zh-CN"/>
                    </w:rPr>
                    <w:t>5</w:t>
                  </w:r>
                </w:p>
              </w:tc>
            </w:tr>
          </w:tbl>
          <w:p>
            <w:pPr>
              <w:pStyle w:val="16"/>
              <w:bidi w:val="0"/>
              <w:rPr>
                <w:rFonts w:hint="default"/>
                <w:color w:val="auto"/>
                <w:lang w:val="en-US" w:eastAsia="zh-CN"/>
              </w:rPr>
            </w:pPr>
          </w:p>
        </w:tc>
      </w:tr>
    </w:tbl>
    <w:p>
      <w:pPr>
        <w:rPr>
          <w:rFonts w:hint="default" w:ascii="Times New Roman" w:hAnsi="Times New Roman" w:cs="Times New Roman"/>
          <w:color w:val="auto"/>
        </w:rPr>
        <w:sectPr>
          <w:pgSz w:w="11907" w:h="16840"/>
          <w:pgMar w:top="1440" w:right="1797" w:bottom="1440" w:left="1797" w:header="851" w:footer="1077" w:gutter="0"/>
          <w:cols w:space="720" w:num="1"/>
          <w:docGrid w:linePitch="312" w:charSpace="0"/>
        </w:sectPr>
      </w:pPr>
    </w:p>
    <w:p>
      <w:pPr>
        <w:pStyle w:val="2"/>
        <w:bidi w:val="0"/>
        <w:rPr>
          <w:rFonts w:hint="default"/>
          <w:color w:val="auto"/>
        </w:rPr>
      </w:pPr>
      <w:bookmarkStart w:id="626" w:name="_Toc17576"/>
      <w:bookmarkStart w:id="627" w:name="_Toc9846"/>
      <w:r>
        <w:rPr>
          <w:rFonts w:hint="default"/>
          <w:color w:val="auto"/>
        </w:rPr>
        <w:t>六、生态环境保护措施监督检查清单</w:t>
      </w:r>
      <w:bookmarkEnd w:id="626"/>
      <w:bookmarkEnd w:id="627"/>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700"/>
        <w:gridCol w:w="1913"/>
        <w:gridCol w:w="172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vMerge w:val="restart"/>
            <w:tcBorders>
              <w:tl2br w:val="single" w:color="auto" w:sz="4" w:space="0"/>
            </w:tcBorders>
            <w:noWrap w:val="0"/>
            <w:vAlign w:val="top"/>
          </w:tcPr>
          <w:p>
            <w:pPr>
              <w:pStyle w:val="10"/>
              <w:keepNext w:val="0"/>
              <w:keepLines w:val="0"/>
              <w:pageBreakBefore w:val="0"/>
              <w:widowControl/>
              <w:kinsoku/>
              <w:wordWrap/>
              <w:overflowPunct/>
              <w:topLinePunct w:val="0"/>
              <w:autoSpaceDE/>
              <w:autoSpaceDN/>
              <w:bidi w:val="0"/>
              <w:adjustRightInd w:val="0"/>
              <w:snapToGrid w:val="0"/>
              <w:spacing w:before="72" w:beforeLines="30" w:beforeAutospacing="0" w:after="0" w:afterAutospacing="0" w:line="240" w:lineRule="auto"/>
              <w:ind w:firstLine="0" w:firstLineChars="0"/>
              <w:jc w:val="center"/>
              <w:textAlignment w:val="auto"/>
              <w:outlineLvl w:val="0"/>
              <w:rPr>
                <w:rFonts w:hint="default" w:ascii="Times New Roman" w:hAnsi="Times New Roman" w:eastAsia="黑体" w:cs="Times New Roman"/>
                <w:color w:val="auto"/>
                <w:kern w:val="2"/>
                <w:sz w:val="21"/>
                <w:szCs w:val="21"/>
              </w:rPr>
            </w:pPr>
            <w:r>
              <w:rPr>
                <w:rFonts w:hint="default" w:ascii="Times New Roman" w:hAnsi="Times New Roman" w:eastAsia="黑体" w:cs="Times New Roman"/>
                <w:color w:val="auto"/>
                <w:kern w:val="2"/>
                <w:sz w:val="21"/>
                <w:szCs w:val="21"/>
                <w:lang w:val="en-US" w:eastAsia="zh-CN"/>
              </w:rPr>
              <w:t xml:space="preserve">    </w:t>
            </w:r>
            <w:bookmarkStart w:id="628" w:name="_Toc19090"/>
            <w:bookmarkStart w:id="629" w:name="_Toc5482"/>
            <w:bookmarkStart w:id="630" w:name="_Toc14415"/>
            <w:bookmarkStart w:id="631" w:name="_Toc25552"/>
            <w:bookmarkStart w:id="632" w:name="_Toc18404"/>
            <w:bookmarkStart w:id="633" w:name="_Toc2811"/>
            <w:bookmarkStart w:id="634" w:name="_Toc9904"/>
            <w:bookmarkStart w:id="635" w:name="_Toc10614"/>
            <w:bookmarkStart w:id="636" w:name="_Toc23568"/>
            <w:bookmarkStart w:id="637" w:name="_Toc22201"/>
            <w:bookmarkStart w:id="638" w:name="_Toc30915"/>
            <w:r>
              <w:rPr>
                <w:rFonts w:hint="default" w:ascii="Times New Roman" w:hAnsi="Times New Roman" w:eastAsia="黑体" w:cs="Times New Roman"/>
                <w:color w:val="auto"/>
                <w:kern w:val="2"/>
                <w:sz w:val="21"/>
                <w:szCs w:val="21"/>
              </w:rPr>
              <w:t>内容</w:t>
            </w:r>
            <w:bookmarkEnd w:id="628"/>
            <w:bookmarkEnd w:id="629"/>
            <w:bookmarkEnd w:id="630"/>
            <w:bookmarkEnd w:id="631"/>
            <w:bookmarkEnd w:id="632"/>
            <w:bookmarkEnd w:id="633"/>
            <w:bookmarkEnd w:id="634"/>
            <w:bookmarkEnd w:id="635"/>
            <w:bookmarkEnd w:id="636"/>
            <w:bookmarkEnd w:id="637"/>
            <w:bookmarkEnd w:id="638"/>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textAlignment w:val="auto"/>
              <w:outlineLvl w:val="9"/>
              <w:rPr>
                <w:rFonts w:hint="default" w:ascii="Times New Roman" w:hAnsi="Times New Roman" w:eastAsia="黑体" w:cs="Times New Roman"/>
                <w:color w:val="auto"/>
                <w:kern w:val="2"/>
                <w:sz w:val="21"/>
                <w:szCs w:val="21"/>
              </w:rPr>
            </w:pPr>
            <w:r>
              <w:rPr>
                <w:rFonts w:hint="default" w:ascii="Times New Roman" w:hAnsi="Times New Roman" w:eastAsia="黑体" w:cs="Times New Roman"/>
                <w:color w:val="auto"/>
                <w:kern w:val="2"/>
                <w:sz w:val="21"/>
                <w:szCs w:val="21"/>
              </w:rPr>
              <w:t xml:space="preserve">  </w:t>
            </w: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textAlignment w:val="auto"/>
              <w:outlineLvl w:val="9"/>
              <w:rPr>
                <w:rFonts w:hint="default" w:ascii="Times New Roman" w:hAnsi="Times New Roman" w:eastAsia="黑体" w:cs="Times New Roman"/>
                <w:color w:val="auto"/>
                <w:kern w:val="2"/>
                <w:sz w:val="21"/>
                <w:szCs w:val="21"/>
              </w:rPr>
            </w:pPr>
          </w:p>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firstLine="0" w:firstLineChars="0"/>
              <w:textAlignment w:val="auto"/>
              <w:outlineLvl w:val="0"/>
              <w:rPr>
                <w:rFonts w:hint="default" w:ascii="Times New Roman" w:hAnsi="Times New Roman" w:eastAsia="黑体" w:cs="Times New Roman"/>
                <w:color w:val="auto"/>
                <w:kern w:val="2"/>
                <w:sz w:val="21"/>
                <w:szCs w:val="21"/>
              </w:rPr>
            </w:pPr>
            <w:r>
              <w:rPr>
                <w:rFonts w:hint="default" w:ascii="Times New Roman" w:hAnsi="Times New Roman" w:eastAsia="黑体" w:cs="Times New Roman"/>
                <w:color w:val="auto"/>
                <w:kern w:val="2"/>
                <w:sz w:val="21"/>
                <w:szCs w:val="21"/>
              </w:rPr>
              <w:t xml:space="preserve"> </w:t>
            </w:r>
            <w:bookmarkStart w:id="639" w:name="_Toc23508"/>
            <w:bookmarkStart w:id="640" w:name="_Toc20112"/>
            <w:bookmarkStart w:id="641" w:name="_Toc5809"/>
            <w:bookmarkStart w:id="642" w:name="_Toc1777"/>
            <w:bookmarkStart w:id="643" w:name="_Toc15556"/>
            <w:bookmarkStart w:id="644" w:name="_Toc7481"/>
            <w:bookmarkStart w:id="645" w:name="_Toc11825"/>
            <w:bookmarkStart w:id="646" w:name="_Toc6042"/>
            <w:bookmarkStart w:id="647" w:name="_Toc19403"/>
            <w:bookmarkStart w:id="648" w:name="_Toc17093"/>
            <w:bookmarkStart w:id="649" w:name="_Toc362"/>
            <w:r>
              <w:rPr>
                <w:rFonts w:hint="default" w:ascii="Times New Roman" w:hAnsi="Times New Roman" w:eastAsia="黑体" w:cs="Times New Roman"/>
                <w:color w:val="auto"/>
                <w:kern w:val="2"/>
                <w:sz w:val="21"/>
                <w:szCs w:val="21"/>
              </w:rPr>
              <w:t>要素</w:t>
            </w:r>
            <w:bookmarkEnd w:id="639"/>
            <w:bookmarkEnd w:id="640"/>
            <w:bookmarkEnd w:id="641"/>
            <w:bookmarkEnd w:id="642"/>
            <w:bookmarkEnd w:id="643"/>
            <w:bookmarkEnd w:id="644"/>
            <w:bookmarkEnd w:id="645"/>
            <w:bookmarkEnd w:id="646"/>
            <w:bookmarkEnd w:id="647"/>
            <w:bookmarkEnd w:id="648"/>
            <w:bookmarkEnd w:id="649"/>
          </w:p>
        </w:tc>
        <w:tc>
          <w:tcPr>
            <w:tcW w:w="2119" w:type="pct"/>
            <w:gridSpan w:val="2"/>
            <w:noWrap w:val="0"/>
            <w:vAlign w:val="center"/>
          </w:tcPr>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outlineLvl w:val="0"/>
              <w:rPr>
                <w:rFonts w:hint="default" w:ascii="Times New Roman" w:hAnsi="Times New Roman" w:eastAsia="黑体" w:cs="Times New Roman"/>
                <w:color w:val="auto"/>
                <w:kern w:val="2"/>
                <w:sz w:val="21"/>
                <w:szCs w:val="21"/>
              </w:rPr>
            </w:pPr>
            <w:bookmarkStart w:id="650" w:name="_Toc3149"/>
            <w:bookmarkStart w:id="651" w:name="_Toc22521"/>
            <w:bookmarkStart w:id="652" w:name="_Toc3463"/>
            <w:bookmarkStart w:id="653" w:name="_Toc11725"/>
            <w:bookmarkStart w:id="654" w:name="_Toc10774"/>
            <w:bookmarkStart w:id="655" w:name="_Toc9329"/>
            <w:bookmarkStart w:id="656" w:name="_Toc31677"/>
            <w:bookmarkStart w:id="657" w:name="_Toc16513"/>
            <w:bookmarkStart w:id="658" w:name="_Toc25138"/>
            <w:bookmarkStart w:id="659" w:name="_Toc18594"/>
            <w:bookmarkStart w:id="660" w:name="_Toc32387"/>
            <w:r>
              <w:rPr>
                <w:rFonts w:hint="default" w:ascii="Times New Roman" w:hAnsi="Times New Roman" w:eastAsia="黑体" w:cs="Times New Roman"/>
                <w:color w:val="auto"/>
                <w:kern w:val="2"/>
                <w:sz w:val="21"/>
                <w:szCs w:val="21"/>
              </w:rPr>
              <w:t>施工期</w:t>
            </w:r>
            <w:bookmarkEnd w:id="650"/>
            <w:bookmarkEnd w:id="651"/>
            <w:bookmarkEnd w:id="652"/>
            <w:bookmarkEnd w:id="653"/>
            <w:bookmarkEnd w:id="654"/>
            <w:bookmarkEnd w:id="655"/>
            <w:bookmarkEnd w:id="656"/>
            <w:bookmarkEnd w:id="657"/>
            <w:bookmarkEnd w:id="658"/>
            <w:bookmarkEnd w:id="659"/>
            <w:bookmarkEnd w:id="660"/>
          </w:p>
        </w:tc>
        <w:tc>
          <w:tcPr>
            <w:tcW w:w="2125" w:type="pct"/>
            <w:gridSpan w:val="2"/>
            <w:noWrap w:val="0"/>
            <w:vAlign w:val="center"/>
          </w:tcPr>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outlineLvl w:val="0"/>
              <w:rPr>
                <w:rFonts w:hint="default" w:ascii="Times New Roman" w:hAnsi="Times New Roman" w:eastAsia="黑体" w:cs="Times New Roman"/>
                <w:color w:val="auto"/>
                <w:kern w:val="2"/>
                <w:sz w:val="21"/>
                <w:szCs w:val="21"/>
              </w:rPr>
            </w:pPr>
            <w:bookmarkStart w:id="661" w:name="_Toc25474"/>
            <w:bookmarkStart w:id="662" w:name="_Toc30159"/>
            <w:bookmarkStart w:id="663" w:name="_Toc11241"/>
            <w:bookmarkStart w:id="664" w:name="_Toc3041"/>
            <w:bookmarkStart w:id="665" w:name="_Toc18064"/>
            <w:bookmarkStart w:id="666" w:name="_Toc2297"/>
            <w:bookmarkStart w:id="667" w:name="_Toc24309"/>
            <w:bookmarkStart w:id="668" w:name="_Toc19775"/>
            <w:bookmarkStart w:id="669" w:name="_Toc7063"/>
            <w:bookmarkStart w:id="670" w:name="_Toc19984"/>
            <w:bookmarkStart w:id="671" w:name="_Toc31545"/>
            <w:r>
              <w:rPr>
                <w:rFonts w:hint="default" w:ascii="Times New Roman" w:hAnsi="Times New Roman" w:eastAsia="黑体" w:cs="Times New Roman"/>
                <w:color w:val="auto"/>
                <w:kern w:val="2"/>
                <w:sz w:val="21"/>
                <w:szCs w:val="21"/>
              </w:rPr>
              <w:t>运营期</w:t>
            </w:r>
            <w:bookmarkEnd w:id="661"/>
            <w:bookmarkEnd w:id="662"/>
            <w:bookmarkEnd w:id="663"/>
            <w:bookmarkEnd w:id="664"/>
            <w:bookmarkEnd w:id="665"/>
            <w:bookmarkEnd w:id="666"/>
            <w:bookmarkEnd w:id="667"/>
            <w:bookmarkEnd w:id="668"/>
            <w:bookmarkEnd w:id="669"/>
            <w:bookmarkEnd w:id="670"/>
            <w:bookmarkEnd w:id="67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vMerge w:val="continue"/>
            <w:noWrap w:val="0"/>
            <w:vAlign w:val="top"/>
          </w:tcPr>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outlineLvl w:val="9"/>
              <w:rPr>
                <w:rFonts w:hint="default" w:ascii="Times New Roman" w:hAnsi="Times New Roman" w:eastAsia="黑体" w:cs="Times New Roman"/>
                <w:color w:val="auto"/>
                <w:kern w:val="2"/>
                <w:sz w:val="21"/>
                <w:szCs w:val="21"/>
              </w:rPr>
            </w:pPr>
          </w:p>
        </w:tc>
        <w:tc>
          <w:tcPr>
            <w:tcW w:w="997" w:type="pct"/>
            <w:noWrap w:val="0"/>
            <w:vAlign w:val="center"/>
          </w:tcPr>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outlineLvl w:val="0"/>
              <w:rPr>
                <w:rFonts w:hint="default" w:ascii="Times New Roman" w:hAnsi="Times New Roman" w:eastAsia="黑体" w:cs="Times New Roman"/>
                <w:color w:val="auto"/>
                <w:kern w:val="2"/>
                <w:sz w:val="21"/>
                <w:szCs w:val="21"/>
              </w:rPr>
            </w:pPr>
            <w:bookmarkStart w:id="672" w:name="_Toc9537"/>
            <w:bookmarkStart w:id="673" w:name="_Toc16886"/>
            <w:bookmarkStart w:id="674" w:name="_Toc5695"/>
            <w:bookmarkStart w:id="675" w:name="_Toc17687"/>
            <w:bookmarkStart w:id="676" w:name="_Toc17837"/>
            <w:bookmarkStart w:id="677" w:name="_Toc12407"/>
            <w:bookmarkStart w:id="678" w:name="_Toc29657"/>
            <w:bookmarkStart w:id="679" w:name="_Toc31650"/>
            <w:bookmarkStart w:id="680" w:name="_Toc28293"/>
            <w:bookmarkStart w:id="681" w:name="_Toc12152"/>
            <w:bookmarkStart w:id="682" w:name="_Toc26999"/>
            <w:r>
              <w:rPr>
                <w:rFonts w:hint="default" w:ascii="Times New Roman" w:hAnsi="Times New Roman" w:eastAsia="黑体" w:cs="Times New Roman"/>
                <w:color w:val="auto"/>
                <w:kern w:val="2"/>
                <w:sz w:val="21"/>
                <w:szCs w:val="21"/>
              </w:rPr>
              <w:t>环境保护措施</w:t>
            </w:r>
            <w:bookmarkEnd w:id="672"/>
            <w:bookmarkEnd w:id="673"/>
            <w:bookmarkEnd w:id="674"/>
            <w:bookmarkEnd w:id="675"/>
            <w:bookmarkEnd w:id="676"/>
            <w:bookmarkEnd w:id="677"/>
            <w:bookmarkEnd w:id="678"/>
            <w:bookmarkEnd w:id="679"/>
            <w:bookmarkEnd w:id="680"/>
            <w:bookmarkEnd w:id="681"/>
            <w:bookmarkEnd w:id="682"/>
          </w:p>
        </w:tc>
        <w:tc>
          <w:tcPr>
            <w:tcW w:w="1122" w:type="pct"/>
            <w:noWrap w:val="0"/>
            <w:vAlign w:val="center"/>
          </w:tcPr>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outlineLvl w:val="0"/>
              <w:rPr>
                <w:rFonts w:hint="default" w:ascii="Times New Roman" w:hAnsi="Times New Roman" w:eastAsia="黑体" w:cs="Times New Roman"/>
                <w:color w:val="auto"/>
                <w:kern w:val="2"/>
                <w:sz w:val="21"/>
                <w:szCs w:val="21"/>
              </w:rPr>
            </w:pPr>
            <w:bookmarkStart w:id="683" w:name="_Toc28364"/>
            <w:bookmarkStart w:id="684" w:name="_Toc27746"/>
            <w:bookmarkStart w:id="685" w:name="_Toc32279"/>
            <w:bookmarkStart w:id="686" w:name="_Toc17656"/>
            <w:bookmarkStart w:id="687" w:name="_Toc2430"/>
            <w:bookmarkStart w:id="688" w:name="_Toc26553"/>
            <w:bookmarkStart w:id="689" w:name="_Toc1736"/>
            <w:bookmarkStart w:id="690" w:name="_Toc11354"/>
            <w:bookmarkStart w:id="691" w:name="_Toc221"/>
            <w:bookmarkStart w:id="692" w:name="_Toc23717"/>
            <w:bookmarkStart w:id="693" w:name="_Toc17935"/>
            <w:r>
              <w:rPr>
                <w:rFonts w:hint="default" w:ascii="Times New Roman" w:hAnsi="Times New Roman" w:eastAsia="黑体" w:cs="Times New Roman"/>
                <w:color w:val="auto"/>
                <w:kern w:val="2"/>
                <w:sz w:val="21"/>
                <w:szCs w:val="21"/>
              </w:rPr>
              <w:t>验收要求</w:t>
            </w:r>
            <w:bookmarkEnd w:id="683"/>
            <w:bookmarkEnd w:id="684"/>
            <w:bookmarkEnd w:id="685"/>
            <w:bookmarkEnd w:id="686"/>
            <w:bookmarkEnd w:id="687"/>
            <w:bookmarkEnd w:id="688"/>
            <w:bookmarkEnd w:id="689"/>
            <w:bookmarkEnd w:id="690"/>
            <w:bookmarkEnd w:id="691"/>
            <w:bookmarkEnd w:id="692"/>
            <w:bookmarkEnd w:id="693"/>
          </w:p>
        </w:tc>
        <w:tc>
          <w:tcPr>
            <w:tcW w:w="1012" w:type="pct"/>
            <w:noWrap w:val="0"/>
            <w:vAlign w:val="center"/>
          </w:tcPr>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outlineLvl w:val="0"/>
              <w:rPr>
                <w:rFonts w:hint="default" w:ascii="Times New Roman" w:hAnsi="Times New Roman" w:eastAsia="黑体" w:cs="Times New Roman"/>
                <w:color w:val="auto"/>
                <w:kern w:val="2"/>
                <w:sz w:val="21"/>
                <w:szCs w:val="21"/>
              </w:rPr>
            </w:pPr>
            <w:bookmarkStart w:id="694" w:name="_Toc8713"/>
            <w:bookmarkStart w:id="695" w:name="_Toc12453"/>
            <w:bookmarkStart w:id="696" w:name="_Toc5643"/>
            <w:bookmarkStart w:id="697" w:name="_Toc2059"/>
            <w:bookmarkStart w:id="698" w:name="_Toc18736"/>
            <w:bookmarkStart w:id="699" w:name="_Toc29681"/>
            <w:bookmarkStart w:id="700" w:name="_Toc16699"/>
            <w:bookmarkStart w:id="701" w:name="_Toc12469"/>
            <w:bookmarkStart w:id="702" w:name="_Toc29635"/>
            <w:bookmarkStart w:id="703" w:name="_Toc10617"/>
            <w:bookmarkStart w:id="704" w:name="_Toc19584"/>
            <w:r>
              <w:rPr>
                <w:rFonts w:hint="default" w:ascii="Times New Roman" w:hAnsi="Times New Roman" w:eastAsia="黑体" w:cs="Times New Roman"/>
                <w:color w:val="auto"/>
                <w:kern w:val="2"/>
                <w:sz w:val="21"/>
                <w:szCs w:val="21"/>
              </w:rPr>
              <w:t>环境保护措施</w:t>
            </w:r>
            <w:bookmarkEnd w:id="694"/>
            <w:bookmarkEnd w:id="695"/>
            <w:bookmarkEnd w:id="696"/>
            <w:bookmarkEnd w:id="697"/>
            <w:bookmarkEnd w:id="698"/>
            <w:bookmarkEnd w:id="699"/>
            <w:bookmarkEnd w:id="700"/>
            <w:bookmarkEnd w:id="701"/>
            <w:bookmarkEnd w:id="702"/>
            <w:bookmarkEnd w:id="703"/>
            <w:bookmarkEnd w:id="704"/>
          </w:p>
        </w:tc>
        <w:tc>
          <w:tcPr>
            <w:tcW w:w="1113" w:type="pct"/>
            <w:noWrap w:val="0"/>
            <w:vAlign w:val="center"/>
          </w:tcPr>
          <w:p>
            <w:pPr>
              <w:pStyle w:val="1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outlineLvl w:val="0"/>
              <w:rPr>
                <w:rFonts w:hint="default" w:ascii="Times New Roman" w:hAnsi="Times New Roman" w:eastAsia="黑体" w:cs="Times New Roman"/>
                <w:color w:val="auto"/>
                <w:kern w:val="2"/>
                <w:sz w:val="21"/>
                <w:szCs w:val="21"/>
              </w:rPr>
            </w:pPr>
            <w:bookmarkStart w:id="705" w:name="_Toc439"/>
            <w:bookmarkStart w:id="706" w:name="_Toc26692"/>
            <w:bookmarkStart w:id="707" w:name="_Toc9121"/>
            <w:bookmarkStart w:id="708" w:name="_Toc17744"/>
            <w:bookmarkStart w:id="709" w:name="_Toc1067"/>
            <w:bookmarkStart w:id="710" w:name="_Toc384"/>
            <w:bookmarkStart w:id="711" w:name="_Toc22294"/>
            <w:bookmarkStart w:id="712" w:name="_Toc26894"/>
            <w:bookmarkStart w:id="713" w:name="_Toc10468"/>
            <w:bookmarkStart w:id="714" w:name="_Toc18634"/>
            <w:bookmarkStart w:id="715" w:name="_Toc14450"/>
            <w:r>
              <w:rPr>
                <w:rFonts w:hint="default" w:ascii="Times New Roman" w:hAnsi="Times New Roman" w:eastAsia="黑体" w:cs="Times New Roman"/>
                <w:color w:val="auto"/>
                <w:kern w:val="2"/>
                <w:sz w:val="21"/>
                <w:szCs w:val="21"/>
              </w:rPr>
              <w:t>验收要求</w:t>
            </w:r>
            <w:bookmarkEnd w:id="705"/>
            <w:bookmarkEnd w:id="706"/>
            <w:bookmarkEnd w:id="707"/>
            <w:bookmarkEnd w:id="708"/>
            <w:bookmarkEnd w:id="709"/>
            <w:bookmarkEnd w:id="710"/>
            <w:bookmarkEnd w:id="711"/>
            <w:bookmarkEnd w:id="712"/>
            <w:bookmarkEnd w:id="713"/>
            <w:bookmarkEnd w:id="714"/>
            <w:bookmarkEnd w:id="71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陆生生态</w:t>
            </w:r>
          </w:p>
        </w:tc>
        <w:tc>
          <w:tcPr>
            <w:tcW w:w="997" w:type="pct"/>
            <w:noWrap w:val="0"/>
            <w:vAlign w:val="center"/>
          </w:tcPr>
          <w:p>
            <w:pPr>
              <w:pStyle w:val="16"/>
              <w:bidi w:val="0"/>
              <w:jc w:val="both"/>
              <w:rPr>
                <w:rFonts w:hint="eastAsia" w:ascii="Times New Roman" w:hAnsi="Times New Roman" w:eastAsia="宋体" w:cs="Times New Roman"/>
                <w:color w:val="auto"/>
                <w:lang w:val="en-US" w:eastAsia="zh-CN"/>
              </w:rPr>
            </w:pPr>
            <w:r>
              <w:rPr>
                <w:rFonts w:hint="default" w:ascii="Times New Roman" w:hAnsi="Times New Roman" w:cs="Times New Roman"/>
                <w:color w:val="auto"/>
              </w:rPr>
              <w:t>及时掌握恶劣天气，合理制定施工计划，做好水土保持，避免水土流失；施工过程中应加强管理，保护好施工场地周围植被。临时工程应进行整体部署，不得随意布设，施工结束后应及时拆除临时工程建筑，清理平整场地，</w:t>
            </w:r>
            <w:r>
              <w:rPr>
                <w:rFonts w:hint="eastAsia" w:cs="Times New Roman"/>
                <w:color w:val="auto"/>
                <w:lang w:val="en-US" w:eastAsia="zh-CN"/>
              </w:rPr>
              <w:t>采取</w:t>
            </w:r>
            <w:r>
              <w:rPr>
                <w:rFonts w:hint="default" w:ascii="Times New Roman" w:hAnsi="Times New Roman" w:cs="Times New Roman"/>
                <w:color w:val="auto"/>
              </w:rPr>
              <w:t>绿化</w:t>
            </w:r>
            <w:r>
              <w:rPr>
                <w:rFonts w:hint="eastAsia" w:cs="Times New Roman"/>
                <w:color w:val="auto"/>
                <w:lang w:val="en-US" w:eastAsia="zh-CN"/>
              </w:rPr>
              <w:t>措施</w:t>
            </w:r>
          </w:p>
        </w:tc>
        <w:tc>
          <w:tcPr>
            <w:tcW w:w="1122" w:type="pct"/>
            <w:noWrap w:val="0"/>
            <w:vAlign w:val="center"/>
          </w:tcPr>
          <w:p>
            <w:pPr>
              <w:pStyle w:val="16"/>
              <w:bidi w:val="0"/>
              <w:jc w:val="both"/>
              <w:rPr>
                <w:rFonts w:hint="default" w:ascii="Times New Roman" w:hAnsi="Times New Roman" w:cs="Times New Roman"/>
                <w:color w:val="auto"/>
              </w:rPr>
            </w:pPr>
            <w:r>
              <w:rPr>
                <w:rFonts w:hint="default" w:ascii="Times New Roman" w:hAnsi="Times New Roman" w:cs="Times New Roman"/>
                <w:color w:val="auto"/>
              </w:rPr>
              <w:t>施工结束后拆除临时工程建筑，清理平整场地，复垦还耕或绿化</w:t>
            </w:r>
          </w:p>
        </w:tc>
        <w:tc>
          <w:tcPr>
            <w:tcW w:w="10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加强场区空地绿化</w:t>
            </w:r>
          </w:p>
        </w:tc>
        <w:tc>
          <w:tcPr>
            <w:tcW w:w="1113"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核实绿化建设情况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水生生态</w:t>
            </w:r>
          </w:p>
        </w:tc>
        <w:tc>
          <w:tcPr>
            <w:tcW w:w="997" w:type="pct"/>
            <w:noWrap w:val="0"/>
            <w:vAlign w:val="center"/>
          </w:tcPr>
          <w:p>
            <w:pPr>
              <w:pStyle w:val="16"/>
              <w:bidi w:val="0"/>
              <w:jc w:val="both"/>
              <w:rPr>
                <w:rFonts w:hint="default" w:ascii="Times New Roman" w:hAnsi="Times New Roman" w:cs="Times New Roman"/>
                <w:color w:val="auto"/>
              </w:rPr>
            </w:pPr>
            <w:r>
              <w:rPr>
                <w:rFonts w:hint="default" w:ascii="Times New Roman" w:hAnsi="Times New Roman" w:cs="Times New Roman"/>
                <w:color w:val="auto"/>
              </w:rPr>
              <w:t>避免向水域排放生活污水、含油污水等；做好陆-水域隔离措施，</w:t>
            </w:r>
            <w:r>
              <w:rPr>
                <w:rFonts w:hint="eastAsia" w:cs="Times New Roman"/>
                <w:color w:val="auto"/>
                <w:lang w:val="en-US" w:eastAsia="zh-CN"/>
              </w:rPr>
              <w:t>建筑垃圾</w:t>
            </w:r>
            <w:r>
              <w:rPr>
                <w:rFonts w:hint="default" w:ascii="Times New Roman" w:hAnsi="Times New Roman" w:cs="Times New Roman"/>
                <w:color w:val="auto"/>
              </w:rPr>
              <w:t>、生活垃圾等固体废物不应堆放于靠近水域方向</w:t>
            </w:r>
          </w:p>
        </w:tc>
        <w:tc>
          <w:tcPr>
            <w:tcW w:w="112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落实相关政策，避免水生生态遭到破坏</w:t>
            </w:r>
          </w:p>
        </w:tc>
        <w:tc>
          <w:tcPr>
            <w:tcW w:w="10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加强渔政管理</w:t>
            </w:r>
          </w:p>
        </w:tc>
        <w:tc>
          <w:tcPr>
            <w:tcW w:w="1113"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严格落实监管措施，当地鱼类未受到影响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地表水环境</w:t>
            </w:r>
          </w:p>
        </w:tc>
        <w:tc>
          <w:tcPr>
            <w:tcW w:w="997" w:type="pct"/>
            <w:noWrap w:val="0"/>
            <w:vAlign w:val="center"/>
          </w:tcPr>
          <w:p>
            <w:pPr>
              <w:pStyle w:val="16"/>
              <w:bidi w:val="0"/>
              <w:jc w:val="both"/>
              <w:rPr>
                <w:rFonts w:hint="default" w:ascii="Times New Roman" w:hAnsi="Times New Roman" w:cs="Times New Roman"/>
                <w:color w:val="auto"/>
              </w:rPr>
            </w:pPr>
            <w:r>
              <w:rPr>
                <w:rFonts w:hint="eastAsia" w:cs="Times New Roman"/>
                <w:color w:val="auto"/>
                <w:lang w:val="en-US" w:eastAsia="zh-CN"/>
              </w:rPr>
              <w:t>施工废水</w:t>
            </w:r>
            <w:r>
              <w:rPr>
                <w:rFonts w:hint="default" w:ascii="Times New Roman" w:hAnsi="Times New Roman" w:cs="Times New Roman"/>
                <w:color w:val="auto"/>
              </w:rPr>
              <w:t>通过沉淀池处理后</w:t>
            </w:r>
            <w:r>
              <w:rPr>
                <w:rFonts w:hint="eastAsia" w:cs="Times New Roman"/>
                <w:color w:val="auto"/>
                <w:lang w:val="en-US" w:eastAsia="zh-CN"/>
              </w:rPr>
              <w:t>上清液回用，不外排</w:t>
            </w:r>
            <w:r>
              <w:rPr>
                <w:rFonts w:hint="default" w:ascii="Times New Roman" w:hAnsi="Times New Roman" w:cs="Times New Roman"/>
                <w:color w:val="auto"/>
              </w:rPr>
              <w:t>；生活污水经化粪池处理后由环卫部门定期抽走不外排</w:t>
            </w:r>
          </w:p>
        </w:tc>
        <w:tc>
          <w:tcPr>
            <w:tcW w:w="112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落实相关措施，对周围水环境无影响</w:t>
            </w:r>
          </w:p>
        </w:tc>
        <w:tc>
          <w:tcPr>
            <w:tcW w:w="1012" w:type="pct"/>
            <w:noWrap w:val="0"/>
            <w:vAlign w:val="center"/>
          </w:tcPr>
          <w:p>
            <w:pPr>
              <w:pStyle w:val="16"/>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码头执法、值班人员生活污水经化粪池处理后</w:t>
            </w:r>
            <w:r>
              <w:rPr>
                <w:rFonts w:hint="eastAsia"/>
                <w:color w:val="auto"/>
                <w:lang w:val="en-US" w:eastAsia="zh-CN"/>
              </w:rPr>
              <w:t>在容量为5m</w:t>
            </w:r>
            <w:r>
              <w:rPr>
                <w:rFonts w:hint="eastAsia"/>
                <w:color w:val="auto"/>
                <w:vertAlign w:val="superscript"/>
                <w:lang w:val="en-US" w:eastAsia="zh-CN"/>
              </w:rPr>
              <w:t>3</w:t>
            </w:r>
            <w:r>
              <w:rPr>
                <w:rFonts w:hint="eastAsia"/>
                <w:color w:val="auto"/>
                <w:lang w:val="en-US" w:eastAsia="zh-CN"/>
              </w:rPr>
              <w:t>污水收集箱中暂存，</w:t>
            </w:r>
            <w:r>
              <w:rPr>
                <w:rFonts w:hint="default" w:ascii="Times New Roman" w:hAnsi="Times New Roman" w:cs="Times New Roman"/>
                <w:color w:val="auto"/>
                <w:lang w:val="en-US" w:eastAsia="zh-CN"/>
              </w:rPr>
              <w:t>由环卫部门定期抽走</w:t>
            </w:r>
            <w:r>
              <w:rPr>
                <w:rFonts w:hint="eastAsia" w:cs="Times New Roman"/>
                <w:color w:val="auto"/>
                <w:lang w:val="en-US" w:eastAsia="zh-CN"/>
              </w:rPr>
              <w:t>；</w:t>
            </w:r>
            <w:r>
              <w:rPr>
                <w:rFonts w:hint="default" w:ascii="Times New Roman" w:hAnsi="Times New Roman" w:cs="Times New Roman"/>
                <w:color w:val="auto"/>
                <w:lang w:val="en-US" w:eastAsia="zh-CN"/>
              </w:rPr>
              <w:t>设置含油污水接收设施，可接收船舶含油污水，收集后委托具有相应资质的单位处置</w:t>
            </w:r>
          </w:p>
        </w:tc>
        <w:tc>
          <w:tcPr>
            <w:tcW w:w="1113" w:type="pct"/>
            <w:noWrap w:val="0"/>
            <w:vAlign w:val="center"/>
          </w:tcPr>
          <w:p>
            <w:pPr>
              <w:pStyle w:val="16"/>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严格落实监管措施，当地鱼类未受到影响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地下水及土壤环境</w:t>
            </w:r>
          </w:p>
        </w:tc>
        <w:tc>
          <w:tcPr>
            <w:tcW w:w="99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12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1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11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声环境</w:t>
            </w:r>
          </w:p>
        </w:tc>
        <w:tc>
          <w:tcPr>
            <w:tcW w:w="997" w:type="pct"/>
            <w:noWrap w:val="0"/>
            <w:vAlign w:val="center"/>
          </w:tcPr>
          <w:p>
            <w:pPr>
              <w:pStyle w:val="16"/>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合理安排施工时间；改进施工技术，尽量选用低噪声的设备和工艺；机动车辆的喇叭选用指向性强的低噪声喇叭；加强机械设备的维修和保养，减少运行噪声</w:t>
            </w:r>
          </w:p>
        </w:tc>
        <w:tc>
          <w:tcPr>
            <w:tcW w:w="1122" w:type="pct"/>
            <w:noWrap w:val="0"/>
            <w:vAlign w:val="center"/>
          </w:tcPr>
          <w:p>
            <w:pPr>
              <w:pStyle w:val="16"/>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rPr>
              <w:t>本项目东北侧为蒸水、西南侧紧贴蒸水南路按《声环境质量标准》（GB3096-2008）中的4a类标准进行保护；本项目西南侧</w:t>
            </w:r>
            <w:r>
              <w:rPr>
                <w:rFonts w:hint="eastAsia" w:ascii="Times New Roman" w:hAnsi="Times New Roman" w:cs="Times New Roman"/>
                <w:color w:val="auto"/>
                <w:lang w:val="en-US" w:eastAsia="zh-CN"/>
              </w:rPr>
              <w:t>75</w:t>
            </w:r>
            <w:r>
              <w:rPr>
                <w:rFonts w:hint="default" w:ascii="Times New Roman" w:hAnsi="Times New Roman" w:cs="Times New Roman"/>
                <w:color w:val="auto"/>
              </w:rPr>
              <w:t>m处有集中居住区，按《声环境质量标准》（GB3096-2008）中的2类标准进行保护</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施工期间未发生噪声扰民，未引发居民投诉</w:t>
            </w:r>
          </w:p>
        </w:tc>
        <w:tc>
          <w:tcPr>
            <w:tcW w:w="1012" w:type="pct"/>
            <w:noWrap w:val="0"/>
            <w:vAlign w:val="center"/>
          </w:tcPr>
          <w:p>
            <w:pPr>
              <w:pStyle w:val="16"/>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执法船停靠后不鸣笛；发动机设在船舱最底层，经船舱封闭隔声；夜间执法船不工作，船舶停泊码头时使用码头供电停止发动机；执法船材料选择具有较强吸声、消声、隔音性能的材料；设置禁鸣牌，船舶和车辆在靠近居民点集中的区域应适当减速行驶，禁止鸣高音喇叭</w:t>
            </w:r>
          </w:p>
        </w:tc>
        <w:tc>
          <w:tcPr>
            <w:tcW w:w="1113" w:type="pct"/>
            <w:noWrap w:val="0"/>
            <w:vAlign w:val="center"/>
          </w:tcPr>
          <w:p>
            <w:pPr>
              <w:pStyle w:val="16"/>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严格落实监管措施，运营期间未引发居民投诉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振动</w:t>
            </w:r>
          </w:p>
        </w:tc>
        <w:tc>
          <w:tcPr>
            <w:tcW w:w="99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12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1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11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大气环境</w:t>
            </w:r>
          </w:p>
        </w:tc>
        <w:tc>
          <w:tcPr>
            <w:tcW w:w="997" w:type="pct"/>
            <w:noWrap w:val="0"/>
            <w:vAlign w:val="center"/>
          </w:tcPr>
          <w:p>
            <w:pPr>
              <w:pStyle w:val="16"/>
              <w:bidi w:val="0"/>
              <w:jc w:val="both"/>
              <w:rPr>
                <w:rFonts w:hint="default" w:ascii="Times New Roman" w:hAnsi="Times New Roman" w:cs="Times New Roman"/>
                <w:color w:val="auto"/>
              </w:rPr>
            </w:pPr>
            <w:r>
              <w:rPr>
                <w:rFonts w:hint="default" w:ascii="Times New Roman" w:hAnsi="Times New Roman" w:cs="Times New Roman"/>
                <w:color w:val="auto"/>
              </w:rPr>
              <w:t>土料和水泥装载时适当加湿或用帆布覆盖，商品砼覆盖封闭运送，施工区配备洒水车进行洒水除尘，同时道路及时清扫；</w:t>
            </w:r>
            <w:r>
              <w:rPr>
                <w:rFonts w:hint="eastAsia" w:cs="Times New Roman"/>
                <w:color w:val="auto"/>
                <w:lang w:val="en-US" w:eastAsia="zh-CN"/>
              </w:rPr>
              <w:t>堆场</w:t>
            </w:r>
            <w:r>
              <w:rPr>
                <w:rFonts w:hint="default" w:ascii="Times New Roman" w:hAnsi="Times New Roman" w:cs="Times New Roman"/>
                <w:color w:val="auto"/>
              </w:rPr>
              <w:t>及时夯实，散装水泥避免露天堆放，晴朗多风天气对露天堆放的临时堆放料适当加湿；施工机械及运输车辆定期检修与保养，使用无铅汽油等优质燃料</w:t>
            </w:r>
          </w:p>
        </w:tc>
        <w:tc>
          <w:tcPr>
            <w:tcW w:w="1122" w:type="pct"/>
            <w:noWrap w:val="0"/>
            <w:vAlign w:val="center"/>
          </w:tcPr>
          <w:p>
            <w:pPr>
              <w:pStyle w:val="16"/>
              <w:bidi w:val="0"/>
              <w:jc w:val="both"/>
              <w:rPr>
                <w:rFonts w:hint="default" w:ascii="Times New Roman" w:hAnsi="Times New Roman" w:cs="Times New Roman"/>
                <w:color w:val="auto"/>
              </w:rPr>
            </w:pPr>
            <w:r>
              <w:rPr>
                <w:rFonts w:hint="default" w:ascii="Times New Roman" w:hAnsi="Times New Roman" w:cs="Times New Roman"/>
                <w:color w:val="auto"/>
              </w:rPr>
              <w:t>《大气污染物综合排放标准》（GB16297-1996）</w:t>
            </w:r>
          </w:p>
        </w:tc>
        <w:tc>
          <w:tcPr>
            <w:tcW w:w="1012" w:type="pct"/>
            <w:noWrap w:val="0"/>
            <w:vAlign w:val="center"/>
          </w:tcPr>
          <w:p>
            <w:pPr>
              <w:pStyle w:val="16"/>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执法船停泊码头时使用码头供电停止发动机</w:t>
            </w:r>
          </w:p>
        </w:tc>
        <w:tc>
          <w:tcPr>
            <w:tcW w:w="1113" w:type="pct"/>
            <w:noWrap w:val="0"/>
            <w:vAlign w:val="center"/>
          </w:tcPr>
          <w:p>
            <w:pPr>
              <w:pStyle w:val="16"/>
              <w:bidi w:val="0"/>
              <w:jc w:val="both"/>
              <w:rPr>
                <w:rFonts w:hint="default" w:ascii="Times New Roman" w:hAnsi="Times New Roman" w:cs="Times New Roman"/>
                <w:color w:val="auto"/>
              </w:rPr>
            </w:pPr>
            <w:r>
              <w:rPr>
                <w:rFonts w:hint="default" w:ascii="Times New Roman" w:hAnsi="Times New Roman" w:cs="Times New Roman"/>
                <w:color w:val="auto"/>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固体废物</w:t>
            </w:r>
          </w:p>
        </w:tc>
        <w:tc>
          <w:tcPr>
            <w:tcW w:w="997" w:type="pct"/>
            <w:noWrap w:val="0"/>
            <w:vAlign w:val="center"/>
          </w:tcPr>
          <w:p>
            <w:pPr>
              <w:pStyle w:val="16"/>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维修废机油经收集后交由有资质单位处理；</w:t>
            </w:r>
            <w:r>
              <w:rPr>
                <w:rFonts w:hint="eastAsia" w:cs="Times New Roman"/>
                <w:color w:val="auto"/>
                <w:lang w:val="en-US" w:eastAsia="zh-CN"/>
              </w:rPr>
              <w:t>建筑垃圾</w:t>
            </w:r>
            <w:r>
              <w:rPr>
                <w:rFonts w:hint="default" w:ascii="Times New Roman" w:hAnsi="Times New Roman" w:cs="Times New Roman"/>
                <w:color w:val="auto"/>
                <w:lang w:val="en-US" w:eastAsia="zh-CN"/>
              </w:rPr>
              <w:t>运至</w:t>
            </w:r>
            <w:r>
              <w:rPr>
                <w:rFonts w:hint="eastAsia" w:cs="Times New Roman"/>
                <w:color w:val="auto"/>
                <w:lang w:val="en-US" w:eastAsia="zh-CN"/>
              </w:rPr>
              <w:t>建筑垃圾临时堆放场</w:t>
            </w:r>
            <w:r>
              <w:rPr>
                <w:rFonts w:hint="default" w:ascii="Times New Roman" w:hAnsi="Times New Roman" w:cs="Times New Roman"/>
                <w:color w:val="auto"/>
                <w:lang w:val="en-US" w:eastAsia="zh-CN"/>
              </w:rPr>
              <w:t>；沉淀池污泥经压滤后定期外运；生活垃圾委托当地环卫部门统一清运、处理</w:t>
            </w:r>
          </w:p>
        </w:tc>
        <w:tc>
          <w:tcPr>
            <w:tcW w:w="1122" w:type="pct"/>
            <w:noWrap w:val="0"/>
            <w:vAlign w:val="center"/>
          </w:tcPr>
          <w:p>
            <w:pPr>
              <w:pStyle w:val="16"/>
              <w:bidi w:val="0"/>
              <w:jc w:val="both"/>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所有固废合理处置，无乱丢乱弃</w:t>
            </w:r>
          </w:p>
        </w:tc>
        <w:tc>
          <w:tcPr>
            <w:tcW w:w="1012" w:type="pct"/>
            <w:noWrap w:val="0"/>
            <w:vAlign w:val="center"/>
          </w:tcPr>
          <w:p>
            <w:pPr>
              <w:pStyle w:val="16"/>
              <w:bidi w:val="0"/>
              <w:jc w:val="both"/>
              <w:rPr>
                <w:rFonts w:hint="default" w:ascii="Times New Roman" w:hAnsi="Times New Roman" w:cs="Times New Roman"/>
                <w:color w:val="auto"/>
              </w:rPr>
            </w:pPr>
            <w:r>
              <w:rPr>
                <w:rFonts w:hint="default" w:ascii="Times New Roman" w:hAnsi="Times New Roman" w:cs="Times New Roman"/>
                <w:color w:val="auto"/>
              </w:rPr>
              <w:t>生活垃圾交由环卫部门统一清运</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维修</w:t>
            </w:r>
            <w:r>
              <w:rPr>
                <w:rFonts w:hint="default" w:ascii="Times New Roman" w:hAnsi="Times New Roman" w:cs="Times New Roman"/>
                <w:color w:val="auto"/>
              </w:rPr>
              <w:t>废机油收集储存在危废暂存间交由有资质的单位处理</w:t>
            </w:r>
          </w:p>
        </w:tc>
        <w:tc>
          <w:tcPr>
            <w:tcW w:w="1113" w:type="pct"/>
            <w:noWrap w:val="0"/>
            <w:vAlign w:val="center"/>
          </w:tcPr>
          <w:p>
            <w:pPr>
              <w:pStyle w:val="16"/>
              <w:bidi w:val="0"/>
              <w:jc w:val="both"/>
              <w:rPr>
                <w:rFonts w:hint="default" w:ascii="Times New Roman" w:hAnsi="Times New Roman" w:cs="Times New Roman"/>
                <w:color w:val="auto"/>
              </w:rPr>
            </w:pPr>
            <w:r>
              <w:rPr>
                <w:rFonts w:hint="default" w:ascii="Times New Roman" w:hAnsi="Times New Roman" w:cs="Times New Roman"/>
                <w:color w:val="auto"/>
              </w:rPr>
              <w:t>生活垃圾执行《生活垃圾填埋污染控制标准》（GB16889-2008）</w:t>
            </w:r>
            <w:r>
              <w:rPr>
                <w:rFonts w:hint="default" w:ascii="Times New Roman" w:hAnsi="Times New Roman" w:cs="Times New Roman"/>
                <w:color w:val="auto"/>
                <w:lang w:eastAsia="zh-CN"/>
              </w:rPr>
              <w:t>；</w:t>
            </w:r>
            <w:r>
              <w:rPr>
                <w:rFonts w:hint="default" w:ascii="Times New Roman" w:hAnsi="Times New Roman" w:cs="Times New Roman"/>
                <w:color w:val="auto"/>
              </w:rPr>
              <w:t>危险废物执行《危险废物贮存污染控制标准》（GB18597-20</w:t>
            </w:r>
            <w:r>
              <w:rPr>
                <w:rFonts w:hint="eastAsia" w:cs="Times New Roman"/>
                <w:color w:val="auto"/>
                <w:lang w:val="en-US" w:eastAsia="zh-CN"/>
              </w:rPr>
              <w:t>23</w:t>
            </w:r>
            <w:r>
              <w:rPr>
                <w:rFonts w:hint="default" w:ascii="Times New Roman" w:hAnsi="Times New Roman"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电磁环境</w:t>
            </w:r>
          </w:p>
        </w:tc>
        <w:tc>
          <w:tcPr>
            <w:tcW w:w="99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12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1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11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环境风险</w:t>
            </w:r>
          </w:p>
        </w:tc>
        <w:tc>
          <w:tcPr>
            <w:tcW w:w="997"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码头建设期应设置管理岗位，严格制定制度，防止施工废水泄露；加强对废污水收集处理系统的日常检修工作；加强工程运输车辆司机道路运输安全教育和环保教育，提高相关司机的安全和环保意识</w:t>
            </w:r>
          </w:p>
        </w:tc>
        <w:tc>
          <w:tcPr>
            <w:tcW w:w="112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施工期未发生：施工废水未经处理排放；运输物料车辆侧翻导致施工物料洒落到水体；水土流失等环境风险事故</w:t>
            </w:r>
          </w:p>
        </w:tc>
        <w:tc>
          <w:tcPr>
            <w:tcW w:w="1012"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常备灭火器、围油栏等</w:t>
            </w:r>
          </w:p>
        </w:tc>
        <w:tc>
          <w:tcPr>
            <w:tcW w:w="1113" w:type="pct"/>
            <w:noWrap w:val="0"/>
            <w:vAlign w:val="center"/>
          </w:tcPr>
          <w:p>
            <w:pPr>
              <w:pStyle w:val="16"/>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核实灭火器、围油栏配备情况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环境监测</w:t>
            </w:r>
          </w:p>
        </w:tc>
        <w:tc>
          <w:tcPr>
            <w:tcW w:w="99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12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12" w:type="pc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水环境、生态环境监测</w:t>
            </w:r>
          </w:p>
        </w:tc>
        <w:tc>
          <w:tcPr>
            <w:tcW w:w="1113" w:type="pct"/>
            <w:noWrap w:val="0"/>
            <w:vAlign w:val="center"/>
          </w:tcPr>
          <w:p>
            <w:pPr>
              <w:pStyle w:val="16"/>
              <w:bidi w:val="0"/>
              <w:rPr>
                <w:rFonts w:hint="default" w:ascii="Times New Roman" w:hAnsi="Times New Roman" w:cs="Times New Roman"/>
                <w:color w:val="auto"/>
                <w:lang w:val="en-US" w:eastAsia="zh-CN"/>
              </w:rPr>
            </w:pPr>
            <w:r>
              <w:rPr>
                <w:rFonts w:hint="eastAsia" w:cs="Times New Roman"/>
                <w:color w:val="auto"/>
                <w:lang w:val="en-US" w:eastAsia="zh-CN"/>
              </w:rPr>
              <w:t>满足相应标准要求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5" w:type="pct"/>
            <w:noWrap w:val="0"/>
            <w:vAlign w:val="center"/>
          </w:tcPr>
          <w:p>
            <w:pPr>
              <w:pStyle w:val="16"/>
              <w:bidi w:val="0"/>
              <w:rPr>
                <w:rFonts w:hint="default" w:ascii="Times New Roman" w:hAnsi="Times New Roman" w:cs="Times New Roman"/>
                <w:color w:val="auto"/>
              </w:rPr>
            </w:pPr>
            <w:r>
              <w:rPr>
                <w:rFonts w:hint="default" w:ascii="Times New Roman" w:hAnsi="Times New Roman" w:cs="Times New Roman"/>
                <w:color w:val="auto"/>
              </w:rPr>
              <w:t>其他</w:t>
            </w:r>
          </w:p>
        </w:tc>
        <w:tc>
          <w:tcPr>
            <w:tcW w:w="997"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12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12"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113" w:type="pct"/>
            <w:noWrap w:val="0"/>
            <w:vAlign w:val="center"/>
          </w:tcPr>
          <w:p>
            <w:pPr>
              <w:pStyle w:val="1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bl>
    <w:p>
      <w:pPr>
        <w:pStyle w:val="2"/>
        <w:bidi w:val="0"/>
        <w:rPr>
          <w:rFonts w:hint="default" w:ascii="Times New Roman" w:hAnsi="Times New Roman" w:eastAsia="黑体" w:cs="Times New Roman"/>
          <w:snapToGrid w:val="0"/>
          <w:color w:val="auto"/>
          <w:sz w:val="30"/>
          <w:szCs w:val="30"/>
        </w:rPr>
      </w:pPr>
      <w:r>
        <w:rPr>
          <w:rFonts w:hint="default" w:ascii="Times New Roman" w:hAnsi="Times New Roman" w:eastAsia="黑体" w:cs="Times New Roman"/>
          <w:snapToGrid w:val="0"/>
          <w:color w:val="auto"/>
          <w:sz w:val="30"/>
          <w:szCs w:val="30"/>
        </w:rPr>
        <w:br w:type="page"/>
      </w:r>
      <w:bookmarkStart w:id="716" w:name="_Toc26364"/>
      <w:bookmarkStart w:id="717" w:name="_Toc28891"/>
      <w:r>
        <w:rPr>
          <w:rFonts w:hint="default" w:ascii="Times New Roman" w:hAnsi="Times New Roman" w:eastAsia="黑体" w:cs="Times New Roman"/>
          <w:snapToGrid w:val="0"/>
          <w:color w:val="auto"/>
          <w:sz w:val="30"/>
          <w:szCs w:val="30"/>
        </w:rPr>
        <w:t>七、结论</w:t>
      </w:r>
      <w:bookmarkEnd w:id="716"/>
      <w:bookmarkEnd w:id="717"/>
    </w:p>
    <w:tbl>
      <w:tblPr>
        <w:tblStyle w:val="11"/>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349" w:hRule="atLeast"/>
          <w:jc w:val="center"/>
        </w:trPr>
        <w:tc>
          <w:tcPr>
            <w:tcW w:w="9289" w:type="dxa"/>
            <w:noWrap w:val="0"/>
            <w:vAlign w:val="top"/>
          </w:tcPr>
          <w:p>
            <w:pPr>
              <w:pStyle w:val="3"/>
              <w:bidi w:val="0"/>
              <w:rPr>
                <w:rFonts w:hint="default" w:ascii="Times New Roman" w:hAnsi="Times New Roman" w:cs="Times New Roman"/>
                <w:color w:val="auto"/>
              </w:rPr>
            </w:pPr>
            <w:bookmarkStart w:id="718" w:name="_Toc1541"/>
            <w:bookmarkStart w:id="719" w:name="_Toc32527"/>
            <w:bookmarkStart w:id="720" w:name="_Toc26320"/>
            <w:bookmarkStart w:id="721" w:name="_Toc26964"/>
            <w:bookmarkStart w:id="722" w:name="_Toc17545"/>
            <w:bookmarkStart w:id="723" w:name="_Toc8661"/>
            <w:bookmarkStart w:id="724" w:name="_Toc4809"/>
            <w:bookmarkStart w:id="725" w:name="_Toc13253"/>
            <w:bookmarkStart w:id="726" w:name="_Toc22430"/>
            <w:bookmarkStart w:id="727" w:name="_Toc2362"/>
            <w:r>
              <w:rPr>
                <w:rFonts w:hint="default" w:ascii="Times New Roman" w:hAnsi="Times New Roman" w:cs="Times New Roman"/>
                <w:color w:val="auto"/>
              </w:rPr>
              <w:t>1、总结论</w:t>
            </w:r>
            <w:bookmarkEnd w:id="718"/>
            <w:bookmarkEnd w:id="719"/>
            <w:bookmarkEnd w:id="720"/>
            <w:bookmarkEnd w:id="721"/>
            <w:bookmarkEnd w:id="722"/>
            <w:bookmarkEnd w:id="723"/>
            <w:bookmarkEnd w:id="724"/>
            <w:bookmarkEnd w:id="725"/>
            <w:bookmarkEnd w:id="726"/>
            <w:bookmarkEnd w:id="727"/>
          </w:p>
          <w:p>
            <w:pPr>
              <w:bidi w:val="0"/>
              <w:rPr>
                <w:rFonts w:hint="default" w:ascii="Times New Roman" w:hAnsi="Times New Roman" w:cs="Times New Roman"/>
                <w:color w:val="auto"/>
              </w:rPr>
            </w:pPr>
            <w:r>
              <w:rPr>
                <w:rFonts w:hint="default" w:ascii="Times New Roman" w:hAnsi="Times New Roman" w:cs="Times New Roman"/>
                <w:color w:val="auto"/>
                <w:lang w:val="en-US" w:eastAsia="zh-CN"/>
              </w:rPr>
              <w:t>综上所述</w:t>
            </w:r>
            <w:r>
              <w:rPr>
                <w:rFonts w:hint="default" w:ascii="Times New Roman" w:hAnsi="Times New Roman" w:cs="Times New Roman"/>
                <w:color w:val="auto"/>
              </w:rPr>
              <w:t>，本项目建设符合产业政策</w:t>
            </w:r>
            <w:r>
              <w:rPr>
                <w:rFonts w:hint="default" w:ascii="Times New Roman" w:hAnsi="Times New Roman" w:cs="Times New Roman"/>
                <w:color w:val="auto"/>
                <w:lang w:val="en-US" w:eastAsia="zh-CN"/>
              </w:rPr>
              <w:t>要求</w:t>
            </w:r>
            <w:r>
              <w:rPr>
                <w:rFonts w:hint="default" w:ascii="Times New Roman" w:hAnsi="Times New Roman" w:cs="Times New Roman"/>
                <w:color w:val="auto"/>
              </w:rPr>
              <w:t>，选址</w:t>
            </w:r>
            <w:r>
              <w:rPr>
                <w:rFonts w:hint="default" w:ascii="Times New Roman" w:hAnsi="Times New Roman" w:cs="Times New Roman"/>
                <w:color w:val="auto"/>
                <w:lang w:val="en-US" w:eastAsia="zh-CN"/>
              </w:rPr>
              <w:t>合理</w:t>
            </w:r>
            <w:r>
              <w:rPr>
                <w:rFonts w:hint="default" w:ascii="Times New Roman" w:hAnsi="Times New Roman" w:cs="Times New Roman"/>
                <w:color w:val="auto"/>
              </w:rPr>
              <w:t>，在认真落实本报告提出的各项污染控制措施后，其运营期产生的各类污染物可实现达标排放，固废得到有效控制，对生态环境产生的影响能够得到有效控制。认为项目对周围环境的影响可控制在允许范围内，具有环境可行性。</w:t>
            </w:r>
          </w:p>
          <w:p>
            <w:pPr>
              <w:bidi w:val="0"/>
              <w:rPr>
                <w:rFonts w:hint="default" w:ascii="Times New Roman" w:hAnsi="Times New Roman" w:cs="Times New Roman"/>
                <w:color w:val="auto"/>
              </w:rPr>
            </w:pPr>
            <w:r>
              <w:rPr>
                <w:rFonts w:hint="default" w:ascii="Times New Roman" w:hAnsi="Times New Roman" w:cs="Times New Roman"/>
                <w:color w:val="auto"/>
              </w:rPr>
              <w:t>因此，在建设单位履行其承诺，认真落实全部环保措施，确保环保设施正常运行的前提下，从环保角度考虑，项目是可行的。</w:t>
            </w:r>
          </w:p>
          <w:p>
            <w:pPr>
              <w:pStyle w:val="3"/>
              <w:bidi w:val="0"/>
              <w:rPr>
                <w:rFonts w:hint="default" w:ascii="Times New Roman" w:hAnsi="Times New Roman" w:cs="Times New Roman"/>
                <w:color w:val="auto"/>
              </w:rPr>
            </w:pPr>
            <w:bookmarkStart w:id="728" w:name="_Toc19757"/>
            <w:bookmarkStart w:id="729" w:name="_Toc9514"/>
            <w:bookmarkStart w:id="730" w:name="_Toc7052"/>
            <w:bookmarkStart w:id="731" w:name="_Toc12364"/>
            <w:bookmarkStart w:id="732" w:name="_Toc3743"/>
            <w:bookmarkStart w:id="733" w:name="_Toc11357"/>
            <w:bookmarkStart w:id="734" w:name="_Toc19162"/>
            <w:bookmarkStart w:id="735" w:name="_Toc1117"/>
            <w:bookmarkStart w:id="736" w:name="_Toc5442"/>
            <w:bookmarkStart w:id="737" w:name="_Toc16089"/>
            <w:r>
              <w:rPr>
                <w:rFonts w:hint="default" w:ascii="Times New Roman" w:hAnsi="Times New Roman" w:cs="Times New Roman"/>
                <w:color w:val="auto"/>
              </w:rPr>
              <w:t>2、建议与要求</w:t>
            </w:r>
            <w:bookmarkEnd w:id="728"/>
            <w:bookmarkEnd w:id="729"/>
            <w:bookmarkEnd w:id="730"/>
            <w:bookmarkEnd w:id="731"/>
            <w:bookmarkEnd w:id="732"/>
            <w:bookmarkEnd w:id="733"/>
            <w:bookmarkEnd w:id="734"/>
            <w:bookmarkEnd w:id="735"/>
            <w:bookmarkEnd w:id="736"/>
            <w:bookmarkEnd w:id="737"/>
          </w:p>
          <w:p>
            <w:pPr>
              <w:bidi w:val="0"/>
              <w:rPr>
                <w:rFonts w:hint="default" w:ascii="Times New Roman" w:hAnsi="Times New Roman" w:cs="Times New Roman"/>
                <w:color w:val="auto"/>
                <w:lang w:eastAsia="zh-CN"/>
              </w:rPr>
            </w:pPr>
            <w:r>
              <w:rPr>
                <w:rFonts w:hint="default" w:ascii="Times New Roman" w:hAnsi="Times New Roman" w:cs="Times New Roman"/>
                <w:color w:val="auto"/>
              </w:rPr>
              <w:t>1、本项目应确保环保资金到位，落实废水、废气、噪声、固废、生态环境等污染防治措施</w:t>
            </w:r>
            <w:r>
              <w:rPr>
                <w:rFonts w:hint="default" w:ascii="Times New Roman" w:hAnsi="Times New Roman" w:cs="Times New Roman"/>
                <w:color w:val="auto"/>
                <w:lang w:eastAsia="zh-CN"/>
              </w:rPr>
              <w:t>；</w:t>
            </w:r>
          </w:p>
          <w:p>
            <w:pPr>
              <w:bidi w:val="0"/>
              <w:rPr>
                <w:rFonts w:hint="default" w:ascii="Times New Roman" w:hAnsi="Times New Roman" w:cs="Times New Roman"/>
                <w:color w:val="auto"/>
                <w:lang w:eastAsia="zh-CN"/>
              </w:rPr>
            </w:pPr>
            <w:r>
              <w:rPr>
                <w:rFonts w:hint="default" w:ascii="Times New Roman" w:hAnsi="Times New Roman" w:cs="Times New Roman"/>
                <w:color w:val="auto"/>
              </w:rPr>
              <w:t>2、做好各类设备的维护工作，按照操作规程使用设备，确保其处于正常稳定的工作状态，减少噪声的产生</w:t>
            </w:r>
            <w:r>
              <w:rPr>
                <w:rFonts w:hint="default" w:ascii="Times New Roman" w:hAnsi="Times New Roman" w:cs="Times New Roman"/>
                <w:color w:val="auto"/>
                <w:lang w:eastAsia="zh-CN"/>
              </w:rPr>
              <w:t>；</w:t>
            </w:r>
          </w:p>
          <w:p>
            <w:pPr>
              <w:bidi w:val="0"/>
              <w:rPr>
                <w:rFonts w:hint="default" w:ascii="Times New Roman" w:hAnsi="Times New Roman" w:cs="Times New Roman"/>
                <w:color w:val="auto"/>
              </w:rPr>
            </w:pPr>
            <w:r>
              <w:rPr>
                <w:rFonts w:hint="default" w:ascii="Times New Roman" w:hAnsi="Times New Roman" w:cs="Times New Roman"/>
                <w:color w:val="auto"/>
              </w:rPr>
              <w:t>3、加强管理，对废水沉淀池应定期清理和维护；</w:t>
            </w:r>
          </w:p>
          <w:p>
            <w:pPr>
              <w:bidi w:val="0"/>
              <w:rPr>
                <w:rFonts w:hint="default" w:ascii="Times New Roman" w:hAnsi="Times New Roman" w:cs="Times New Roman"/>
                <w:color w:val="auto"/>
              </w:rPr>
            </w:pPr>
            <w:r>
              <w:rPr>
                <w:rFonts w:hint="default" w:ascii="Times New Roman" w:hAnsi="Times New Roman" w:cs="Times New Roman"/>
                <w:color w:val="auto"/>
              </w:rPr>
              <w:t>4、对码头周边加强绿化工作，保持水土；</w:t>
            </w:r>
          </w:p>
          <w:p>
            <w:pPr>
              <w:bidi w:val="0"/>
              <w:rPr>
                <w:rFonts w:hint="default" w:ascii="Times New Roman" w:hAnsi="Times New Roman" w:cs="Times New Roman"/>
                <w:color w:val="auto"/>
                <w:szCs w:val="21"/>
              </w:rPr>
            </w:pPr>
            <w:r>
              <w:rPr>
                <w:rFonts w:hint="default" w:ascii="Times New Roman" w:hAnsi="Times New Roman" w:cs="Times New Roman"/>
                <w:color w:val="auto"/>
              </w:rPr>
              <w:t>5、随时打捞码头区域范围内的漂浮物和油污，防止码头周边水域水质受到污染。</w:t>
            </w:r>
          </w:p>
        </w:tc>
      </w:tr>
    </w:tbl>
    <w:p>
      <w:pPr>
        <w:rPr>
          <w:rFonts w:hint="default" w:ascii="Times New Roman" w:hAnsi="Times New Roman" w:cs="Times New Roman"/>
          <w:color w:val="auto"/>
        </w:rPr>
      </w:pPr>
    </w:p>
    <w:p>
      <w:pPr>
        <w:pStyle w:val="10"/>
        <w:adjustRightInd w:val="0"/>
        <w:snapToGrid w:val="0"/>
        <w:spacing w:before="0" w:beforeAutospacing="0" w:after="0" w:afterAutospacing="0" w:line="648" w:lineRule="auto"/>
        <w:outlineLvl w:val="9"/>
        <w:rPr>
          <w:rFonts w:hint="default" w:ascii="Times New Roman" w:hAnsi="Times New Roman" w:eastAsia="黑体" w:cs="Times New Roman"/>
          <w:snapToGrid w:val="0"/>
          <w:color w:val="auto"/>
          <w:sz w:val="32"/>
          <w:szCs w:val="32"/>
        </w:rPr>
        <w:sectPr>
          <w:pgSz w:w="11906" w:h="16838"/>
          <w:pgMar w:top="1440" w:right="1800" w:bottom="1440" w:left="1800" w:header="851" w:footer="1077" w:gutter="0"/>
          <w:cols w:space="720" w:num="1"/>
          <w:docGrid w:linePitch="312" w:charSpace="0"/>
        </w:sectPr>
      </w:pPr>
    </w:p>
    <w:p>
      <w:pPr>
        <w:pStyle w:val="3"/>
        <w:bidi w:val="0"/>
        <w:rPr>
          <w:rFonts w:hint="eastAsia"/>
          <w:color w:val="auto"/>
          <w:lang w:val="en-US" w:eastAsia="zh-CN"/>
        </w:rPr>
      </w:pPr>
      <w:bookmarkStart w:id="738" w:name="_Toc12292"/>
      <w:bookmarkStart w:id="739" w:name="_Toc20599"/>
      <w:bookmarkStart w:id="740" w:name="_Toc15777"/>
      <w:r>
        <w:rPr>
          <w:rFonts w:hint="default"/>
          <w:color w:val="auto"/>
        </w:rPr>
        <w:t>附表</w:t>
      </w:r>
      <w:bookmarkEnd w:id="738"/>
      <w:r>
        <w:rPr>
          <w:rFonts w:hint="eastAsia"/>
          <w:color w:val="auto"/>
          <w:lang w:val="en-US" w:eastAsia="zh-CN"/>
        </w:rPr>
        <w:t>1 建设项目污染物排放量汇总表</w:t>
      </w:r>
      <w:bookmarkEnd w:id="739"/>
      <w:bookmarkEnd w:id="740"/>
    </w:p>
    <w:tbl>
      <w:tblPr>
        <w:tblStyle w:val="12"/>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934"/>
        <w:gridCol w:w="1588"/>
        <w:gridCol w:w="1588"/>
        <w:gridCol w:w="1588"/>
        <w:gridCol w:w="1588"/>
        <w:gridCol w:w="1588"/>
        <w:gridCol w:w="1588"/>
        <w:gridCol w:w="15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9" w:type="pct"/>
            <w:vAlign w:val="center"/>
            <mc:AlternateContent>
              <mc:Choice Requires="wpsCustomData">
                <wpsCustomData:diagonals>
                  <wpsCustomData:diagonal from="10000" to="30000">
                    <wpsCustomData:border w:val="single" w:color="auto" w:sz="12" w:space="0"/>
                  </wpsCustomData:diagonal>
                </wpsCustomData:diagonals>
              </mc:Choice>
            </mc:AlternateContent>
          </w:tcPr>
          <w:p>
            <w:pPr>
              <w:pStyle w:val="16"/>
              <w:bidi w:val="0"/>
              <w:snapToGrid w:val="0"/>
              <w:jc w:val="center"/>
              <w:rPr>
                <w:rFonts w:hint="default" w:ascii="Times New Roman" w:hAnsi="Times New Roman" w:cs="Times New Roman"/>
                <w:b/>
                <w:bCs/>
                <w:color w:val="auto"/>
                <w:lang w:val="en-US" w:eastAsia="zh-CN"/>
              </w:rPr>
            </w:pPr>
          </w:p>
          <w:p>
            <w:pPr>
              <w:pStyle w:val="16"/>
              <w:bidi w:val="0"/>
              <w:snapToGrid w:val="0"/>
              <w:jc w:val="center"/>
              <w:rPr>
                <w:rFonts w:hint="default" w:ascii="Times New Roman" w:hAnsi="Times New Roman" w:cs="Times New Roman"/>
                <w:b/>
                <w:bCs/>
                <w:color w:val="auto"/>
                <w:lang w:val="en-US" w:eastAsia="zh-CN"/>
              </w:rPr>
            </w:pPr>
          </w:p>
          <w:p>
            <w:pPr>
              <w:pStyle w:val="16"/>
              <w:bidi w:val="0"/>
              <w:snapToGrid w:val="0"/>
              <w:jc w:val="center"/>
              <mc:AlternateContent>
                <mc:Choice Requires="wpsCustomData">
                  <wpsCustomData:diagonalParaType/>
                </mc:Choice>
              </mc:AlternateContent>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项目</w:t>
            </w:r>
          </w:p>
          <w:p>
            <w:pPr>
              <w:pStyle w:val="16"/>
              <w:bidi w:val="0"/>
              <w:snapToGrid w:val="0"/>
              <w:ind w:firstLine="0" w:firstLineChars="0"/>
              <w:jc w:val="center"/>
              <w:rPr>
                <w:rFonts w:hint="default" w:ascii="Times New Roman" w:hAnsi="Times New Roman" w:cs="Times New Roman"/>
                <w:b/>
                <w:bCs/>
                <w:color w:val="auto"/>
                <w:lang w:val="en-US" w:eastAsia="zh-CN"/>
              </w:rPr>
            </w:pPr>
          </w:p>
          <w:p>
            <w:pPr>
              <w:pStyle w:val="16"/>
              <w:bidi w:val="0"/>
              <w:snapToGrid w:val="0"/>
              <w:ind w:firstLine="0" w:firstLine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分类</w:t>
            </w:r>
          </w:p>
          <w:p>
            <w:pPr>
              <w:pStyle w:val="16"/>
              <w:bidi w:val="0"/>
              <w:jc w:val="center"/>
              <w:rPr>
                <w:rFonts w:hint="default" w:ascii="Times New Roman" w:hAnsi="Times New Roman" w:cs="Times New Roman"/>
                <w:b/>
                <w:bCs/>
                <w:color w:val="auto"/>
                <w:lang w:val="en-US" w:eastAsia="zh-CN"/>
              </w:rPr>
            </w:pPr>
          </w:p>
        </w:tc>
        <w:tc>
          <w:tcPr>
            <w:tcW w:w="682" w:type="pct"/>
            <w:vAlign w:val="center"/>
          </w:tcPr>
          <w:p>
            <w:pPr>
              <w:pStyle w:val="16"/>
              <w:bidi w:val="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污染物名称</w:t>
            </w:r>
          </w:p>
        </w:tc>
        <w:tc>
          <w:tcPr>
            <w:tcW w:w="560" w:type="pct"/>
            <w:vAlign w:val="center"/>
          </w:tcPr>
          <w:p>
            <w:pPr>
              <w:pStyle w:val="16"/>
              <w:bidi w:val="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现有工程排放量（固体废物产生量）①</w:t>
            </w:r>
          </w:p>
        </w:tc>
        <w:tc>
          <w:tcPr>
            <w:tcW w:w="560" w:type="pct"/>
            <w:vAlign w:val="center"/>
          </w:tcPr>
          <w:p>
            <w:pPr>
              <w:pStyle w:val="16"/>
              <w:bidi w:val="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现有工程许可排放量②</w:t>
            </w:r>
          </w:p>
        </w:tc>
        <w:tc>
          <w:tcPr>
            <w:tcW w:w="560" w:type="pct"/>
            <w:vAlign w:val="center"/>
          </w:tcPr>
          <w:p>
            <w:pPr>
              <w:pStyle w:val="16"/>
              <w:bidi w:val="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在建工程排放量（固体废物产生量）③</w:t>
            </w:r>
          </w:p>
        </w:tc>
        <w:tc>
          <w:tcPr>
            <w:tcW w:w="560" w:type="pct"/>
            <w:vAlign w:val="center"/>
          </w:tcPr>
          <w:p>
            <w:pPr>
              <w:pStyle w:val="16"/>
              <w:bidi w:val="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本项目排放量（固体废物产生量）④</w:t>
            </w:r>
          </w:p>
        </w:tc>
        <w:tc>
          <w:tcPr>
            <w:tcW w:w="560" w:type="pct"/>
            <w:vAlign w:val="center"/>
          </w:tcPr>
          <w:p>
            <w:pPr>
              <w:pStyle w:val="16"/>
              <w:bidi w:val="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以新带老削减量（新建项目不填）⑤</w:t>
            </w:r>
          </w:p>
        </w:tc>
        <w:tc>
          <w:tcPr>
            <w:tcW w:w="560" w:type="pct"/>
            <w:vAlign w:val="center"/>
          </w:tcPr>
          <w:p>
            <w:pPr>
              <w:pStyle w:val="16"/>
              <w:bidi w:val="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本项目建成后全厂排放量⑥</w:t>
            </w:r>
          </w:p>
        </w:tc>
        <w:tc>
          <w:tcPr>
            <w:tcW w:w="564" w:type="pct"/>
            <w:vAlign w:val="center"/>
          </w:tcPr>
          <w:p>
            <w:pPr>
              <w:pStyle w:val="16"/>
              <w:bidi w:val="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变化量⑦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Merge w:val="restart"/>
            <w:vAlign w:val="center"/>
          </w:tcPr>
          <w:p>
            <w:pPr>
              <w:pStyle w:val="16"/>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废气</w:t>
            </w:r>
          </w:p>
        </w:tc>
        <w:tc>
          <w:tcPr>
            <w:tcW w:w="682" w:type="pct"/>
            <w:vAlign w:val="center"/>
          </w:tcPr>
          <w:p>
            <w:pPr>
              <w:pStyle w:val="16"/>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船舶尾气</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少量</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少量</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少量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16"/>
              <w:bidi w:val="0"/>
              <w:jc w:val="center"/>
              <w:rPr>
                <w:rFonts w:hint="default" w:ascii="Times New Roman" w:hAnsi="Times New Roman" w:cs="Times New Roman"/>
                <w:color w:val="auto"/>
                <w:lang w:val="en-US" w:eastAsia="zh-CN"/>
              </w:rPr>
            </w:pPr>
          </w:p>
        </w:tc>
        <w:tc>
          <w:tcPr>
            <w:tcW w:w="682" w:type="pct"/>
            <w:vAlign w:val="center"/>
          </w:tcPr>
          <w:p>
            <w:pPr>
              <w:pStyle w:val="16"/>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垃圾收集站废气</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少量</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少量</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少量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Merge w:val="restart"/>
            <w:vAlign w:val="center"/>
          </w:tcPr>
          <w:p>
            <w:pPr>
              <w:pStyle w:val="16"/>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废水</w:t>
            </w:r>
          </w:p>
        </w:tc>
        <w:tc>
          <w:tcPr>
            <w:tcW w:w="682"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含油废水</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42</w:t>
            </w:r>
            <w:r>
              <w:rPr>
                <w:rFonts w:hint="eastAsia"/>
                <w:color w:val="auto"/>
                <w:vertAlign w:val="baseline"/>
                <w:lang w:val="en-US" w:eastAsia="zh-CN"/>
              </w:rPr>
              <w:t>m</w:t>
            </w:r>
            <w:r>
              <w:rPr>
                <w:rFonts w:hint="eastAsia"/>
                <w:color w:val="auto"/>
                <w:vertAlign w:val="superscript"/>
                <w:lang w:val="en-US" w:eastAsia="zh-CN"/>
              </w:rPr>
              <w:t>3</w:t>
            </w:r>
            <w:r>
              <w:rPr>
                <w:rFonts w:hint="eastAsia"/>
                <w:color w:val="auto"/>
                <w:vertAlign w:val="baseline"/>
                <w:lang w:val="en-US" w:eastAsia="zh-CN"/>
              </w:rPr>
              <w:t>/a</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42</w:t>
            </w:r>
            <w:r>
              <w:rPr>
                <w:rFonts w:hint="eastAsia"/>
                <w:color w:val="auto"/>
                <w:vertAlign w:val="baseline"/>
                <w:lang w:val="en-US" w:eastAsia="zh-CN"/>
              </w:rPr>
              <w:t>m</w:t>
            </w:r>
            <w:r>
              <w:rPr>
                <w:rFonts w:hint="eastAsia"/>
                <w:color w:val="auto"/>
                <w:vertAlign w:val="superscript"/>
                <w:lang w:val="en-US" w:eastAsia="zh-CN"/>
              </w:rPr>
              <w:t>3</w:t>
            </w:r>
            <w:r>
              <w:rPr>
                <w:rFonts w:hint="eastAsia"/>
                <w:color w:val="auto"/>
                <w:vertAlign w:val="baseline"/>
                <w:lang w:val="en-US" w:eastAsia="zh-CN"/>
              </w:rPr>
              <w:t>/a</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16"/>
              <w:bidi w:val="0"/>
              <w:jc w:val="center"/>
              <w:rPr>
                <w:rFonts w:hint="default" w:ascii="Times New Roman" w:hAnsi="Times New Roman" w:cs="Times New Roman"/>
                <w:color w:val="auto"/>
                <w:lang w:val="en-US" w:eastAsia="zh-CN"/>
              </w:rPr>
            </w:pPr>
          </w:p>
        </w:tc>
        <w:tc>
          <w:tcPr>
            <w:tcW w:w="682"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石油类</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0.084t/a</w:t>
            </w:r>
          </w:p>
        </w:tc>
        <w:tc>
          <w:tcPr>
            <w:tcW w:w="560" w:type="pct"/>
            <w:vAlign w:val="center"/>
          </w:tcPr>
          <w:p>
            <w:pPr>
              <w:pStyle w:val="16"/>
              <w:bidi w:val="0"/>
              <w:jc w:val="center"/>
              <w:rPr>
                <w:rFonts w:hint="eastAsia" w:eastAsia="宋体"/>
                <w:color w:val="auto"/>
                <w:lang w:val="en-US" w:eastAsia="zh-CN"/>
              </w:rPr>
            </w:pPr>
            <w:r>
              <w:rPr>
                <w:rFonts w:hint="eastAsia"/>
                <w:color w:val="auto"/>
                <w:lang w:val="en-US" w:eastAsia="zh-CN"/>
              </w:rPr>
              <w:t>/</w:t>
            </w:r>
          </w:p>
        </w:tc>
        <w:tc>
          <w:tcPr>
            <w:tcW w:w="560" w:type="pct"/>
            <w:vAlign w:val="center"/>
          </w:tcPr>
          <w:p>
            <w:pPr>
              <w:pStyle w:val="16"/>
              <w:bidi w:val="0"/>
              <w:jc w:val="center"/>
              <w:rPr>
                <w:rFonts w:hint="eastAsia" w:eastAsia="宋体"/>
                <w:color w:val="auto"/>
                <w:lang w:val="en-US" w:eastAsia="zh-CN"/>
              </w:rPr>
            </w:pPr>
            <w:r>
              <w:rPr>
                <w:rFonts w:hint="eastAsia"/>
                <w:color w:val="auto"/>
                <w:lang w:val="en-US" w:eastAsia="zh-CN"/>
              </w:rPr>
              <w:t>/</w:t>
            </w:r>
          </w:p>
        </w:tc>
        <w:tc>
          <w:tcPr>
            <w:tcW w:w="560" w:type="pct"/>
            <w:vAlign w:val="center"/>
          </w:tcPr>
          <w:p>
            <w:pPr>
              <w:pStyle w:val="16"/>
              <w:bidi w:val="0"/>
              <w:jc w:val="center"/>
              <w:rPr>
                <w:rFonts w:hint="eastAsia" w:eastAsia="宋体"/>
                <w:color w:val="auto"/>
                <w:lang w:val="en-US" w:eastAsia="zh-CN"/>
              </w:rPr>
            </w:pPr>
            <w:r>
              <w:rPr>
                <w:rFonts w:hint="eastAsia"/>
                <w:color w:val="auto"/>
                <w:lang w:val="en-US" w:eastAsia="zh-CN"/>
              </w:rPr>
              <w:t>/</w:t>
            </w:r>
          </w:p>
        </w:tc>
        <w:tc>
          <w:tcPr>
            <w:tcW w:w="560" w:type="pct"/>
            <w:vAlign w:val="center"/>
          </w:tcPr>
          <w:p>
            <w:pPr>
              <w:pStyle w:val="16"/>
              <w:bidi w:val="0"/>
              <w:jc w:val="center"/>
              <w:rPr>
                <w:rFonts w:hint="eastAsia" w:eastAsia="宋体"/>
                <w:color w:val="auto"/>
                <w:lang w:val="en-US" w:eastAsia="zh-CN"/>
              </w:rPr>
            </w:pPr>
            <w:r>
              <w:rPr>
                <w:rFonts w:hint="eastAsia"/>
                <w:color w:val="auto"/>
                <w:lang w:val="en-US" w:eastAsia="zh-CN"/>
              </w:rPr>
              <w:t>/</w:t>
            </w:r>
          </w:p>
        </w:tc>
        <w:tc>
          <w:tcPr>
            <w:tcW w:w="560" w:type="pct"/>
            <w:vAlign w:val="center"/>
          </w:tcPr>
          <w:p>
            <w:pPr>
              <w:pStyle w:val="16"/>
              <w:bidi w:val="0"/>
              <w:jc w:val="center"/>
              <w:rPr>
                <w:rFonts w:hint="default" w:cs="Times New Roman"/>
                <w:color w:val="auto"/>
                <w:lang w:val="en-US" w:eastAsia="zh-CN"/>
              </w:rPr>
            </w:pPr>
            <w:r>
              <w:rPr>
                <w:rFonts w:hint="eastAsia" w:cs="Times New Roman"/>
                <w:color w:val="auto"/>
                <w:lang w:val="en-US" w:eastAsia="zh-CN"/>
              </w:rPr>
              <w:t>0.084t/a</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16"/>
              <w:bidi w:val="0"/>
              <w:jc w:val="center"/>
              <w:rPr>
                <w:rFonts w:hint="default" w:ascii="Times New Roman" w:hAnsi="Times New Roman" w:cs="Times New Roman"/>
                <w:color w:val="auto"/>
                <w:lang w:val="en-US" w:eastAsia="zh-CN"/>
              </w:rPr>
            </w:pPr>
          </w:p>
        </w:tc>
        <w:tc>
          <w:tcPr>
            <w:tcW w:w="682"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生活污水</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384</w:t>
            </w:r>
            <w:r>
              <w:rPr>
                <w:rFonts w:hint="eastAsia" w:ascii="Times New Roman" w:hAnsi="Times New Roman" w:cs="Times New Roman"/>
                <w:color w:val="auto"/>
                <w:lang w:val="en-US" w:eastAsia="zh-CN"/>
              </w:rPr>
              <w:t>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/a</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ind w:firstLine="0" w:firstLineChars="0"/>
              <w:jc w:val="center"/>
              <w:rPr>
                <w:rFonts w:hint="default" w:ascii="Times New Roman" w:hAnsi="Times New Roman" w:cs="Times New Roman"/>
                <w:color w:val="auto"/>
                <w:lang w:val="en-US" w:eastAsia="zh-CN"/>
              </w:rPr>
            </w:pPr>
            <w:r>
              <w:rPr>
                <w:rFonts w:hint="eastAsia" w:cs="Times New Roman"/>
                <w:color w:val="auto"/>
                <w:lang w:val="en-US" w:eastAsia="zh-CN"/>
              </w:rPr>
              <w:t>384</w:t>
            </w:r>
            <w:r>
              <w:rPr>
                <w:rFonts w:hint="eastAsia" w:ascii="Times New Roman" w:hAnsi="Times New Roman" w:cs="Times New Roman"/>
                <w:color w:val="auto"/>
                <w:lang w:val="en-US" w:eastAsia="zh-CN"/>
              </w:rPr>
              <w:t>m</w:t>
            </w:r>
            <w:r>
              <w:rPr>
                <w:rFonts w:hint="eastAsia" w:ascii="Times New Roman" w:hAnsi="Times New Roman" w:cs="Times New Roman"/>
                <w:color w:val="auto"/>
                <w:vertAlign w:val="superscript"/>
                <w:lang w:val="en-US" w:eastAsia="zh-CN"/>
              </w:rPr>
              <w:t>3</w:t>
            </w:r>
            <w:r>
              <w:rPr>
                <w:rFonts w:hint="eastAsia" w:ascii="Times New Roman" w:hAnsi="Times New Roman" w:cs="Times New Roman"/>
                <w:color w:val="auto"/>
                <w:lang w:val="en-US" w:eastAsia="zh-CN"/>
              </w:rPr>
              <w:t>/a</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16"/>
              <w:bidi w:val="0"/>
              <w:jc w:val="center"/>
              <w:rPr>
                <w:rFonts w:hint="default" w:ascii="Times New Roman" w:hAnsi="Times New Roman" w:cs="Times New Roman"/>
                <w:color w:val="auto"/>
                <w:lang w:val="en-US" w:eastAsia="zh-CN"/>
              </w:rPr>
            </w:pPr>
          </w:p>
        </w:tc>
        <w:tc>
          <w:tcPr>
            <w:tcW w:w="682"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COD</w:t>
            </w:r>
            <w:r>
              <w:rPr>
                <w:rFonts w:hint="eastAsia" w:cs="Times New Roman"/>
                <w:color w:val="auto"/>
                <w:vertAlign w:val="subscript"/>
                <w:lang w:val="en-US" w:eastAsia="zh-CN"/>
              </w:rPr>
              <w:t>Cr</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0.154t/a</w:t>
            </w: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ind w:firstLine="0" w:firstLineChars="0"/>
              <w:jc w:val="center"/>
              <w:rPr>
                <w:rFonts w:hint="eastAsia" w:cs="Times New Roman"/>
                <w:color w:val="auto"/>
                <w:lang w:val="en-US" w:eastAsia="zh-CN"/>
              </w:rPr>
            </w:pPr>
            <w:r>
              <w:rPr>
                <w:rFonts w:hint="eastAsia" w:cs="Times New Roman"/>
                <w:color w:val="auto"/>
                <w:lang w:val="en-US" w:eastAsia="zh-CN"/>
              </w:rPr>
              <w:t>0.154t/a</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16"/>
              <w:bidi w:val="0"/>
              <w:jc w:val="center"/>
              <w:rPr>
                <w:rFonts w:hint="default" w:ascii="Times New Roman" w:hAnsi="Times New Roman" w:cs="Times New Roman"/>
                <w:color w:val="auto"/>
                <w:lang w:val="en-US" w:eastAsia="zh-CN"/>
              </w:rPr>
            </w:pPr>
          </w:p>
        </w:tc>
        <w:tc>
          <w:tcPr>
            <w:tcW w:w="682"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BOD</w:t>
            </w:r>
            <w:r>
              <w:rPr>
                <w:rFonts w:hint="eastAsia" w:cs="Times New Roman"/>
                <w:color w:val="auto"/>
                <w:vertAlign w:val="subscript"/>
                <w:lang w:val="en-US" w:eastAsia="zh-CN"/>
              </w:rPr>
              <w:t>5</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0.084t/a</w:t>
            </w: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ind w:firstLine="0" w:firstLineChars="0"/>
              <w:jc w:val="center"/>
              <w:rPr>
                <w:rFonts w:hint="eastAsia" w:cs="Times New Roman"/>
                <w:color w:val="auto"/>
                <w:lang w:val="en-US" w:eastAsia="zh-CN"/>
              </w:rPr>
            </w:pPr>
            <w:r>
              <w:rPr>
                <w:rFonts w:hint="eastAsia" w:cs="Times New Roman"/>
                <w:color w:val="auto"/>
                <w:lang w:val="en-US" w:eastAsia="zh-CN"/>
              </w:rPr>
              <w:t>0.084t/a</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16"/>
              <w:bidi w:val="0"/>
              <w:jc w:val="center"/>
              <w:rPr>
                <w:rFonts w:hint="default" w:ascii="Times New Roman" w:hAnsi="Times New Roman" w:cs="Times New Roman"/>
                <w:color w:val="auto"/>
                <w:lang w:val="en-US" w:eastAsia="zh-CN"/>
              </w:rPr>
            </w:pPr>
          </w:p>
        </w:tc>
        <w:tc>
          <w:tcPr>
            <w:tcW w:w="682"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SS</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0.077t/a</w:t>
            </w: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ind w:firstLine="0" w:firstLineChars="0"/>
              <w:jc w:val="center"/>
              <w:rPr>
                <w:rFonts w:hint="eastAsia" w:cs="Times New Roman"/>
                <w:color w:val="auto"/>
                <w:lang w:val="en-US" w:eastAsia="zh-CN"/>
              </w:rPr>
            </w:pPr>
            <w:r>
              <w:rPr>
                <w:rFonts w:hint="eastAsia" w:cs="Times New Roman"/>
                <w:color w:val="auto"/>
                <w:lang w:val="en-US" w:eastAsia="zh-CN"/>
              </w:rPr>
              <w:t>0.077t/a</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16"/>
              <w:bidi w:val="0"/>
              <w:jc w:val="center"/>
              <w:rPr>
                <w:rFonts w:hint="default" w:ascii="Times New Roman" w:hAnsi="Times New Roman" w:cs="Times New Roman"/>
                <w:color w:val="auto"/>
                <w:lang w:val="en-US" w:eastAsia="zh-CN"/>
              </w:rPr>
            </w:pPr>
          </w:p>
        </w:tc>
        <w:tc>
          <w:tcPr>
            <w:tcW w:w="682"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NH</w:t>
            </w:r>
            <w:r>
              <w:rPr>
                <w:rFonts w:hint="eastAsia" w:cs="Times New Roman"/>
                <w:color w:val="auto"/>
                <w:vertAlign w:val="subscript"/>
                <w:lang w:val="en-US" w:eastAsia="zh-CN"/>
              </w:rPr>
              <w:t>3</w:t>
            </w:r>
            <w:r>
              <w:rPr>
                <w:rFonts w:hint="eastAsia" w:cs="Times New Roman"/>
                <w:color w:val="auto"/>
                <w:lang w:val="en-US" w:eastAsia="zh-CN"/>
              </w:rPr>
              <w:t>-N</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0.015t/a</w:t>
            </w: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ind w:firstLine="0" w:firstLineChars="0"/>
              <w:jc w:val="center"/>
              <w:rPr>
                <w:rFonts w:hint="eastAsia" w:cs="Times New Roman"/>
                <w:color w:val="auto"/>
                <w:lang w:val="en-US" w:eastAsia="zh-CN"/>
              </w:rPr>
            </w:pPr>
            <w:r>
              <w:rPr>
                <w:rFonts w:hint="eastAsia" w:cs="Times New Roman"/>
                <w:color w:val="auto"/>
                <w:lang w:val="en-US" w:eastAsia="zh-CN"/>
              </w:rPr>
              <w:t>0.015t/a</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pPr>
              <w:pStyle w:val="16"/>
              <w:bidi w:val="0"/>
              <w:jc w:val="center"/>
              <w:rPr>
                <w:rFonts w:hint="default" w:ascii="Times New Roman" w:hAnsi="Times New Roman" w:cs="Times New Roman"/>
                <w:color w:val="auto"/>
                <w:lang w:val="en-US" w:eastAsia="zh-CN"/>
              </w:rPr>
            </w:pPr>
          </w:p>
        </w:tc>
        <w:tc>
          <w:tcPr>
            <w:tcW w:w="682"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动植物油</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0.038t/a</w:t>
            </w: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jc w:val="center"/>
              <w:rPr>
                <w:rFonts w:hint="eastAsia"/>
                <w:color w:val="auto"/>
              </w:rPr>
            </w:pPr>
          </w:p>
        </w:tc>
        <w:tc>
          <w:tcPr>
            <w:tcW w:w="560" w:type="pct"/>
            <w:vAlign w:val="center"/>
          </w:tcPr>
          <w:p>
            <w:pPr>
              <w:pStyle w:val="16"/>
              <w:bidi w:val="0"/>
              <w:ind w:firstLine="0" w:firstLineChars="0"/>
              <w:jc w:val="center"/>
              <w:rPr>
                <w:rFonts w:hint="eastAsia" w:cs="Times New Roman"/>
                <w:color w:val="auto"/>
                <w:lang w:val="en-US" w:eastAsia="zh-CN"/>
              </w:rPr>
            </w:pPr>
            <w:r>
              <w:rPr>
                <w:rFonts w:hint="eastAsia" w:cs="Times New Roman"/>
                <w:color w:val="auto"/>
                <w:lang w:val="en-US" w:eastAsia="zh-CN"/>
              </w:rPr>
              <w:t>0.038t/a</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cs="Times New Roman"/>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16"/>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固体废物</w:t>
            </w:r>
          </w:p>
        </w:tc>
        <w:tc>
          <w:tcPr>
            <w:tcW w:w="682" w:type="pct"/>
            <w:vAlign w:val="center"/>
          </w:tcPr>
          <w:p>
            <w:pPr>
              <w:pStyle w:val="16"/>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生活垃圾</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1.2t/a</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1.2t/a</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pStyle w:val="16"/>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危险废物</w:t>
            </w:r>
          </w:p>
        </w:tc>
        <w:tc>
          <w:tcPr>
            <w:tcW w:w="682" w:type="pct"/>
            <w:vAlign w:val="center"/>
          </w:tcPr>
          <w:p>
            <w:pPr>
              <w:pStyle w:val="16"/>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机修废油</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0.1t/a</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color w:val="auto"/>
              </w:rPr>
              <w:t>/</w:t>
            </w:r>
          </w:p>
        </w:tc>
        <w:tc>
          <w:tcPr>
            <w:tcW w:w="560"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0.1t/a</w:t>
            </w:r>
          </w:p>
        </w:tc>
        <w:tc>
          <w:tcPr>
            <w:tcW w:w="564" w:type="pct"/>
            <w:vAlign w:val="center"/>
          </w:tcPr>
          <w:p>
            <w:pPr>
              <w:pStyle w:val="16"/>
              <w:bidi w:val="0"/>
              <w:jc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w:t>
            </w:r>
          </w:p>
        </w:tc>
      </w:tr>
    </w:tbl>
    <w:p>
      <w:pPr>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注：⑥=①+③+④-⑤；⑦=⑥-①</w:t>
      </w:r>
    </w:p>
    <w:p>
      <w:pPr>
        <w:pStyle w:val="16"/>
        <w:bidi w:val="0"/>
        <w:rPr>
          <w:rFonts w:hint="default"/>
          <w:lang w:val="en-US" w:eastAsia="zh-CN"/>
        </w:rPr>
      </w:pPr>
    </w:p>
    <w:sectPr>
      <w:pgSz w:w="16838" w:h="11906" w:orient="landscape"/>
      <w:pgMar w:top="1800" w:right="1440" w:bottom="1800" w:left="1440" w:header="851" w:footer="107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pPr>
    <w:r>
      <w:fldChar w:fldCharType="begin"/>
    </w:r>
    <w:r>
      <w:instrText xml:space="preserve">PAGE  </w:instrText>
    </w:r>
    <w:r>
      <w:fldChar w:fldCharType="end"/>
    </w:r>
  </w:p>
  <w:p>
    <w:pPr>
      <w:tabs>
        <w:tab w:val="center" w:pos="4153"/>
        <w:tab w:val="right"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rPr>
        <w:rFonts w:ascii="宋体" w:hAnsi="宋体"/>
        <w:sz w:val="28"/>
        <w:szCs w:val="28"/>
      </w:rPr>
    </w:pPr>
    <w:r>
      <w:rPr>
        <w:rFonts w:hint="eastAsia" w:ascii="宋体" w:hAnsi="宋体"/>
        <w:sz w:val="28"/>
        <w:szCs w:val="28"/>
      </w:rPr>
      <w:t>—</w:t>
    </w:r>
    <w:r>
      <w:rPr>
        <w:rFonts w:hint="eastAsia" w:ascii="宋体" w:hAnsi="宋体"/>
        <w:sz w:val="20"/>
        <w:szCs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22</w:t>
    </w:r>
    <w:r>
      <w:rPr>
        <w:rFonts w:ascii="宋体" w:hAnsi="宋体"/>
        <w:sz w:val="26"/>
        <w:szCs w:val="26"/>
      </w:rPr>
      <w:fldChar w:fldCharType="end"/>
    </w:r>
    <w:r>
      <w:rPr>
        <w:rFonts w:hint="eastAsia" w:ascii="宋体" w:hAnsi="宋体"/>
        <w:sz w:val="20"/>
        <w:szCs w:val="20"/>
      </w:rPr>
      <w:t xml:space="preserve">  </w:t>
    </w:r>
    <w:r>
      <w:rPr>
        <w:rFonts w:hint="eastAsia" w:ascii="宋体" w:hAnsi="宋体"/>
        <w:sz w:val="28"/>
        <w:szCs w:val="28"/>
      </w:rPr>
      <w:t>—</w:t>
    </w:r>
  </w:p>
  <w:p>
    <w:pPr>
      <w:tabs>
        <w:tab w:val="center" w:pos="4153"/>
        <w:tab w:val="right" w:pos="8306"/>
      </w:tabs>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NzkxNmUwYTUzNzZmZmE0ODYwOWYzZThiYTFmODgifQ=="/>
  </w:docVars>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115B19"/>
    <w:rsid w:val="017F4A59"/>
    <w:rsid w:val="021E11D3"/>
    <w:rsid w:val="02A93B2F"/>
    <w:rsid w:val="02C8111D"/>
    <w:rsid w:val="03AA5DB1"/>
    <w:rsid w:val="040E6340"/>
    <w:rsid w:val="044161EF"/>
    <w:rsid w:val="045B70AB"/>
    <w:rsid w:val="05742AC8"/>
    <w:rsid w:val="05F45A09"/>
    <w:rsid w:val="0622074A"/>
    <w:rsid w:val="06352F05"/>
    <w:rsid w:val="063E7D85"/>
    <w:rsid w:val="070875E0"/>
    <w:rsid w:val="07091040"/>
    <w:rsid w:val="07293586"/>
    <w:rsid w:val="07295285"/>
    <w:rsid w:val="072E6CF9"/>
    <w:rsid w:val="07770C56"/>
    <w:rsid w:val="08C861C9"/>
    <w:rsid w:val="090D6171"/>
    <w:rsid w:val="092217DD"/>
    <w:rsid w:val="093A7294"/>
    <w:rsid w:val="0AC53267"/>
    <w:rsid w:val="0B2B5A29"/>
    <w:rsid w:val="0B8D158D"/>
    <w:rsid w:val="0B8D2240"/>
    <w:rsid w:val="0BD27BF6"/>
    <w:rsid w:val="0BDC0B16"/>
    <w:rsid w:val="0C077253"/>
    <w:rsid w:val="0CC872A8"/>
    <w:rsid w:val="0D2833CD"/>
    <w:rsid w:val="0D38281B"/>
    <w:rsid w:val="0D7336B7"/>
    <w:rsid w:val="0DD759F4"/>
    <w:rsid w:val="0E110D06"/>
    <w:rsid w:val="0E6179B4"/>
    <w:rsid w:val="0E664FCA"/>
    <w:rsid w:val="0F13775A"/>
    <w:rsid w:val="0F322941"/>
    <w:rsid w:val="0F8B4CE8"/>
    <w:rsid w:val="0F9A112B"/>
    <w:rsid w:val="0FB453BD"/>
    <w:rsid w:val="0FFC5BE6"/>
    <w:rsid w:val="10594580"/>
    <w:rsid w:val="106D2F64"/>
    <w:rsid w:val="10A33144"/>
    <w:rsid w:val="10B63710"/>
    <w:rsid w:val="11072A94"/>
    <w:rsid w:val="111C2F7A"/>
    <w:rsid w:val="113013DE"/>
    <w:rsid w:val="11873005"/>
    <w:rsid w:val="122B06C2"/>
    <w:rsid w:val="122B630F"/>
    <w:rsid w:val="123D6042"/>
    <w:rsid w:val="12D76496"/>
    <w:rsid w:val="12E666D9"/>
    <w:rsid w:val="13951726"/>
    <w:rsid w:val="13D403F0"/>
    <w:rsid w:val="14396509"/>
    <w:rsid w:val="1447165C"/>
    <w:rsid w:val="153C3344"/>
    <w:rsid w:val="15491AF4"/>
    <w:rsid w:val="15DB004C"/>
    <w:rsid w:val="165F2A2B"/>
    <w:rsid w:val="16D06CA3"/>
    <w:rsid w:val="170A0BE8"/>
    <w:rsid w:val="170A508C"/>
    <w:rsid w:val="17735226"/>
    <w:rsid w:val="177F335F"/>
    <w:rsid w:val="17A821AF"/>
    <w:rsid w:val="17DB2585"/>
    <w:rsid w:val="185F27B4"/>
    <w:rsid w:val="18706610"/>
    <w:rsid w:val="19593E1E"/>
    <w:rsid w:val="19996254"/>
    <w:rsid w:val="1A1C66C0"/>
    <w:rsid w:val="1A226249"/>
    <w:rsid w:val="1A42393B"/>
    <w:rsid w:val="1B046F80"/>
    <w:rsid w:val="1B3267B5"/>
    <w:rsid w:val="1B7E43A7"/>
    <w:rsid w:val="1BC25DC8"/>
    <w:rsid w:val="1C006A5E"/>
    <w:rsid w:val="1C493F61"/>
    <w:rsid w:val="1C5E7925"/>
    <w:rsid w:val="1C887FC8"/>
    <w:rsid w:val="1CCB4B97"/>
    <w:rsid w:val="1CE75528"/>
    <w:rsid w:val="1D5F6196"/>
    <w:rsid w:val="1D6132A5"/>
    <w:rsid w:val="1D8E56D5"/>
    <w:rsid w:val="1DCA635C"/>
    <w:rsid w:val="1E000596"/>
    <w:rsid w:val="1E534A63"/>
    <w:rsid w:val="1E7A43DA"/>
    <w:rsid w:val="1EB277FE"/>
    <w:rsid w:val="1EB53B18"/>
    <w:rsid w:val="1EB9030D"/>
    <w:rsid w:val="1EF04B68"/>
    <w:rsid w:val="1F357B12"/>
    <w:rsid w:val="1F3B66B4"/>
    <w:rsid w:val="1FBD4BDA"/>
    <w:rsid w:val="1FD55EF7"/>
    <w:rsid w:val="1FE7539E"/>
    <w:rsid w:val="20963CB8"/>
    <w:rsid w:val="20B07FB6"/>
    <w:rsid w:val="213B74B1"/>
    <w:rsid w:val="214130B7"/>
    <w:rsid w:val="215A2310"/>
    <w:rsid w:val="217859E0"/>
    <w:rsid w:val="21991BA1"/>
    <w:rsid w:val="21DE318A"/>
    <w:rsid w:val="21EF5B80"/>
    <w:rsid w:val="22576990"/>
    <w:rsid w:val="22737F8A"/>
    <w:rsid w:val="229C4EAB"/>
    <w:rsid w:val="22AF297E"/>
    <w:rsid w:val="244A3B19"/>
    <w:rsid w:val="24BD65A6"/>
    <w:rsid w:val="24EF141E"/>
    <w:rsid w:val="252D53FE"/>
    <w:rsid w:val="258D71A6"/>
    <w:rsid w:val="25E64830"/>
    <w:rsid w:val="25EC2D81"/>
    <w:rsid w:val="264528BD"/>
    <w:rsid w:val="2796022C"/>
    <w:rsid w:val="27D15DD1"/>
    <w:rsid w:val="28553C8E"/>
    <w:rsid w:val="28A76295"/>
    <w:rsid w:val="28D42E04"/>
    <w:rsid w:val="29206EB8"/>
    <w:rsid w:val="29297AB5"/>
    <w:rsid w:val="29C94B79"/>
    <w:rsid w:val="29E325E0"/>
    <w:rsid w:val="2A137D43"/>
    <w:rsid w:val="2A452503"/>
    <w:rsid w:val="2AF15F83"/>
    <w:rsid w:val="2B34402E"/>
    <w:rsid w:val="2B85488A"/>
    <w:rsid w:val="2BA57482"/>
    <w:rsid w:val="2BA936A8"/>
    <w:rsid w:val="2C23181A"/>
    <w:rsid w:val="2C315A5A"/>
    <w:rsid w:val="2C5C62D7"/>
    <w:rsid w:val="2C69560F"/>
    <w:rsid w:val="2D574004"/>
    <w:rsid w:val="2D7F647E"/>
    <w:rsid w:val="2D9E56F5"/>
    <w:rsid w:val="2DF47AA5"/>
    <w:rsid w:val="2E667F96"/>
    <w:rsid w:val="2E8226AB"/>
    <w:rsid w:val="2E982B26"/>
    <w:rsid w:val="2E9F5C62"/>
    <w:rsid w:val="2F832C79"/>
    <w:rsid w:val="2FA3135C"/>
    <w:rsid w:val="2FDD010B"/>
    <w:rsid w:val="2FE97448"/>
    <w:rsid w:val="2FEF2D58"/>
    <w:rsid w:val="30580BC9"/>
    <w:rsid w:val="3062163D"/>
    <w:rsid w:val="30B91BE0"/>
    <w:rsid w:val="310D150D"/>
    <w:rsid w:val="311E2ED7"/>
    <w:rsid w:val="313E5BB3"/>
    <w:rsid w:val="315C449C"/>
    <w:rsid w:val="31B82709"/>
    <w:rsid w:val="32400B34"/>
    <w:rsid w:val="32456ED8"/>
    <w:rsid w:val="3273368E"/>
    <w:rsid w:val="329E6876"/>
    <w:rsid w:val="3304078A"/>
    <w:rsid w:val="33466FF4"/>
    <w:rsid w:val="33D934D4"/>
    <w:rsid w:val="33FE2F6A"/>
    <w:rsid w:val="342B78D5"/>
    <w:rsid w:val="34DF325D"/>
    <w:rsid w:val="350C1B78"/>
    <w:rsid w:val="35780FBB"/>
    <w:rsid w:val="35B34CF2"/>
    <w:rsid w:val="36074A7F"/>
    <w:rsid w:val="367A6645"/>
    <w:rsid w:val="36923549"/>
    <w:rsid w:val="36B75FBF"/>
    <w:rsid w:val="36FB4891"/>
    <w:rsid w:val="374101FF"/>
    <w:rsid w:val="38DD7780"/>
    <w:rsid w:val="38F12CD3"/>
    <w:rsid w:val="38F94775"/>
    <w:rsid w:val="392971ED"/>
    <w:rsid w:val="3A704957"/>
    <w:rsid w:val="3A971EE4"/>
    <w:rsid w:val="3AE35FF2"/>
    <w:rsid w:val="3AF9760D"/>
    <w:rsid w:val="3B3763D1"/>
    <w:rsid w:val="3B480CE9"/>
    <w:rsid w:val="3BBD3BCC"/>
    <w:rsid w:val="3C8B5A78"/>
    <w:rsid w:val="3C9B3F0D"/>
    <w:rsid w:val="3CDA245A"/>
    <w:rsid w:val="3CEE0A37"/>
    <w:rsid w:val="3CEE18BC"/>
    <w:rsid w:val="3D2832C7"/>
    <w:rsid w:val="3D7529B0"/>
    <w:rsid w:val="3D762284"/>
    <w:rsid w:val="3D9112B7"/>
    <w:rsid w:val="3DE03BA2"/>
    <w:rsid w:val="3F3E6DD2"/>
    <w:rsid w:val="3F660E74"/>
    <w:rsid w:val="3FA62944"/>
    <w:rsid w:val="3FD414E4"/>
    <w:rsid w:val="403149DC"/>
    <w:rsid w:val="407A6407"/>
    <w:rsid w:val="40890521"/>
    <w:rsid w:val="40BB29D3"/>
    <w:rsid w:val="41B94E35"/>
    <w:rsid w:val="4207687E"/>
    <w:rsid w:val="423A3BCC"/>
    <w:rsid w:val="4303280C"/>
    <w:rsid w:val="433A6FE6"/>
    <w:rsid w:val="4350713C"/>
    <w:rsid w:val="4366367B"/>
    <w:rsid w:val="436653E0"/>
    <w:rsid w:val="43D321DE"/>
    <w:rsid w:val="44CC6C2E"/>
    <w:rsid w:val="44CD14E0"/>
    <w:rsid w:val="458946E9"/>
    <w:rsid w:val="46132D66"/>
    <w:rsid w:val="46213426"/>
    <w:rsid w:val="46D955A7"/>
    <w:rsid w:val="46E13C61"/>
    <w:rsid w:val="4708151F"/>
    <w:rsid w:val="47133957"/>
    <w:rsid w:val="47517078"/>
    <w:rsid w:val="4779329E"/>
    <w:rsid w:val="47877193"/>
    <w:rsid w:val="47A07E0C"/>
    <w:rsid w:val="47D3225E"/>
    <w:rsid w:val="47E03BDC"/>
    <w:rsid w:val="47F44E19"/>
    <w:rsid w:val="47F72214"/>
    <w:rsid w:val="4870272E"/>
    <w:rsid w:val="48711FC6"/>
    <w:rsid w:val="48874CF3"/>
    <w:rsid w:val="48F16F76"/>
    <w:rsid w:val="4970227E"/>
    <w:rsid w:val="499742F3"/>
    <w:rsid w:val="49DC7715"/>
    <w:rsid w:val="4A023139"/>
    <w:rsid w:val="4A7B576F"/>
    <w:rsid w:val="4AE7681C"/>
    <w:rsid w:val="4B3D0885"/>
    <w:rsid w:val="4B4340EE"/>
    <w:rsid w:val="4BDD4A66"/>
    <w:rsid w:val="4C4A0649"/>
    <w:rsid w:val="4C8D3147"/>
    <w:rsid w:val="4CE470D3"/>
    <w:rsid w:val="4DE52D4F"/>
    <w:rsid w:val="4DEC4FB0"/>
    <w:rsid w:val="4E075D8A"/>
    <w:rsid w:val="4E193F5D"/>
    <w:rsid w:val="4FC62A8C"/>
    <w:rsid w:val="4FE20F0D"/>
    <w:rsid w:val="501C3508"/>
    <w:rsid w:val="50504C4B"/>
    <w:rsid w:val="505E043D"/>
    <w:rsid w:val="50802FD0"/>
    <w:rsid w:val="5091017C"/>
    <w:rsid w:val="509C6E7C"/>
    <w:rsid w:val="50B616A6"/>
    <w:rsid w:val="50FA581B"/>
    <w:rsid w:val="514417EE"/>
    <w:rsid w:val="51500A8A"/>
    <w:rsid w:val="5162104E"/>
    <w:rsid w:val="51BA4FE5"/>
    <w:rsid w:val="51D15B51"/>
    <w:rsid w:val="52701540"/>
    <w:rsid w:val="52B4767F"/>
    <w:rsid w:val="52BE22AC"/>
    <w:rsid w:val="5362532D"/>
    <w:rsid w:val="53A039CC"/>
    <w:rsid w:val="53A1505A"/>
    <w:rsid w:val="54063E08"/>
    <w:rsid w:val="543437E8"/>
    <w:rsid w:val="54505185"/>
    <w:rsid w:val="545568EB"/>
    <w:rsid w:val="54DC110F"/>
    <w:rsid w:val="54E7478C"/>
    <w:rsid w:val="550D3076"/>
    <w:rsid w:val="551E614F"/>
    <w:rsid w:val="559B174B"/>
    <w:rsid w:val="55CE0CF4"/>
    <w:rsid w:val="563248E7"/>
    <w:rsid w:val="563665FD"/>
    <w:rsid w:val="56B22A9C"/>
    <w:rsid w:val="57B72A76"/>
    <w:rsid w:val="585D60C3"/>
    <w:rsid w:val="59E817EF"/>
    <w:rsid w:val="5A3C747D"/>
    <w:rsid w:val="5A5E495B"/>
    <w:rsid w:val="5A7024AF"/>
    <w:rsid w:val="5A8E6A07"/>
    <w:rsid w:val="5ABE2233"/>
    <w:rsid w:val="5B215D77"/>
    <w:rsid w:val="5B276D18"/>
    <w:rsid w:val="5BDF5D95"/>
    <w:rsid w:val="5C6E6AF1"/>
    <w:rsid w:val="5D2E6280"/>
    <w:rsid w:val="5DF87A0F"/>
    <w:rsid w:val="5E180787"/>
    <w:rsid w:val="5E532442"/>
    <w:rsid w:val="5ECF75EF"/>
    <w:rsid w:val="5F1A2B43"/>
    <w:rsid w:val="5FB837BB"/>
    <w:rsid w:val="5FD31659"/>
    <w:rsid w:val="617754CF"/>
    <w:rsid w:val="618172C6"/>
    <w:rsid w:val="61C251E9"/>
    <w:rsid w:val="61DC274E"/>
    <w:rsid w:val="61FA2BD4"/>
    <w:rsid w:val="622A3007"/>
    <w:rsid w:val="622F7D46"/>
    <w:rsid w:val="62364782"/>
    <w:rsid w:val="629A19E4"/>
    <w:rsid w:val="62C80BCC"/>
    <w:rsid w:val="6345141A"/>
    <w:rsid w:val="63D40BE9"/>
    <w:rsid w:val="63E0211F"/>
    <w:rsid w:val="63E8362C"/>
    <w:rsid w:val="648556EE"/>
    <w:rsid w:val="64D37973"/>
    <w:rsid w:val="64E2007C"/>
    <w:rsid w:val="65373578"/>
    <w:rsid w:val="65AA6DE5"/>
    <w:rsid w:val="660B53B0"/>
    <w:rsid w:val="660D62D4"/>
    <w:rsid w:val="66A96DD0"/>
    <w:rsid w:val="673F2C7A"/>
    <w:rsid w:val="67EA345E"/>
    <w:rsid w:val="681F6961"/>
    <w:rsid w:val="68610A2F"/>
    <w:rsid w:val="68805514"/>
    <w:rsid w:val="69191CB7"/>
    <w:rsid w:val="694E2071"/>
    <w:rsid w:val="69676DA1"/>
    <w:rsid w:val="697A3B33"/>
    <w:rsid w:val="699E2456"/>
    <w:rsid w:val="6AED2C53"/>
    <w:rsid w:val="6B322639"/>
    <w:rsid w:val="6B88314F"/>
    <w:rsid w:val="6C636C38"/>
    <w:rsid w:val="6C8707C5"/>
    <w:rsid w:val="6CC32A50"/>
    <w:rsid w:val="6D4913B4"/>
    <w:rsid w:val="6DB34098"/>
    <w:rsid w:val="6DB545B6"/>
    <w:rsid w:val="6E4375A0"/>
    <w:rsid w:val="6E514CED"/>
    <w:rsid w:val="6E775CD9"/>
    <w:rsid w:val="6E79491A"/>
    <w:rsid w:val="6EB563D5"/>
    <w:rsid w:val="6EC6456A"/>
    <w:rsid w:val="6F225983"/>
    <w:rsid w:val="6FCA008A"/>
    <w:rsid w:val="6FFC5590"/>
    <w:rsid w:val="70301DA3"/>
    <w:rsid w:val="703B2353"/>
    <w:rsid w:val="706D1DD0"/>
    <w:rsid w:val="7073045B"/>
    <w:rsid w:val="70856B87"/>
    <w:rsid w:val="70D527EE"/>
    <w:rsid w:val="7107220E"/>
    <w:rsid w:val="71542301"/>
    <w:rsid w:val="715B5300"/>
    <w:rsid w:val="715F4BD7"/>
    <w:rsid w:val="71A91862"/>
    <w:rsid w:val="71AD7C63"/>
    <w:rsid w:val="71D27F8A"/>
    <w:rsid w:val="71F744C6"/>
    <w:rsid w:val="71F94C57"/>
    <w:rsid w:val="71F960CF"/>
    <w:rsid w:val="72E04B8B"/>
    <w:rsid w:val="731F5D5E"/>
    <w:rsid w:val="734A425F"/>
    <w:rsid w:val="73E060CE"/>
    <w:rsid w:val="741E793C"/>
    <w:rsid w:val="746E36DA"/>
    <w:rsid w:val="75127B90"/>
    <w:rsid w:val="7557618A"/>
    <w:rsid w:val="758D75E2"/>
    <w:rsid w:val="75BD6B65"/>
    <w:rsid w:val="76C70E7F"/>
    <w:rsid w:val="770C7673"/>
    <w:rsid w:val="77147E3D"/>
    <w:rsid w:val="77762421"/>
    <w:rsid w:val="77BA3D4F"/>
    <w:rsid w:val="780F09F4"/>
    <w:rsid w:val="782971EC"/>
    <w:rsid w:val="789C4F47"/>
    <w:rsid w:val="78A90480"/>
    <w:rsid w:val="79811327"/>
    <w:rsid w:val="7A364017"/>
    <w:rsid w:val="7A8265E1"/>
    <w:rsid w:val="7AA360C8"/>
    <w:rsid w:val="7ABB54A9"/>
    <w:rsid w:val="7B1551D2"/>
    <w:rsid w:val="7B62561B"/>
    <w:rsid w:val="7B686D42"/>
    <w:rsid w:val="7B841746"/>
    <w:rsid w:val="7BFB4BA4"/>
    <w:rsid w:val="7C39379B"/>
    <w:rsid w:val="7D0239FF"/>
    <w:rsid w:val="7D5E40CD"/>
    <w:rsid w:val="7D693BED"/>
    <w:rsid w:val="7DC6298D"/>
    <w:rsid w:val="7DD52BEE"/>
    <w:rsid w:val="7EFC5948"/>
    <w:rsid w:val="7F1273FA"/>
    <w:rsid w:val="7F9B10FB"/>
    <w:rsid w:val="7FB31688"/>
    <w:rsid w:val="7FE47E50"/>
    <w:rsid w:val="7FEA3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9"/>
    <w:qFormat/>
    <w:uiPriority w:val="0"/>
    <w:pPr>
      <w:keepNext/>
      <w:overflowPunct w:val="0"/>
      <w:snapToGrid w:val="0"/>
      <w:spacing w:before="120" w:after="160" w:line="240" w:lineRule="auto"/>
      <w:ind w:left="0" w:firstLine="0" w:firstLineChars="0"/>
      <w:jc w:val="center"/>
      <w:outlineLvl w:val="0"/>
    </w:pPr>
    <w:rPr>
      <w:rFonts w:eastAsia="黑体"/>
      <w:bCs/>
      <w:color w:val="000000"/>
      <w:kern w:val="44"/>
      <w:sz w:val="30"/>
      <w:szCs w:val="30"/>
    </w:rPr>
  </w:style>
  <w:style w:type="paragraph" w:styleId="3">
    <w:name w:val="heading 2"/>
    <w:basedOn w:val="1"/>
    <w:next w:val="1"/>
    <w:qFormat/>
    <w:locked/>
    <w:uiPriority w:val="0"/>
    <w:pPr>
      <w:keepNext/>
      <w:keepLines/>
      <w:autoSpaceDE w:val="0"/>
      <w:autoSpaceDN w:val="0"/>
      <w:spacing w:beforeLines="0" w:beforeAutospacing="0" w:afterLines="0" w:afterAutospacing="0" w:line="360" w:lineRule="auto"/>
      <w:ind w:firstLine="0" w:firstLineChars="0"/>
      <w:outlineLvl w:val="1"/>
    </w:pPr>
    <w:rPr>
      <w:b/>
      <w:sz w:val="28"/>
      <w:szCs w:val="28"/>
    </w:rPr>
  </w:style>
  <w:style w:type="paragraph" w:styleId="4">
    <w:name w:val="heading 3"/>
    <w:basedOn w:val="1"/>
    <w:next w:val="1"/>
    <w:qFormat/>
    <w:locked/>
    <w:uiPriority w:val="0"/>
    <w:pPr>
      <w:keepNext/>
      <w:keepLines/>
      <w:autoSpaceDE w:val="0"/>
      <w:autoSpaceDN w:val="0"/>
      <w:spacing w:beforeLines="0" w:beforeAutospacing="0" w:afterLines="0" w:afterAutospacing="0" w:line="360" w:lineRule="auto"/>
      <w:outlineLvl w:val="2"/>
    </w:pPr>
    <w:rPr>
      <w:b/>
      <w:bCs/>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locked/>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locked/>
    <w:uiPriority w:val="0"/>
    <w:pPr>
      <w:ind w:firstLine="0" w:firstLineChars="0"/>
    </w:pPr>
    <w:rPr>
      <w:rFonts w:ascii="Times New Roman" w:hAnsi="Times New Roman" w:eastAsia="宋体"/>
    </w:rPr>
  </w:style>
  <w:style w:type="paragraph" w:styleId="9">
    <w:name w:val="toc 2"/>
    <w:basedOn w:val="1"/>
    <w:next w:val="1"/>
    <w:qFormat/>
    <w:locked/>
    <w:uiPriority w:val="0"/>
    <w:pPr>
      <w:ind w:left="420" w:leftChars="200"/>
    </w:pPr>
  </w:style>
  <w:style w:type="paragraph" w:styleId="10">
    <w:name w:val="Normal (Web)"/>
    <w:basedOn w:val="1"/>
    <w:link w:val="14"/>
    <w:qFormat/>
    <w:uiPriority w:val="0"/>
    <w:pPr>
      <w:widowControl/>
      <w:spacing w:before="100" w:beforeAutospacing="1" w:after="100" w:afterAutospacing="1"/>
      <w:jc w:val="left"/>
    </w:pPr>
    <w:rPr>
      <w:rFonts w:ascii="宋体" w:hAnsi="宋体"/>
      <w:kern w:val="0"/>
      <w:sz w:val="24"/>
    </w:rPr>
  </w:style>
  <w:style w:type="table" w:styleId="12">
    <w:name w:val="Table Grid"/>
    <w:basedOn w:val="1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 (Web) Char"/>
    <w:link w:val="10"/>
    <w:qFormat/>
    <w:locked/>
    <w:uiPriority w:val="0"/>
    <w:rPr>
      <w:rFonts w:ascii="宋体" w:hAnsi="宋体" w:eastAsia="宋体"/>
      <w:sz w:val="24"/>
    </w:rPr>
  </w:style>
  <w:style w:type="character" w:customStyle="1" w:styleId="15">
    <w:name w:val="表格 Char"/>
    <w:link w:val="16"/>
    <w:qFormat/>
    <w:locked/>
    <w:uiPriority w:val="0"/>
    <w:rPr>
      <w:rFonts w:ascii="Times New Roman" w:hAnsi="Times New Roman" w:eastAsia="宋体"/>
      <w:sz w:val="21"/>
    </w:rPr>
  </w:style>
  <w:style w:type="paragraph" w:customStyle="1" w:styleId="16">
    <w:name w:val="表格"/>
    <w:basedOn w:val="1"/>
    <w:link w:val="15"/>
    <w:qFormat/>
    <w:uiPriority w:val="0"/>
    <w:pPr>
      <w:adjustRightInd w:val="0"/>
      <w:snapToGrid w:val="0"/>
      <w:spacing w:line="240" w:lineRule="auto"/>
      <w:ind w:firstLine="0" w:firstLineChars="0"/>
      <w:jc w:val="center"/>
    </w:pPr>
    <w:rPr>
      <w:rFonts w:ascii="Times New Roman" w:hAnsi="Times New Roman" w:eastAsia="宋体"/>
      <w:kern w:val="0"/>
      <w:sz w:val="21"/>
      <w:szCs w:val="21"/>
    </w:rPr>
  </w:style>
  <w:style w:type="paragraph" w:customStyle="1" w:styleId="17">
    <w:name w:val="表头"/>
    <w:basedOn w:val="1"/>
    <w:qFormat/>
    <w:uiPriority w:val="0"/>
    <w:pPr>
      <w:spacing w:line="240" w:lineRule="auto"/>
      <w:ind w:firstLine="0" w:firstLineChars="0"/>
      <w:jc w:val="center"/>
    </w:pPr>
    <w:rPr>
      <w:rFonts w:hint="eastAsia" w:ascii="Times New Roman" w:hAnsi="Times New Roman" w:eastAsia="宋体"/>
      <w:b/>
      <w:sz w:val="21"/>
    </w:rPr>
  </w:style>
  <w:style w:type="table" w:customStyle="1" w:styleId="18">
    <w:name w:val="Table Normal"/>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19">
    <w:name w:val="标题 1 Char"/>
    <w:link w:val="2"/>
    <w:qFormat/>
    <w:uiPriority w:val="0"/>
    <w:rPr>
      <w:rFonts w:eastAsia="黑体"/>
      <w:bCs/>
      <w:color w:val="000000"/>
      <w:kern w:val="44"/>
      <w:sz w:val="30"/>
      <w:szCs w:val="30"/>
    </w:rPr>
  </w:style>
  <w:style w:type="paragraph" w:customStyle="1" w:styleId="20">
    <w:name w:val="Default"/>
    <w:basedOn w:val="21"/>
    <w:next w:val="1"/>
    <w:unhideWhenUsed/>
    <w:qFormat/>
    <w:uiPriority w:val="99"/>
    <w:pPr>
      <w:widowControl w:val="0"/>
      <w:autoSpaceDE w:val="0"/>
      <w:autoSpaceDN w:val="0"/>
      <w:adjustRightInd w:val="0"/>
      <w:jc w:val="center"/>
    </w:pPr>
    <w:rPr>
      <w:color w:val="000000"/>
      <w:sz w:val="21"/>
      <w:szCs w:val="24"/>
      <w:lang w:val="en-US" w:eastAsia="zh-CN" w:bidi="ar-SA"/>
    </w:rPr>
  </w:style>
  <w:style w:type="paragraph" w:customStyle="1" w:styleId="21">
    <w:name w:val="纯文本1"/>
    <w:basedOn w:val="1"/>
    <w:qFormat/>
    <w:uiPriority w:val="0"/>
    <w:pPr>
      <w:adjustRightInd w:val="0"/>
    </w:pPr>
    <w:rPr>
      <w:rFonts w:ascii="宋体" w:hAnsi="Courier New"/>
      <w:szCs w:val="20"/>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tiff"/><Relationship Id="rId8" Type="http://schemas.openxmlformats.org/officeDocument/2006/relationships/image" Target="media/image1.tif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2.bin"/><Relationship Id="rId14" Type="http://schemas.openxmlformats.org/officeDocument/2006/relationships/image" Target="media/image4.wmf"/><Relationship Id="rId13" Type="http://schemas.openxmlformats.org/officeDocument/2006/relationships/oleObject" Target="embeddings/oleObject1.bin"/><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61</Pages>
  <Words>44925</Words>
  <Characters>54574</Characters>
  <Lines>9</Lines>
  <Paragraphs>2</Paragraphs>
  <TotalTime>11</TotalTime>
  <ScaleCrop>false</ScaleCrop>
  <LinksUpToDate>false</LinksUpToDate>
  <CharactersWithSpaces>55263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Administrator</cp:lastModifiedBy>
  <cp:lastPrinted>2024-05-21T01:02:00Z</cp:lastPrinted>
  <dcterms:modified xsi:type="dcterms:W3CDTF">2024-09-04T02:58:31Z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6C023A19600B41839B774F9E9DC8F52A_13</vt:lpwstr>
  </property>
</Properties>
</file>